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1ADD3" w14:textId="77ADD978" w:rsidR="000244A7" w:rsidRDefault="003604FE">
      <w:pPr>
        <w:pStyle w:val="Body"/>
        <w:jc w:val="center"/>
        <w:rPr>
          <w:b/>
          <w:bCs/>
          <w:sz w:val="32"/>
          <w:szCs w:val="32"/>
        </w:rPr>
      </w:pPr>
      <w:r>
        <w:rPr>
          <w:b/>
          <w:bCs/>
          <w:noProof/>
          <w:sz w:val="32"/>
          <w:szCs w:val="32"/>
          <w14:textOutline w14:w="0" w14:cap="rnd" w14:cmpd="sng" w14:algn="ctr">
            <w14:noFill/>
            <w14:prstDash w14:val="solid"/>
            <w14:bevel/>
          </w14:textOutline>
        </w:rPr>
        <w:drawing>
          <wp:anchor distT="0" distB="0" distL="114300" distR="114300" simplePos="0" relativeHeight="251657216" behindDoc="1" locked="0" layoutInCell="1" allowOverlap="1" wp14:anchorId="45BF00A5" wp14:editId="0D08891D">
            <wp:simplePos x="0" y="0"/>
            <wp:positionH relativeFrom="margin">
              <wp:align>center</wp:align>
            </wp:positionH>
            <wp:positionV relativeFrom="paragraph">
              <wp:posOffset>0</wp:posOffset>
            </wp:positionV>
            <wp:extent cx="2393950" cy="1256181"/>
            <wp:effectExtent l="0" t="0" r="6350" b="1270"/>
            <wp:wrapTight wrapText="bothSides">
              <wp:wrapPolygon edited="0">
                <wp:start x="0" y="0"/>
                <wp:lineTo x="0" y="21294"/>
                <wp:lineTo x="21485" y="21294"/>
                <wp:lineTo x="21485" y="0"/>
                <wp:lineTo x="0" y="0"/>
              </wp:wrapPolygon>
            </wp:wrapTight>
            <wp:docPr id="1915007726" name="Picture 25" descr="A blue and wh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007726" name="Picture 25" descr="A blue and white logo"/>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93950" cy="1256181"/>
                    </a:xfrm>
                    <a:prstGeom prst="rect">
                      <a:avLst/>
                    </a:prstGeom>
                  </pic:spPr>
                </pic:pic>
              </a:graphicData>
            </a:graphic>
            <wp14:sizeRelH relativeFrom="margin">
              <wp14:pctWidth>0</wp14:pctWidth>
            </wp14:sizeRelH>
            <wp14:sizeRelV relativeFrom="margin">
              <wp14:pctHeight>0</wp14:pctHeight>
            </wp14:sizeRelV>
          </wp:anchor>
        </w:drawing>
      </w:r>
      <w:r w:rsidR="00CC09FA">
        <w:rPr>
          <w:noProof/>
        </w:rPr>
        <mc:AlternateContent>
          <mc:Choice Requires="wps">
            <w:drawing>
              <wp:inline distT="0" distB="0" distL="0" distR="0" wp14:anchorId="1F89ED56" wp14:editId="0330F430">
                <wp:extent cx="304800" cy="304800"/>
                <wp:effectExtent l="0" t="0" r="0" b="0"/>
                <wp:docPr id="187270168" name="Rectangle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150DFC" id="Rectangle 2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9B7221">
        <w:rPr>
          <w:noProof/>
        </w:rPr>
        <mc:AlternateContent>
          <mc:Choice Requires="wps">
            <w:drawing>
              <wp:inline distT="0" distB="0" distL="0" distR="0" wp14:anchorId="16281FDD" wp14:editId="7B24B63D">
                <wp:extent cx="304800" cy="304800"/>
                <wp:effectExtent l="0" t="0" r="0" b="0"/>
                <wp:docPr id="1722727642" name="Rectangle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52DF3E" id="Rectangle 2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4FBA419" w14:textId="77777777" w:rsidR="003604FE" w:rsidRDefault="003604FE">
      <w:pPr>
        <w:pStyle w:val="Body"/>
        <w:jc w:val="center"/>
        <w:rPr>
          <w:b/>
          <w:bCs/>
          <w:sz w:val="32"/>
          <w:szCs w:val="32"/>
          <w:lang w:val="fr-FR"/>
        </w:rPr>
      </w:pPr>
    </w:p>
    <w:p w14:paraId="332A5A05" w14:textId="77777777" w:rsidR="003604FE" w:rsidRDefault="003604FE">
      <w:pPr>
        <w:pStyle w:val="Body"/>
        <w:jc w:val="center"/>
        <w:rPr>
          <w:b/>
          <w:bCs/>
          <w:sz w:val="32"/>
          <w:szCs w:val="32"/>
          <w:lang w:val="fr-FR"/>
        </w:rPr>
      </w:pPr>
    </w:p>
    <w:p w14:paraId="0B3A154D" w14:textId="77777777" w:rsidR="003604FE" w:rsidRDefault="003604FE">
      <w:pPr>
        <w:pStyle w:val="Body"/>
        <w:jc w:val="center"/>
        <w:rPr>
          <w:b/>
          <w:bCs/>
          <w:sz w:val="32"/>
          <w:szCs w:val="32"/>
          <w:lang w:val="fr-FR"/>
        </w:rPr>
      </w:pPr>
    </w:p>
    <w:p w14:paraId="66D642F4" w14:textId="4E4FDEBF" w:rsidR="000244A7" w:rsidRDefault="00000000">
      <w:pPr>
        <w:pStyle w:val="Body"/>
        <w:jc w:val="center"/>
        <w:rPr>
          <w:sz w:val="32"/>
          <w:szCs w:val="32"/>
        </w:rPr>
      </w:pPr>
      <w:proofErr w:type="gramStart"/>
      <w:r>
        <w:rPr>
          <w:b/>
          <w:bCs/>
          <w:sz w:val="32"/>
          <w:szCs w:val="32"/>
          <w:lang w:val="fr-FR"/>
        </w:rPr>
        <w:t>Programme:</w:t>
      </w:r>
      <w:proofErr w:type="gramEnd"/>
      <w:r>
        <w:rPr>
          <w:sz w:val="32"/>
          <w:szCs w:val="32"/>
          <w:lang w:val="en-US"/>
        </w:rPr>
        <w:t xml:space="preserve"> BA (Hons) Business Management</w:t>
      </w:r>
    </w:p>
    <w:p w14:paraId="44D37989" w14:textId="07EDFE21" w:rsidR="000244A7" w:rsidRDefault="00000000">
      <w:pPr>
        <w:pStyle w:val="Body"/>
        <w:jc w:val="center"/>
        <w:rPr>
          <w:sz w:val="32"/>
          <w:szCs w:val="32"/>
        </w:rPr>
      </w:pPr>
      <w:r>
        <w:rPr>
          <w:b/>
          <w:bCs/>
          <w:sz w:val="32"/>
          <w:szCs w:val="32"/>
        </w:rPr>
        <w:t xml:space="preserve">Module: </w:t>
      </w:r>
      <w:r>
        <w:rPr>
          <w:sz w:val="32"/>
          <w:szCs w:val="32"/>
          <w:lang w:val="en-US"/>
        </w:rPr>
        <w:t>International Business Communications</w:t>
      </w:r>
    </w:p>
    <w:p w14:paraId="7FEA5003" w14:textId="5E76A83C" w:rsidR="000244A7" w:rsidRDefault="00000000">
      <w:pPr>
        <w:pStyle w:val="Body"/>
        <w:jc w:val="center"/>
        <w:rPr>
          <w:sz w:val="32"/>
          <w:szCs w:val="32"/>
        </w:rPr>
      </w:pPr>
      <w:r>
        <w:rPr>
          <w:b/>
          <w:bCs/>
          <w:sz w:val="32"/>
          <w:szCs w:val="32"/>
          <w:lang w:val="en-US"/>
        </w:rPr>
        <w:t xml:space="preserve">Module Code: </w:t>
      </w:r>
      <w:r>
        <w:rPr>
          <w:sz w:val="32"/>
          <w:szCs w:val="32"/>
        </w:rPr>
        <w:t>LCBB6001</w:t>
      </w:r>
    </w:p>
    <w:p w14:paraId="5483342A" w14:textId="766E6E50" w:rsidR="003619D0" w:rsidRDefault="003619D0">
      <w:pPr>
        <w:pStyle w:val="Body"/>
        <w:jc w:val="center"/>
        <w:rPr>
          <w:sz w:val="32"/>
          <w:szCs w:val="32"/>
        </w:rPr>
      </w:pPr>
      <w:r>
        <w:rPr>
          <w:sz w:val="32"/>
          <w:szCs w:val="32"/>
        </w:rPr>
        <w:t>Student Name: Farida Ahmed</w:t>
      </w:r>
    </w:p>
    <w:p w14:paraId="708910BA" w14:textId="03C6A44D" w:rsidR="003619D0" w:rsidRDefault="003619D0">
      <w:pPr>
        <w:pStyle w:val="Body"/>
        <w:jc w:val="center"/>
        <w:rPr>
          <w:sz w:val="32"/>
          <w:szCs w:val="32"/>
        </w:rPr>
      </w:pPr>
      <w:r>
        <w:rPr>
          <w:sz w:val="32"/>
          <w:szCs w:val="32"/>
        </w:rPr>
        <w:t>Student ID: 2123556</w:t>
      </w:r>
    </w:p>
    <w:p w14:paraId="5B0C7BB9" w14:textId="04F17436" w:rsidR="000244A7" w:rsidRDefault="000244A7">
      <w:pPr>
        <w:pStyle w:val="Body"/>
        <w:spacing w:after="240"/>
        <w:jc w:val="center"/>
        <w:rPr>
          <w:b/>
          <w:bCs/>
          <w:sz w:val="32"/>
          <w:szCs w:val="32"/>
        </w:rPr>
      </w:pPr>
    </w:p>
    <w:p w14:paraId="08F35322" w14:textId="4575586C" w:rsidR="000244A7" w:rsidRDefault="000244A7">
      <w:pPr>
        <w:pStyle w:val="Body"/>
        <w:spacing w:after="240"/>
        <w:jc w:val="center"/>
        <w:rPr>
          <w:b/>
          <w:bCs/>
          <w:sz w:val="32"/>
          <w:szCs w:val="32"/>
        </w:rPr>
      </w:pPr>
    </w:p>
    <w:p w14:paraId="79C8FA8B" w14:textId="74C2B8CF" w:rsidR="000244A7" w:rsidRDefault="00000000">
      <w:pPr>
        <w:pStyle w:val="Body"/>
        <w:spacing w:after="240"/>
        <w:jc w:val="center"/>
        <w:rPr>
          <w:b/>
          <w:bCs/>
          <w:sz w:val="32"/>
          <w:szCs w:val="32"/>
        </w:rPr>
      </w:pPr>
      <w:r>
        <w:rPr>
          <w:b/>
          <w:bCs/>
          <w:sz w:val="32"/>
          <w:szCs w:val="32"/>
          <w:lang w:val="en-US"/>
        </w:rPr>
        <w:t>Component 1: Coursework - Individual Essay</w:t>
      </w:r>
    </w:p>
    <w:p w14:paraId="2E40935E" w14:textId="2386711B" w:rsidR="000244A7" w:rsidRDefault="009B7221">
      <w:pPr>
        <w:pStyle w:val="Body"/>
        <w:jc w:val="left"/>
        <w:rPr>
          <w:b/>
          <w:bCs/>
          <w:sz w:val="32"/>
          <w:szCs w:val="32"/>
        </w:rPr>
      </w:pPr>
      <w:r>
        <w:rPr>
          <w:noProof/>
        </w:rPr>
        <mc:AlternateContent>
          <mc:Choice Requires="wps">
            <w:drawing>
              <wp:inline distT="0" distB="0" distL="0" distR="0" wp14:anchorId="35940EA5" wp14:editId="5357C568">
                <wp:extent cx="304800" cy="304800"/>
                <wp:effectExtent l="0" t="0" r="0" b="0"/>
                <wp:docPr id="2135545499" name="Rectangle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0AEABC" id="Rectangle 2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E625423" w14:textId="77777777" w:rsidR="000244A7" w:rsidRDefault="000244A7">
      <w:pPr>
        <w:pStyle w:val="Body"/>
        <w:jc w:val="center"/>
        <w:rPr>
          <w:b/>
          <w:bCs/>
          <w:sz w:val="32"/>
          <w:szCs w:val="32"/>
        </w:rPr>
      </w:pPr>
    </w:p>
    <w:p w14:paraId="1D42BE80" w14:textId="77777777" w:rsidR="000244A7" w:rsidRDefault="000244A7">
      <w:pPr>
        <w:pStyle w:val="Body"/>
        <w:jc w:val="center"/>
        <w:rPr>
          <w:b/>
          <w:bCs/>
          <w:sz w:val="32"/>
          <w:szCs w:val="32"/>
        </w:rPr>
      </w:pPr>
    </w:p>
    <w:p w14:paraId="2492EAAD" w14:textId="77777777" w:rsidR="000244A7" w:rsidRDefault="000244A7">
      <w:pPr>
        <w:pStyle w:val="Body"/>
        <w:rPr>
          <w:b/>
          <w:bCs/>
          <w:sz w:val="32"/>
          <w:szCs w:val="32"/>
        </w:rPr>
      </w:pPr>
    </w:p>
    <w:p w14:paraId="3341AED6" w14:textId="77777777" w:rsidR="000244A7" w:rsidRDefault="000244A7">
      <w:pPr>
        <w:pStyle w:val="Body"/>
        <w:jc w:val="center"/>
        <w:rPr>
          <w:b/>
          <w:bCs/>
          <w:sz w:val="32"/>
          <w:szCs w:val="32"/>
        </w:rPr>
      </w:pPr>
    </w:p>
    <w:p w14:paraId="79DD2639" w14:textId="77777777" w:rsidR="000244A7" w:rsidRDefault="000244A7">
      <w:pPr>
        <w:pStyle w:val="Body"/>
        <w:jc w:val="center"/>
        <w:rPr>
          <w:b/>
          <w:bCs/>
          <w:sz w:val="32"/>
          <w:szCs w:val="32"/>
        </w:rPr>
      </w:pPr>
    </w:p>
    <w:p w14:paraId="34105AC9" w14:textId="77777777" w:rsidR="000244A7" w:rsidRDefault="00000000">
      <w:pPr>
        <w:pStyle w:val="Body"/>
        <w:jc w:val="center"/>
        <w:rPr>
          <w:b/>
          <w:bCs/>
          <w:sz w:val="32"/>
          <w:szCs w:val="32"/>
        </w:rPr>
      </w:pPr>
      <w:r>
        <w:rPr>
          <w:b/>
          <w:bCs/>
          <w:sz w:val="32"/>
          <w:szCs w:val="32"/>
          <w:lang w:val="en-US"/>
        </w:rPr>
        <w:t>Title: An Evaluation of Cross-Cultural Communication Styles Between UK and Japanese Teams: A Case Study of Unilever and Mitsubishi Corporation</w:t>
      </w:r>
    </w:p>
    <w:p w14:paraId="72779115" w14:textId="77777777" w:rsidR="000244A7" w:rsidRDefault="00000000">
      <w:pPr>
        <w:pStyle w:val="Body"/>
      </w:pPr>
      <w:r>
        <w:rPr>
          <w:rFonts w:ascii="Arial Unicode MS" w:hAnsi="Arial Unicode MS"/>
        </w:rPr>
        <w:br w:type="page"/>
      </w:r>
    </w:p>
    <w:p w14:paraId="7005B814" w14:textId="77777777" w:rsidR="000244A7" w:rsidRDefault="00000000">
      <w:pPr>
        <w:pStyle w:val="TOCHeading"/>
        <w:spacing w:line="360" w:lineRule="auto"/>
        <w:jc w:val="center"/>
        <w:rPr>
          <w:rFonts w:ascii="Times New Roman" w:eastAsia="Times New Roman" w:hAnsi="Times New Roman" w:cs="Times New Roman"/>
          <w:b/>
          <w:bCs/>
          <w:color w:val="000000"/>
          <w:sz w:val="28"/>
          <w:szCs w:val="28"/>
          <w:u w:color="000000"/>
        </w:rPr>
      </w:pPr>
      <w:bookmarkStart w:id="0" w:name="_mqxkfctyh7r"/>
      <w:r>
        <w:rPr>
          <w:rFonts w:ascii="Times New Roman" w:hAnsi="Times New Roman"/>
          <w:b/>
          <w:bCs/>
          <w:color w:val="000000"/>
          <w:sz w:val="28"/>
          <w:szCs w:val="28"/>
          <w:u w:color="000000"/>
        </w:rPr>
        <w:lastRenderedPageBreak/>
        <w:t>Table of Contents</w:t>
      </w:r>
    </w:p>
    <w:p w14:paraId="2673D55F" w14:textId="77777777" w:rsidR="000244A7" w:rsidRDefault="00000000">
      <w:pPr>
        <w:pStyle w:val="Body"/>
      </w:pPr>
      <w:r>
        <w:rPr>
          <w:b/>
          <w:bCs/>
          <w:sz w:val="28"/>
          <w:szCs w:val="28"/>
        </w:rPr>
        <w:fldChar w:fldCharType="begin"/>
      </w:r>
      <w:r>
        <w:rPr>
          <w:b/>
          <w:bCs/>
          <w:sz w:val="28"/>
          <w:szCs w:val="28"/>
        </w:rPr>
        <w:instrText xml:space="preserve"> TOC \o 1-2 </w:instrText>
      </w:r>
      <w:r>
        <w:rPr>
          <w:b/>
          <w:bCs/>
          <w:sz w:val="28"/>
          <w:szCs w:val="28"/>
        </w:rPr>
        <w:fldChar w:fldCharType="separate"/>
      </w:r>
    </w:p>
    <w:p w14:paraId="44CD6BF6" w14:textId="77777777" w:rsidR="000244A7" w:rsidRDefault="00000000">
      <w:pPr>
        <w:pStyle w:val="TOC1"/>
      </w:pPr>
      <w:r>
        <w:rPr>
          <w:rFonts w:eastAsia="Arial Unicode MS" w:cs="Arial Unicode MS"/>
        </w:rPr>
        <w:t>Introduction</w:t>
      </w:r>
      <w:r>
        <w:rPr>
          <w:rFonts w:eastAsia="Arial Unicode MS" w:cs="Arial Unicode MS"/>
        </w:rPr>
        <w:tab/>
      </w:r>
      <w:r>
        <w:fldChar w:fldCharType="begin"/>
      </w:r>
      <w:r>
        <w:instrText xml:space="preserve"> PAGEREF _Toc \h </w:instrText>
      </w:r>
      <w:r>
        <w:fldChar w:fldCharType="separate"/>
      </w:r>
      <w:r>
        <w:rPr>
          <w:rFonts w:eastAsia="Arial Unicode MS" w:cs="Arial Unicode MS"/>
        </w:rPr>
        <w:t>2</w:t>
      </w:r>
      <w:r>
        <w:fldChar w:fldCharType="end"/>
      </w:r>
    </w:p>
    <w:p w14:paraId="17B39D07" w14:textId="77777777" w:rsidR="000244A7" w:rsidRDefault="00000000">
      <w:pPr>
        <w:pStyle w:val="TOC1"/>
      </w:pPr>
      <w:r>
        <w:rPr>
          <w:rFonts w:eastAsia="Arial Unicode MS" w:cs="Arial Unicode MS"/>
        </w:rPr>
        <w:t>Contextual Overview of Companies and Regions</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2</w:t>
      </w:r>
      <w:r>
        <w:fldChar w:fldCharType="end"/>
      </w:r>
    </w:p>
    <w:p w14:paraId="609BD528" w14:textId="77777777" w:rsidR="000244A7" w:rsidRDefault="00000000">
      <w:pPr>
        <w:pStyle w:val="TOC1"/>
      </w:pPr>
      <w:r>
        <w:rPr>
          <w:rFonts w:eastAsia="Arial Unicode MS" w:cs="Arial Unicode MS"/>
        </w:rPr>
        <w:t>Comparative Analysis of Communication Styles</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4</w:t>
      </w:r>
      <w:r>
        <w:fldChar w:fldCharType="end"/>
      </w:r>
    </w:p>
    <w:p w14:paraId="554D4189" w14:textId="77777777" w:rsidR="000244A7" w:rsidRDefault="00000000">
      <w:pPr>
        <w:pStyle w:val="TOC2"/>
      </w:pPr>
      <w:r>
        <w:rPr>
          <w:rFonts w:eastAsia="Arial Unicode MS" w:cs="Arial Unicode MS"/>
        </w:rPr>
        <w:t>Hofstede’s Cultural Dimensions</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4</w:t>
      </w:r>
      <w:r>
        <w:fldChar w:fldCharType="end"/>
      </w:r>
    </w:p>
    <w:p w14:paraId="0FD81517" w14:textId="77777777" w:rsidR="000244A7" w:rsidRDefault="00000000">
      <w:pPr>
        <w:pStyle w:val="TOC2"/>
      </w:pPr>
      <w:r>
        <w:rPr>
          <w:rFonts w:eastAsia="Arial Unicode MS" w:cs="Arial Unicode MS"/>
        </w:rPr>
        <w:t>High-Context vs. Low-Context Communication</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7</w:t>
      </w:r>
      <w:r>
        <w:fldChar w:fldCharType="end"/>
      </w:r>
    </w:p>
    <w:p w14:paraId="6FADD18B" w14:textId="77777777" w:rsidR="000244A7" w:rsidRDefault="00000000">
      <w:pPr>
        <w:pStyle w:val="TOC2"/>
      </w:pPr>
      <w:r>
        <w:rPr>
          <w:rFonts w:eastAsia="Arial Unicode MS" w:cs="Arial Unicode MS"/>
        </w:rPr>
        <w:t>Trompenaars’ Seven Dimensions of Culture</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9</w:t>
      </w:r>
      <w:r>
        <w:fldChar w:fldCharType="end"/>
      </w:r>
    </w:p>
    <w:p w14:paraId="7A4CB88E" w14:textId="77777777" w:rsidR="000244A7" w:rsidRDefault="00000000">
      <w:pPr>
        <w:pStyle w:val="TOC1"/>
      </w:pPr>
      <w:r>
        <w:rPr>
          <w:rFonts w:eastAsia="Arial Unicode MS" w:cs="Arial Unicode MS"/>
        </w:rPr>
        <w:t>Implications of Communication Differences in Business Practice</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11</w:t>
      </w:r>
      <w:r>
        <w:fldChar w:fldCharType="end"/>
      </w:r>
    </w:p>
    <w:p w14:paraId="6C51118D" w14:textId="77777777" w:rsidR="000244A7" w:rsidRDefault="00000000">
      <w:pPr>
        <w:pStyle w:val="TOC1"/>
      </w:pPr>
      <w:r>
        <w:rPr>
          <w:rFonts w:eastAsia="Arial Unicode MS" w:cs="Arial Unicode MS"/>
        </w:rPr>
        <w:t>Strategies for Effective Cross-Cultural Communication</w:t>
      </w:r>
      <w:r>
        <w:rPr>
          <w:rFonts w:eastAsia="Arial Unicode MS" w:cs="Arial Unicode MS"/>
        </w:rPr>
        <w:tab/>
      </w:r>
      <w:r>
        <w:fldChar w:fldCharType="begin"/>
      </w:r>
      <w:r>
        <w:instrText xml:space="preserve"> PAGEREF _Toc7 \h </w:instrText>
      </w:r>
      <w:r>
        <w:fldChar w:fldCharType="separate"/>
      </w:r>
      <w:r>
        <w:rPr>
          <w:rFonts w:eastAsia="Arial Unicode MS" w:cs="Arial Unicode MS"/>
        </w:rPr>
        <w:t>12</w:t>
      </w:r>
      <w:r>
        <w:fldChar w:fldCharType="end"/>
      </w:r>
    </w:p>
    <w:p w14:paraId="7D1B32B3" w14:textId="77777777" w:rsidR="000244A7" w:rsidRDefault="00000000">
      <w:pPr>
        <w:pStyle w:val="TOC1"/>
      </w:pPr>
      <w:r>
        <w:rPr>
          <w:rFonts w:eastAsia="Arial Unicode MS" w:cs="Arial Unicode MS"/>
        </w:rPr>
        <w:t>Conclusion</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13</w:t>
      </w:r>
      <w:r>
        <w:fldChar w:fldCharType="end"/>
      </w:r>
    </w:p>
    <w:p w14:paraId="1774ED33" w14:textId="77777777" w:rsidR="000244A7" w:rsidRDefault="00000000">
      <w:pPr>
        <w:pStyle w:val="TOC1"/>
      </w:pPr>
      <w:r>
        <w:rPr>
          <w:rFonts w:eastAsia="Arial Unicode MS" w:cs="Arial Unicode MS"/>
        </w:rPr>
        <w:t>Reference List</w:t>
      </w:r>
      <w:r>
        <w:rPr>
          <w:rFonts w:eastAsia="Arial Unicode MS" w:cs="Arial Unicode MS"/>
        </w:rPr>
        <w:tab/>
      </w:r>
      <w:r>
        <w:fldChar w:fldCharType="begin"/>
      </w:r>
      <w:r>
        <w:instrText xml:space="preserve"> PAGEREF _Toc9 \h </w:instrText>
      </w:r>
      <w:r>
        <w:fldChar w:fldCharType="separate"/>
      </w:r>
      <w:r>
        <w:rPr>
          <w:rFonts w:eastAsia="Arial Unicode MS" w:cs="Arial Unicode MS"/>
        </w:rPr>
        <w:t>14</w:t>
      </w:r>
      <w:r>
        <w:fldChar w:fldCharType="end"/>
      </w:r>
    </w:p>
    <w:p w14:paraId="7BBC6DDA" w14:textId="77777777" w:rsidR="000244A7" w:rsidRDefault="00000000">
      <w:pPr>
        <w:pStyle w:val="Body"/>
        <w:rPr>
          <w:kern w:val="2"/>
        </w:rPr>
      </w:pPr>
      <w:r>
        <w:rPr>
          <w:b/>
          <w:bCs/>
          <w:sz w:val="28"/>
          <w:szCs w:val="28"/>
        </w:rPr>
        <w:fldChar w:fldCharType="end"/>
      </w:r>
    </w:p>
    <w:p w14:paraId="06CF4A78" w14:textId="77777777" w:rsidR="000244A7" w:rsidRDefault="00000000">
      <w:pPr>
        <w:pStyle w:val="Body"/>
      </w:pPr>
      <w:r>
        <w:rPr>
          <w:rFonts w:ascii="Arial Unicode MS" w:hAnsi="Arial Unicode MS"/>
          <w:sz w:val="28"/>
          <w:szCs w:val="28"/>
        </w:rPr>
        <w:br w:type="page"/>
      </w:r>
    </w:p>
    <w:p w14:paraId="5968A440" w14:textId="77777777" w:rsidR="000244A7" w:rsidRDefault="00000000">
      <w:pPr>
        <w:pStyle w:val="Heading"/>
        <w:rPr>
          <w:b/>
          <w:bCs/>
          <w:sz w:val="28"/>
          <w:szCs w:val="28"/>
        </w:rPr>
      </w:pPr>
      <w:bookmarkStart w:id="1" w:name="_Toc"/>
      <w:r>
        <w:rPr>
          <w:rFonts w:eastAsia="Arial Unicode MS" w:cs="Arial Unicode MS"/>
          <w:b/>
          <w:bCs/>
          <w:sz w:val="28"/>
          <w:szCs w:val="28"/>
          <w:lang w:val="fr-FR"/>
        </w:rPr>
        <w:lastRenderedPageBreak/>
        <w:t>Introduction</w:t>
      </w:r>
      <w:bookmarkEnd w:id="1"/>
    </w:p>
    <w:p w14:paraId="1E72101B" w14:textId="77777777" w:rsidR="000244A7" w:rsidRDefault="00000000">
      <w:pPr>
        <w:pStyle w:val="Body"/>
      </w:pPr>
      <w:r>
        <w:rPr>
          <w:lang w:val="en-US"/>
        </w:rPr>
        <w:t xml:space="preserve">In an increasingly </w:t>
      </w:r>
      <w:proofErr w:type="spellStart"/>
      <w:r>
        <w:rPr>
          <w:lang w:val="en-US"/>
        </w:rPr>
        <w:t>globalised</w:t>
      </w:r>
      <w:proofErr w:type="spellEnd"/>
      <w:r>
        <w:rPr>
          <w:lang w:val="en-US"/>
        </w:rPr>
        <w:t xml:space="preserve"> business environment, effective intercultural communication has become essential for successful international collaboration. Multinational corporations (MNCs) operating across culturally diverse regions must navigate communication differences to avoid misunderstandings and foster cooperation. This essay evaluates cross-cultural communication between UK and Japanese teams, focusing on </w:t>
      </w:r>
      <w:r>
        <w:rPr>
          <w:b/>
          <w:bCs/>
          <w:i/>
          <w:iCs/>
          <w:lang w:val="it-IT"/>
        </w:rPr>
        <w:t>Unilever</w:t>
      </w:r>
      <w:r>
        <w:rPr>
          <w:i/>
          <w:iCs/>
        </w:rPr>
        <w:t>,</w:t>
      </w:r>
      <w:r>
        <w:rPr>
          <w:lang w:val="en-US"/>
        </w:rPr>
        <w:t xml:space="preserve"> a British MNC, and </w:t>
      </w:r>
      <w:r>
        <w:rPr>
          <w:b/>
          <w:bCs/>
          <w:i/>
          <w:iCs/>
        </w:rPr>
        <w:t>Mitsubishi Corporation</w:t>
      </w:r>
      <w:r>
        <w:rPr>
          <w:lang w:val="en-US"/>
        </w:rPr>
        <w:t xml:space="preserve">, a major Japanese conglomerate. As the UK is generally </w:t>
      </w:r>
      <w:proofErr w:type="spellStart"/>
      <w:r>
        <w:rPr>
          <w:lang w:val="en-US"/>
        </w:rPr>
        <w:t>characterised</w:t>
      </w:r>
      <w:proofErr w:type="spellEnd"/>
      <w:r>
        <w:rPr>
          <w:lang w:val="en-US"/>
        </w:rPr>
        <w:t xml:space="preserve"> by low-context, individualistic communication, and Japan by high-context, collectivist styles, these contrasts can create barriers in multinational project execution. According to Khan and Farooq (2024), cultural appreciation and the ability to overcome communication challenges are essential in the success of long-term cross-border ventures. With the help of several theoretical approaches extended by Hofstede (Cultural Dimensions), Hall (High- vs. Low-Context Communication model), and Trompenaars (Seven Dimensions of Culture), this paper critically examines the communication </w:t>
      </w:r>
      <w:proofErr w:type="spellStart"/>
      <w:r>
        <w:rPr>
          <w:lang w:val="en-US"/>
        </w:rPr>
        <w:t>behaviour</w:t>
      </w:r>
      <w:proofErr w:type="spellEnd"/>
      <w:r>
        <w:rPr>
          <w:lang w:val="en-US"/>
        </w:rPr>
        <w:t xml:space="preserve"> and its influence on cooperation, trust or productivity.</w:t>
      </w:r>
      <w:bookmarkEnd w:id="0"/>
    </w:p>
    <w:p w14:paraId="18E0A205" w14:textId="77777777" w:rsidR="000244A7" w:rsidRDefault="00000000">
      <w:pPr>
        <w:pStyle w:val="Heading"/>
        <w:rPr>
          <w:b/>
          <w:bCs/>
          <w:sz w:val="28"/>
          <w:szCs w:val="28"/>
        </w:rPr>
      </w:pPr>
      <w:bookmarkStart w:id="2" w:name="_lio0bht0n2z4"/>
      <w:bookmarkStart w:id="3" w:name="_Toc1"/>
      <w:bookmarkEnd w:id="2"/>
      <w:r>
        <w:rPr>
          <w:rFonts w:eastAsia="Arial Unicode MS" w:cs="Arial Unicode MS"/>
          <w:b/>
          <w:bCs/>
          <w:sz w:val="28"/>
          <w:szCs w:val="28"/>
        </w:rPr>
        <w:t>C</w:t>
      </w:r>
      <w:proofErr w:type="spellStart"/>
      <w:r>
        <w:rPr>
          <w:rFonts w:eastAsia="Arial Unicode MS" w:cs="Arial Unicode MS"/>
          <w:b/>
          <w:bCs/>
          <w:sz w:val="28"/>
          <w:szCs w:val="28"/>
          <w:lang w:val="en-US"/>
        </w:rPr>
        <w:t>ontextual</w:t>
      </w:r>
      <w:proofErr w:type="spellEnd"/>
      <w:r>
        <w:rPr>
          <w:rFonts w:eastAsia="Arial Unicode MS" w:cs="Arial Unicode MS"/>
          <w:b/>
          <w:bCs/>
          <w:sz w:val="28"/>
          <w:szCs w:val="28"/>
          <w:lang w:val="en-US"/>
        </w:rPr>
        <w:t xml:space="preserve"> Overview of Companies and Regions</w:t>
      </w:r>
      <w:bookmarkEnd w:id="3"/>
    </w:p>
    <w:p w14:paraId="7CB454DB" w14:textId="77777777" w:rsidR="000244A7" w:rsidRDefault="00000000">
      <w:pPr>
        <w:pStyle w:val="Body"/>
        <w:spacing w:before="240" w:after="240"/>
        <w:rPr>
          <w:b/>
          <w:bCs/>
        </w:rPr>
      </w:pPr>
      <w:r>
        <w:rPr>
          <w:b/>
          <w:bCs/>
        </w:rPr>
        <w:t>Unilever (UK‑</w:t>
      </w:r>
      <w:r>
        <w:rPr>
          <w:b/>
          <w:bCs/>
          <w:lang w:val="en-US"/>
        </w:rPr>
        <w:t>headquartered MNC expanding in Asia)</w:t>
      </w:r>
    </w:p>
    <w:p w14:paraId="2D285ADC" w14:textId="77777777" w:rsidR="000244A7" w:rsidRDefault="00000000">
      <w:pPr>
        <w:pStyle w:val="Body"/>
        <w:spacing w:before="240" w:after="240"/>
        <w:jc w:val="center"/>
        <w:rPr>
          <w:b/>
          <w:bCs/>
        </w:rPr>
      </w:pPr>
      <w:r>
        <w:rPr>
          <w:b/>
          <w:bCs/>
          <w:noProof/>
        </w:rPr>
        <w:drawing>
          <wp:inline distT="0" distB="0" distL="0" distR="0" wp14:anchorId="43FD3CC9" wp14:editId="6511D544">
            <wp:extent cx="5731200" cy="2374900"/>
            <wp:effectExtent l="0" t="0" r="0" b="0"/>
            <wp:docPr id="1073741825" name="officeArt object" descr="image2.png"/>
            <wp:cNvGraphicFramePr/>
            <a:graphic xmlns:a="http://schemas.openxmlformats.org/drawingml/2006/main">
              <a:graphicData uri="http://schemas.openxmlformats.org/drawingml/2006/picture">
                <pic:pic xmlns:pic="http://schemas.openxmlformats.org/drawingml/2006/picture">
                  <pic:nvPicPr>
                    <pic:cNvPr id="1073741825" name="image2.png" descr="image2.png"/>
                    <pic:cNvPicPr>
                      <a:picLocks noChangeAspect="1"/>
                    </pic:cNvPicPr>
                  </pic:nvPicPr>
                  <pic:blipFill>
                    <a:blip r:embed="rId10"/>
                    <a:stretch>
                      <a:fillRect/>
                    </a:stretch>
                  </pic:blipFill>
                  <pic:spPr>
                    <a:xfrm>
                      <a:off x="0" y="0"/>
                      <a:ext cx="5731200" cy="2374900"/>
                    </a:xfrm>
                    <a:prstGeom prst="rect">
                      <a:avLst/>
                    </a:prstGeom>
                    <a:ln w="12700" cap="flat">
                      <a:noFill/>
                      <a:miter lim="400000"/>
                    </a:ln>
                    <a:effectLst/>
                  </pic:spPr>
                </pic:pic>
              </a:graphicData>
            </a:graphic>
          </wp:inline>
        </w:drawing>
      </w:r>
    </w:p>
    <w:p w14:paraId="003262CC" w14:textId="77777777" w:rsidR="000244A7" w:rsidRDefault="00000000">
      <w:pPr>
        <w:pStyle w:val="Body"/>
        <w:spacing w:before="240" w:after="240"/>
        <w:jc w:val="center"/>
        <w:rPr>
          <w:b/>
          <w:bCs/>
        </w:rPr>
      </w:pPr>
      <w:r>
        <w:rPr>
          <w:b/>
          <w:bCs/>
          <w:lang w:val="en-US"/>
        </w:rPr>
        <w:t>Figure 1: Underlying sales growth (USG)</w:t>
      </w:r>
    </w:p>
    <w:p w14:paraId="2804DA6B" w14:textId="77777777" w:rsidR="000244A7" w:rsidRDefault="00000000">
      <w:pPr>
        <w:pStyle w:val="Body"/>
        <w:spacing w:before="240" w:after="240"/>
        <w:jc w:val="center"/>
      </w:pPr>
      <w:r>
        <w:rPr>
          <w:lang w:val="en-US"/>
        </w:rPr>
        <w:t>(Sources: Unilever PLC, 2025)</w:t>
      </w:r>
    </w:p>
    <w:p w14:paraId="5D3BF816" w14:textId="77777777" w:rsidR="000244A7" w:rsidRDefault="00000000">
      <w:pPr>
        <w:pStyle w:val="Body"/>
        <w:spacing w:before="240" w:after="240"/>
      </w:pPr>
      <w:r>
        <w:rPr>
          <w:lang w:val="en-US"/>
        </w:rPr>
        <w:t xml:space="preserve">Unilever plc is a British-based company that recorded a turnover of 60.8 billion in 2024, with Asia lesser Pacific and Africa contributing to about 43% of the group revenue, proving its </w:t>
      </w:r>
      <w:r>
        <w:rPr>
          <w:lang w:val="en-US"/>
        </w:rPr>
        <w:lastRenderedPageBreak/>
        <w:t>immense growth in Asia (Unilever PLC, 2025). As part of the 2024 Growth Action Plan, Unilever focused on scaling its key brands, expanding innovation in its high-growth markets (India, China and Southeast Asia) where underlying sales grew 4.2 per cent and volume rose 2.9 per cent in its emerging markets (Unilever PLC, 2025). In a strategy that is decades in the making via Unilever Food Solutions and other avenues, the firm has been intent on enhancing exposure across the region, ensuring that its global marketing, supply-chain coordination, and sustainability programs and efforts are in harmony with burgeoning markets across the region.</w:t>
      </w:r>
    </w:p>
    <w:p w14:paraId="60A95B93" w14:textId="77777777" w:rsidR="000244A7" w:rsidRDefault="00000000">
      <w:pPr>
        <w:pStyle w:val="Body"/>
        <w:spacing w:before="240" w:after="240"/>
        <w:rPr>
          <w:b/>
          <w:bCs/>
        </w:rPr>
      </w:pPr>
      <w:r>
        <w:rPr>
          <w:b/>
          <w:bCs/>
          <w:lang w:val="en-US"/>
        </w:rPr>
        <w:t>Mitsubishi Corporation (Japanese partner and global conglomerate)</w:t>
      </w:r>
    </w:p>
    <w:p w14:paraId="5C2B12B5" w14:textId="77777777" w:rsidR="000244A7" w:rsidRDefault="00000000">
      <w:pPr>
        <w:pStyle w:val="Body"/>
        <w:spacing w:before="240" w:after="240"/>
      </w:pPr>
      <w:r>
        <w:rPr>
          <w:lang w:val="en-US"/>
        </w:rPr>
        <w:t>Mitsubishi Corporation is among the largest trading conglomerates of Japan and acts as a hub for energy, infrastructure, mobility, as well as industrial undertakings across the globe. During its fiscal year ended March 2024, it changed its governance model (Audit &amp; Supervisory Committee) and developed a climate strategy entitled its Roadmap to a Carbon Neutral Society (Mitsubishi Corporation, 2025). It is collaborating actively in sustainable projects globally, one of the pioneers in the Global e-NG Coalition; world-focused on renewable ammonia; and it is also investing in LNG capacity in Malaysia, taking 10% ownership and boosting production by 60% (Mitsubishi Corporation, 2025).</w:t>
      </w:r>
    </w:p>
    <w:p w14:paraId="7B7990B4" w14:textId="77777777" w:rsidR="000244A7" w:rsidRDefault="00000000">
      <w:pPr>
        <w:pStyle w:val="Body"/>
        <w:spacing w:before="240" w:after="240"/>
        <w:rPr>
          <w:b/>
          <w:bCs/>
        </w:rPr>
      </w:pPr>
      <w:r>
        <w:rPr>
          <w:b/>
          <w:bCs/>
          <w:lang w:val="en-US"/>
        </w:rPr>
        <w:t>Business Landscape and Cultural Expectations in the UK vs. Japan</w:t>
      </w:r>
    </w:p>
    <w:p w14:paraId="01B13943" w14:textId="77777777" w:rsidR="000244A7" w:rsidRDefault="00000000">
      <w:pPr>
        <w:pStyle w:val="Body"/>
        <w:spacing w:before="240" w:after="240"/>
      </w:pPr>
      <w:r>
        <w:rPr>
          <w:lang w:val="en-US"/>
        </w:rPr>
        <w:t>In the UK, principles of board accountability, risk management and stakeholders</w:t>
      </w:r>
      <w:r>
        <w:rPr>
          <w:rtl/>
        </w:rPr>
        <w:t xml:space="preserve">’ </w:t>
      </w:r>
      <w:r>
        <w:rPr>
          <w:lang w:val="en-US"/>
        </w:rPr>
        <w:t xml:space="preserve">oversight are established in </w:t>
      </w:r>
      <w:proofErr w:type="gramStart"/>
      <w:r>
        <w:rPr>
          <w:lang w:val="en-US"/>
        </w:rPr>
        <w:t>the January</w:t>
      </w:r>
      <w:proofErr w:type="gramEnd"/>
      <w:r>
        <w:rPr>
          <w:lang w:val="en-US"/>
        </w:rPr>
        <w:t xml:space="preserve"> 2024 UK Corporate Governance Code within a so-called comply or explain level of regulation (with internal controls rules in 2026) (FRC, 2024). The standards require reporting by public companies to strengthen investor trust and transparency. The UK Stewardship Code is still under re-evaluation by regulators that attempt to mitigate reporting obligations and improve practices of long-term capital allocation (Treanor, 2025).</w:t>
      </w:r>
    </w:p>
    <w:p w14:paraId="06EE7A2A" w14:textId="77777777" w:rsidR="000244A7" w:rsidRDefault="00000000">
      <w:pPr>
        <w:pStyle w:val="Body"/>
        <w:spacing w:before="240" w:after="240"/>
      </w:pPr>
      <w:r>
        <w:rPr>
          <w:lang w:val="en-US"/>
        </w:rPr>
        <w:t xml:space="preserve">In contrast, the Japanese corporate governance refers to the Corporate Governance code and Stewardship Code (valid since April 2022) and entails a focus on a more extensive form of </w:t>
      </w:r>
      <w:proofErr w:type="spellStart"/>
      <w:r>
        <w:rPr>
          <w:lang w:val="en-US"/>
        </w:rPr>
        <w:t>stakeholderism</w:t>
      </w:r>
      <w:proofErr w:type="spellEnd"/>
      <w:r>
        <w:rPr>
          <w:lang w:val="en-US"/>
        </w:rPr>
        <w:t>, where corporate purpose complements social responsibility and shareholder returns. According to Lewis (2025), the pressure to reform the governance process in Japan is gaining momentum, with a growing number of shareholder activists, enhanced disclosure, and a practice of aligning their strategies to the principle of ESG and SDGs (concern with SDG lapel badges).</w:t>
      </w:r>
    </w:p>
    <w:p w14:paraId="05D140EE" w14:textId="77777777" w:rsidR="000244A7" w:rsidRDefault="00000000">
      <w:pPr>
        <w:pStyle w:val="Body"/>
        <w:spacing w:before="240" w:after="240"/>
        <w:rPr>
          <w:b/>
          <w:bCs/>
        </w:rPr>
      </w:pPr>
      <w:r>
        <w:rPr>
          <w:b/>
          <w:bCs/>
          <w:lang w:val="en-US"/>
        </w:rPr>
        <w:lastRenderedPageBreak/>
        <w:t>CSR Influence on International Partnerships and Ethics</w:t>
      </w:r>
    </w:p>
    <w:p w14:paraId="47B4A040" w14:textId="77777777" w:rsidR="000244A7" w:rsidRDefault="00000000">
      <w:pPr>
        <w:pStyle w:val="Body"/>
        <w:spacing w:before="240" w:after="240"/>
      </w:pPr>
      <w:r>
        <w:rPr>
          <w:lang w:val="en-US"/>
        </w:rPr>
        <w:t xml:space="preserve">Both Unilever and Mitsubishi are engaged in ways that are in line with globally acceptable CSR provisions. The 2024 report of Unilever repeats about the approach to sustainable value chains and ethical sourcing in Asia-Pacific. The sustainability roadmap at Mitsubishi goes even further and adds carbon-neutral investments and reforms of the governance structure, which embodies the adoption of SDG frameworks and corporate ethics which </w:t>
      </w:r>
      <w:proofErr w:type="gramStart"/>
      <w:r>
        <w:rPr>
          <w:lang w:val="en-US"/>
        </w:rPr>
        <w:t>take into account</w:t>
      </w:r>
      <w:proofErr w:type="gramEnd"/>
      <w:r>
        <w:rPr>
          <w:lang w:val="en-US"/>
        </w:rPr>
        <w:t xml:space="preserve"> both shareholders and society. Cross-cultural joint </w:t>
      </w:r>
      <w:proofErr w:type="gramStart"/>
      <w:r>
        <w:rPr>
          <w:lang w:val="en-US"/>
        </w:rPr>
        <w:t>ventures</w:t>
      </w:r>
      <w:proofErr w:type="gramEnd"/>
      <w:r>
        <w:rPr>
          <w:lang w:val="en-US"/>
        </w:rPr>
        <w:t xml:space="preserve"> hence, face the challenge of working in both the rule-based stakeholder governance of the UK and the broad responsibility style of the CSR approach of Japan.</w:t>
      </w:r>
    </w:p>
    <w:p w14:paraId="777491DD" w14:textId="77777777" w:rsidR="000244A7" w:rsidRDefault="00000000">
      <w:pPr>
        <w:pStyle w:val="Heading"/>
        <w:rPr>
          <w:b/>
          <w:bCs/>
          <w:sz w:val="28"/>
          <w:szCs w:val="28"/>
        </w:rPr>
      </w:pPr>
      <w:bookmarkStart w:id="4" w:name="_u68yy50g5d2"/>
      <w:bookmarkStart w:id="5" w:name="_Toc2"/>
      <w:bookmarkEnd w:id="4"/>
      <w:r>
        <w:rPr>
          <w:rFonts w:eastAsia="Arial Unicode MS" w:cs="Arial Unicode MS"/>
          <w:b/>
          <w:bCs/>
          <w:sz w:val="28"/>
          <w:szCs w:val="28"/>
        </w:rPr>
        <w:t>C</w:t>
      </w:r>
      <w:proofErr w:type="spellStart"/>
      <w:r>
        <w:rPr>
          <w:rFonts w:eastAsia="Arial Unicode MS" w:cs="Arial Unicode MS"/>
          <w:b/>
          <w:bCs/>
          <w:sz w:val="28"/>
          <w:szCs w:val="28"/>
          <w:lang w:val="en-US"/>
        </w:rPr>
        <w:t>omparative</w:t>
      </w:r>
      <w:proofErr w:type="spellEnd"/>
      <w:r>
        <w:rPr>
          <w:rFonts w:eastAsia="Arial Unicode MS" w:cs="Arial Unicode MS"/>
          <w:b/>
          <w:bCs/>
          <w:sz w:val="28"/>
          <w:szCs w:val="28"/>
          <w:lang w:val="en-US"/>
        </w:rPr>
        <w:t xml:space="preserve"> Analysis of Communication Styles</w:t>
      </w:r>
      <w:bookmarkEnd w:id="5"/>
    </w:p>
    <w:p w14:paraId="4E0CC3B2" w14:textId="77777777" w:rsidR="000244A7" w:rsidRDefault="00000000">
      <w:pPr>
        <w:pStyle w:val="Heading2"/>
        <w:rPr>
          <w:b/>
          <w:bCs/>
          <w:sz w:val="26"/>
          <w:szCs w:val="26"/>
        </w:rPr>
      </w:pPr>
      <w:bookmarkStart w:id="6" w:name="_iz8zcfa8orsa"/>
      <w:bookmarkStart w:id="7" w:name="_Toc3"/>
      <w:bookmarkEnd w:id="6"/>
      <w:r>
        <w:rPr>
          <w:rFonts w:eastAsia="Arial Unicode MS" w:cs="Arial Unicode MS"/>
          <w:b/>
          <w:bCs/>
          <w:sz w:val="26"/>
          <w:szCs w:val="26"/>
        </w:rPr>
        <w:t>H</w:t>
      </w:r>
      <w:r>
        <w:rPr>
          <w:rFonts w:eastAsia="Arial Unicode MS" w:cs="Arial Unicode MS"/>
          <w:b/>
          <w:bCs/>
          <w:sz w:val="26"/>
          <w:szCs w:val="26"/>
          <w:lang w:val="da-DK"/>
        </w:rPr>
        <w:t>ofstede</w:t>
      </w:r>
      <w:r>
        <w:rPr>
          <w:rFonts w:eastAsia="Arial Unicode MS" w:cs="Arial Unicode MS"/>
          <w:b/>
          <w:bCs/>
          <w:sz w:val="26"/>
          <w:szCs w:val="26"/>
          <w:rtl/>
        </w:rPr>
        <w:t>’</w:t>
      </w:r>
      <w:r>
        <w:rPr>
          <w:rFonts w:eastAsia="Arial Unicode MS" w:cs="Arial Unicode MS"/>
          <w:b/>
          <w:bCs/>
          <w:sz w:val="26"/>
          <w:szCs w:val="26"/>
          <w:lang w:val="it-IT"/>
        </w:rPr>
        <w:t>s Cultural Dimensions</w:t>
      </w:r>
      <w:bookmarkEnd w:id="7"/>
    </w:p>
    <w:p w14:paraId="5ABC599B" w14:textId="77777777" w:rsidR="000244A7" w:rsidRDefault="00000000">
      <w:pPr>
        <w:pStyle w:val="Body"/>
        <w:spacing w:before="240" w:after="240"/>
      </w:pPr>
      <w:r>
        <w:rPr>
          <w:lang w:val="en-US"/>
        </w:rPr>
        <w:t xml:space="preserve">Cross-cultural communication is an important aspect for most international </w:t>
      </w:r>
      <w:proofErr w:type="spellStart"/>
      <w:r>
        <w:rPr>
          <w:lang w:val="en-US"/>
        </w:rPr>
        <w:t>organisations</w:t>
      </w:r>
      <w:proofErr w:type="spellEnd"/>
      <w:r>
        <w:rPr>
          <w:lang w:val="en-US"/>
        </w:rPr>
        <w:t xml:space="preserve"> such as Unilever and Mitsubishi Corporation, since their work comes down to efficient multinational cooperation. The Hofstede six-dimensional cultural model creates a systematic tool in which one can compare national </w:t>
      </w:r>
      <w:proofErr w:type="spellStart"/>
      <w:r>
        <w:rPr>
          <w:lang w:val="en-US"/>
        </w:rPr>
        <w:t>behaviours</w:t>
      </w:r>
      <w:proofErr w:type="spellEnd"/>
      <w:r>
        <w:rPr>
          <w:lang w:val="en-US"/>
        </w:rPr>
        <w:t xml:space="preserve"> regarding the chief influencing factors of the communication instruments, team performance, and decision-making procedure.</w:t>
      </w:r>
    </w:p>
    <w:p w14:paraId="06C67644" w14:textId="77777777" w:rsidR="000244A7" w:rsidRDefault="00000000">
      <w:pPr>
        <w:pStyle w:val="Body"/>
        <w:spacing w:before="240" w:after="240"/>
        <w:jc w:val="center"/>
      </w:pPr>
      <w:r>
        <w:rPr>
          <w:noProof/>
        </w:rPr>
        <w:drawing>
          <wp:inline distT="0" distB="0" distL="0" distR="0" wp14:anchorId="782F8145" wp14:editId="517F1FAA">
            <wp:extent cx="5731200" cy="3035300"/>
            <wp:effectExtent l="0" t="0" r="0" b="0"/>
            <wp:docPr id="1073741826" name="officeArt object" descr="image1.png"/>
            <wp:cNvGraphicFramePr/>
            <a:graphic xmlns:a="http://schemas.openxmlformats.org/drawingml/2006/main">
              <a:graphicData uri="http://schemas.openxmlformats.org/drawingml/2006/picture">
                <pic:pic xmlns:pic="http://schemas.openxmlformats.org/drawingml/2006/picture">
                  <pic:nvPicPr>
                    <pic:cNvPr id="1073741826" name="image1.png" descr="image1.png"/>
                    <pic:cNvPicPr>
                      <a:picLocks noChangeAspect="1"/>
                    </pic:cNvPicPr>
                  </pic:nvPicPr>
                  <pic:blipFill>
                    <a:blip r:embed="rId11"/>
                    <a:stretch>
                      <a:fillRect/>
                    </a:stretch>
                  </pic:blipFill>
                  <pic:spPr>
                    <a:xfrm>
                      <a:off x="0" y="0"/>
                      <a:ext cx="5731200" cy="3035300"/>
                    </a:xfrm>
                    <a:prstGeom prst="rect">
                      <a:avLst/>
                    </a:prstGeom>
                    <a:ln w="12700" cap="flat">
                      <a:noFill/>
                      <a:miter lim="400000"/>
                    </a:ln>
                    <a:effectLst/>
                  </pic:spPr>
                </pic:pic>
              </a:graphicData>
            </a:graphic>
          </wp:inline>
        </w:drawing>
      </w:r>
    </w:p>
    <w:p w14:paraId="06B3B1D9" w14:textId="77777777" w:rsidR="000244A7" w:rsidRDefault="00000000">
      <w:pPr>
        <w:pStyle w:val="Body"/>
        <w:spacing w:before="240" w:after="240"/>
        <w:jc w:val="center"/>
        <w:rPr>
          <w:b/>
          <w:bCs/>
        </w:rPr>
      </w:pPr>
      <w:r>
        <w:rPr>
          <w:b/>
          <w:bCs/>
          <w:lang w:val="en-US"/>
        </w:rPr>
        <w:t>Figure 2: Country comparison through Hofstede</w:t>
      </w:r>
      <w:r>
        <w:rPr>
          <w:b/>
          <w:bCs/>
          <w:rtl/>
        </w:rPr>
        <w:t>’</w:t>
      </w:r>
      <w:r>
        <w:rPr>
          <w:b/>
          <w:bCs/>
          <w:lang w:val="it-IT"/>
        </w:rPr>
        <w:t>s Cultural Dimensions</w:t>
      </w:r>
    </w:p>
    <w:p w14:paraId="36BA8C94" w14:textId="77777777" w:rsidR="000244A7" w:rsidRDefault="00000000">
      <w:pPr>
        <w:pStyle w:val="Body"/>
        <w:spacing w:before="240" w:after="240"/>
        <w:jc w:val="center"/>
      </w:pPr>
      <w:r>
        <w:rPr>
          <w:lang w:val="en-US"/>
        </w:rPr>
        <w:lastRenderedPageBreak/>
        <w:t>(Sources: The Culture Factor Group, 2025)</w:t>
      </w:r>
    </w:p>
    <w:p w14:paraId="2DAFCCD4" w14:textId="77777777" w:rsidR="000244A7" w:rsidRDefault="00000000">
      <w:pPr>
        <w:pStyle w:val="Body"/>
        <w:spacing w:before="240" w:after="240"/>
        <w:rPr>
          <w:b/>
          <w:bCs/>
        </w:rPr>
      </w:pPr>
      <w:r>
        <w:rPr>
          <w:b/>
          <w:bCs/>
          <w:lang w:val="en-US"/>
        </w:rPr>
        <w:t>Power Distance</w:t>
      </w:r>
    </w:p>
    <w:p w14:paraId="4C51AA4C" w14:textId="77777777" w:rsidR="000244A7" w:rsidRDefault="00000000">
      <w:pPr>
        <w:pStyle w:val="Body"/>
        <w:spacing w:before="240" w:after="240"/>
      </w:pPr>
      <w:r>
        <w:rPr>
          <w:lang w:val="en-US"/>
        </w:rPr>
        <w:t xml:space="preserve">The UK has a score of 35, which is quite low to be labelled as a power distance society that places more emphasis on equality and the informal use of authority. All ranks of employees </w:t>
      </w:r>
      <w:proofErr w:type="gramStart"/>
      <w:r>
        <w:rPr>
          <w:lang w:val="en-US"/>
        </w:rPr>
        <w:t>are able to</w:t>
      </w:r>
      <w:proofErr w:type="gramEnd"/>
      <w:r>
        <w:rPr>
          <w:lang w:val="en-US"/>
        </w:rPr>
        <w:t xml:space="preserve"> contribute their </w:t>
      </w:r>
      <w:proofErr w:type="gramStart"/>
      <w:r>
        <w:rPr>
          <w:lang w:val="en-US"/>
        </w:rPr>
        <w:t>ideas</w:t>
      </w:r>
      <w:proofErr w:type="gramEnd"/>
      <w:r>
        <w:rPr>
          <w:lang w:val="en-US"/>
        </w:rPr>
        <w:t xml:space="preserve"> and hierarchy is not </w:t>
      </w:r>
      <w:proofErr w:type="spellStart"/>
      <w:r>
        <w:rPr>
          <w:lang w:val="en-US"/>
        </w:rPr>
        <w:t>emphasised</w:t>
      </w:r>
      <w:proofErr w:type="spellEnd"/>
      <w:r>
        <w:rPr>
          <w:lang w:val="en-US"/>
        </w:rPr>
        <w:t xml:space="preserve"> (Ozturk and Berber, 2022). Conversely, Japan ranks 54, somewhat hierarchical, where respect for rank and procedure is extremely high. Decision making at Japanese </w:t>
      </w:r>
      <w:proofErr w:type="spellStart"/>
      <w:r>
        <w:rPr>
          <w:lang w:val="en-US"/>
        </w:rPr>
        <w:t>organisations</w:t>
      </w:r>
      <w:proofErr w:type="spellEnd"/>
      <w:r>
        <w:rPr>
          <w:lang w:val="en-US"/>
        </w:rPr>
        <w:t xml:space="preserve"> such as Mitsubishi would involve consensus at different levels and is thus </w:t>
      </w:r>
      <w:proofErr w:type="spellStart"/>
      <w:r>
        <w:rPr>
          <w:lang w:val="en-US"/>
        </w:rPr>
        <w:t>characterised</w:t>
      </w:r>
      <w:proofErr w:type="spellEnd"/>
      <w:r>
        <w:rPr>
          <w:lang w:val="en-US"/>
        </w:rPr>
        <w:t xml:space="preserve"> by slow but well-structured processes (Mehra, 2025). This impacts UK-Japan teams where the UK personnel might find the Japanese system to be very bureaucratic, and the Japanese might take the relaxed British style as showing disrespect.</w:t>
      </w:r>
    </w:p>
    <w:p w14:paraId="73FEF1CF" w14:textId="77777777" w:rsidR="000244A7" w:rsidRDefault="00000000">
      <w:pPr>
        <w:pStyle w:val="Body"/>
        <w:spacing w:before="240" w:after="240"/>
        <w:rPr>
          <w:b/>
          <w:bCs/>
        </w:rPr>
      </w:pPr>
      <w:r>
        <w:rPr>
          <w:b/>
          <w:bCs/>
          <w:lang w:val="en-US"/>
        </w:rPr>
        <w:t>Individualism vs. Collectivism</w:t>
      </w:r>
    </w:p>
    <w:p w14:paraId="168F87FD" w14:textId="77777777" w:rsidR="000244A7" w:rsidRDefault="00000000">
      <w:pPr>
        <w:pStyle w:val="Body"/>
        <w:spacing w:before="240" w:after="240"/>
      </w:pPr>
      <w:r>
        <w:rPr>
          <w:lang w:val="en-US"/>
        </w:rPr>
        <w:t xml:space="preserve">The score of the UK 76 means that the culture is also highly individualist because personal goals, autonomy and privacy prevail (The Culture Factor Group, 2025). At Unilever workers are supposed to be proactive, and individual success is a fact of celebration. Japan is individualism-oriented with a score of 62; it has elements of collectivism in the form of group loyalty and corporate identity. </w:t>
      </w:r>
      <w:proofErr w:type="gramStart"/>
      <w:r>
        <w:rPr>
          <w:lang w:val="en-US"/>
        </w:rPr>
        <w:t>By all means, Mitsubishi</w:t>
      </w:r>
      <w:proofErr w:type="gramEnd"/>
      <w:r>
        <w:rPr>
          <w:lang w:val="en-US"/>
        </w:rPr>
        <w:t xml:space="preserve"> workers will have to be oriented towards harmony and collective prosperity, hesitating to express themselves and keep unity (Mehra, 2025). The existence of such opposite norms can lead to misunderstandings in terms of teamwork and performance.</w:t>
      </w:r>
    </w:p>
    <w:p w14:paraId="1B60BD12" w14:textId="77777777" w:rsidR="000244A7" w:rsidRDefault="00000000">
      <w:pPr>
        <w:pStyle w:val="Body"/>
        <w:spacing w:before="240" w:after="240"/>
        <w:rPr>
          <w:b/>
          <w:bCs/>
        </w:rPr>
      </w:pPr>
      <w:r>
        <w:rPr>
          <w:b/>
          <w:bCs/>
          <w:lang w:val="en-US"/>
        </w:rPr>
        <w:t>Masculinity (Achievement Orientation)</w:t>
      </w:r>
    </w:p>
    <w:p w14:paraId="69420BF1" w14:textId="77777777" w:rsidR="000244A7" w:rsidRDefault="00000000">
      <w:pPr>
        <w:pStyle w:val="Body"/>
        <w:spacing w:before="240" w:after="240"/>
      </w:pPr>
      <w:r>
        <w:rPr>
          <w:lang w:val="en-US"/>
        </w:rPr>
        <w:t xml:space="preserve">Japan has a score of 95, which makes Japan one of the achievement-oriented societies (The Culture Factor Group, 2025). Group competition and commitment are pursued to attain success, which leads to a perfectionist work ethic. The UK, with 66, is also a country that believes in success but with a hint of modesty (The Culture Factor Group, 2025). British professionals can be ambiguous when using ambition, but their Japanese counterparts demonstrate their high degree of commitment. The difference is affecting the </w:t>
      </w:r>
      <w:proofErr w:type="gramStart"/>
      <w:r>
        <w:rPr>
          <w:lang w:val="en-US"/>
        </w:rPr>
        <w:t>goal-setting</w:t>
      </w:r>
      <w:proofErr w:type="gramEnd"/>
      <w:r>
        <w:rPr>
          <w:lang w:val="en-US"/>
        </w:rPr>
        <w:t>, the pressure and sensitivity to feedback in cross-teams.</w:t>
      </w:r>
    </w:p>
    <w:p w14:paraId="25D1036E" w14:textId="77777777" w:rsidR="000244A7" w:rsidRDefault="00000000">
      <w:pPr>
        <w:pStyle w:val="Body"/>
        <w:spacing w:before="240" w:after="240"/>
        <w:rPr>
          <w:b/>
          <w:bCs/>
        </w:rPr>
      </w:pPr>
      <w:r>
        <w:rPr>
          <w:b/>
          <w:bCs/>
          <w:lang w:val="en-US"/>
        </w:rPr>
        <w:t>Uncertainty Avoidance</w:t>
      </w:r>
    </w:p>
    <w:p w14:paraId="5E7D557F" w14:textId="77777777" w:rsidR="000244A7" w:rsidRDefault="00000000">
      <w:pPr>
        <w:pStyle w:val="Body"/>
        <w:spacing w:before="240" w:after="240"/>
      </w:pPr>
      <w:r>
        <w:rPr>
          <w:lang w:val="en-US"/>
        </w:rPr>
        <w:lastRenderedPageBreak/>
        <w:t>Japan (92) has very high uncertainty avoidance, where rules and risk evaluation and detailed planning are preferred. Recommended business decisions within the sphere of Mitsubishi involve the thorough work of feasibility studies and long-term prognosis. By way of contrast, the UK (score 35) adopts the concept of ambiguity and loose planning (The Culture Factor Group, 2025). The national preference by the British teams is to negotiate and do whatever is good and to muddle through, which may appear unstructured to Japanese opponents. One of the consequences of a mismatch of risk management or decision processes may be miscommunication.</w:t>
      </w:r>
    </w:p>
    <w:p w14:paraId="0945CE5E" w14:textId="77777777" w:rsidR="000244A7" w:rsidRDefault="00000000">
      <w:pPr>
        <w:pStyle w:val="Body"/>
        <w:spacing w:before="240" w:after="240"/>
        <w:rPr>
          <w:b/>
          <w:bCs/>
        </w:rPr>
      </w:pPr>
      <w:r>
        <w:rPr>
          <w:b/>
          <w:bCs/>
          <w:lang w:val="en-US"/>
        </w:rPr>
        <w:t>Long-Term Orientation</w:t>
      </w:r>
    </w:p>
    <w:p w14:paraId="560AAED5" w14:textId="77777777" w:rsidR="000244A7" w:rsidRDefault="00000000">
      <w:pPr>
        <w:pStyle w:val="Body"/>
        <w:spacing w:before="240" w:after="240"/>
      </w:pPr>
      <w:r>
        <w:rPr>
          <w:lang w:val="en-US"/>
        </w:rPr>
        <w:t>Japan scores 100, which indicates strong future orientation. Longevity, persistence in market growth, long-term research and development- the major Mitsubishi approaches are rather different than the pragmatic but able to respond to changes within the short-term time in the UK, which consists of 60 points (The Culture Factor Group, 2025). The result is that this difference formulates project planning and investment schedules in multinational alliances.</w:t>
      </w:r>
    </w:p>
    <w:p w14:paraId="72E2148A" w14:textId="77777777" w:rsidR="000244A7" w:rsidRDefault="00000000">
      <w:pPr>
        <w:pStyle w:val="Body"/>
        <w:spacing w:before="240" w:after="240"/>
        <w:rPr>
          <w:b/>
          <w:bCs/>
        </w:rPr>
      </w:pPr>
      <w:r>
        <w:rPr>
          <w:b/>
          <w:bCs/>
          <w:lang w:val="it-IT"/>
        </w:rPr>
        <w:t>Indulgence</w:t>
      </w:r>
    </w:p>
    <w:p w14:paraId="663AF94D" w14:textId="77777777" w:rsidR="000244A7" w:rsidRDefault="00000000">
      <w:pPr>
        <w:pStyle w:val="Body"/>
        <w:spacing w:before="240" w:after="240"/>
      </w:pPr>
      <w:r>
        <w:rPr>
          <w:lang w:val="en-US"/>
        </w:rPr>
        <w:t xml:space="preserve">With an indulgence score of 69, a certain leisure-seeking and optimistic nature of the UK can be discovered. In contrast, Japan has a score of 42, meaning restraint and duty precede pleasure (The Culture Factor Group, 2025). Employees in the UK can anticipate a work-life balance whereas Japanese co-workers accept long working hours. These impressions influence motivation, morale and </w:t>
      </w:r>
      <w:proofErr w:type="spellStart"/>
      <w:r>
        <w:rPr>
          <w:lang w:val="en-US"/>
        </w:rPr>
        <w:t>organisational</w:t>
      </w:r>
      <w:proofErr w:type="spellEnd"/>
      <w:r>
        <w:rPr>
          <w:lang w:val="en-US"/>
        </w:rPr>
        <w:t xml:space="preserve"> expectations.</w:t>
      </w:r>
    </w:p>
    <w:p w14:paraId="7F7AF2E2" w14:textId="77777777" w:rsidR="000244A7" w:rsidRDefault="00000000">
      <w:pPr>
        <w:pStyle w:val="Heading2"/>
        <w:rPr>
          <w:b/>
          <w:bCs/>
          <w:sz w:val="26"/>
          <w:szCs w:val="26"/>
        </w:rPr>
      </w:pPr>
      <w:bookmarkStart w:id="8" w:name="_x719vzfg98zc"/>
      <w:bookmarkStart w:id="9" w:name="_Toc4"/>
      <w:bookmarkEnd w:id="8"/>
      <w:r>
        <w:rPr>
          <w:rFonts w:eastAsia="Arial Unicode MS" w:cs="Arial Unicode MS"/>
          <w:b/>
          <w:bCs/>
          <w:sz w:val="26"/>
          <w:szCs w:val="26"/>
        </w:rPr>
        <w:t>H</w:t>
      </w:r>
      <w:proofErr w:type="spellStart"/>
      <w:r>
        <w:rPr>
          <w:rFonts w:eastAsia="Arial Unicode MS" w:cs="Arial Unicode MS"/>
          <w:b/>
          <w:bCs/>
          <w:sz w:val="26"/>
          <w:szCs w:val="26"/>
          <w:lang w:val="en-US"/>
        </w:rPr>
        <w:t>igh</w:t>
      </w:r>
      <w:proofErr w:type="spellEnd"/>
      <w:r>
        <w:rPr>
          <w:rFonts w:eastAsia="Arial Unicode MS" w:cs="Arial Unicode MS"/>
          <w:b/>
          <w:bCs/>
          <w:sz w:val="26"/>
          <w:szCs w:val="26"/>
          <w:lang w:val="en-US"/>
        </w:rPr>
        <w:t>-Context vs. Low-Context Communication</w:t>
      </w:r>
      <w:bookmarkEnd w:id="9"/>
    </w:p>
    <w:p w14:paraId="2AC4C83B" w14:textId="77777777" w:rsidR="000244A7" w:rsidRDefault="00000000">
      <w:pPr>
        <w:pStyle w:val="Body"/>
        <w:spacing w:before="240" w:after="240"/>
      </w:pPr>
      <w:proofErr w:type="gramStart"/>
      <w:r>
        <w:rPr>
          <w:lang w:val="en-US"/>
        </w:rPr>
        <w:t>A successful</w:t>
      </w:r>
      <w:proofErr w:type="gramEnd"/>
      <w:r>
        <w:rPr>
          <w:lang w:val="en-US"/>
        </w:rPr>
        <w:t xml:space="preserve"> intercultural communication depends on knowledge of the dynamics of how implicit vs explicit processes influence the nature of the interaction. Teams of Japan and British, particularly those of Mitsubishi Corporation and Unilever, are at opposite sides of this spectrum.</w:t>
      </w:r>
    </w:p>
    <w:tbl>
      <w:tblPr>
        <w:tblW w:w="88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730"/>
        <w:gridCol w:w="3135"/>
        <w:gridCol w:w="3015"/>
      </w:tblGrid>
      <w:tr w:rsidR="000244A7" w14:paraId="384B016A" w14:textId="77777777">
        <w:trPr>
          <w:trHeight w:val="378"/>
        </w:trPr>
        <w:tc>
          <w:tcPr>
            <w:tcW w:w="2730" w:type="dxa"/>
            <w:tcBorders>
              <w:top w:val="single" w:sz="5" w:space="0" w:color="4472C4"/>
              <w:left w:val="single" w:sz="5" w:space="0" w:color="4472C4"/>
              <w:bottom w:val="single" w:sz="5" w:space="0" w:color="4472C4"/>
              <w:right w:val="nil"/>
            </w:tcBorders>
            <w:shd w:val="clear" w:color="auto" w:fill="4472C4"/>
            <w:tcMar>
              <w:top w:w="80" w:type="dxa"/>
              <w:left w:w="80" w:type="dxa"/>
              <w:bottom w:w="80" w:type="dxa"/>
              <w:right w:w="80" w:type="dxa"/>
            </w:tcMar>
          </w:tcPr>
          <w:p w14:paraId="5A424A49" w14:textId="77777777" w:rsidR="000244A7" w:rsidRDefault="00000000">
            <w:pPr>
              <w:pStyle w:val="Body"/>
              <w:spacing w:before="240" w:after="160"/>
            </w:pPr>
            <w:r>
              <w:rPr>
                <w:b/>
                <w:bCs/>
                <w:color w:val="FFFFFF"/>
                <w:u w:color="FFFFFF"/>
                <w:lang w:val="en-US"/>
              </w:rPr>
              <w:t>Dimension</w:t>
            </w:r>
          </w:p>
        </w:tc>
        <w:tc>
          <w:tcPr>
            <w:tcW w:w="3135" w:type="dxa"/>
            <w:tcBorders>
              <w:top w:val="single" w:sz="5" w:space="0" w:color="4472C4"/>
              <w:left w:val="nil"/>
              <w:bottom w:val="single" w:sz="5" w:space="0" w:color="4472C4"/>
              <w:right w:val="nil"/>
            </w:tcBorders>
            <w:shd w:val="clear" w:color="auto" w:fill="4472C4"/>
            <w:tcMar>
              <w:top w:w="80" w:type="dxa"/>
              <w:left w:w="80" w:type="dxa"/>
              <w:bottom w:w="80" w:type="dxa"/>
              <w:right w:w="80" w:type="dxa"/>
            </w:tcMar>
          </w:tcPr>
          <w:p w14:paraId="3C28BDF8" w14:textId="77777777" w:rsidR="000244A7" w:rsidRDefault="00000000">
            <w:pPr>
              <w:pStyle w:val="Body"/>
              <w:spacing w:before="240" w:after="160"/>
            </w:pPr>
            <w:r>
              <w:rPr>
                <w:b/>
                <w:bCs/>
                <w:color w:val="FFFFFF"/>
                <w:u w:color="FFFFFF"/>
                <w:lang w:val="en-US"/>
              </w:rPr>
              <w:t>Japan (High-Context)</w:t>
            </w:r>
          </w:p>
        </w:tc>
        <w:tc>
          <w:tcPr>
            <w:tcW w:w="3015" w:type="dxa"/>
            <w:tcBorders>
              <w:top w:val="single" w:sz="5" w:space="0" w:color="4472C4"/>
              <w:left w:val="nil"/>
              <w:bottom w:val="single" w:sz="5" w:space="0" w:color="4472C4"/>
              <w:right w:val="single" w:sz="5" w:space="0" w:color="4472C4"/>
            </w:tcBorders>
            <w:shd w:val="clear" w:color="auto" w:fill="4472C4"/>
            <w:tcMar>
              <w:top w:w="80" w:type="dxa"/>
              <w:left w:w="80" w:type="dxa"/>
              <w:bottom w:w="80" w:type="dxa"/>
              <w:right w:w="80" w:type="dxa"/>
            </w:tcMar>
          </w:tcPr>
          <w:p w14:paraId="020C98B5" w14:textId="77777777" w:rsidR="000244A7" w:rsidRDefault="00000000">
            <w:pPr>
              <w:pStyle w:val="Body"/>
              <w:spacing w:before="240" w:after="160"/>
            </w:pPr>
            <w:r>
              <w:rPr>
                <w:b/>
                <w:bCs/>
                <w:color w:val="FFFFFF"/>
                <w:u w:color="FFFFFF"/>
                <w:lang w:val="en-US"/>
              </w:rPr>
              <w:t>UK (Low-Context)</w:t>
            </w:r>
          </w:p>
        </w:tc>
      </w:tr>
      <w:tr w:rsidR="000244A7" w14:paraId="2E1FFDF6" w14:textId="77777777">
        <w:trPr>
          <w:trHeight w:val="1637"/>
        </w:trPr>
        <w:tc>
          <w:tcPr>
            <w:tcW w:w="2730" w:type="dxa"/>
            <w:tcBorders>
              <w:top w:val="single" w:sz="5" w:space="0" w:color="4472C4"/>
              <w:left w:val="single" w:sz="5" w:space="0" w:color="000000"/>
              <w:bottom w:val="single" w:sz="5" w:space="0" w:color="000000"/>
              <w:right w:val="single" w:sz="5" w:space="0" w:color="000000"/>
            </w:tcBorders>
            <w:shd w:val="clear" w:color="auto" w:fill="D9E2F3"/>
            <w:tcMar>
              <w:top w:w="80" w:type="dxa"/>
              <w:left w:w="80" w:type="dxa"/>
              <w:bottom w:w="80" w:type="dxa"/>
              <w:right w:w="80" w:type="dxa"/>
            </w:tcMar>
          </w:tcPr>
          <w:p w14:paraId="3082190D" w14:textId="77777777" w:rsidR="000244A7" w:rsidRDefault="00000000">
            <w:pPr>
              <w:pStyle w:val="Body"/>
              <w:spacing w:before="240" w:after="160"/>
            </w:pPr>
            <w:r>
              <w:rPr>
                <w:b/>
                <w:bCs/>
                <w:lang w:val="en-US"/>
              </w:rPr>
              <w:lastRenderedPageBreak/>
              <w:t>Communication Style</w:t>
            </w:r>
          </w:p>
        </w:tc>
        <w:tc>
          <w:tcPr>
            <w:tcW w:w="3135" w:type="dxa"/>
            <w:tcBorders>
              <w:top w:val="single" w:sz="5" w:space="0" w:color="4472C4"/>
              <w:left w:val="single" w:sz="5" w:space="0" w:color="000000"/>
              <w:bottom w:val="single" w:sz="5" w:space="0" w:color="000000"/>
              <w:right w:val="single" w:sz="5" w:space="0" w:color="000000"/>
            </w:tcBorders>
            <w:shd w:val="clear" w:color="auto" w:fill="D9E2F3"/>
            <w:tcMar>
              <w:top w:w="80" w:type="dxa"/>
              <w:left w:w="80" w:type="dxa"/>
              <w:bottom w:w="80" w:type="dxa"/>
              <w:right w:w="80" w:type="dxa"/>
            </w:tcMar>
          </w:tcPr>
          <w:p w14:paraId="0A07D487" w14:textId="77777777" w:rsidR="000244A7" w:rsidRDefault="00000000">
            <w:pPr>
              <w:pStyle w:val="Body"/>
              <w:spacing w:before="240" w:after="160"/>
            </w:pPr>
            <w:r>
              <w:rPr>
                <w:lang w:val="en-US"/>
              </w:rPr>
              <w:t xml:space="preserve">Indirect, implicit, uses non-verbal cues (tone, silence, atmosphere – </w:t>
            </w:r>
            <w:proofErr w:type="spellStart"/>
            <w:r>
              <w:rPr>
                <w:i/>
                <w:iCs/>
                <w:lang w:val="en-US"/>
              </w:rPr>
              <w:t>haragei</w:t>
            </w:r>
            <w:proofErr w:type="spellEnd"/>
            <w:r>
              <w:rPr>
                <w:lang w:val="en-US"/>
              </w:rPr>
              <w:t>) (Broeder, 2021).</w:t>
            </w:r>
          </w:p>
        </w:tc>
        <w:tc>
          <w:tcPr>
            <w:tcW w:w="3015" w:type="dxa"/>
            <w:tcBorders>
              <w:top w:val="single" w:sz="5" w:space="0" w:color="4472C4"/>
              <w:left w:val="single" w:sz="5" w:space="0" w:color="000000"/>
              <w:bottom w:val="single" w:sz="5" w:space="0" w:color="000000"/>
              <w:right w:val="single" w:sz="5" w:space="0" w:color="000000"/>
            </w:tcBorders>
            <w:shd w:val="clear" w:color="auto" w:fill="D9E2F3"/>
            <w:tcMar>
              <w:top w:w="80" w:type="dxa"/>
              <w:left w:w="80" w:type="dxa"/>
              <w:bottom w:w="80" w:type="dxa"/>
              <w:right w:w="80" w:type="dxa"/>
            </w:tcMar>
          </w:tcPr>
          <w:p w14:paraId="6970F97C" w14:textId="77777777" w:rsidR="000244A7" w:rsidRDefault="00000000">
            <w:pPr>
              <w:pStyle w:val="Body"/>
              <w:spacing w:before="240" w:after="160"/>
            </w:pPr>
            <w:r>
              <w:rPr>
                <w:lang w:val="en-US"/>
              </w:rPr>
              <w:t>Direct, explicit, relies heavily on verbal content and clarity</w:t>
            </w:r>
          </w:p>
        </w:tc>
      </w:tr>
      <w:tr w:rsidR="000244A7" w14:paraId="5592746E" w14:textId="77777777">
        <w:trPr>
          <w:trHeight w:val="1637"/>
        </w:trPr>
        <w:tc>
          <w:tcPr>
            <w:tcW w:w="2730" w:type="dxa"/>
            <w:tcBorders>
              <w:top w:val="single" w:sz="5" w:space="0" w:color="000000"/>
              <w:left w:val="single" w:sz="5" w:space="0" w:color="000000"/>
              <w:bottom w:val="single" w:sz="5" w:space="0" w:color="000000"/>
              <w:right w:val="single" w:sz="5" w:space="0" w:color="000000"/>
            </w:tcBorders>
            <w:tcMar>
              <w:top w:w="80" w:type="dxa"/>
              <w:left w:w="80" w:type="dxa"/>
              <w:bottom w:w="80" w:type="dxa"/>
              <w:right w:w="80" w:type="dxa"/>
            </w:tcMar>
          </w:tcPr>
          <w:p w14:paraId="1C5EA022" w14:textId="77777777" w:rsidR="000244A7" w:rsidRDefault="00000000">
            <w:pPr>
              <w:pStyle w:val="Body"/>
              <w:spacing w:before="240" w:after="160"/>
            </w:pPr>
            <w:r>
              <w:rPr>
                <w:b/>
                <w:bCs/>
                <w:lang w:val="en-US"/>
              </w:rPr>
              <w:t>Relationship Focus</w:t>
            </w:r>
          </w:p>
        </w:tc>
        <w:tc>
          <w:tcPr>
            <w:tcW w:w="3135" w:type="dxa"/>
            <w:tcBorders>
              <w:top w:val="single" w:sz="5" w:space="0" w:color="000000"/>
              <w:left w:val="single" w:sz="5" w:space="0" w:color="000000"/>
              <w:bottom w:val="single" w:sz="5" w:space="0" w:color="000000"/>
              <w:right w:val="single" w:sz="5" w:space="0" w:color="000000"/>
            </w:tcBorders>
            <w:tcMar>
              <w:top w:w="80" w:type="dxa"/>
              <w:left w:w="80" w:type="dxa"/>
              <w:bottom w:w="80" w:type="dxa"/>
              <w:right w:w="80" w:type="dxa"/>
            </w:tcMar>
          </w:tcPr>
          <w:p w14:paraId="7532030D" w14:textId="77777777" w:rsidR="000244A7" w:rsidRDefault="00000000">
            <w:pPr>
              <w:pStyle w:val="Body"/>
              <w:spacing w:before="240" w:after="160"/>
            </w:pPr>
            <w:r>
              <w:rPr>
                <w:lang w:val="en-US"/>
              </w:rPr>
              <w:t xml:space="preserve">Strong emphasis on long-term relationships, harmony, </w:t>
            </w:r>
            <w:proofErr w:type="spellStart"/>
            <w:r>
              <w:rPr>
                <w:i/>
                <w:iCs/>
                <w:lang w:val="en-US"/>
              </w:rPr>
              <w:t>tatemae</w:t>
            </w:r>
            <w:proofErr w:type="spellEnd"/>
            <w:r>
              <w:rPr>
                <w:i/>
                <w:iCs/>
                <w:lang w:val="en-US"/>
              </w:rPr>
              <w:t>/</w:t>
            </w:r>
            <w:proofErr w:type="spellStart"/>
            <w:r>
              <w:rPr>
                <w:i/>
                <w:iCs/>
                <w:lang w:val="en-US"/>
              </w:rPr>
              <w:t>honne</w:t>
            </w:r>
            <w:proofErr w:type="spellEnd"/>
            <w:r>
              <w:rPr>
                <w:lang w:val="en-US"/>
              </w:rPr>
              <w:t xml:space="preserve"> distinction</w:t>
            </w:r>
          </w:p>
        </w:tc>
        <w:tc>
          <w:tcPr>
            <w:tcW w:w="3015" w:type="dxa"/>
            <w:tcBorders>
              <w:top w:val="single" w:sz="5" w:space="0" w:color="000000"/>
              <w:left w:val="single" w:sz="5" w:space="0" w:color="000000"/>
              <w:bottom w:val="single" w:sz="5" w:space="0" w:color="000000"/>
              <w:right w:val="single" w:sz="5" w:space="0" w:color="000000"/>
            </w:tcBorders>
            <w:tcMar>
              <w:top w:w="80" w:type="dxa"/>
              <w:left w:w="80" w:type="dxa"/>
              <w:bottom w:w="80" w:type="dxa"/>
              <w:right w:w="80" w:type="dxa"/>
            </w:tcMar>
          </w:tcPr>
          <w:p w14:paraId="1AAC0D99" w14:textId="77777777" w:rsidR="000244A7" w:rsidRDefault="00000000">
            <w:pPr>
              <w:pStyle w:val="Body"/>
              <w:spacing w:before="240" w:after="160"/>
            </w:pPr>
            <w:r>
              <w:rPr>
                <w:lang w:val="en-US"/>
              </w:rPr>
              <w:t>Task-oriented, professional distance, low reliance on emotional context (Tabata and Vrij, 2023.)</w:t>
            </w:r>
          </w:p>
        </w:tc>
      </w:tr>
      <w:tr w:rsidR="000244A7" w14:paraId="2D96DFB4" w14:textId="77777777">
        <w:trPr>
          <w:trHeight w:val="1637"/>
        </w:trPr>
        <w:tc>
          <w:tcPr>
            <w:tcW w:w="2730" w:type="dxa"/>
            <w:tcBorders>
              <w:top w:val="single" w:sz="5" w:space="0" w:color="000000"/>
              <w:left w:val="single" w:sz="5" w:space="0" w:color="000000"/>
              <w:bottom w:val="single" w:sz="5" w:space="0" w:color="000000"/>
              <w:right w:val="single" w:sz="5" w:space="0" w:color="000000"/>
            </w:tcBorders>
            <w:shd w:val="clear" w:color="auto" w:fill="D9E2F3"/>
            <w:tcMar>
              <w:top w:w="80" w:type="dxa"/>
              <w:left w:w="80" w:type="dxa"/>
              <w:bottom w:w="80" w:type="dxa"/>
              <w:right w:w="80" w:type="dxa"/>
            </w:tcMar>
          </w:tcPr>
          <w:p w14:paraId="6E899599" w14:textId="77777777" w:rsidR="000244A7" w:rsidRDefault="00000000">
            <w:pPr>
              <w:pStyle w:val="Body"/>
              <w:spacing w:before="240" w:after="160"/>
            </w:pPr>
            <w:r>
              <w:rPr>
                <w:b/>
                <w:bCs/>
                <w:lang w:val="en-US"/>
              </w:rPr>
              <w:t>Meeting &amp; Negotiation</w:t>
            </w:r>
          </w:p>
        </w:tc>
        <w:tc>
          <w:tcPr>
            <w:tcW w:w="3135" w:type="dxa"/>
            <w:tcBorders>
              <w:top w:val="single" w:sz="5" w:space="0" w:color="000000"/>
              <w:left w:val="single" w:sz="5" w:space="0" w:color="000000"/>
              <w:bottom w:val="single" w:sz="5" w:space="0" w:color="000000"/>
              <w:right w:val="single" w:sz="5" w:space="0" w:color="000000"/>
            </w:tcBorders>
            <w:shd w:val="clear" w:color="auto" w:fill="D9E2F3"/>
            <w:tcMar>
              <w:top w:w="80" w:type="dxa"/>
              <w:left w:w="80" w:type="dxa"/>
              <w:bottom w:w="80" w:type="dxa"/>
              <w:right w:w="80" w:type="dxa"/>
            </w:tcMar>
          </w:tcPr>
          <w:p w14:paraId="2F3CEF2A" w14:textId="77777777" w:rsidR="000244A7" w:rsidRDefault="00000000">
            <w:pPr>
              <w:pStyle w:val="Body"/>
              <w:spacing w:before="240" w:after="160"/>
            </w:pPr>
            <w:r>
              <w:rPr>
                <w:lang w:val="en-US"/>
              </w:rPr>
              <w:t xml:space="preserve">Silence valued; indirect refusals; consensus through </w:t>
            </w:r>
            <w:proofErr w:type="spellStart"/>
            <w:r>
              <w:rPr>
                <w:i/>
                <w:iCs/>
                <w:lang w:val="en-US"/>
              </w:rPr>
              <w:t>nemawashi</w:t>
            </w:r>
            <w:proofErr w:type="spellEnd"/>
            <w:r>
              <w:rPr>
                <w:lang w:val="en-US"/>
              </w:rPr>
              <w:t xml:space="preserve"> processes (</w:t>
            </w:r>
            <w:proofErr w:type="spellStart"/>
            <w:r>
              <w:rPr>
                <w:lang w:val="en-US"/>
              </w:rPr>
              <w:t>Crisbiecoach</w:t>
            </w:r>
            <w:proofErr w:type="spellEnd"/>
            <w:r>
              <w:rPr>
                <w:lang w:val="en-US"/>
              </w:rPr>
              <w:t>, 2024)</w:t>
            </w:r>
          </w:p>
        </w:tc>
        <w:tc>
          <w:tcPr>
            <w:tcW w:w="3015" w:type="dxa"/>
            <w:tcBorders>
              <w:top w:val="single" w:sz="5" w:space="0" w:color="000000"/>
              <w:left w:val="single" w:sz="5" w:space="0" w:color="000000"/>
              <w:bottom w:val="single" w:sz="5" w:space="0" w:color="000000"/>
              <w:right w:val="single" w:sz="5" w:space="0" w:color="000000"/>
            </w:tcBorders>
            <w:shd w:val="clear" w:color="auto" w:fill="D9E2F3"/>
            <w:tcMar>
              <w:top w:w="80" w:type="dxa"/>
              <w:left w:w="80" w:type="dxa"/>
              <w:bottom w:w="80" w:type="dxa"/>
              <w:right w:w="80" w:type="dxa"/>
            </w:tcMar>
          </w:tcPr>
          <w:p w14:paraId="4FAFFD57" w14:textId="77777777" w:rsidR="000244A7" w:rsidRDefault="00000000">
            <w:pPr>
              <w:pStyle w:val="Body"/>
              <w:spacing w:before="240" w:after="160"/>
            </w:pPr>
            <w:r>
              <w:rPr>
                <w:lang w:val="en-US"/>
              </w:rPr>
              <w:t xml:space="preserve">Meetings are agenda-driven; issues are raised openly; debate </w:t>
            </w:r>
            <w:proofErr w:type="gramStart"/>
            <w:r>
              <w:rPr>
                <w:lang w:val="en-US"/>
              </w:rPr>
              <w:t>seen</w:t>
            </w:r>
            <w:proofErr w:type="gramEnd"/>
            <w:r>
              <w:rPr>
                <w:lang w:val="en-US"/>
              </w:rPr>
              <w:t xml:space="preserve"> as constructive</w:t>
            </w:r>
          </w:p>
        </w:tc>
      </w:tr>
      <w:tr w:rsidR="000244A7" w14:paraId="236B4BAD" w14:textId="77777777">
        <w:trPr>
          <w:trHeight w:val="1637"/>
        </w:trPr>
        <w:tc>
          <w:tcPr>
            <w:tcW w:w="2730" w:type="dxa"/>
            <w:tcBorders>
              <w:top w:val="single" w:sz="5" w:space="0" w:color="000000"/>
              <w:left w:val="single" w:sz="5" w:space="0" w:color="000000"/>
              <w:bottom w:val="single" w:sz="5" w:space="0" w:color="000000"/>
              <w:right w:val="single" w:sz="5" w:space="0" w:color="000000"/>
            </w:tcBorders>
            <w:tcMar>
              <w:top w:w="80" w:type="dxa"/>
              <w:left w:w="80" w:type="dxa"/>
              <w:bottom w:w="80" w:type="dxa"/>
              <w:right w:w="80" w:type="dxa"/>
            </w:tcMar>
          </w:tcPr>
          <w:p w14:paraId="1010C1DA" w14:textId="77777777" w:rsidR="000244A7" w:rsidRDefault="00000000">
            <w:pPr>
              <w:pStyle w:val="Body"/>
              <w:spacing w:before="240" w:after="160"/>
            </w:pPr>
            <w:r>
              <w:rPr>
                <w:b/>
                <w:bCs/>
                <w:lang w:val="en-US"/>
              </w:rPr>
              <w:t>Email &amp; Written Tone</w:t>
            </w:r>
          </w:p>
        </w:tc>
        <w:tc>
          <w:tcPr>
            <w:tcW w:w="3135" w:type="dxa"/>
            <w:tcBorders>
              <w:top w:val="single" w:sz="5" w:space="0" w:color="000000"/>
              <w:left w:val="single" w:sz="5" w:space="0" w:color="000000"/>
              <w:bottom w:val="single" w:sz="5" w:space="0" w:color="000000"/>
              <w:right w:val="single" w:sz="5" w:space="0" w:color="000000"/>
            </w:tcBorders>
            <w:tcMar>
              <w:top w:w="80" w:type="dxa"/>
              <w:left w:w="80" w:type="dxa"/>
              <w:bottom w:w="80" w:type="dxa"/>
              <w:right w:w="80" w:type="dxa"/>
            </w:tcMar>
          </w:tcPr>
          <w:p w14:paraId="6DE98A48" w14:textId="77777777" w:rsidR="000244A7" w:rsidRDefault="00000000">
            <w:pPr>
              <w:pStyle w:val="Body"/>
              <w:spacing w:before="240" w:after="160"/>
            </w:pPr>
            <w:r>
              <w:rPr>
                <w:lang w:val="en-US"/>
              </w:rPr>
              <w:t>Formal, context-heavy messages may omit explicit requests, expecting inference (Tabata and Vrij, 2023).</w:t>
            </w:r>
          </w:p>
        </w:tc>
        <w:tc>
          <w:tcPr>
            <w:tcW w:w="3015" w:type="dxa"/>
            <w:tcBorders>
              <w:top w:val="single" w:sz="5" w:space="0" w:color="000000"/>
              <w:left w:val="single" w:sz="5" w:space="0" w:color="000000"/>
              <w:bottom w:val="single" w:sz="5" w:space="0" w:color="000000"/>
              <w:right w:val="single" w:sz="5" w:space="0" w:color="000000"/>
            </w:tcBorders>
            <w:tcMar>
              <w:top w:w="80" w:type="dxa"/>
              <w:left w:w="80" w:type="dxa"/>
              <w:bottom w:w="80" w:type="dxa"/>
              <w:right w:w="80" w:type="dxa"/>
            </w:tcMar>
          </w:tcPr>
          <w:p w14:paraId="336ACDF0" w14:textId="77777777" w:rsidR="000244A7" w:rsidRDefault="00000000">
            <w:pPr>
              <w:pStyle w:val="Body"/>
              <w:spacing w:before="240" w:after="160"/>
            </w:pPr>
            <w:r>
              <w:rPr>
                <w:lang w:val="en-US"/>
              </w:rPr>
              <w:t>Clear subject lines, specific requests, minimal ambiguity</w:t>
            </w:r>
          </w:p>
        </w:tc>
      </w:tr>
      <w:tr w:rsidR="000244A7" w14:paraId="33E71188" w14:textId="77777777">
        <w:trPr>
          <w:trHeight w:val="1637"/>
        </w:trPr>
        <w:tc>
          <w:tcPr>
            <w:tcW w:w="2730" w:type="dxa"/>
            <w:tcBorders>
              <w:top w:val="single" w:sz="5" w:space="0" w:color="000000"/>
              <w:left w:val="single" w:sz="5" w:space="0" w:color="000000"/>
              <w:bottom w:val="single" w:sz="5" w:space="0" w:color="000000"/>
              <w:right w:val="single" w:sz="5" w:space="0" w:color="000000"/>
            </w:tcBorders>
            <w:shd w:val="clear" w:color="auto" w:fill="D9E2F3"/>
            <w:tcMar>
              <w:top w:w="80" w:type="dxa"/>
              <w:left w:w="80" w:type="dxa"/>
              <w:bottom w:w="80" w:type="dxa"/>
              <w:right w:w="80" w:type="dxa"/>
            </w:tcMar>
          </w:tcPr>
          <w:p w14:paraId="6642FD5E" w14:textId="77777777" w:rsidR="000244A7" w:rsidRDefault="00000000">
            <w:pPr>
              <w:pStyle w:val="Body"/>
              <w:spacing w:before="240" w:after="160"/>
            </w:pPr>
            <w:r>
              <w:rPr>
                <w:b/>
                <w:bCs/>
                <w:lang w:val="en-US"/>
              </w:rPr>
              <w:t>Non-Verbal Cues</w:t>
            </w:r>
          </w:p>
        </w:tc>
        <w:tc>
          <w:tcPr>
            <w:tcW w:w="3135" w:type="dxa"/>
            <w:tcBorders>
              <w:top w:val="single" w:sz="5" w:space="0" w:color="000000"/>
              <w:left w:val="single" w:sz="5" w:space="0" w:color="000000"/>
              <w:bottom w:val="single" w:sz="5" w:space="0" w:color="000000"/>
              <w:right w:val="single" w:sz="5" w:space="0" w:color="000000"/>
            </w:tcBorders>
            <w:shd w:val="clear" w:color="auto" w:fill="D9E2F3"/>
            <w:tcMar>
              <w:top w:w="80" w:type="dxa"/>
              <w:left w:w="80" w:type="dxa"/>
              <w:bottom w:w="80" w:type="dxa"/>
              <w:right w:w="80" w:type="dxa"/>
            </w:tcMar>
          </w:tcPr>
          <w:p w14:paraId="32FEF0F7" w14:textId="77777777" w:rsidR="000244A7" w:rsidRDefault="00000000">
            <w:pPr>
              <w:pStyle w:val="Body"/>
              <w:spacing w:before="240" w:after="160"/>
            </w:pPr>
            <w:r>
              <w:rPr>
                <w:lang w:val="en-US"/>
              </w:rPr>
              <w:t>Subtle body language, facial expressions signal approval or dissent realistically (Broeder, 2021).</w:t>
            </w:r>
          </w:p>
        </w:tc>
        <w:tc>
          <w:tcPr>
            <w:tcW w:w="3015" w:type="dxa"/>
            <w:tcBorders>
              <w:top w:val="single" w:sz="5" w:space="0" w:color="000000"/>
              <w:left w:val="single" w:sz="5" w:space="0" w:color="000000"/>
              <w:bottom w:val="single" w:sz="5" w:space="0" w:color="000000"/>
              <w:right w:val="single" w:sz="5" w:space="0" w:color="000000"/>
            </w:tcBorders>
            <w:shd w:val="clear" w:color="auto" w:fill="D9E2F3"/>
            <w:tcMar>
              <w:top w:w="80" w:type="dxa"/>
              <w:left w:w="80" w:type="dxa"/>
              <w:bottom w:w="80" w:type="dxa"/>
              <w:right w:w="80" w:type="dxa"/>
            </w:tcMar>
          </w:tcPr>
          <w:p w14:paraId="796F0A32" w14:textId="77777777" w:rsidR="000244A7" w:rsidRDefault="00000000">
            <w:pPr>
              <w:pStyle w:val="Body"/>
              <w:spacing w:before="240" w:after="160"/>
            </w:pPr>
            <w:r>
              <w:rPr>
                <w:lang w:val="en-US"/>
              </w:rPr>
              <w:t>Non-verbal cues are secondary; meaning is in the words</w:t>
            </w:r>
          </w:p>
        </w:tc>
      </w:tr>
      <w:tr w:rsidR="000244A7" w14:paraId="6BB14AA7" w14:textId="77777777">
        <w:trPr>
          <w:trHeight w:val="2082"/>
        </w:trPr>
        <w:tc>
          <w:tcPr>
            <w:tcW w:w="2730" w:type="dxa"/>
            <w:tcBorders>
              <w:top w:val="single" w:sz="5" w:space="0" w:color="000000"/>
              <w:left w:val="single" w:sz="5" w:space="0" w:color="000000"/>
              <w:bottom w:val="single" w:sz="5" w:space="0" w:color="000000"/>
              <w:right w:val="single" w:sz="5" w:space="0" w:color="000000"/>
            </w:tcBorders>
            <w:tcMar>
              <w:top w:w="80" w:type="dxa"/>
              <w:left w:w="80" w:type="dxa"/>
              <w:bottom w:w="80" w:type="dxa"/>
              <w:right w:w="80" w:type="dxa"/>
            </w:tcMar>
          </w:tcPr>
          <w:p w14:paraId="42986180" w14:textId="77777777" w:rsidR="000244A7" w:rsidRDefault="00000000">
            <w:pPr>
              <w:pStyle w:val="Body"/>
              <w:spacing w:before="240" w:after="160"/>
            </w:pPr>
            <w:r>
              <w:rPr>
                <w:b/>
                <w:bCs/>
                <w:lang w:val="en-US"/>
              </w:rPr>
              <w:t>Noise/Misunderstanding</w:t>
            </w:r>
          </w:p>
        </w:tc>
        <w:tc>
          <w:tcPr>
            <w:tcW w:w="3135" w:type="dxa"/>
            <w:tcBorders>
              <w:top w:val="single" w:sz="5" w:space="0" w:color="000000"/>
              <w:left w:val="single" w:sz="5" w:space="0" w:color="000000"/>
              <w:bottom w:val="single" w:sz="5" w:space="0" w:color="000000"/>
              <w:right w:val="single" w:sz="5" w:space="0" w:color="000000"/>
            </w:tcBorders>
            <w:tcMar>
              <w:top w:w="80" w:type="dxa"/>
              <w:left w:w="80" w:type="dxa"/>
              <w:bottom w:w="80" w:type="dxa"/>
              <w:right w:w="80" w:type="dxa"/>
            </w:tcMar>
          </w:tcPr>
          <w:p w14:paraId="6AE15632" w14:textId="77777777" w:rsidR="000244A7" w:rsidRDefault="00000000">
            <w:pPr>
              <w:pStyle w:val="Body"/>
              <w:spacing w:before="240" w:after="160"/>
            </w:pPr>
            <w:r>
              <w:rPr>
                <w:lang w:val="en-US"/>
              </w:rPr>
              <w:t>High risk of misinterpreting silence or vague phrasing as consent or uncertainty</w:t>
            </w:r>
          </w:p>
        </w:tc>
        <w:tc>
          <w:tcPr>
            <w:tcW w:w="3015" w:type="dxa"/>
            <w:tcBorders>
              <w:top w:val="single" w:sz="5" w:space="0" w:color="000000"/>
              <w:left w:val="single" w:sz="5" w:space="0" w:color="000000"/>
              <w:bottom w:val="single" w:sz="5" w:space="0" w:color="000000"/>
              <w:right w:val="single" w:sz="5" w:space="0" w:color="000000"/>
            </w:tcBorders>
            <w:tcMar>
              <w:top w:w="80" w:type="dxa"/>
              <w:left w:w="80" w:type="dxa"/>
              <w:bottom w:w="80" w:type="dxa"/>
              <w:right w:w="80" w:type="dxa"/>
            </w:tcMar>
          </w:tcPr>
          <w:p w14:paraId="61B4AF2D" w14:textId="77777777" w:rsidR="000244A7" w:rsidRDefault="00000000">
            <w:pPr>
              <w:pStyle w:val="Body"/>
              <w:spacing w:before="240" w:after="160"/>
            </w:pPr>
            <w:r>
              <w:rPr>
                <w:lang w:val="en-US"/>
              </w:rPr>
              <w:t>May feel overwhelmed by implied meanings; may misinterpret indirect politeness (Tabata and Vrij, 2023).</w:t>
            </w:r>
          </w:p>
        </w:tc>
      </w:tr>
    </w:tbl>
    <w:p w14:paraId="0B89EBCC" w14:textId="77777777" w:rsidR="000244A7" w:rsidRDefault="000244A7">
      <w:pPr>
        <w:pStyle w:val="Body"/>
        <w:widowControl w:val="0"/>
        <w:spacing w:before="240" w:after="240" w:line="240" w:lineRule="auto"/>
      </w:pPr>
    </w:p>
    <w:p w14:paraId="45279FCA" w14:textId="77777777" w:rsidR="000244A7" w:rsidRDefault="00000000">
      <w:pPr>
        <w:pStyle w:val="Body"/>
        <w:spacing w:before="240" w:after="240"/>
        <w:jc w:val="center"/>
        <w:rPr>
          <w:b/>
          <w:bCs/>
        </w:rPr>
      </w:pPr>
      <w:r>
        <w:rPr>
          <w:b/>
          <w:bCs/>
          <w:lang w:val="en-US"/>
        </w:rPr>
        <w:t>Table 1: High-Context vs. Low-Context Communication</w:t>
      </w:r>
    </w:p>
    <w:p w14:paraId="1C29E872" w14:textId="77777777" w:rsidR="000244A7" w:rsidRDefault="00000000">
      <w:pPr>
        <w:pStyle w:val="Body"/>
        <w:spacing w:before="240" w:after="240"/>
        <w:jc w:val="center"/>
      </w:pPr>
      <w:r>
        <w:rPr>
          <w:lang w:val="en-US"/>
        </w:rPr>
        <w:t>(Sources: Created by author)</w:t>
      </w:r>
    </w:p>
    <w:p w14:paraId="0EC70BA6" w14:textId="77777777" w:rsidR="000244A7" w:rsidRDefault="00000000">
      <w:pPr>
        <w:pStyle w:val="Body"/>
        <w:spacing w:before="240" w:after="240"/>
      </w:pPr>
      <w:r>
        <w:rPr>
          <w:lang w:val="en-US"/>
        </w:rPr>
        <w:t xml:space="preserve">The Japanese communicators use </w:t>
      </w:r>
      <w:r>
        <w:rPr>
          <w:i/>
          <w:iCs/>
          <w:lang w:val="pt-PT"/>
        </w:rPr>
        <w:t xml:space="preserve">haragei, </w:t>
      </w:r>
      <w:r>
        <w:rPr>
          <w:lang w:val="en-US"/>
        </w:rPr>
        <w:t xml:space="preserve">or reading between the lines, and silence and timing to convey meaning. In high-context societies, knowledge of the context and implicit inferences are anticipated, whereas in low-context ones, message intent is clearly described (Lo and Huang, 2021). Further, during meetings, Japanese members may present hesitation, nod, or remain quiet to express agreement or reverence; </w:t>
      </w:r>
      <w:proofErr w:type="spellStart"/>
      <w:r>
        <w:rPr>
          <w:lang w:val="en-US"/>
        </w:rPr>
        <w:t>behaviour</w:t>
      </w:r>
      <w:proofErr w:type="spellEnd"/>
      <w:r>
        <w:rPr>
          <w:lang w:val="en-US"/>
        </w:rPr>
        <w:t xml:space="preserve"> that British peers may interpret as indecisiveness or the inability to hold an opinion. On the other hand, explicit feedback or questions made by British subjects can be perceived as harsh or hostile in Japanese environments, which can disrupt the harmony (Tabata and Vrij, 2023).</w:t>
      </w:r>
    </w:p>
    <w:p w14:paraId="0516958F" w14:textId="77777777" w:rsidR="000244A7" w:rsidRDefault="00000000">
      <w:pPr>
        <w:pStyle w:val="Body"/>
        <w:spacing w:before="240" w:after="240"/>
      </w:pPr>
      <w:r>
        <w:rPr>
          <w:lang w:val="en-US"/>
        </w:rPr>
        <w:t xml:space="preserve">Emails are equally likely to suffer miscommunication. According to the Japanese point of view, the message can include some implied expectations; therefore, brief texts can do (Bennett </w:t>
      </w:r>
      <w:r>
        <w:rPr>
          <w:i/>
          <w:iCs/>
        </w:rPr>
        <w:t xml:space="preserve">et al., </w:t>
      </w:r>
      <w:r>
        <w:rPr>
          <w:lang w:val="en-US"/>
        </w:rPr>
        <w:t xml:space="preserve">2023). The British correspondents, however, require extensive verbal articulation, which causes a misunderstanding when the Japanese messages lack outright guidance. Japanese professionalism includes body language, tone, and indirect messages </w:t>
      </w:r>
      <w:r>
        <w:rPr>
          <w:b/>
          <w:bCs/>
          <w:i/>
          <w:iCs/>
          <w:lang w:val="en-US"/>
        </w:rPr>
        <w:t>(Refer to Week 4).</w:t>
      </w:r>
      <w:r>
        <w:rPr>
          <w:lang w:val="en-US"/>
        </w:rPr>
        <w:t xml:space="preserve"> When members of the UK team disregard such cues or when they see silence as a form of acceptance, they bring about a misunderstanding. Similarly, British </w:t>
      </w:r>
      <w:proofErr w:type="spellStart"/>
      <w:r>
        <w:rPr>
          <w:lang w:val="en-US"/>
        </w:rPr>
        <w:t>candour</w:t>
      </w:r>
      <w:proofErr w:type="spellEnd"/>
      <w:r>
        <w:rPr>
          <w:lang w:val="en-US"/>
        </w:rPr>
        <w:t xml:space="preserve"> and </w:t>
      </w:r>
      <w:proofErr w:type="spellStart"/>
      <w:r>
        <w:rPr>
          <w:lang w:val="en-US"/>
        </w:rPr>
        <w:t>humour</w:t>
      </w:r>
      <w:proofErr w:type="spellEnd"/>
      <w:r>
        <w:rPr>
          <w:lang w:val="en-US"/>
        </w:rPr>
        <w:t xml:space="preserve"> can also be viewed offensive to the Japanese peers, who place great emphasis on respect and peacefulness.</w:t>
      </w:r>
    </w:p>
    <w:p w14:paraId="4E742F8B" w14:textId="77777777" w:rsidR="000244A7" w:rsidRDefault="00000000">
      <w:pPr>
        <w:pStyle w:val="Heading2"/>
        <w:rPr>
          <w:b/>
          <w:bCs/>
          <w:sz w:val="26"/>
          <w:szCs w:val="26"/>
        </w:rPr>
      </w:pPr>
      <w:bookmarkStart w:id="10" w:name="_yhq8qpqoc4mg"/>
      <w:bookmarkStart w:id="11" w:name="_Toc5"/>
      <w:bookmarkEnd w:id="10"/>
      <w:r>
        <w:rPr>
          <w:rFonts w:eastAsia="Arial Unicode MS" w:cs="Arial Unicode MS"/>
          <w:b/>
          <w:bCs/>
          <w:sz w:val="26"/>
          <w:szCs w:val="26"/>
        </w:rPr>
        <w:lastRenderedPageBreak/>
        <w:t>T</w:t>
      </w:r>
      <w:r>
        <w:rPr>
          <w:rFonts w:eastAsia="Arial Unicode MS" w:cs="Arial Unicode MS"/>
          <w:b/>
          <w:bCs/>
          <w:sz w:val="26"/>
          <w:szCs w:val="26"/>
          <w:lang w:val="nl-NL"/>
        </w:rPr>
        <w:t>rompenaars</w:t>
      </w:r>
      <w:r>
        <w:rPr>
          <w:rFonts w:eastAsia="Arial Unicode MS" w:cs="Arial Unicode MS"/>
          <w:b/>
          <w:bCs/>
          <w:sz w:val="26"/>
          <w:szCs w:val="26"/>
          <w:rtl/>
        </w:rPr>
        <w:t xml:space="preserve">’ </w:t>
      </w:r>
      <w:r>
        <w:rPr>
          <w:rFonts w:eastAsia="Arial Unicode MS" w:cs="Arial Unicode MS"/>
          <w:b/>
          <w:bCs/>
          <w:sz w:val="26"/>
          <w:szCs w:val="26"/>
          <w:lang w:val="en-US"/>
        </w:rPr>
        <w:t>Seven Dimensions of Culture</w:t>
      </w:r>
      <w:bookmarkEnd w:id="11"/>
    </w:p>
    <w:p w14:paraId="5A50C1DC" w14:textId="77777777" w:rsidR="000244A7" w:rsidRDefault="00000000">
      <w:pPr>
        <w:pStyle w:val="Body"/>
        <w:jc w:val="center"/>
      </w:pPr>
      <w:r>
        <w:rPr>
          <w:noProof/>
        </w:rPr>
        <mc:AlternateContent>
          <mc:Choice Requires="wpg">
            <w:drawing>
              <wp:inline distT="0" distB="0" distL="0" distR="0" wp14:anchorId="14EE904E" wp14:editId="1F22C81F">
                <wp:extent cx="5486400" cy="3121201"/>
                <wp:effectExtent l="0" t="0" r="0" b="0"/>
                <wp:docPr id="1073741855" name="officeArt object" descr="Diagram 2"/>
                <wp:cNvGraphicFramePr/>
                <a:graphic xmlns:a="http://schemas.openxmlformats.org/drawingml/2006/main">
                  <a:graphicData uri="http://schemas.microsoft.com/office/word/2010/wordprocessingGroup">
                    <wpg:wgp>
                      <wpg:cNvGrpSpPr/>
                      <wpg:grpSpPr>
                        <a:xfrm>
                          <a:off x="0" y="0"/>
                          <a:ext cx="5486400" cy="3121201"/>
                          <a:chOff x="0" y="0"/>
                          <a:chExt cx="5486400" cy="3121201"/>
                        </a:xfrm>
                      </wpg:grpSpPr>
                      <wps:wsp>
                        <wps:cNvPr id="1073741827" name="Rectangle"/>
                        <wps:cNvSpPr/>
                        <wps:spPr>
                          <a:xfrm>
                            <a:off x="0" y="147600"/>
                            <a:ext cx="5486400" cy="252001"/>
                          </a:xfrm>
                          <a:prstGeom prst="rect">
                            <a:avLst/>
                          </a:prstGeom>
                          <a:solidFill>
                            <a:srgbClr val="FFFFFF">
                              <a:alpha val="90000"/>
                            </a:srgbClr>
                          </a:solidFill>
                          <a:ln w="25400" cap="flat">
                            <a:solidFill>
                              <a:schemeClr val="accent5"/>
                            </a:solidFill>
                            <a:prstDash val="solid"/>
                            <a:round/>
                          </a:ln>
                          <a:effectLst/>
                        </wps:spPr>
                        <wps:bodyPr/>
                      </wps:wsp>
                      <wpg:grpSp>
                        <wpg:cNvPr id="1073741830" name="Group"/>
                        <wpg:cNvGrpSpPr/>
                        <wpg:grpSpPr>
                          <a:xfrm>
                            <a:off x="274320" y="0"/>
                            <a:ext cx="3840480" cy="295201"/>
                            <a:chOff x="0" y="0"/>
                            <a:chExt cx="3840479" cy="295200"/>
                          </a:xfrm>
                        </wpg:grpSpPr>
                        <wps:wsp>
                          <wps:cNvPr id="1073741828" name="Rounded Rectangle"/>
                          <wps:cNvSpPr/>
                          <wps:spPr>
                            <a:xfrm>
                              <a:off x="0" y="0"/>
                              <a:ext cx="3840480" cy="295201"/>
                            </a:xfrm>
                            <a:prstGeom prst="roundRect">
                              <a:avLst>
                                <a:gd name="adj" fmla="val 16667"/>
                              </a:avLst>
                            </a:prstGeom>
                            <a:solidFill>
                              <a:schemeClr val="accent5"/>
                            </a:solidFill>
                            <a:ln w="25400" cap="flat">
                              <a:solidFill>
                                <a:srgbClr val="FFFFFF"/>
                              </a:solidFill>
                              <a:prstDash val="solid"/>
                              <a:round/>
                            </a:ln>
                            <a:effectLst/>
                          </wps:spPr>
                          <wps:bodyPr/>
                        </wps:wsp>
                        <wps:wsp>
                          <wps:cNvPr id="1073741829" name="Universalism vs. Particularism"/>
                          <wps:cNvSpPr txBox="1"/>
                          <wps:spPr>
                            <a:xfrm>
                              <a:off x="159571" y="14409"/>
                              <a:ext cx="3521338" cy="266382"/>
                            </a:xfrm>
                            <a:prstGeom prst="rect">
                              <a:avLst/>
                            </a:prstGeom>
                            <a:noFill/>
                            <a:ln w="12700" cap="flat">
                              <a:noFill/>
                              <a:miter lim="400000"/>
                            </a:ln>
                            <a:effectLst/>
                          </wps:spPr>
                          <wps:txbx>
                            <w:txbxContent>
                              <w:p w14:paraId="26B38D8B" w14:textId="77777777" w:rsidR="000244A7" w:rsidRDefault="00000000">
                                <w:pPr>
                                  <w:pStyle w:val="Caption"/>
                                  <w:tabs>
                                    <w:tab w:val="left" w:pos="770"/>
                                    <w:tab w:val="left" w:pos="1540"/>
                                    <w:tab w:val="left" w:pos="2310"/>
                                    <w:tab w:val="left" w:pos="3080"/>
                                    <w:tab w:val="left" w:pos="3850"/>
                                    <w:tab w:val="left" w:pos="4620"/>
                                    <w:tab w:val="left" w:pos="5390"/>
                                  </w:tabs>
                                  <w:spacing w:after="92" w:line="216" w:lineRule="auto"/>
                                </w:pPr>
                                <w:r>
                                  <w:rPr>
                                    <w:rFonts w:ascii="Times New Roman" w:hAnsi="Times New Roman"/>
                                    <w:b/>
                                    <w:bCs/>
                                    <w:color w:val="FFFFFF"/>
                                    <w:sz w:val="22"/>
                                    <w:szCs w:val="22"/>
                                  </w:rPr>
                                  <w:t>Universalism vs. Particularism</w:t>
                                </w:r>
                              </w:p>
                            </w:txbxContent>
                          </wps:txbx>
                          <wps:bodyPr wrap="square" lIns="0" tIns="0" rIns="0" bIns="0" numCol="1" anchor="ctr">
                            <a:noAutofit/>
                          </wps:bodyPr>
                        </wps:wsp>
                      </wpg:grpSp>
                      <wps:wsp>
                        <wps:cNvPr id="1073741831" name="Rectangle"/>
                        <wps:cNvSpPr/>
                        <wps:spPr>
                          <a:xfrm>
                            <a:off x="0" y="601200"/>
                            <a:ext cx="5486400" cy="252001"/>
                          </a:xfrm>
                          <a:prstGeom prst="rect">
                            <a:avLst/>
                          </a:prstGeom>
                          <a:solidFill>
                            <a:srgbClr val="FFFFFF">
                              <a:alpha val="90000"/>
                            </a:srgbClr>
                          </a:solidFill>
                          <a:ln w="25400" cap="flat">
                            <a:solidFill>
                              <a:srgbClr val="49CFAE"/>
                            </a:solidFill>
                            <a:prstDash val="solid"/>
                            <a:round/>
                          </a:ln>
                          <a:effectLst/>
                        </wps:spPr>
                        <wps:bodyPr/>
                      </wps:wsp>
                      <wpg:grpSp>
                        <wpg:cNvPr id="1073741834" name="Group"/>
                        <wpg:cNvGrpSpPr/>
                        <wpg:grpSpPr>
                          <a:xfrm>
                            <a:off x="274320" y="453600"/>
                            <a:ext cx="3840480" cy="295201"/>
                            <a:chOff x="0" y="0"/>
                            <a:chExt cx="3840479" cy="295200"/>
                          </a:xfrm>
                        </wpg:grpSpPr>
                        <wps:wsp>
                          <wps:cNvPr id="1073741832" name="Rounded Rectangle"/>
                          <wps:cNvSpPr/>
                          <wps:spPr>
                            <a:xfrm>
                              <a:off x="0" y="0"/>
                              <a:ext cx="3840480" cy="295201"/>
                            </a:xfrm>
                            <a:prstGeom prst="roundRect">
                              <a:avLst>
                                <a:gd name="adj" fmla="val 16667"/>
                              </a:avLst>
                            </a:prstGeom>
                            <a:solidFill>
                              <a:srgbClr val="49CFAE"/>
                            </a:solidFill>
                            <a:ln w="25400" cap="flat">
                              <a:solidFill>
                                <a:srgbClr val="FFFFFF"/>
                              </a:solidFill>
                              <a:prstDash val="solid"/>
                              <a:round/>
                            </a:ln>
                            <a:effectLst/>
                          </wps:spPr>
                          <wps:bodyPr/>
                        </wps:wsp>
                        <wps:wsp>
                          <wps:cNvPr id="1073741833" name="Individualism vs. Communitarianism"/>
                          <wps:cNvSpPr txBox="1"/>
                          <wps:spPr>
                            <a:xfrm>
                              <a:off x="159571" y="14409"/>
                              <a:ext cx="3521338" cy="266381"/>
                            </a:xfrm>
                            <a:prstGeom prst="rect">
                              <a:avLst/>
                            </a:prstGeom>
                            <a:noFill/>
                            <a:ln w="12700" cap="flat">
                              <a:noFill/>
                              <a:miter lim="400000"/>
                            </a:ln>
                            <a:effectLst/>
                          </wps:spPr>
                          <wps:txbx>
                            <w:txbxContent>
                              <w:p w14:paraId="1A878810" w14:textId="77777777" w:rsidR="000244A7" w:rsidRDefault="00000000">
                                <w:pPr>
                                  <w:pStyle w:val="Caption"/>
                                  <w:tabs>
                                    <w:tab w:val="left" w:pos="770"/>
                                    <w:tab w:val="left" w:pos="1540"/>
                                    <w:tab w:val="left" w:pos="2310"/>
                                    <w:tab w:val="left" w:pos="3080"/>
                                    <w:tab w:val="left" w:pos="3850"/>
                                    <w:tab w:val="left" w:pos="4620"/>
                                    <w:tab w:val="left" w:pos="5390"/>
                                  </w:tabs>
                                  <w:spacing w:after="92" w:line="216" w:lineRule="auto"/>
                                </w:pPr>
                                <w:r>
                                  <w:rPr>
                                    <w:rFonts w:ascii="Times New Roman" w:hAnsi="Times New Roman"/>
                                    <w:b/>
                                    <w:bCs/>
                                    <w:color w:val="FFFFFF"/>
                                    <w:sz w:val="22"/>
                                    <w:szCs w:val="22"/>
                                  </w:rPr>
                                  <w:t>Individualism vs. Communitarianism</w:t>
                                </w:r>
                              </w:p>
                            </w:txbxContent>
                          </wps:txbx>
                          <wps:bodyPr wrap="square" lIns="0" tIns="0" rIns="0" bIns="0" numCol="1" anchor="ctr">
                            <a:noAutofit/>
                          </wps:bodyPr>
                        </wps:wsp>
                      </wpg:grpSp>
                      <wps:wsp>
                        <wps:cNvPr id="1073741835" name="Rectangle"/>
                        <wps:cNvSpPr/>
                        <wps:spPr>
                          <a:xfrm>
                            <a:off x="0" y="1054800"/>
                            <a:ext cx="5486400" cy="252001"/>
                          </a:xfrm>
                          <a:prstGeom prst="rect">
                            <a:avLst/>
                          </a:prstGeom>
                          <a:solidFill>
                            <a:srgbClr val="FFFFFF">
                              <a:alpha val="90000"/>
                            </a:srgbClr>
                          </a:solidFill>
                          <a:ln w="25400" cap="flat">
                            <a:solidFill>
                              <a:srgbClr val="47D872"/>
                            </a:solidFill>
                            <a:prstDash val="solid"/>
                            <a:round/>
                          </a:ln>
                          <a:effectLst/>
                        </wps:spPr>
                        <wps:bodyPr/>
                      </wps:wsp>
                      <wpg:grpSp>
                        <wpg:cNvPr id="1073741838" name="Group"/>
                        <wpg:cNvGrpSpPr/>
                        <wpg:grpSpPr>
                          <a:xfrm>
                            <a:off x="274320" y="907199"/>
                            <a:ext cx="3840480" cy="295201"/>
                            <a:chOff x="0" y="0"/>
                            <a:chExt cx="3840479" cy="295200"/>
                          </a:xfrm>
                        </wpg:grpSpPr>
                        <wps:wsp>
                          <wps:cNvPr id="1073741836" name="Rounded Rectangle"/>
                          <wps:cNvSpPr/>
                          <wps:spPr>
                            <a:xfrm>
                              <a:off x="0" y="0"/>
                              <a:ext cx="3840480" cy="295201"/>
                            </a:xfrm>
                            <a:prstGeom prst="roundRect">
                              <a:avLst>
                                <a:gd name="adj" fmla="val 16667"/>
                              </a:avLst>
                            </a:prstGeom>
                            <a:solidFill>
                              <a:srgbClr val="47D872"/>
                            </a:solidFill>
                            <a:ln w="25400" cap="flat">
                              <a:solidFill>
                                <a:srgbClr val="FFFFFF"/>
                              </a:solidFill>
                              <a:prstDash val="solid"/>
                              <a:round/>
                            </a:ln>
                            <a:effectLst/>
                          </wps:spPr>
                          <wps:bodyPr/>
                        </wps:wsp>
                        <wps:wsp>
                          <wps:cNvPr id="1073741837" name="Specific vs. Diffuse"/>
                          <wps:cNvSpPr txBox="1"/>
                          <wps:spPr>
                            <a:xfrm>
                              <a:off x="159571" y="14409"/>
                              <a:ext cx="3521338" cy="266381"/>
                            </a:xfrm>
                            <a:prstGeom prst="rect">
                              <a:avLst/>
                            </a:prstGeom>
                            <a:noFill/>
                            <a:ln w="12700" cap="flat">
                              <a:noFill/>
                              <a:miter lim="400000"/>
                            </a:ln>
                            <a:effectLst/>
                          </wps:spPr>
                          <wps:txbx>
                            <w:txbxContent>
                              <w:p w14:paraId="0D743382" w14:textId="77777777" w:rsidR="000244A7" w:rsidRDefault="00000000">
                                <w:pPr>
                                  <w:pStyle w:val="Caption"/>
                                  <w:tabs>
                                    <w:tab w:val="left" w:pos="770"/>
                                    <w:tab w:val="left" w:pos="1540"/>
                                    <w:tab w:val="left" w:pos="2310"/>
                                    <w:tab w:val="left" w:pos="3080"/>
                                    <w:tab w:val="left" w:pos="3850"/>
                                    <w:tab w:val="left" w:pos="4620"/>
                                    <w:tab w:val="left" w:pos="5390"/>
                                  </w:tabs>
                                  <w:spacing w:after="92" w:line="216" w:lineRule="auto"/>
                                </w:pPr>
                                <w:r>
                                  <w:rPr>
                                    <w:rFonts w:ascii="Times New Roman" w:hAnsi="Times New Roman"/>
                                    <w:b/>
                                    <w:bCs/>
                                    <w:color w:val="FFFFFF"/>
                                    <w:sz w:val="22"/>
                                    <w:szCs w:val="22"/>
                                  </w:rPr>
                                  <w:t>Specific vs. Diffuse</w:t>
                                </w:r>
                              </w:p>
                            </w:txbxContent>
                          </wps:txbx>
                          <wps:bodyPr wrap="square" lIns="0" tIns="0" rIns="0" bIns="0" numCol="1" anchor="ctr">
                            <a:noAutofit/>
                          </wps:bodyPr>
                        </wps:wsp>
                      </wpg:grpSp>
                      <wps:wsp>
                        <wps:cNvPr id="1073741839" name="Rectangle"/>
                        <wps:cNvSpPr/>
                        <wps:spPr>
                          <a:xfrm>
                            <a:off x="0" y="1508400"/>
                            <a:ext cx="5486400" cy="252001"/>
                          </a:xfrm>
                          <a:prstGeom prst="rect">
                            <a:avLst/>
                          </a:prstGeom>
                          <a:solidFill>
                            <a:srgbClr val="FFFFFF">
                              <a:alpha val="90000"/>
                            </a:srgbClr>
                          </a:solidFill>
                          <a:ln w="25400" cap="flat">
                            <a:solidFill>
                              <a:srgbClr val="60E146"/>
                            </a:solidFill>
                            <a:prstDash val="solid"/>
                            <a:round/>
                          </a:ln>
                          <a:effectLst/>
                        </wps:spPr>
                        <wps:bodyPr/>
                      </wps:wsp>
                      <wpg:grpSp>
                        <wpg:cNvPr id="1073741842" name="Group"/>
                        <wpg:cNvGrpSpPr/>
                        <wpg:grpSpPr>
                          <a:xfrm>
                            <a:off x="274320" y="1360800"/>
                            <a:ext cx="3840480" cy="295201"/>
                            <a:chOff x="0" y="0"/>
                            <a:chExt cx="3840479" cy="295200"/>
                          </a:xfrm>
                        </wpg:grpSpPr>
                        <wps:wsp>
                          <wps:cNvPr id="1073741840" name="Rounded Rectangle"/>
                          <wps:cNvSpPr/>
                          <wps:spPr>
                            <a:xfrm>
                              <a:off x="0" y="0"/>
                              <a:ext cx="3840480" cy="295201"/>
                            </a:xfrm>
                            <a:prstGeom prst="roundRect">
                              <a:avLst>
                                <a:gd name="adj" fmla="val 16667"/>
                              </a:avLst>
                            </a:prstGeom>
                            <a:solidFill>
                              <a:srgbClr val="60E146"/>
                            </a:solidFill>
                            <a:ln w="25400" cap="flat">
                              <a:solidFill>
                                <a:srgbClr val="FFFFFF"/>
                              </a:solidFill>
                              <a:prstDash val="solid"/>
                              <a:round/>
                            </a:ln>
                            <a:effectLst/>
                          </wps:spPr>
                          <wps:bodyPr/>
                        </wps:wsp>
                        <wps:wsp>
                          <wps:cNvPr id="1073741841" name="Neutral vs. Affective"/>
                          <wps:cNvSpPr txBox="1"/>
                          <wps:spPr>
                            <a:xfrm>
                              <a:off x="159571" y="14409"/>
                              <a:ext cx="3521338" cy="266381"/>
                            </a:xfrm>
                            <a:prstGeom prst="rect">
                              <a:avLst/>
                            </a:prstGeom>
                            <a:noFill/>
                            <a:ln w="12700" cap="flat">
                              <a:noFill/>
                              <a:miter lim="400000"/>
                            </a:ln>
                            <a:effectLst/>
                          </wps:spPr>
                          <wps:txbx>
                            <w:txbxContent>
                              <w:p w14:paraId="25F3D085" w14:textId="77777777" w:rsidR="000244A7" w:rsidRDefault="00000000">
                                <w:pPr>
                                  <w:pStyle w:val="Caption"/>
                                  <w:tabs>
                                    <w:tab w:val="left" w:pos="770"/>
                                    <w:tab w:val="left" w:pos="1540"/>
                                    <w:tab w:val="left" w:pos="2310"/>
                                    <w:tab w:val="left" w:pos="3080"/>
                                    <w:tab w:val="left" w:pos="3850"/>
                                    <w:tab w:val="left" w:pos="4620"/>
                                    <w:tab w:val="left" w:pos="5390"/>
                                  </w:tabs>
                                  <w:spacing w:after="92" w:line="216" w:lineRule="auto"/>
                                </w:pPr>
                                <w:r>
                                  <w:rPr>
                                    <w:rFonts w:ascii="Times New Roman" w:hAnsi="Times New Roman"/>
                                    <w:b/>
                                    <w:bCs/>
                                    <w:color w:val="FFFFFF"/>
                                    <w:sz w:val="22"/>
                                    <w:szCs w:val="22"/>
                                  </w:rPr>
                                  <w:t>Neutral vs. Affective</w:t>
                                </w:r>
                              </w:p>
                            </w:txbxContent>
                          </wps:txbx>
                          <wps:bodyPr wrap="square" lIns="0" tIns="0" rIns="0" bIns="0" numCol="1" anchor="ctr">
                            <a:noAutofit/>
                          </wps:bodyPr>
                        </wps:wsp>
                      </wpg:grpSp>
                      <wps:wsp>
                        <wps:cNvPr id="1073741843" name="Rectangle"/>
                        <wps:cNvSpPr/>
                        <wps:spPr>
                          <a:xfrm>
                            <a:off x="0" y="1962000"/>
                            <a:ext cx="5486400" cy="252001"/>
                          </a:xfrm>
                          <a:prstGeom prst="rect">
                            <a:avLst/>
                          </a:prstGeom>
                          <a:solidFill>
                            <a:srgbClr val="FFFFFF">
                              <a:alpha val="90000"/>
                            </a:srgbClr>
                          </a:solidFill>
                          <a:ln w="25400" cap="flat">
                            <a:solidFill>
                              <a:srgbClr val="ACE946"/>
                            </a:solidFill>
                            <a:prstDash val="solid"/>
                            <a:round/>
                          </a:ln>
                          <a:effectLst/>
                        </wps:spPr>
                        <wps:bodyPr/>
                      </wps:wsp>
                      <wpg:grpSp>
                        <wpg:cNvPr id="1073741846" name="Group"/>
                        <wpg:cNvGrpSpPr/>
                        <wpg:grpSpPr>
                          <a:xfrm>
                            <a:off x="274320" y="1814401"/>
                            <a:ext cx="3840480" cy="295201"/>
                            <a:chOff x="0" y="0"/>
                            <a:chExt cx="3840479" cy="295200"/>
                          </a:xfrm>
                        </wpg:grpSpPr>
                        <wps:wsp>
                          <wps:cNvPr id="1073741844" name="Rounded Rectangle"/>
                          <wps:cNvSpPr/>
                          <wps:spPr>
                            <a:xfrm>
                              <a:off x="0" y="0"/>
                              <a:ext cx="3840480" cy="295201"/>
                            </a:xfrm>
                            <a:prstGeom prst="roundRect">
                              <a:avLst>
                                <a:gd name="adj" fmla="val 16667"/>
                              </a:avLst>
                            </a:prstGeom>
                            <a:solidFill>
                              <a:srgbClr val="ACE946"/>
                            </a:solidFill>
                            <a:ln w="25400" cap="flat">
                              <a:solidFill>
                                <a:srgbClr val="FFFFFF"/>
                              </a:solidFill>
                              <a:prstDash val="solid"/>
                              <a:round/>
                            </a:ln>
                            <a:effectLst/>
                          </wps:spPr>
                          <wps:bodyPr/>
                        </wps:wsp>
                        <wps:wsp>
                          <wps:cNvPr id="1073741845" name="Achievement vs. Ascription"/>
                          <wps:cNvSpPr txBox="1"/>
                          <wps:spPr>
                            <a:xfrm>
                              <a:off x="159571" y="14409"/>
                              <a:ext cx="3521338" cy="266381"/>
                            </a:xfrm>
                            <a:prstGeom prst="rect">
                              <a:avLst/>
                            </a:prstGeom>
                            <a:noFill/>
                            <a:ln w="12700" cap="flat">
                              <a:noFill/>
                              <a:miter lim="400000"/>
                            </a:ln>
                            <a:effectLst/>
                          </wps:spPr>
                          <wps:txbx>
                            <w:txbxContent>
                              <w:p w14:paraId="4B88234E" w14:textId="77777777" w:rsidR="000244A7" w:rsidRDefault="00000000">
                                <w:pPr>
                                  <w:pStyle w:val="Caption"/>
                                  <w:tabs>
                                    <w:tab w:val="left" w:pos="770"/>
                                    <w:tab w:val="left" w:pos="1540"/>
                                    <w:tab w:val="left" w:pos="2310"/>
                                    <w:tab w:val="left" w:pos="3080"/>
                                    <w:tab w:val="left" w:pos="3850"/>
                                    <w:tab w:val="left" w:pos="4620"/>
                                    <w:tab w:val="left" w:pos="5390"/>
                                  </w:tabs>
                                  <w:spacing w:after="92" w:line="216" w:lineRule="auto"/>
                                </w:pPr>
                                <w:r>
                                  <w:rPr>
                                    <w:rFonts w:ascii="Times New Roman" w:hAnsi="Times New Roman"/>
                                    <w:b/>
                                    <w:bCs/>
                                    <w:color w:val="FFFFFF"/>
                                    <w:sz w:val="22"/>
                                    <w:szCs w:val="22"/>
                                  </w:rPr>
                                  <w:t>Achievement vs. Ascription</w:t>
                                </w:r>
                              </w:p>
                            </w:txbxContent>
                          </wps:txbx>
                          <wps:bodyPr wrap="square" lIns="0" tIns="0" rIns="0" bIns="0" numCol="1" anchor="ctr">
                            <a:noAutofit/>
                          </wps:bodyPr>
                        </wps:wsp>
                      </wpg:grpSp>
                      <wps:wsp>
                        <wps:cNvPr id="1073741847" name="Rectangle"/>
                        <wps:cNvSpPr/>
                        <wps:spPr>
                          <a:xfrm>
                            <a:off x="0" y="2415601"/>
                            <a:ext cx="5486400" cy="252001"/>
                          </a:xfrm>
                          <a:prstGeom prst="rect">
                            <a:avLst/>
                          </a:prstGeom>
                          <a:solidFill>
                            <a:srgbClr val="FFFFFF">
                              <a:alpha val="90000"/>
                            </a:srgbClr>
                          </a:solidFill>
                          <a:ln w="25400" cap="flat">
                            <a:solidFill>
                              <a:srgbClr val="F0E146"/>
                            </a:solidFill>
                            <a:prstDash val="solid"/>
                            <a:round/>
                          </a:ln>
                          <a:effectLst/>
                        </wps:spPr>
                        <wps:bodyPr/>
                      </wps:wsp>
                      <wpg:grpSp>
                        <wpg:cNvPr id="1073741850" name="Group"/>
                        <wpg:cNvGrpSpPr/>
                        <wpg:grpSpPr>
                          <a:xfrm>
                            <a:off x="274320" y="2268000"/>
                            <a:ext cx="3840480" cy="295201"/>
                            <a:chOff x="0" y="0"/>
                            <a:chExt cx="3840479" cy="295200"/>
                          </a:xfrm>
                        </wpg:grpSpPr>
                        <wps:wsp>
                          <wps:cNvPr id="1073741848" name="Rounded Rectangle"/>
                          <wps:cNvSpPr/>
                          <wps:spPr>
                            <a:xfrm>
                              <a:off x="0" y="0"/>
                              <a:ext cx="3840480" cy="295201"/>
                            </a:xfrm>
                            <a:prstGeom prst="roundRect">
                              <a:avLst>
                                <a:gd name="adj" fmla="val 16667"/>
                              </a:avLst>
                            </a:prstGeom>
                            <a:solidFill>
                              <a:srgbClr val="F0E146"/>
                            </a:solidFill>
                            <a:ln w="25400" cap="flat">
                              <a:solidFill>
                                <a:srgbClr val="FFFFFF"/>
                              </a:solidFill>
                              <a:prstDash val="solid"/>
                              <a:round/>
                            </a:ln>
                            <a:effectLst/>
                          </wps:spPr>
                          <wps:bodyPr/>
                        </wps:wsp>
                        <wps:wsp>
                          <wps:cNvPr id="1073741849" name="Sequential vs. Synchronous Time"/>
                          <wps:cNvSpPr txBox="1"/>
                          <wps:spPr>
                            <a:xfrm>
                              <a:off x="159571" y="14409"/>
                              <a:ext cx="3521338" cy="266381"/>
                            </a:xfrm>
                            <a:prstGeom prst="rect">
                              <a:avLst/>
                            </a:prstGeom>
                            <a:noFill/>
                            <a:ln w="12700" cap="flat">
                              <a:noFill/>
                              <a:miter lim="400000"/>
                            </a:ln>
                            <a:effectLst/>
                          </wps:spPr>
                          <wps:txbx>
                            <w:txbxContent>
                              <w:p w14:paraId="04AA07B9" w14:textId="77777777" w:rsidR="000244A7" w:rsidRDefault="00000000">
                                <w:pPr>
                                  <w:pStyle w:val="Caption"/>
                                  <w:tabs>
                                    <w:tab w:val="left" w:pos="770"/>
                                    <w:tab w:val="left" w:pos="1540"/>
                                    <w:tab w:val="left" w:pos="2310"/>
                                    <w:tab w:val="left" w:pos="3080"/>
                                    <w:tab w:val="left" w:pos="3850"/>
                                    <w:tab w:val="left" w:pos="4620"/>
                                    <w:tab w:val="left" w:pos="5390"/>
                                  </w:tabs>
                                  <w:spacing w:after="92" w:line="216" w:lineRule="auto"/>
                                </w:pPr>
                                <w:r>
                                  <w:rPr>
                                    <w:rFonts w:ascii="Times New Roman" w:hAnsi="Times New Roman"/>
                                    <w:b/>
                                    <w:bCs/>
                                    <w:color w:val="FFFFFF"/>
                                    <w:sz w:val="22"/>
                                    <w:szCs w:val="22"/>
                                  </w:rPr>
                                  <w:t>Sequential vs. Synchronous Time</w:t>
                                </w:r>
                              </w:p>
                            </w:txbxContent>
                          </wps:txbx>
                          <wps:bodyPr wrap="square" lIns="0" tIns="0" rIns="0" bIns="0" numCol="1" anchor="ctr">
                            <a:noAutofit/>
                          </wps:bodyPr>
                        </wps:wsp>
                      </wpg:grpSp>
                      <wps:wsp>
                        <wps:cNvPr id="1073741851" name="Rectangle"/>
                        <wps:cNvSpPr/>
                        <wps:spPr>
                          <a:xfrm>
                            <a:off x="0" y="2869201"/>
                            <a:ext cx="5486400" cy="252001"/>
                          </a:xfrm>
                          <a:prstGeom prst="rect">
                            <a:avLst/>
                          </a:prstGeom>
                          <a:solidFill>
                            <a:srgbClr val="FFFFFF">
                              <a:alpha val="90000"/>
                            </a:srgbClr>
                          </a:solidFill>
                          <a:ln w="25400" cap="flat">
                            <a:solidFill>
                              <a:schemeClr val="accent6"/>
                            </a:solidFill>
                            <a:prstDash val="solid"/>
                            <a:round/>
                          </a:ln>
                          <a:effectLst/>
                        </wps:spPr>
                        <wps:bodyPr/>
                      </wps:wsp>
                      <wpg:grpSp>
                        <wpg:cNvPr id="1073741854" name="Group"/>
                        <wpg:cNvGrpSpPr/>
                        <wpg:grpSpPr>
                          <a:xfrm>
                            <a:off x="274320" y="2721601"/>
                            <a:ext cx="3840480" cy="295201"/>
                            <a:chOff x="0" y="0"/>
                            <a:chExt cx="3840479" cy="295200"/>
                          </a:xfrm>
                        </wpg:grpSpPr>
                        <wps:wsp>
                          <wps:cNvPr id="1073741852" name="Rounded Rectangle"/>
                          <wps:cNvSpPr/>
                          <wps:spPr>
                            <a:xfrm>
                              <a:off x="0" y="0"/>
                              <a:ext cx="3840480" cy="295201"/>
                            </a:xfrm>
                            <a:prstGeom prst="roundRect">
                              <a:avLst>
                                <a:gd name="adj" fmla="val 16667"/>
                              </a:avLst>
                            </a:prstGeom>
                            <a:solidFill>
                              <a:schemeClr val="accent6"/>
                            </a:solidFill>
                            <a:ln w="25400" cap="flat">
                              <a:solidFill>
                                <a:srgbClr val="FFFFFF"/>
                              </a:solidFill>
                              <a:prstDash val="solid"/>
                              <a:round/>
                            </a:ln>
                            <a:effectLst/>
                          </wps:spPr>
                          <wps:bodyPr/>
                        </wps:wsp>
                        <wps:wsp>
                          <wps:cNvPr id="1073741853" name="Internal vs. External Direction"/>
                          <wps:cNvSpPr txBox="1"/>
                          <wps:spPr>
                            <a:xfrm>
                              <a:off x="159571" y="14409"/>
                              <a:ext cx="3521338" cy="266381"/>
                            </a:xfrm>
                            <a:prstGeom prst="rect">
                              <a:avLst/>
                            </a:prstGeom>
                            <a:noFill/>
                            <a:ln w="12700" cap="flat">
                              <a:noFill/>
                              <a:miter lim="400000"/>
                            </a:ln>
                            <a:effectLst/>
                          </wps:spPr>
                          <wps:txbx>
                            <w:txbxContent>
                              <w:p w14:paraId="602481CA" w14:textId="77777777" w:rsidR="000244A7" w:rsidRDefault="00000000">
                                <w:pPr>
                                  <w:pStyle w:val="Caption"/>
                                  <w:tabs>
                                    <w:tab w:val="left" w:pos="770"/>
                                    <w:tab w:val="left" w:pos="1540"/>
                                    <w:tab w:val="left" w:pos="2310"/>
                                    <w:tab w:val="left" w:pos="3080"/>
                                    <w:tab w:val="left" w:pos="3850"/>
                                    <w:tab w:val="left" w:pos="4620"/>
                                    <w:tab w:val="left" w:pos="5390"/>
                                  </w:tabs>
                                  <w:spacing w:after="92" w:line="216" w:lineRule="auto"/>
                                </w:pPr>
                                <w:r>
                                  <w:rPr>
                                    <w:rFonts w:ascii="Times New Roman" w:hAnsi="Times New Roman"/>
                                    <w:b/>
                                    <w:bCs/>
                                    <w:color w:val="FFFFFF"/>
                                    <w:sz w:val="22"/>
                                    <w:szCs w:val="22"/>
                                  </w:rPr>
                                  <w:t>Internal vs. External Direction</w:t>
                                </w:r>
                              </w:p>
                            </w:txbxContent>
                          </wps:txbx>
                          <wps:bodyPr wrap="square" lIns="0" tIns="0" rIns="0" bIns="0" numCol="1" anchor="ctr">
                            <a:noAutofit/>
                          </wps:bodyPr>
                        </wps:wsp>
                      </wpg:grpSp>
                    </wpg:wgp>
                  </a:graphicData>
                </a:graphic>
              </wp:inline>
            </w:drawing>
          </mc:Choice>
          <mc:Fallback>
            <w:pict>
              <v:group w14:anchorId="14EE904E" id="officeArt object" o:spid="_x0000_s1026" alt="Diagram 2" style="width:6in;height:245.75pt;mso-position-horizontal-relative:char;mso-position-vertical-relative:line" coordsize="54864,3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">
                <v:rect id="Rectangle" o:spid="_x0000_s1027" style="position:absolute;top:1476;width:54864;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" strokecolor="#4bacc6 [3208]" strokeweight="2pt">
                  <v:fill opacity="59110f"/>
                  <v:stroke joinstyle="round"/>
                </v:rect>
                <v:group id="Group" o:spid="_x0000_s1028" style="position:absolute;left:2743;width:38405;height:2952" coordsize="38404,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">
                  <v:roundrect id="Rounded Rectangle" o:spid="_x0000_s1029" style="position:absolute;width:38404;height:295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" fillcolor="#4bacc6 [3208]" strokecolor="white" strokeweight="2pt"/>
                  <v:shapetype id="_x0000_t202" coordsize="21600,21600" o:spt="202" path="m,l,21600r21600,l21600,xe">
                    <v:stroke joinstyle="miter"/>
                    <v:path gradientshapeok="t" o:connecttype="rect"/>
                  </v:shapetype>
                  <v:shape id="Universalism vs. Particularism" o:spid="_x0000_s1030" type="#_x0000_t202" style="position:absolute;left:1595;top:144;width:35214;height:26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" filled="f" stroked="f" strokeweight="1pt">
                    <v:stroke miterlimit="4"/>
                    <v:textbox inset="0,0,0,0">
                      <w:txbxContent>
                        <w:p w14:paraId="26B38D8B" w14:textId="77777777" w:rsidR="000244A7" w:rsidRDefault="00000000">
                          <w:pPr>
                            <w:pStyle w:val="Caption"/>
                            <w:tabs>
                              <w:tab w:val="left" w:pos="770"/>
                              <w:tab w:val="left" w:pos="1540"/>
                              <w:tab w:val="left" w:pos="2310"/>
                              <w:tab w:val="left" w:pos="3080"/>
                              <w:tab w:val="left" w:pos="3850"/>
                              <w:tab w:val="left" w:pos="4620"/>
                              <w:tab w:val="left" w:pos="5390"/>
                            </w:tabs>
                            <w:spacing w:after="92" w:line="216" w:lineRule="auto"/>
                          </w:pPr>
                          <w:r>
                            <w:rPr>
                              <w:rFonts w:ascii="Times New Roman" w:hAnsi="Times New Roman"/>
                              <w:b/>
                              <w:bCs/>
                              <w:color w:val="FFFFFF"/>
                              <w:sz w:val="22"/>
                              <w:szCs w:val="22"/>
                            </w:rPr>
                            <w:t>Universalism vs. Particularism</w:t>
                          </w:r>
                        </w:p>
                      </w:txbxContent>
                    </v:textbox>
                  </v:shape>
                </v:group>
                <v:rect id="Rectangle" o:spid="_x0000_s1031" style="position:absolute;top:6012;width:54864;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" strokecolor="#49cfae" strokeweight="2pt">
                  <v:fill opacity="59110f"/>
                  <v:stroke joinstyle="round"/>
                </v:rect>
                <v:group id="Group" o:spid="_x0000_s1032" style="position:absolute;left:2743;top:4536;width:38405;height:2952" coordsize="38404,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">
                  <v:roundrect id="Rounded Rectangle" o:spid="_x0000_s1033" style="position:absolute;width:38404;height:295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" fillcolor="#49cfae" strokecolor="white" strokeweight="2pt"/>
                  <v:shape id="Individualism vs. Communitarianism" o:spid="_x0000_s1034" type="#_x0000_t202" style="position:absolute;left:1595;top:144;width:35214;height:26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" filled="f" stroked="f" strokeweight="1pt">
                    <v:stroke miterlimit="4"/>
                    <v:textbox inset="0,0,0,0">
                      <w:txbxContent>
                        <w:p w14:paraId="1A878810" w14:textId="77777777" w:rsidR="000244A7" w:rsidRDefault="00000000">
                          <w:pPr>
                            <w:pStyle w:val="Caption"/>
                            <w:tabs>
                              <w:tab w:val="left" w:pos="770"/>
                              <w:tab w:val="left" w:pos="1540"/>
                              <w:tab w:val="left" w:pos="2310"/>
                              <w:tab w:val="left" w:pos="3080"/>
                              <w:tab w:val="left" w:pos="3850"/>
                              <w:tab w:val="left" w:pos="4620"/>
                              <w:tab w:val="left" w:pos="5390"/>
                            </w:tabs>
                            <w:spacing w:after="92" w:line="216" w:lineRule="auto"/>
                          </w:pPr>
                          <w:r>
                            <w:rPr>
                              <w:rFonts w:ascii="Times New Roman" w:hAnsi="Times New Roman"/>
                              <w:b/>
                              <w:bCs/>
                              <w:color w:val="FFFFFF"/>
                              <w:sz w:val="22"/>
                              <w:szCs w:val="22"/>
                            </w:rPr>
                            <w:t>Individualism vs. Communitarianism</w:t>
                          </w:r>
                        </w:p>
                      </w:txbxContent>
                    </v:textbox>
                  </v:shape>
                </v:group>
                <v:rect id="Rectangle" o:spid="_x0000_s1035" style="position:absolute;top:10548;width:54864;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" strokecolor="#47d872" strokeweight="2pt">
                  <v:fill opacity="59110f"/>
                  <v:stroke joinstyle="round"/>
                </v:rect>
                <v:group id="Group" o:spid="_x0000_s1036" style="position:absolute;left:2743;top:9071;width:38405;height:2953" coordsize="38404,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">
                  <v:roundrect id="Rounded Rectangle" o:spid="_x0000_s1037" style="position:absolute;width:38404;height:295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" fillcolor="#47d872" strokecolor="white" strokeweight="2pt"/>
                  <v:shape id="Specific vs. Diffuse" o:spid="_x0000_s1038" type="#_x0000_t202" style="position:absolute;left:1595;top:144;width:35214;height:26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" filled="f" stroked="f" strokeweight="1pt">
                    <v:stroke miterlimit="4"/>
                    <v:textbox inset="0,0,0,0">
                      <w:txbxContent>
                        <w:p w14:paraId="0D743382" w14:textId="77777777" w:rsidR="000244A7" w:rsidRDefault="00000000">
                          <w:pPr>
                            <w:pStyle w:val="Caption"/>
                            <w:tabs>
                              <w:tab w:val="left" w:pos="770"/>
                              <w:tab w:val="left" w:pos="1540"/>
                              <w:tab w:val="left" w:pos="2310"/>
                              <w:tab w:val="left" w:pos="3080"/>
                              <w:tab w:val="left" w:pos="3850"/>
                              <w:tab w:val="left" w:pos="4620"/>
                              <w:tab w:val="left" w:pos="5390"/>
                            </w:tabs>
                            <w:spacing w:after="92" w:line="216" w:lineRule="auto"/>
                          </w:pPr>
                          <w:r>
                            <w:rPr>
                              <w:rFonts w:ascii="Times New Roman" w:hAnsi="Times New Roman"/>
                              <w:b/>
                              <w:bCs/>
                              <w:color w:val="FFFFFF"/>
                              <w:sz w:val="22"/>
                              <w:szCs w:val="22"/>
                            </w:rPr>
                            <w:t>Specific vs. Diffuse</w:t>
                          </w:r>
                        </w:p>
                      </w:txbxContent>
                    </v:textbox>
                  </v:shape>
                </v:group>
                <v:rect id="Rectangle" o:spid="_x0000_s1039" style="position:absolute;top:15084;width:54864;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" strokecolor="#60e146" strokeweight="2pt">
                  <v:fill opacity="59110f"/>
                  <v:stroke joinstyle="round"/>
                </v:rect>
                <v:group id="Group" o:spid="_x0000_s1040" style="position:absolute;left:2743;top:13608;width:38405;height:2952" coordsize="38404,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">
                  <v:roundrect id="Rounded Rectangle" o:spid="_x0000_s1041" style="position:absolute;width:38404;height:295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" fillcolor="#60e146" strokecolor="white" strokeweight="2pt"/>
                  <v:shape id="Neutral vs. Affective" o:spid="_x0000_s1042" type="#_x0000_t202" style="position:absolute;left:1595;top:144;width:35214;height:26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" filled="f" stroked="f" strokeweight="1pt">
                    <v:stroke miterlimit="4"/>
                    <v:textbox inset="0,0,0,0">
                      <w:txbxContent>
                        <w:p w14:paraId="25F3D085" w14:textId="77777777" w:rsidR="000244A7" w:rsidRDefault="00000000">
                          <w:pPr>
                            <w:pStyle w:val="Caption"/>
                            <w:tabs>
                              <w:tab w:val="left" w:pos="770"/>
                              <w:tab w:val="left" w:pos="1540"/>
                              <w:tab w:val="left" w:pos="2310"/>
                              <w:tab w:val="left" w:pos="3080"/>
                              <w:tab w:val="left" w:pos="3850"/>
                              <w:tab w:val="left" w:pos="4620"/>
                              <w:tab w:val="left" w:pos="5390"/>
                            </w:tabs>
                            <w:spacing w:after="92" w:line="216" w:lineRule="auto"/>
                          </w:pPr>
                          <w:r>
                            <w:rPr>
                              <w:rFonts w:ascii="Times New Roman" w:hAnsi="Times New Roman"/>
                              <w:b/>
                              <w:bCs/>
                              <w:color w:val="FFFFFF"/>
                              <w:sz w:val="22"/>
                              <w:szCs w:val="22"/>
                            </w:rPr>
                            <w:t>Neutral vs. Affective</w:t>
                          </w:r>
                        </w:p>
                      </w:txbxContent>
                    </v:textbox>
                  </v:shape>
                </v:group>
                <v:rect id="Rectangle" o:spid="_x0000_s1043" style="position:absolute;top:19620;width:54864;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" strokecolor="#ace946" strokeweight="2pt">
                  <v:fill opacity="59110f"/>
                  <v:stroke joinstyle="round"/>
                </v:rect>
                <v:group id="Group" o:spid="_x0000_s1044" style="position:absolute;left:2743;top:18144;width:38405;height:2952" coordsize="38404,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">
                  <v:roundrect id="Rounded Rectangle" o:spid="_x0000_s1045" style="position:absolute;width:38404;height:295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" fillcolor="#ace946" strokecolor="white" strokeweight="2pt"/>
                  <v:shape id="Achievement vs. Ascription" o:spid="_x0000_s1046" type="#_x0000_t202" style="position:absolute;left:1595;top:144;width:35214;height:26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" filled="f" stroked="f" strokeweight="1pt">
                    <v:stroke miterlimit="4"/>
                    <v:textbox inset="0,0,0,0">
                      <w:txbxContent>
                        <w:p w14:paraId="4B88234E" w14:textId="77777777" w:rsidR="000244A7" w:rsidRDefault="00000000">
                          <w:pPr>
                            <w:pStyle w:val="Caption"/>
                            <w:tabs>
                              <w:tab w:val="left" w:pos="770"/>
                              <w:tab w:val="left" w:pos="1540"/>
                              <w:tab w:val="left" w:pos="2310"/>
                              <w:tab w:val="left" w:pos="3080"/>
                              <w:tab w:val="left" w:pos="3850"/>
                              <w:tab w:val="left" w:pos="4620"/>
                              <w:tab w:val="left" w:pos="5390"/>
                            </w:tabs>
                            <w:spacing w:after="92" w:line="216" w:lineRule="auto"/>
                          </w:pPr>
                          <w:r>
                            <w:rPr>
                              <w:rFonts w:ascii="Times New Roman" w:hAnsi="Times New Roman"/>
                              <w:b/>
                              <w:bCs/>
                              <w:color w:val="FFFFFF"/>
                              <w:sz w:val="22"/>
                              <w:szCs w:val="22"/>
                            </w:rPr>
                            <w:t>Achievement vs. Ascription</w:t>
                          </w:r>
                        </w:p>
                      </w:txbxContent>
                    </v:textbox>
                  </v:shape>
                </v:group>
                <v:rect id="Rectangle" o:spid="_x0000_s1047" style="position:absolute;top:24156;width:54864;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" strokecolor="#f0e146" strokeweight="2pt">
                  <v:fill opacity="59110f"/>
                  <v:stroke joinstyle="round"/>
                </v:rect>
                <v:group id="Group" o:spid="_x0000_s1048" style="position:absolute;left:2743;top:22680;width:38405;height:2952" coordsize="38404,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">
                  <v:roundrect id="Rounded Rectangle" o:spid="_x0000_s1049" style="position:absolute;width:38404;height:295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" fillcolor="#f0e146" strokecolor="white" strokeweight="2pt"/>
                  <v:shape id="Sequential vs. Synchronous Time" o:spid="_x0000_s1050" type="#_x0000_t202" style="position:absolute;left:1595;top:144;width:35214;height:26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" filled="f" stroked="f" strokeweight="1pt">
                    <v:stroke miterlimit="4"/>
                    <v:textbox inset="0,0,0,0">
                      <w:txbxContent>
                        <w:p w14:paraId="04AA07B9" w14:textId="77777777" w:rsidR="000244A7" w:rsidRDefault="00000000">
                          <w:pPr>
                            <w:pStyle w:val="Caption"/>
                            <w:tabs>
                              <w:tab w:val="left" w:pos="770"/>
                              <w:tab w:val="left" w:pos="1540"/>
                              <w:tab w:val="left" w:pos="2310"/>
                              <w:tab w:val="left" w:pos="3080"/>
                              <w:tab w:val="left" w:pos="3850"/>
                              <w:tab w:val="left" w:pos="4620"/>
                              <w:tab w:val="left" w:pos="5390"/>
                            </w:tabs>
                            <w:spacing w:after="92" w:line="216" w:lineRule="auto"/>
                          </w:pPr>
                          <w:r>
                            <w:rPr>
                              <w:rFonts w:ascii="Times New Roman" w:hAnsi="Times New Roman"/>
                              <w:b/>
                              <w:bCs/>
                              <w:color w:val="FFFFFF"/>
                              <w:sz w:val="22"/>
                              <w:szCs w:val="22"/>
                            </w:rPr>
                            <w:t>Sequential vs. Synchronous Time</w:t>
                          </w:r>
                        </w:p>
                      </w:txbxContent>
                    </v:textbox>
                  </v:shape>
                </v:group>
                <v:rect id="Rectangle" o:spid="_x0000_s1051" style="position:absolute;top:28692;width:54864;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" strokecolor="#f79646 [3209]" strokeweight="2pt">
                  <v:fill opacity="59110f"/>
                  <v:stroke joinstyle="round"/>
                </v:rect>
                <v:group id="Group" o:spid="_x0000_s1052" style="position:absolute;left:2743;top:27216;width:38405;height:2952" coordsize="38404,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">
                  <v:roundrect id="Rounded Rectangle" o:spid="_x0000_s1053" style="position:absolute;width:38404;height:295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" fillcolor="#f79646 [3209]" strokecolor="white" strokeweight="2pt"/>
                  <v:shape id="Internal vs. External Direction" o:spid="_x0000_s1054" type="#_x0000_t202" style="position:absolute;left:1595;top:144;width:35214;height:26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" filled="f" stroked="f" strokeweight="1pt">
                    <v:stroke miterlimit="4"/>
                    <v:textbox inset="0,0,0,0">
                      <w:txbxContent>
                        <w:p w14:paraId="602481CA" w14:textId="77777777" w:rsidR="000244A7" w:rsidRDefault="00000000">
                          <w:pPr>
                            <w:pStyle w:val="Caption"/>
                            <w:tabs>
                              <w:tab w:val="left" w:pos="770"/>
                              <w:tab w:val="left" w:pos="1540"/>
                              <w:tab w:val="left" w:pos="2310"/>
                              <w:tab w:val="left" w:pos="3080"/>
                              <w:tab w:val="left" w:pos="3850"/>
                              <w:tab w:val="left" w:pos="4620"/>
                              <w:tab w:val="left" w:pos="5390"/>
                            </w:tabs>
                            <w:spacing w:after="92" w:line="216" w:lineRule="auto"/>
                          </w:pPr>
                          <w:r>
                            <w:rPr>
                              <w:rFonts w:ascii="Times New Roman" w:hAnsi="Times New Roman"/>
                              <w:b/>
                              <w:bCs/>
                              <w:color w:val="FFFFFF"/>
                              <w:sz w:val="22"/>
                              <w:szCs w:val="22"/>
                            </w:rPr>
                            <w:t>Internal vs. External Direction</w:t>
                          </w:r>
                        </w:p>
                      </w:txbxContent>
                    </v:textbox>
                  </v:shape>
                </v:group>
                <w10:anchorlock/>
              </v:group>
            </w:pict>
          </mc:Fallback>
        </mc:AlternateContent>
      </w:r>
    </w:p>
    <w:p w14:paraId="6729F102" w14:textId="77777777" w:rsidR="000244A7" w:rsidRDefault="00000000">
      <w:pPr>
        <w:pStyle w:val="Body"/>
        <w:jc w:val="center"/>
        <w:rPr>
          <w:b/>
          <w:bCs/>
        </w:rPr>
      </w:pPr>
      <w:r>
        <w:rPr>
          <w:b/>
          <w:bCs/>
          <w:lang w:val="nl-NL"/>
        </w:rPr>
        <w:t>Figure 3: Trompenaars</w:t>
      </w:r>
      <w:r>
        <w:rPr>
          <w:b/>
          <w:bCs/>
          <w:rtl/>
        </w:rPr>
        <w:t xml:space="preserve">’ </w:t>
      </w:r>
      <w:r>
        <w:rPr>
          <w:b/>
          <w:bCs/>
          <w:lang w:val="en-US"/>
        </w:rPr>
        <w:t>Seven Dimensions of Culture</w:t>
      </w:r>
    </w:p>
    <w:p w14:paraId="4F0FBCA2" w14:textId="77777777" w:rsidR="000244A7" w:rsidRDefault="00000000">
      <w:pPr>
        <w:pStyle w:val="Body"/>
        <w:jc w:val="center"/>
      </w:pPr>
      <w:r>
        <w:rPr>
          <w:lang w:val="en-US"/>
        </w:rPr>
        <w:t>(Sources: Created by author)</w:t>
      </w:r>
    </w:p>
    <w:p w14:paraId="29C463B3" w14:textId="77777777" w:rsidR="000244A7" w:rsidRDefault="00000000">
      <w:pPr>
        <w:pStyle w:val="Body"/>
        <w:spacing w:before="240" w:after="240"/>
        <w:rPr>
          <w:b/>
          <w:bCs/>
        </w:rPr>
      </w:pPr>
      <w:r>
        <w:rPr>
          <w:b/>
          <w:bCs/>
          <w:lang w:val="pt-PT"/>
        </w:rPr>
        <w:t>Universalism vs. Particularism</w:t>
      </w:r>
    </w:p>
    <w:p w14:paraId="6E31A37D" w14:textId="77777777" w:rsidR="000244A7" w:rsidRDefault="00000000">
      <w:pPr>
        <w:pStyle w:val="Body"/>
        <w:spacing w:before="240" w:after="240"/>
      </w:pPr>
      <w:r>
        <w:rPr>
          <w:lang w:val="en-US"/>
        </w:rPr>
        <w:t>The UK has a universalist culture where rules and contracts are observed equally among the different stakeholders (Sokol, 2021). The British professionals seek fair play by following official rules without regard to personal association. Japan is, however, more of a particularist who tends to make decisions based on interpersonal affairs and situational factors, even at the expense of general rules to suit key partners (</w:t>
      </w:r>
      <w:proofErr w:type="spellStart"/>
      <w:r>
        <w:rPr>
          <w:lang w:val="en-US"/>
        </w:rPr>
        <w:t>Bojadjiev</w:t>
      </w:r>
      <w:proofErr w:type="spellEnd"/>
      <w:r>
        <w:rPr>
          <w:lang w:val="en-US"/>
        </w:rPr>
        <w:t xml:space="preserve"> </w:t>
      </w:r>
      <w:r>
        <w:rPr>
          <w:i/>
          <w:iCs/>
        </w:rPr>
        <w:t xml:space="preserve">et al., </w:t>
      </w:r>
      <w:r>
        <w:rPr>
          <w:lang w:val="en-US"/>
        </w:rPr>
        <w:t xml:space="preserve">2023). This inclination influences the fact that Mitsubishi </w:t>
      </w:r>
      <w:proofErr w:type="spellStart"/>
      <w:r>
        <w:rPr>
          <w:lang w:val="en-US"/>
        </w:rPr>
        <w:t>favours</w:t>
      </w:r>
      <w:proofErr w:type="spellEnd"/>
      <w:r>
        <w:rPr>
          <w:lang w:val="en-US"/>
        </w:rPr>
        <w:t xml:space="preserve"> flexible, relationship-oriented negotiation as opposed to inflexible, rule-based ones.</w:t>
      </w:r>
    </w:p>
    <w:p w14:paraId="0159EDF9" w14:textId="77777777" w:rsidR="000244A7" w:rsidRDefault="00000000">
      <w:pPr>
        <w:pStyle w:val="Body"/>
        <w:spacing w:before="240" w:after="240"/>
        <w:rPr>
          <w:b/>
          <w:bCs/>
        </w:rPr>
      </w:pPr>
      <w:r>
        <w:rPr>
          <w:b/>
          <w:bCs/>
          <w:lang w:val="it-IT"/>
        </w:rPr>
        <w:t>Individualism vs. Communitarianism</w:t>
      </w:r>
    </w:p>
    <w:p w14:paraId="720B0ACC" w14:textId="77777777" w:rsidR="000244A7" w:rsidRDefault="00000000">
      <w:pPr>
        <w:pStyle w:val="Body"/>
        <w:spacing w:before="240" w:after="240"/>
      </w:pPr>
      <w:r>
        <w:rPr>
          <w:lang w:val="en-US"/>
        </w:rPr>
        <w:t xml:space="preserve">The business culture in Britain is more inclined towards </w:t>
      </w:r>
      <w:r>
        <w:rPr>
          <w:b/>
          <w:bCs/>
          <w:lang w:val="it-IT"/>
        </w:rPr>
        <w:t>individualism,</w:t>
      </w:r>
      <w:r>
        <w:rPr>
          <w:lang w:val="en-US"/>
        </w:rPr>
        <w:t xml:space="preserve"> as personal success and independence are valued. Unilever promotes self-driven performance and responsibility on merit. On the contrary, Japanese culture is </w:t>
      </w:r>
      <w:r>
        <w:rPr>
          <w:b/>
          <w:bCs/>
          <w:lang w:val="it-IT"/>
        </w:rPr>
        <w:t>Communitarianism,</w:t>
      </w:r>
      <w:r>
        <w:rPr>
          <w:lang w:val="en-US"/>
        </w:rPr>
        <w:t xml:space="preserve"> which means they value group harmony and consensus and mostly a type of decision-making system </w:t>
      </w:r>
      <w:proofErr w:type="spellStart"/>
      <w:r>
        <w:rPr>
          <w:lang w:val="en-US"/>
        </w:rPr>
        <w:t>ringi</w:t>
      </w:r>
      <w:proofErr w:type="spellEnd"/>
      <w:r>
        <w:rPr>
          <w:lang w:val="en-US"/>
        </w:rPr>
        <w:t xml:space="preserve"> </w:t>
      </w:r>
      <w:proofErr w:type="spellStart"/>
      <w:r>
        <w:rPr>
          <w:lang w:val="en-US"/>
        </w:rPr>
        <w:t>seido</w:t>
      </w:r>
      <w:proofErr w:type="spellEnd"/>
      <w:r>
        <w:rPr>
          <w:lang w:val="en-US"/>
        </w:rPr>
        <w:t xml:space="preserve">, where all levels </w:t>
      </w:r>
      <w:proofErr w:type="gramStart"/>
      <w:r>
        <w:rPr>
          <w:lang w:val="en-US"/>
        </w:rPr>
        <w:t>have to</w:t>
      </w:r>
      <w:proofErr w:type="gramEnd"/>
      <w:r>
        <w:rPr>
          <w:lang w:val="en-US"/>
        </w:rPr>
        <w:t xml:space="preserve"> agree to formally </w:t>
      </w:r>
      <w:proofErr w:type="spellStart"/>
      <w:r>
        <w:rPr>
          <w:lang w:val="en-US"/>
        </w:rPr>
        <w:t>authorise</w:t>
      </w:r>
      <w:proofErr w:type="spellEnd"/>
      <w:r>
        <w:rPr>
          <w:lang w:val="en-US"/>
        </w:rPr>
        <w:t xml:space="preserve"> it (Rear, 2022).</w:t>
      </w:r>
    </w:p>
    <w:p w14:paraId="2CAA2DCC" w14:textId="77777777" w:rsidR="000244A7" w:rsidRDefault="00000000">
      <w:pPr>
        <w:pStyle w:val="Body"/>
        <w:spacing w:before="240" w:after="240"/>
        <w:rPr>
          <w:b/>
          <w:bCs/>
        </w:rPr>
      </w:pPr>
      <w:r>
        <w:rPr>
          <w:b/>
          <w:bCs/>
          <w:lang w:val="it-IT"/>
        </w:rPr>
        <w:t>Specific vs. Diffuse</w:t>
      </w:r>
    </w:p>
    <w:p w14:paraId="17ABA987" w14:textId="77777777" w:rsidR="000244A7" w:rsidRDefault="00000000">
      <w:pPr>
        <w:pStyle w:val="Body"/>
        <w:spacing w:before="240" w:after="240"/>
      </w:pPr>
      <w:r>
        <w:rPr>
          <w:lang w:val="en-US"/>
        </w:rPr>
        <w:lastRenderedPageBreak/>
        <w:t xml:space="preserve">In the </w:t>
      </w:r>
      <w:proofErr w:type="gramStart"/>
      <w:r>
        <w:rPr>
          <w:lang w:val="en-US"/>
        </w:rPr>
        <w:t>particular culture</w:t>
      </w:r>
      <w:proofErr w:type="gramEnd"/>
      <w:r>
        <w:rPr>
          <w:lang w:val="en-US"/>
        </w:rPr>
        <w:t xml:space="preserve"> of the UK, professional and personal life are separated: the discussions during the meetings are strictly task-oriented (Broeder, 2021). The diffuse norms of Japan blur all these boundaries as business relationships develop over time, and before taking any steps, an individual </w:t>
      </w:r>
      <w:proofErr w:type="gramStart"/>
      <w:r>
        <w:rPr>
          <w:lang w:val="en-US"/>
        </w:rPr>
        <w:t>has to</w:t>
      </w:r>
      <w:proofErr w:type="gramEnd"/>
      <w:r>
        <w:rPr>
          <w:lang w:val="en-US"/>
        </w:rPr>
        <w:t xml:space="preserve"> earn the trust. Relationship rituals may be anticipated by Mitsubishi professionals before discussing any aspect of business, and Unilever group professionals may proceed to discuss an agenda.</w:t>
      </w:r>
    </w:p>
    <w:p w14:paraId="2F935F49" w14:textId="77777777" w:rsidR="000244A7" w:rsidRDefault="00000000">
      <w:pPr>
        <w:pStyle w:val="Body"/>
        <w:spacing w:before="240" w:after="240"/>
        <w:rPr>
          <w:b/>
          <w:bCs/>
        </w:rPr>
      </w:pPr>
      <w:r>
        <w:rPr>
          <w:b/>
          <w:bCs/>
          <w:lang w:val="en-US"/>
        </w:rPr>
        <w:t>Neutral vs. Affective</w:t>
      </w:r>
    </w:p>
    <w:p w14:paraId="43BB32AF" w14:textId="77777777" w:rsidR="000244A7" w:rsidRDefault="00000000">
      <w:pPr>
        <w:pStyle w:val="Body"/>
        <w:spacing w:before="240" w:after="240"/>
      </w:pPr>
      <w:r>
        <w:rPr>
          <w:lang w:val="en-US"/>
        </w:rPr>
        <w:t xml:space="preserve">British professionals are </w:t>
      </w:r>
      <w:proofErr w:type="gramStart"/>
      <w:r>
        <w:rPr>
          <w:lang w:val="en-US"/>
        </w:rPr>
        <w:t>neutral</w:t>
      </w:r>
      <w:proofErr w:type="gramEnd"/>
      <w:r>
        <w:rPr>
          <w:lang w:val="en-US"/>
        </w:rPr>
        <w:t xml:space="preserve"> and they undertake a discrete control of their emotions in the process of communication (Minato </w:t>
      </w:r>
      <w:proofErr w:type="spellStart"/>
      <w:r>
        <w:rPr>
          <w:lang w:val="en-US"/>
        </w:rPr>
        <w:t>Unesco</w:t>
      </w:r>
      <w:proofErr w:type="spellEnd"/>
      <w:r>
        <w:rPr>
          <w:lang w:val="en-US"/>
        </w:rPr>
        <w:t xml:space="preserve"> Association, 2022). Japanese culture is also rather reserved because the display of emotion disrupts harmony. However, the Japanese can talk non-verbally by way of understanding and gestures, which are not noticed by British colleagues.</w:t>
      </w:r>
    </w:p>
    <w:p w14:paraId="7F944221" w14:textId="77777777" w:rsidR="000244A7" w:rsidRDefault="00000000">
      <w:pPr>
        <w:pStyle w:val="Body"/>
        <w:spacing w:before="240" w:after="240"/>
        <w:rPr>
          <w:b/>
          <w:bCs/>
        </w:rPr>
      </w:pPr>
      <w:r>
        <w:rPr>
          <w:b/>
          <w:bCs/>
          <w:lang w:val="en-US"/>
        </w:rPr>
        <w:t>Achievement vs. Ascription</w:t>
      </w:r>
    </w:p>
    <w:p w14:paraId="75B9F507" w14:textId="77777777" w:rsidR="000244A7" w:rsidRDefault="00000000">
      <w:pPr>
        <w:pStyle w:val="Body"/>
        <w:spacing w:before="240" w:after="240"/>
      </w:pPr>
      <w:r>
        <w:rPr>
          <w:lang w:val="en-US"/>
        </w:rPr>
        <w:t>The UK values achievement, rewarding individuals based on performance and skills. Japan assigns respect through ascription, where age, tenure, and rank carry weight. Mitsubishi's decision-making often defers to senior figures even if younger staff contribute ideas. British teams expect merit-based authority, sometimes clashing when respect is accorded by hierarchy rather than performance.</w:t>
      </w:r>
    </w:p>
    <w:p w14:paraId="79FA1649" w14:textId="77777777" w:rsidR="000244A7" w:rsidRDefault="00000000">
      <w:pPr>
        <w:pStyle w:val="Body"/>
        <w:spacing w:before="240" w:after="240"/>
        <w:rPr>
          <w:b/>
          <w:bCs/>
        </w:rPr>
      </w:pPr>
      <w:r>
        <w:rPr>
          <w:b/>
          <w:bCs/>
          <w:lang w:val="en-US"/>
        </w:rPr>
        <w:t>Sequential vs. Synchronous Time</w:t>
      </w:r>
    </w:p>
    <w:p w14:paraId="0A35DB65" w14:textId="77777777" w:rsidR="000244A7" w:rsidRDefault="00000000">
      <w:pPr>
        <w:pStyle w:val="Body"/>
        <w:spacing w:before="240" w:after="240"/>
      </w:pPr>
      <w:r>
        <w:rPr>
          <w:lang w:val="en-US"/>
        </w:rPr>
        <w:t xml:space="preserve">British teams follow sequential time, </w:t>
      </w:r>
      <w:proofErr w:type="spellStart"/>
      <w:r>
        <w:rPr>
          <w:lang w:val="en-US"/>
        </w:rPr>
        <w:t>emphasising</w:t>
      </w:r>
      <w:proofErr w:type="spellEnd"/>
      <w:r>
        <w:rPr>
          <w:lang w:val="en-US"/>
        </w:rPr>
        <w:t xml:space="preserve"> punctuality and structured timelines. Japanese business practice, though punctual, also operates </w:t>
      </w:r>
      <w:proofErr w:type="gramStart"/>
      <w:r>
        <w:rPr>
          <w:lang w:val="en-US"/>
        </w:rPr>
        <w:t>synchronously—multiple</w:t>
      </w:r>
      <w:proofErr w:type="gramEnd"/>
      <w:r>
        <w:rPr>
          <w:lang w:val="en-US"/>
        </w:rPr>
        <w:t xml:space="preserve"> activities and discussions may overlap, and schedule flexibility is more accepted (Minato </w:t>
      </w:r>
      <w:proofErr w:type="spellStart"/>
      <w:r>
        <w:rPr>
          <w:lang w:val="en-US"/>
        </w:rPr>
        <w:t>Unesco</w:t>
      </w:r>
      <w:proofErr w:type="spellEnd"/>
      <w:r>
        <w:rPr>
          <w:lang w:val="en-US"/>
        </w:rPr>
        <w:t xml:space="preserve"> Association, 2022).</w:t>
      </w:r>
    </w:p>
    <w:p w14:paraId="4F2E6252" w14:textId="77777777" w:rsidR="000244A7" w:rsidRDefault="00000000">
      <w:pPr>
        <w:pStyle w:val="Body"/>
        <w:spacing w:before="240" w:after="240"/>
        <w:rPr>
          <w:b/>
          <w:bCs/>
        </w:rPr>
      </w:pPr>
      <w:r>
        <w:rPr>
          <w:b/>
          <w:bCs/>
          <w:lang w:val="pt-PT"/>
        </w:rPr>
        <w:t>Internal vs. External Direction</w:t>
      </w:r>
    </w:p>
    <w:p w14:paraId="417EB935" w14:textId="77777777" w:rsidR="000244A7" w:rsidRDefault="00000000">
      <w:pPr>
        <w:pStyle w:val="Body"/>
        <w:spacing w:before="240" w:after="240"/>
      </w:pPr>
      <w:r>
        <w:rPr>
          <w:lang w:val="en-US"/>
        </w:rPr>
        <w:t xml:space="preserve">The UK professionals trust in internal control, which determines results in advance. The Japanese culture is externally directed: Proceeds according to environment and social </w:t>
      </w:r>
      <w:proofErr w:type="spellStart"/>
      <w:r>
        <w:rPr>
          <w:lang w:val="en-US"/>
        </w:rPr>
        <w:t>signalling</w:t>
      </w:r>
      <w:proofErr w:type="spellEnd"/>
      <w:r>
        <w:rPr>
          <w:lang w:val="en-US"/>
        </w:rPr>
        <w:t xml:space="preserve">, makes decisions by general agreement instead of fixed objectives (Minato </w:t>
      </w:r>
      <w:proofErr w:type="spellStart"/>
      <w:r>
        <w:rPr>
          <w:lang w:val="en-US"/>
        </w:rPr>
        <w:t>Unesco</w:t>
      </w:r>
      <w:proofErr w:type="spellEnd"/>
      <w:r>
        <w:rPr>
          <w:lang w:val="en-US"/>
        </w:rPr>
        <w:t xml:space="preserve"> Association, 2022).</w:t>
      </w:r>
    </w:p>
    <w:p w14:paraId="359402CB" w14:textId="77777777" w:rsidR="000244A7" w:rsidRDefault="00000000">
      <w:pPr>
        <w:pStyle w:val="Body"/>
        <w:spacing w:before="240" w:after="240"/>
      </w:pPr>
      <w:r>
        <w:rPr>
          <w:lang w:val="en-US"/>
        </w:rPr>
        <w:lastRenderedPageBreak/>
        <w:t xml:space="preserve">Such cultural differences affect decision making: British groups can </w:t>
      </w:r>
      <w:proofErr w:type="spellStart"/>
      <w:r>
        <w:rPr>
          <w:lang w:val="en-US"/>
        </w:rPr>
        <w:t>emphasise</w:t>
      </w:r>
      <w:proofErr w:type="spellEnd"/>
      <w:r>
        <w:rPr>
          <w:lang w:val="en-US"/>
        </w:rPr>
        <w:t xml:space="preserve"> speed and individual contribution, whereas Japanese groups are close swung to a gradual and mutual way of proceeding and senior acceptance. Even leadership styles are different as in Britain, leaders believe in the idea of personal responsibility, Japanese leaders manage a group. These differences are found in business etiquette, where the British companies are concerned with efficiency and clarity whereas the Japanese companies expect relationship building, protocol and subordination to the hierarchy.</w:t>
      </w:r>
    </w:p>
    <w:p w14:paraId="0A3BE5BD" w14:textId="77777777" w:rsidR="000244A7" w:rsidRDefault="00000000">
      <w:pPr>
        <w:pStyle w:val="Heading"/>
        <w:rPr>
          <w:b/>
          <w:bCs/>
          <w:sz w:val="28"/>
          <w:szCs w:val="28"/>
        </w:rPr>
      </w:pPr>
      <w:bookmarkStart w:id="12" w:name="_ov47hc21x7nu"/>
      <w:bookmarkStart w:id="13" w:name="_Toc6"/>
      <w:bookmarkEnd w:id="12"/>
      <w:r>
        <w:rPr>
          <w:rFonts w:eastAsia="Arial Unicode MS" w:cs="Arial Unicode MS"/>
          <w:b/>
          <w:bCs/>
          <w:sz w:val="28"/>
          <w:szCs w:val="28"/>
        </w:rPr>
        <w:t>I</w:t>
      </w:r>
      <w:proofErr w:type="spellStart"/>
      <w:r>
        <w:rPr>
          <w:rFonts w:eastAsia="Arial Unicode MS" w:cs="Arial Unicode MS"/>
          <w:b/>
          <w:bCs/>
          <w:sz w:val="28"/>
          <w:szCs w:val="28"/>
          <w:lang w:val="en-US"/>
        </w:rPr>
        <w:t>mplications</w:t>
      </w:r>
      <w:proofErr w:type="spellEnd"/>
      <w:r>
        <w:rPr>
          <w:rFonts w:eastAsia="Arial Unicode MS" w:cs="Arial Unicode MS"/>
          <w:b/>
          <w:bCs/>
          <w:sz w:val="28"/>
          <w:szCs w:val="28"/>
          <w:lang w:val="en-US"/>
        </w:rPr>
        <w:t xml:space="preserve"> of Communication Differences in Business Practice</w:t>
      </w:r>
      <w:bookmarkEnd w:id="13"/>
    </w:p>
    <w:p w14:paraId="36E93BC8" w14:textId="77777777" w:rsidR="000244A7" w:rsidRDefault="00000000">
      <w:pPr>
        <w:pStyle w:val="Body"/>
        <w:spacing w:before="240" w:after="240"/>
      </w:pPr>
      <w:r>
        <w:rPr>
          <w:lang w:val="en-US"/>
        </w:rPr>
        <w:t xml:space="preserve">Mismatches in communication between teams in the UK and Japan, such as </w:t>
      </w:r>
      <w:r>
        <w:rPr>
          <w:b/>
          <w:bCs/>
          <w:lang w:val="it-IT"/>
        </w:rPr>
        <w:t>Unilever</w:t>
      </w:r>
      <w:r>
        <w:rPr>
          <w:lang w:val="en-US"/>
        </w:rPr>
        <w:t xml:space="preserve"> and </w:t>
      </w:r>
      <w:r>
        <w:rPr>
          <w:b/>
          <w:bCs/>
        </w:rPr>
        <w:t>Mitsubishi Corporation</w:t>
      </w:r>
      <w:r>
        <w:rPr>
          <w:lang w:val="en-US"/>
        </w:rPr>
        <w:t xml:space="preserve"> in a joint venture, can cause inefficiencies and cross-cultural tensions. Japanese Decision-making is usually hierarchical, with approvals based on consensus decision-making through levels. This </w:t>
      </w:r>
      <w:proofErr w:type="spellStart"/>
      <w:r>
        <w:rPr>
          <w:lang w:val="en-US"/>
        </w:rPr>
        <w:t>organisational</w:t>
      </w:r>
      <w:proofErr w:type="spellEnd"/>
      <w:r>
        <w:rPr>
          <w:lang w:val="en-US"/>
        </w:rPr>
        <w:t xml:space="preserve"> structure often increases </w:t>
      </w:r>
      <w:r>
        <w:rPr>
          <w:b/>
          <w:bCs/>
          <w:lang w:val="en-US"/>
        </w:rPr>
        <w:t>delays in projects</w:t>
      </w:r>
      <w:r>
        <w:rPr>
          <w:lang w:val="en-US"/>
        </w:rPr>
        <w:t xml:space="preserve">, which prove annoying to UK employees who are used to much faster, person-based decision making. UK teams can find the Japanese to be indecisive and too slow. There are also frustrating </w:t>
      </w:r>
      <w:r>
        <w:rPr>
          <w:b/>
          <w:bCs/>
          <w:lang w:val="en-US"/>
        </w:rPr>
        <w:t>Japanese indirect communication</w:t>
      </w:r>
      <w:r>
        <w:rPr>
          <w:lang w:val="en-US"/>
        </w:rPr>
        <w:t xml:space="preserve"> and </w:t>
      </w:r>
      <w:r>
        <w:rPr>
          <w:b/>
          <w:bCs/>
          <w:lang w:val="en-US"/>
        </w:rPr>
        <w:t>low-context rules</w:t>
      </w:r>
      <w:r>
        <w:rPr>
          <w:lang w:val="en-US"/>
        </w:rPr>
        <w:t xml:space="preserve"> both in style and manner, i.e. the UK counterparts, who believe in clarity, are mostly awaiting the directive, whereas Japanese counterparts understand that meaning is to be qualified. It will lead to mistrust and, over time, fuel confusion.</w:t>
      </w:r>
    </w:p>
    <w:p w14:paraId="2CA7435F" w14:textId="77777777" w:rsidR="000244A7" w:rsidRDefault="00000000">
      <w:pPr>
        <w:pStyle w:val="Body"/>
        <w:spacing w:before="240" w:after="240"/>
      </w:pPr>
      <w:r>
        <w:rPr>
          <w:lang w:val="en-US"/>
        </w:rPr>
        <w:t xml:space="preserve">The process of building trust in Japan is usually time-based, and symbolic instruments of relationship-building are the main issues </w:t>
      </w:r>
      <w:r>
        <w:rPr>
          <w:b/>
          <w:bCs/>
          <w:i/>
          <w:iCs/>
          <w:lang w:val="en-US"/>
        </w:rPr>
        <w:t>(Refer to week 4).</w:t>
      </w:r>
      <w:r>
        <w:rPr>
          <w:lang w:val="en-US"/>
        </w:rPr>
        <w:t xml:space="preserve"> The first experiences can revolve around rapport as opposed to deliverables, but the UK groups that are used to this work pressure need to see instant progress with the tasks. The UK team members tend to look at Japanese style as being relationally exorbitant or unbusinesslike due to this impediment.</w:t>
      </w:r>
    </w:p>
    <w:p w14:paraId="27D05394" w14:textId="77777777" w:rsidR="000244A7" w:rsidRDefault="00000000">
      <w:pPr>
        <w:pStyle w:val="Body"/>
        <w:spacing w:before="240" w:after="240"/>
      </w:pPr>
      <w:r>
        <w:rPr>
          <w:lang w:val="en-US"/>
        </w:rPr>
        <w:t xml:space="preserve">In a CSR and ethics perspective, UK </w:t>
      </w:r>
      <w:proofErr w:type="spellStart"/>
      <w:r>
        <w:rPr>
          <w:lang w:val="en-US"/>
        </w:rPr>
        <w:t>organisations</w:t>
      </w:r>
      <w:proofErr w:type="spellEnd"/>
      <w:r>
        <w:rPr>
          <w:lang w:val="en-US"/>
        </w:rPr>
        <w:t xml:space="preserve">, such as </w:t>
      </w:r>
      <w:r>
        <w:rPr>
          <w:b/>
          <w:bCs/>
        </w:rPr>
        <w:t>Unilever,</w:t>
      </w:r>
      <w:r>
        <w:rPr>
          <w:lang w:val="en-US"/>
        </w:rPr>
        <w:t xml:space="preserve"> would focus more on the governance that is based on formal rules and transparent reports as early as 2025 (Unilever, 2024). The Japanese companies, such as </w:t>
      </w:r>
      <w:r>
        <w:rPr>
          <w:b/>
          <w:bCs/>
        </w:rPr>
        <w:t>Mitsubishi</w:t>
      </w:r>
      <w:r>
        <w:rPr>
          <w:lang w:val="en-US"/>
        </w:rPr>
        <w:t xml:space="preserve">, </w:t>
      </w:r>
      <w:proofErr w:type="spellStart"/>
      <w:r>
        <w:rPr>
          <w:lang w:val="en-US"/>
        </w:rPr>
        <w:t>prioritise</w:t>
      </w:r>
      <w:proofErr w:type="spellEnd"/>
      <w:r>
        <w:rPr>
          <w:lang w:val="en-US"/>
        </w:rPr>
        <w:t xml:space="preserve"> the safety of products, the reputation of the stakeholders, and the slow introduction of CSR within a business strategy (Mitsubishi Corporation, 2025). These CSR expectations will affect a communication norm: the UK teams will need clear proof of ethical conduct, and the Japanese teams will demand hints of integrity after much time.</w:t>
      </w:r>
    </w:p>
    <w:p w14:paraId="7E2313DA" w14:textId="77777777" w:rsidR="000244A7" w:rsidRDefault="00000000">
      <w:pPr>
        <w:pStyle w:val="Heading"/>
        <w:rPr>
          <w:b/>
          <w:bCs/>
          <w:sz w:val="28"/>
          <w:szCs w:val="28"/>
        </w:rPr>
      </w:pPr>
      <w:bookmarkStart w:id="14" w:name="_x93glx58iqvr"/>
      <w:bookmarkStart w:id="15" w:name="_Toc7"/>
      <w:bookmarkEnd w:id="14"/>
      <w:r>
        <w:rPr>
          <w:rFonts w:eastAsia="Arial Unicode MS" w:cs="Arial Unicode MS"/>
          <w:b/>
          <w:bCs/>
          <w:sz w:val="28"/>
          <w:szCs w:val="28"/>
        </w:rPr>
        <w:lastRenderedPageBreak/>
        <w:t>S</w:t>
      </w:r>
      <w:proofErr w:type="spellStart"/>
      <w:r>
        <w:rPr>
          <w:rFonts w:eastAsia="Arial Unicode MS" w:cs="Arial Unicode MS"/>
          <w:b/>
          <w:bCs/>
          <w:sz w:val="28"/>
          <w:szCs w:val="28"/>
          <w:lang w:val="en-US"/>
        </w:rPr>
        <w:t>trategies</w:t>
      </w:r>
      <w:proofErr w:type="spellEnd"/>
      <w:r>
        <w:rPr>
          <w:rFonts w:eastAsia="Arial Unicode MS" w:cs="Arial Unicode MS"/>
          <w:b/>
          <w:bCs/>
          <w:sz w:val="28"/>
          <w:szCs w:val="28"/>
          <w:lang w:val="en-US"/>
        </w:rPr>
        <w:t xml:space="preserve"> for Effective Cross-Cultural Communication</w:t>
      </w:r>
      <w:bookmarkEnd w:id="15"/>
    </w:p>
    <w:p w14:paraId="22BD9027" w14:textId="77777777" w:rsidR="000244A7" w:rsidRDefault="00000000">
      <w:pPr>
        <w:pStyle w:val="Body"/>
        <w:spacing w:before="240" w:after="240"/>
      </w:pPr>
      <w:r>
        <w:rPr>
          <w:lang w:val="en-US"/>
        </w:rPr>
        <w:t xml:space="preserve">To solve encounters with communication in the UK and Japan business liaison, particularly </w:t>
      </w:r>
      <w:r>
        <w:rPr>
          <w:i/>
          <w:iCs/>
          <w:lang w:val="it-IT"/>
        </w:rPr>
        <w:t>Unilever</w:t>
      </w:r>
      <w:r>
        <w:rPr>
          <w:lang w:val="en-US"/>
        </w:rPr>
        <w:t xml:space="preserve"> and </w:t>
      </w:r>
      <w:r>
        <w:rPr>
          <w:i/>
          <w:iCs/>
        </w:rPr>
        <w:t>Mitsubishi Corporation</w:t>
      </w:r>
      <w:r>
        <w:rPr>
          <w:lang w:val="en-US"/>
        </w:rPr>
        <w:t xml:space="preserve">, </w:t>
      </w:r>
      <w:proofErr w:type="spellStart"/>
      <w:r>
        <w:rPr>
          <w:lang w:val="en-US"/>
        </w:rPr>
        <w:t>organisations</w:t>
      </w:r>
      <w:proofErr w:type="spellEnd"/>
      <w:r>
        <w:rPr>
          <w:lang w:val="en-US"/>
        </w:rPr>
        <w:t xml:space="preserve"> should introduce specific intercultural policies. To achieve clarity, trust and mutual respect, the next approaches should be implemented:</w:t>
      </w:r>
    </w:p>
    <w:p w14:paraId="5D4FE8AE" w14:textId="77777777" w:rsidR="000244A7" w:rsidRDefault="00000000">
      <w:pPr>
        <w:pStyle w:val="Body"/>
        <w:spacing w:before="240" w:after="240"/>
        <w:rPr>
          <w:b/>
          <w:bCs/>
        </w:rPr>
      </w:pPr>
      <w:r>
        <w:rPr>
          <w:b/>
          <w:bCs/>
          <w:lang w:val="en-US"/>
        </w:rPr>
        <w:t>1. Cultural Sensitivity Training</w:t>
      </w:r>
    </w:p>
    <w:p w14:paraId="5D9E441C" w14:textId="77777777" w:rsidR="000244A7" w:rsidRDefault="00000000">
      <w:pPr>
        <w:pStyle w:val="Body"/>
        <w:spacing w:before="240" w:after="240"/>
      </w:pPr>
      <w:r>
        <w:rPr>
          <w:lang w:val="en-US"/>
        </w:rPr>
        <w:t>Individuals should be able to understand how others communicate (such as how the Japanese are known to be hierarchical and how the UK are direct) through structured training on cultural norms (Tabata and Vrij, 2023). Simulations, case studies and materials based on the dimensions of Hofstede should be involved in training.</w:t>
      </w:r>
    </w:p>
    <w:p w14:paraId="1BA7CB67" w14:textId="77777777" w:rsidR="000244A7" w:rsidRDefault="00000000">
      <w:pPr>
        <w:pStyle w:val="Body"/>
        <w:spacing w:before="240" w:after="240"/>
        <w:rPr>
          <w:b/>
          <w:bCs/>
        </w:rPr>
      </w:pPr>
      <w:r>
        <w:rPr>
          <w:b/>
          <w:bCs/>
          <w:lang w:val="en-US"/>
        </w:rPr>
        <w:t>2. Feedback mechanisms and Active Listening</w:t>
      </w:r>
    </w:p>
    <w:p w14:paraId="0F32F11C" w14:textId="77777777" w:rsidR="000244A7" w:rsidRDefault="00000000">
      <w:pPr>
        <w:pStyle w:val="Body"/>
        <w:spacing w:before="240" w:after="240"/>
      </w:pPr>
      <w:r>
        <w:rPr>
          <w:lang w:val="en-US"/>
        </w:rPr>
        <w:t xml:space="preserve">Misinterpretation can be </w:t>
      </w:r>
      <w:proofErr w:type="spellStart"/>
      <w:r>
        <w:rPr>
          <w:lang w:val="en-US"/>
        </w:rPr>
        <w:t>minimised</w:t>
      </w:r>
      <w:proofErr w:type="spellEnd"/>
      <w:r>
        <w:rPr>
          <w:lang w:val="en-US"/>
        </w:rPr>
        <w:t xml:space="preserve"> by encouraging active listening with active paraphrasing of responses by both sides (</w:t>
      </w:r>
      <w:proofErr w:type="spellStart"/>
      <w:r>
        <w:rPr>
          <w:lang w:val="en-US"/>
        </w:rPr>
        <w:t>Aririguzoh</w:t>
      </w:r>
      <w:proofErr w:type="spellEnd"/>
      <w:r>
        <w:rPr>
          <w:lang w:val="en-US"/>
        </w:rPr>
        <w:t>, 2022). The teams of UK staff should be taught to be receptive to non-verbal cues such as silence or nodding in Japanese communities, and the Japanese staff must be assured that probing direct queries by UK staff is not hostile, but positive in nature.</w:t>
      </w:r>
    </w:p>
    <w:p w14:paraId="3058659D" w14:textId="77777777" w:rsidR="000244A7" w:rsidRDefault="00000000">
      <w:pPr>
        <w:pStyle w:val="Body"/>
        <w:spacing w:before="240" w:after="240"/>
        <w:rPr>
          <w:b/>
          <w:bCs/>
        </w:rPr>
      </w:pPr>
      <w:r>
        <w:rPr>
          <w:b/>
          <w:bCs/>
          <w:lang w:val="en-US"/>
        </w:rPr>
        <w:t>3. Trust and Building Relationships</w:t>
      </w:r>
    </w:p>
    <w:p w14:paraId="4A3EF27B" w14:textId="77777777" w:rsidR="000244A7" w:rsidRDefault="00000000">
      <w:pPr>
        <w:pStyle w:val="Body"/>
        <w:spacing w:before="240" w:after="240"/>
      </w:pPr>
      <w:r>
        <w:rPr>
          <w:lang w:val="en-US"/>
        </w:rPr>
        <w:t>The UK firms need to invest time into relationship-based communication, such as informal communication and meetings, eating together, and respectful greetings. So that long-term trust can be developed in a Japanese environment where business follows loyalty and harmony.</w:t>
      </w:r>
    </w:p>
    <w:p w14:paraId="6BE9263B" w14:textId="77777777" w:rsidR="000244A7" w:rsidRDefault="00000000">
      <w:pPr>
        <w:pStyle w:val="Heading"/>
        <w:rPr>
          <w:b/>
          <w:bCs/>
          <w:sz w:val="28"/>
          <w:szCs w:val="28"/>
        </w:rPr>
      </w:pPr>
      <w:bookmarkStart w:id="16" w:name="_gi1twoagxwcr"/>
      <w:bookmarkStart w:id="17" w:name="_Toc8"/>
      <w:bookmarkEnd w:id="16"/>
      <w:r>
        <w:rPr>
          <w:rFonts w:eastAsia="Arial Unicode MS" w:cs="Arial Unicode MS"/>
          <w:b/>
          <w:bCs/>
          <w:sz w:val="28"/>
          <w:szCs w:val="28"/>
        </w:rPr>
        <w:t>C</w:t>
      </w:r>
      <w:r>
        <w:rPr>
          <w:rFonts w:eastAsia="Arial Unicode MS" w:cs="Arial Unicode MS"/>
          <w:b/>
          <w:bCs/>
          <w:sz w:val="28"/>
          <w:szCs w:val="28"/>
          <w:lang w:val="it-IT"/>
        </w:rPr>
        <w:t>onclusion</w:t>
      </w:r>
      <w:bookmarkEnd w:id="17"/>
    </w:p>
    <w:p w14:paraId="6A6CA58F" w14:textId="77777777" w:rsidR="000244A7" w:rsidRDefault="00000000">
      <w:pPr>
        <w:pStyle w:val="Body"/>
      </w:pPr>
      <w:r>
        <w:rPr>
          <w:lang w:val="en-US"/>
        </w:rPr>
        <w:t xml:space="preserve">This essay has discussed the important communication variations between UK and Japanese teams, i.e. the low-context direct, individualistic style of the UK and the high-context indirect, group-oriented style of Japanese teams. Such differences affect </w:t>
      </w:r>
      <w:proofErr w:type="gramStart"/>
      <w:r>
        <w:rPr>
          <w:lang w:val="en-US"/>
        </w:rPr>
        <w:t>the trust</w:t>
      </w:r>
      <w:proofErr w:type="gramEnd"/>
      <w:r>
        <w:rPr>
          <w:lang w:val="en-US"/>
        </w:rPr>
        <w:t xml:space="preserve"> building, decision making, and business etiquette. Hofstede, Hall, and Trompenaars' framework inserts excellent information on cultural dimensions like hierarchy, time orientation, and relationship norms, which helps decode complicated issues between international cultures. In such global partnership arrangements as that between Unilever and Mitsubishi, their achievement depends </w:t>
      </w:r>
      <w:r>
        <w:rPr>
          <w:lang w:val="en-US"/>
        </w:rPr>
        <w:lastRenderedPageBreak/>
        <w:t>on building cultural intelligence, respecting each other, and aligning communication strategies. In the contemporary business world that spans across different countries, diverse cultures should be embraced thoughtfully and systematically to foster high-standard and sustainable collaboration of the international teams.</w:t>
      </w:r>
    </w:p>
    <w:p w14:paraId="6518502A" w14:textId="77777777" w:rsidR="000244A7" w:rsidRDefault="00000000">
      <w:pPr>
        <w:pStyle w:val="Body"/>
      </w:pPr>
      <w:bookmarkStart w:id="18" w:name="_pjdv2xe24ul"/>
      <w:bookmarkEnd w:id="18"/>
      <w:r>
        <w:rPr>
          <w:rFonts w:ascii="Arial Unicode MS" w:hAnsi="Arial Unicode MS"/>
        </w:rPr>
        <w:br w:type="page"/>
      </w:r>
    </w:p>
    <w:p w14:paraId="70C846B4" w14:textId="77777777" w:rsidR="000244A7" w:rsidRDefault="00000000">
      <w:pPr>
        <w:pStyle w:val="Heading"/>
        <w:rPr>
          <w:b/>
          <w:bCs/>
          <w:sz w:val="28"/>
          <w:szCs w:val="28"/>
        </w:rPr>
      </w:pPr>
      <w:bookmarkStart w:id="19" w:name="_fzvmajdce63o"/>
      <w:bookmarkStart w:id="20" w:name="_Toc9"/>
      <w:bookmarkEnd w:id="19"/>
      <w:r>
        <w:rPr>
          <w:rFonts w:eastAsia="Arial Unicode MS" w:cs="Arial Unicode MS"/>
          <w:b/>
          <w:bCs/>
          <w:sz w:val="28"/>
          <w:szCs w:val="28"/>
        </w:rPr>
        <w:lastRenderedPageBreak/>
        <w:t>R</w:t>
      </w:r>
      <w:r>
        <w:rPr>
          <w:rFonts w:eastAsia="Arial Unicode MS" w:cs="Arial Unicode MS"/>
          <w:b/>
          <w:bCs/>
          <w:sz w:val="28"/>
          <w:szCs w:val="28"/>
          <w:lang w:val="pt-PT"/>
        </w:rPr>
        <w:t>eference List</w:t>
      </w:r>
      <w:bookmarkEnd w:id="20"/>
    </w:p>
    <w:p w14:paraId="4E4D535D" w14:textId="77777777" w:rsidR="000244A7" w:rsidRDefault="00000000">
      <w:pPr>
        <w:pStyle w:val="Body"/>
        <w:spacing w:before="240" w:after="240"/>
        <w:rPr>
          <w:rStyle w:val="Hyperlink1"/>
        </w:rPr>
      </w:pPr>
      <w:proofErr w:type="spellStart"/>
      <w:r>
        <w:rPr>
          <w:lang w:val="en-US"/>
        </w:rPr>
        <w:t>Aririguzoh</w:t>
      </w:r>
      <w:proofErr w:type="spellEnd"/>
      <w:r>
        <w:rPr>
          <w:lang w:val="en-US"/>
        </w:rPr>
        <w:t xml:space="preserve">, S., 2022. Communication competencies, culture and SDGs: effective processes to cross-cultural communication. </w:t>
      </w:r>
      <w:r>
        <w:rPr>
          <w:i/>
          <w:iCs/>
          <w:lang w:val="en-US"/>
        </w:rPr>
        <w:t>Humanities and Social Sciences Communications</w:t>
      </w:r>
      <w:r>
        <w:t xml:space="preserve">, </w:t>
      </w:r>
      <w:r>
        <w:rPr>
          <w:i/>
          <w:iCs/>
        </w:rPr>
        <w:t>9</w:t>
      </w:r>
      <w:r>
        <w:t>(1), pp.1-11.</w:t>
      </w:r>
      <w:hyperlink r:id="rId12" w:history="1">
        <w:r w:rsidR="000244A7">
          <w:rPr>
            <w:rStyle w:val="Hyperlink0"/>
          </w:rPr>
          <w:t xml:space="preserve"> </w:t>
        </w:r>
      </w:hyperlink>
      <w:hyperlink r:id="rId13" w:history="1">
        <w:r w:rsidR="000244A7">
          <w:rPr>
            <w:rStyle w:val="Hyperlink1"/>
            <w:lang w:val="en-US"/>
          </w:rPr>
          <w:t>https://www.nature.com/articles/s41599-022-01109-4.pdf</w:t>
        </w:r>
      </w:hyperlink>
    </w:p>
    <w:p w14:paraId="0783E6E3" w14:textId="77777777" w:rsidR="000244A7" w:rsidRDefault="00000000">
      <w:pPr>
        <w:pStyle w:val="Body"/>
        <w:spacing w:before="240" w:after="240"/>
        <w:rPr>
          <w:rStyle w:val="Hyperlink1"/>
        </w:rPr>
      </w:pPr>
      <w:r>
        <w:rPr>
          <w:rStyle w:val="Hyperlink0"/>
          <w:lang w:val="en-US"/>
        </w:rPr>
        <w:t xml:space="preserve">Bennett, M.J., 2023. Paradigmatic assumptions and a developmental approach to intercultural learning. In </w:t>
      </w:r>
      <w:r>
        <w:rPr>
          <w:rStyle w:val="None"/>
          <w:i/>
          <w:iCs/>
          <w:lang w:val="en-US"/>
        </w:rPr>
        <w:t>Student learning abroad</w:t>
      </w:r>
      <w:r>
        <w:rPr>
          <w:rStyle w:val="Hyperlink0"/>
          <w:lang w:val="en-US"/>
        </w:rPr>
        <w:t xml:space="preserve"> (pp. 90-114). Routledge.</w:t>
      </w:r>
      <w:hyperlink r:id="rId14" w:history="1">
        <w:r w:rsidR="000244A7">
          <w:rPr>
            <w:rStyle w:val="Hyperlink0"/>
          </w:rPr>
          <w:t xml:space="preserve"> </w:t>
        </w:r>
      </w:hyperlink>
      <w:hyperlink r:id="rId15" w:history="1">
        <w:r w:rsidR="000244A7">
          <w:rPr>
            <w:rStyle w:val="Hyperlink1"/>
            <w:lang w:val="en-US"/>
          </w:rPr>
          <w:t>https://www.researchgate.net/profile/Milton-Bennett-2/publication/371839501_Paradigmatic_Assumptions_and_a_Developmental_Approach_to_Intercultural_Learning/links/66557414bc86444c72075538/Paradigmatic-Assumptions-and-a-Developmental-Approach-to-Intercultural-Learning.pdf</w:t>
        </w:r>
      </w:hyperlink>
    </w:p>
    <w:p w14:paraId="6A3D4C9B" w14:textId="77777777" w:rsidR="000244A7" w:rsidRDefault="00000000">
      <w:pPr>
        <w:pStyle w:val="Body"/>
        <w:spacing w:before="240" w:after="240"/>
        <w:rPr>
          <w:rStyle w:val="Hyperlink1"/>
        </w:rPr>
      </w:pPr>
      <w:proofErr w:type="spellStart"/>
      <w:r>
        <w:rPr>
          <w:rStyle w:val="Hyperlink0"/>
          <w:lang w:val="en-US"/>
        </w:rPr>
        <w:t>Bojadjiev</w:t>
      </w:r>
      <w:proofErr w:type="spellEnd"/>
      <w:r>
        <w:rPr>
          <w:rStyle w:val="Hyperlink0"/>
          <w:lang w:val="en-US"/>
        </w:rPr>
        <w:t xml:space="preserve">, M.I., </w:t>
      </w:r>
      <w:proofErr w:type="spellStart"/>
      <w:r>
        <w:rPr>
          <w:rStyle w:val="Hyperlink0"/>
          <w:lang w:val="en-US"/>
        </w:rPr>
        <w:t>Vaneva</w:t>
      </w:r>
      <w:proofErr w:type="spellEnd"/>
      <w:r>
        <w:rPr>
          <w:rStyle w:val="Hyperlink0"/>
          <w:lang w:val="en-US"/>
        </w:rPr>
        <w:t xml:space="preserve">, M., </w:t>
      </w:r>
      <w:proofErr w:type="spellStart"/>
      <w:r>
        <w:rPr>
          <w:rStyle w:val="Hyperlink0"/>
          <w:lang w:val="en-US"/>
        </w:rPr>
        <w:t>Tomovska</w:t>
      </w:r>
      <w:proofErr w:type="spellEnd"/>
      <w:r>
        <w:rPr>
          <w:rStyle w:val="Hyperlink0"/>
          <w:lang w:val="en-US"/>
        </w:rPr>
        <w:t xml:space="preserve"> </w:t>
      </w:r>
      <w:proofErr w:type="spellStart"/>
      <w:r>
        <w:rPr>
          <w:rStyle w:val="Hyperlink0"/>
          <w:lang w:val="en-US"/>
        </w:rPr>
        <w:t>Misoska</w:t>
      </w:r>
      <w:proofErr w:type="spellEnd"/>
      <w:r>
        <w:rPr>
          <w:rStyle w:val="Hyperlink0"/>
          <w:lang w:val="en-US"/>
        </w:rPr>
        <w:t xml:space="preserve">, A., Mileva, I. and Andonova, M., 2023. The ninth dimension of national culture: Unpacking cross-cultural communication styles. </w:t>
      </w:r>
      <w:r>
        <w:rPr>
          <w:rStyle w:val="None"/>
          <w:i/>
          <w:iCs/>
          <w:lang w:val="en-US"/>
        </w:rPr>
        <w:t>Interdisciplinary Description of Complex Systems: INDECS</w:t>
      </w:r>
      <w:r>
        <w:rPr>
          <w:rStyle w:val="Hyperlink0"/>
        </w:rPr>
        <w:t xml:space="preserve">, </w:t>
      </w:r>
      <w:r>
        <w:rPr>
          <w:rStyle w:val="None"/>
          <w:i/>
          <w:iCs/>
        </w:rPr>
        <w:t>21</w:t>
      </w:r>
      <w:r>
        <w:rPr>
          <w:rStyle w:val="Hyperlink0"/>
        </w:rPr>
        <w:t>(5), pp.471-494.</w:t>
      </w:r>
      <w:hyperlink r:id="rId16" w:history="1">
        <w:r w:rsidR="000244A7">
          <w:rPr>
            <w:rStyle w:val="Hyperlink0"/>
          </w:rPr>
          <w:t xml:space="preserve"> </w:t>
        </w:r>
      </w:hyperlink>
      <w:hyperlink r:id="rId17" w:history="1">
        <w:r w:rsidR="000244A7">
          <w:rPr>
            <w:rStyle w:val="Hyperlink1"/>
          </w:rPr>
          <w:t>https://hrcak.srce.hr/file/444501</w:t>
        </w:r>
      </w:hyperlink>
    </w:p>
    <w:p w14:paraId="4CB0D4B6" w14:textId="77777777" w:rsidR="000244A7" w:rsidRDefault="00000000">
      <w:pPr>
        <w:pStyle w:val="Body"/>
        <w:spacing w:before="240" w:after="240"/>
        <w:rPr>
          <w:rStyle w:val="Hyperlink1"/>
        </w:rPr>
      </w:pPr>
      <w:r>
        <w:rPr>
          <w:rStyle w:val="Hyperlink0"/>
          <w:lang w:val="en-US"/>
        </w:rPr>
        <w:t xml:space="preserve">Broeder, P., 2021. Informed communication in high context and low context cultures. </w:t>
      </w:r>
      <w:r>
        <w:rPr>
          <w:rStyle w:val="None"/>
          <w:i/>
          <w:iCs/>
          <w:lang w:val="en-US"/>
        </w:rPr>
        <w:t>Journal of Education, Innovation and Communication</w:t>
      </w:r>
      <w:r>
        <w:rPr>
          <w:rStyle w:val="Hyperlink0"/>
        </w:rPr>
        <w:t xml:space="preserve">, </w:t>
      </w:r>
      <w:r>
        <w:rPr>
          <w:rStyle w:val="None"/>
          <w:i/>
          <w:iCs/>
        </w:rPr>
        <w:t>3</w:t>
      </w:r>
      <w:r>
        <w:rPr>
          <w:rStyle w:val="Hyperlink0"/>
        </w:rPr>
        <w:t>(1), pp.13-24.</w:t>
      </w:r>
      <w:hyperlink r:id="rId18" w:history="1">
        <w:r w:rsidR="000244A7">
          <w:rPr>
            <w:rStyle w:val="Hyperlink0"/>
          </w:rPr>
          <w:t xml:space="preserve"> </w:t>
        </w:r>
      </w:hyperlink>
      <w:hyperlink r:id="rId19" w:history="1">
        <w:r w:rsidR="000244A7">
          <w:rPr>
            <w:rStyle w:val="Hyperlink1"/>
            <w:lang w:val="en-US"/>
          </w:rPr>
          <w:t>https://research.tilburguniversity.edu/files/50689011/1_2021_JUNE_JEICOM_Broeder_13_24.pdf</w:t>
        </w:r>
      </w:hyperlink>
    </w:p>
    <w:p w14:paraId="36DD345E" w14:textId="77777777" w:rsidR="000244A7" w:rsidRDefault="00000000">
      <w:pPr>
        <w:pStyle w:val="Body"/>
        <w:spacing w:before="240" w:after="240"/>
      </w:pPr>
      <w:r>
        <w:rPr>
          <w:rStyle w:val="Hyperlink0"/>
          <w:lang w:val="it-IT"/>
        </w:rPr>
        <w:t xml:space="preserve">Crisbiecoach, 2024. </w:t>
      </w:r>
      <w:proofErr w:type="spellStart"/>
      <w:r>
        <w:rPr>
          <w:rStyle w:val="None"/>
          <w:i/>
          <w:iCs/>
          <w:lang w:val="en-US"/>
        </w:rPr>
        <w:t>Haragei</w:t>
      </w:r>
      <w:proofErr w:type="spellEnd"/>
      <w:r>
        <w:rPr>
          <w:rStyle w:val="None"/>
          <w:i/>
          <w:iCs/>
          <w:lang w:val="en-US"/>
        </w:rPr>
        <w:t>: The Art of Unspoken Understanding - Wise &amp; Shine</w:t>
      </w:r>
      <w:r>
        <w:rPr>
          <w:rStyle w:val="Hyperlink0"/>
          <w:lang w:val="en-US"/>
        </w:rPr>
        <w:t>. [online] Wise &amp; Shine. Available at:</w:t>
      </w:r>
      <w:hyperlink r:id="rId20" w:history="1">
        <w:r w:rsidR="000244A7">
          <w:rPr>
            <w:rStyle w:val="Hyperlink0"/>
          </w:rPr>
          <w:t xml:space="preserve"> </w:t>
        </w:r>
      </w:hyperlink>
      <w:hyperlink r:id="rId21" w:history="1">
        <w:r w:rsidR="000244A7">
          <w:rPr>
            <w:rStyle w:val="Hyperlink1"/>
            <w:lang w:val="en-US"/>
          </w:rPr>
          <w:t>https://wiseandshinezine.com/2024/11/16/haragei-the-art-of-unspoken-understanding/</w:t>
        </w:r>
      </w:hyperlink>
      <w:r>
        <w:rPr>
          <w:rStyle w:val="Hyperlink0"/>
          <w:lang w:val="en-US"/>
        </w:rPr>
        <w:t xml:space="preserve"> [Accessed 12 Jul. 2025].</w:t>
      </w:r>
    </w:p>
    <w:p w14:paraId="5F2EC35A" w14:textId="77777777" w:rsidR="000244A7" w:rsidRDefault="00000000">
      <w:pPr>
        <w:pStyle w:val="Body"/>
        <w:spacing w:before="240" w:after="240"/>
      </w:pPr>
      <w:r>
        <w:rPr>
          <w:rStyle w:val="Hyperlink0"/>
          <w:lang w:val="en-US"/>
        </w:rPr>
        <w:t xml:space="preserve">FRC, 2024. </w:t>
      </w:r>
      <w:r>
        <w:rPr>
          <w:rStyle w:val="None"/>
          <w:i/>
          <w:iCs/>
          <w:lang w:val="pt-PT"/>
        </w:rPr>
        <w:t>UK Corporate Governance Code</w:t>
      </w:r>
      <w:r>
        <w:rPr>
          <w:rStyle w:val="Hyperlink0"/>
          <w:lang w:val="en-US"/>
        </w:rPr>
        <w:t>. [online] FRC (Financial Reporting Council). Available at:</w:t>
      </w:r>
      <w:hyperlink r:id="rId22" w:history="1">
        <w:r w:rsidR="000244A7">
          <w:rPr>
            <w:rStyle w:val="Hyperlink0"/>
          </w:rPr>
          <w:t xml:space="preserve"> </w:t>
        </w:r>
      </w:hyperlink>
      <w:hyperlink r:id="rId23" w:history="1">
        <w:r w:rsidR="000244A7">
          <w:rPr>
            <w:rStyle w:val="Hyperlink1"/>
            <w:lang w:val="en-US"/>
          </w:rPr>
          <w:t>https://www.frc.org.uk/library/standards-codes-policy/corporate-governance/uk-corporate-governance-code/</w:t>
        </w:r>
      </w:hyperlink>
      <w:r>
        <w:rPr>
          <w:rStyle w:val="Hyperlink0"/>
          <w:lang w:val="en-US"/>
        </w:rPr>
        <w:t xml:space="preserve"> [Accessed 12 Jul. 2025].</w:t>
      </w:r>
    </w:p>
    <w:p w14:paraId="20093F4B" w14:textId="77777777" w:rsidR="000244A7" w:rsidRDefault="00000000">
      <w:pPr>
        <w:pStyle w:val="Body"/>
        <w:spacing w:before="240" w:after="240"/>
        <w:rPr>
          <w:rStyle w:val="Hyperlink1"/>
        </w:rPr>
      </w:pPr>
      <w:r>
        <w:rPr>
          <w:rStyle w:val="Hyperlink0"/>
          <w:lang w:val="en-US"/>
        </w:rPr>
        <w:t xml:space="preserve">Khan, A. and Farooq, K., 2024. Cross-Border Mergers </w:t>
      </w:r>
      <w:proofErr w:type="gramStart"/>
      <w:r>
        <w:rPr>
          <w:rStyle w:val="Hyperlink0"/>
          <w:lang w:val="en-US"/>
        </w:rPr>
        <w:t>And</w:t>
      </w:r>
      <w:proofErr w:type="gramEnd"/>
      <w:r>
        <w:rPr>
          <w:rStyle w:val="Hyperlink0"/>
          <w:lang w:val="en-US"/>
        </w:rPr>
        <w:t xml:space="preserve"> Acquisitions: A Comprehensive Review </w:t>
      </w:r>
      <w:proofErr w:type="gramStart"/>
      <w:r>
        <w:rPr>
          <w:rStyle w:val="Hyperlink0"/>
          <w:lang w:val="en-US"/>
        </w:rPr>
        <w:t>Of</w:t>
      </w:r>
      <w:proofErr w:type="gramEnd"/>
      <w:r>
        <w:rPr>
          <w:rStyle w:val="Hyperlink0"/>
          <w:lang w:val="en-US"/>
        </w:rPr>
        <w:t xml:space="preserve"> Success Factors. </w:t>
      </w:r>
      <w:r>
        <w:rPr>
          <w:rStyle w:val="None"/>
          <w:i/>
          <w:iCs/>
          <w:lang w:val="en-US"/>
        </w:rPr>
        <w:t>Competitive Research Journal Archive</w:t>
      </w:r>
      <w:r>
        <w:rPr>
          <w:rStyle w:val="Hyperlink0"/>
        </w:rPr>
        <w:t xml:space="preserve">, </w:t>
      </w:r>
      <w:r>
        <w:rPr>
          <w:rStyle w:val="None"/>
          <w:i/>
          <w:iCs/>
        </w:rPr>
        <w:t>2</w:t>
      </w:r>
      <w:r>
        <w:rPr>
          <w:rStyle w:val="Hyperlink0"/>
        </w:rPr>
        <w:t>(02), pp.59-70.</w:t>
      </w:r>
      <w:hyperlink r:id="rId24" w:history="1">
        <w:r w:rsidR="000244A7">
          <w:rPr>
            <w:rStyle w:val="Hyperlink0"/>
          </w:rPr>
          <w:t xml:space="preserve"> </w:t>
        </w:r>
      </w:hyperlink>
      <w:hyperlink r:id="rId25" w:history="1">
        <w:r w:rsidR="000244A7">
          <w:rPr>
            <w:rStyle w:val="Hyperlink1"/>
            <w:lang w:val="en-US"/>
          </w:rPr>
          <w:t>http://thecrja.com/index.php/Journal/article/download/6/6</w:t>
        </w:r>
      </w:hyperlink>
    </w:p>
    <w:p w14:paraId="1DCDF3CB" w14:textId="77777777" w:rsidR="000244A7" w:rsidRDefault="00000000">
      <w:pPr>
        <w:pStyle w:val="Body"/>
        <w:spacing w:before="240" w:after="240"/>
      </w:pPr>
      <w:r>
        <w:rPr>
          <w:rStyle w:val="Hyperlink0"/>
        </w:rPr>
        <w:lastRenderedPageBreak/>
        <w:t xml:space="preserve">Lewis, L. 2025. </w:t>
      </w:r>
      <w:r>
        <w:rPr>
          <w:rStyle w:val="None"/>
          <w:i/>
          <w:iCs/>
          <w:lang w:val="en-US"/>
        </w:rPr>
        <w:t>Shareholder capitalism, the Japanese way</w:t>
      </w:r>
      <w:r>
        <w:rPr>
          <w:rStyle w:val="Hyperlink0"/>
          <w:lang w:val="en-US"/>
        </w:rPr>
        <w:t>. [</w:t>
      </w:r>
      <w:proofErr w:type="gramStart"/>
      <w:r>
        <w:rPr>
          <w:rStyle w:val="Hyperlink0"/>
          <w:lang w:val="en-US"/>
        </w:rPr>
        <w:t>online] @</w:t>
      </w:r>
      <w:proofErr w:type="gramEnd"/>
      <w:r>
        <w:rPr>
          <w:rStyle w:val="Hyperlink0"/>
          <w:lang w:val="en-US"/>
        </w:rPr>
        <w:t>FinancialTimes. Available at:</w:t>
      </w:r>
      <w:hyperlink r:id="rId26" w:history="1">
        <w:r w:rsidR="000244A7">
          <w:rPr>
            <w:rStyle w:val="Hyperlink0"/>
          </w:rPr>
          <w:t xml:space="preserve"> </w:t>
        </w:r>
      </w:hyperlink>
      <w:hyperlink r:id="rId27" w:history="1">
        <w:r w:rsidR="000244A7">
          <w:rPr>
            <w:rStyle w:val="Hyperlink1"/>
            <w:lang w:val="en-US"/>
          </w:rPr>
          <w:t>https://www.ft.com/content/3a4f7d46-7ca9-4145-b29c-a0c7bc6a7245</w:t>
        </w:r>
      </w:hyperlink>
      <w:r>
        <w:rPr>
          <w:rStyle w:val="Hyperlink0"/>
          <w:lang w:val="en-US"/>
        </w:rPr>
        <w:t xml:space="preserve"> [Accessed 12 Jul. 2025].</w:t>
      </w:r>
    </w:p>
    <w:p w14:paraId="010E7A88" w14:textId="77777777" w:rsidR="000244A7" w:rsidRDefault="00000000">
      <w:pPr>
        <w:pStyle w:val="Body"/>
        <w:spacing w:before="240" w:after="240"/>
      </w:pPr>
      <w:r>
        <w:rPr>
          <w:rStyle w:val="Hyperlink0"/>
          <w:lang w:val="en-US"/>
        </w:rPr>
        <w:t xml:space="preserve">Lo, Y.-Y. and Huang, C.-J. 2021. Differences in knowledge, uncertainty, and social context in four medical TV series from Taiwan, Japan, South Korea and the United States. </w:t>
      </w:r>
      <w:r>
        <w:rPr>
          <w:rStyle w:val="None"/>
          <w:i/>
          <w:iCs/>
          <w:lang w:val="en-US"/>
        </w:rPr>
        <w:t>Journal of Science Communication</w:t>
      </w:r>
      <w:r>
        <w:rPr>
          <w:rStyle w:val="Hyperlink0"/>
          <w:lang w:val="pt-PT"/>
        </w:rPr>
        <w:t>, 20(01), p.A01. doi:</w:t>
      </w:r>
      <w:r>
        <w:rPr>
          <w:rStyle w:val="Hyperlink0"/>
        </w:rPr>
        <w:fldChar w:fldCharType="begin"/>
      </w:r>
      <w:r>
        <w:rPr>
          <w:rStyle w:val="Hyperlink0"/>
        </w:rPr>
        <w:instrText xml:space="preserve"> HYPERLINK "https://doi.org/10.22323/2.20010201"</w:instrText>
      </w:r>
      <w:r>
        <w:rPr>
          <w:rStyle w:val="Hyperlink0"/>
        </w:rPr>
      </w:r>
      <w:r>
        <w:rPr>
          <w:rStyle w:val="Hyperlink0"/>
        </w:rPr>
        <w:fldChar w:fldCharType="separate"/>
      </w:r>
      <w:r>
        <w:rPr>
          <w:rStyle w:val="Hyperlink0"/>
        </w:rPr>
        <w:t xml:space="preserve"> </w:t>
      </w:r>
      <w:r>
        <w:fldChar w:fldCharType="end"/>
      </w:r>
      <w:hyperlink r:id="rId28" w:history="1">
        <w:r w:rsidR="000244A7">
          <w:rPr>
            <w:rStyle w:val="Hyperlink1"/>
          </w:rPr>
          <w:t>https://doi.org/10.22323/2.20010201</w:t>
        </w:r>
      </w:hyperlink>
      <w:r>
        <w:rPr>
          <w:rStyle w:val="Hyperlink0"/>
        </w:rPr>
        <w:t>.</w:t>
      </w:r>
    </w:p>
    <w:p w14:paraId="237F6755" w14:textId="77777777" w:rsidR="000244A7" w:rsidRDefault="00000000">
      <w:pPr>
        <w:pStyle w:val="Body"/>
        <w:spacing w:before="240" w:after="240"/>
        <w:rPr>
          <w:rStyle w:val="Hyperlink1"/>
        </w:rPr>
      </w:pPr>
      <w:r>
        <w:rPr>
          <w:rStyle w:val="Hyperlink0"/>
          <w:lang w:val="en-US"/>
        </w:rPr>
        <w:t>Mehra, N., 2025. Bridging Business Cultures: Japan</w:t>
      </w:r>
      <w:r>
        <w:rPr>
          <w:rStyle w:val="Hyperlink0"/>
          <w:rtl/>
        </w:rPr>
        <w:t>’</w:t>
      </w:r>
      <w:r>
        <w:rPr>
          <w:rStyle w:val="Hyperlink0"/>
          <w:lang w:val="en-US"/>
        </w:rPr>
        <w:t>s Relationship-Driven Model vs. the West</w:t>
      </w:r>
      <w:r>
        <w:rPr>
          <w:rStyle w:val="Hyperlink0"/>
          <w:rtl/>
        </w:rPr>
        <w:t>’</w:t>
      </w:r>
      <w:r>
        <w:rPr>
          <w:rStyle w:val="Hyperlink0"/>
          <w:lang w:val="en-US"/>
        </w:rPr>
        <w:t xml:space="preserve">s Transactional Approach. </w:t>
      </w:r>
      <w:r>
        <w:rPr>
          <w:rStyle w:val="None"/>
          <w:i/>
          <w:iCs/>
          <w:lang w:val="en-US"/>
        </w:rPr>
        <w:t>Available at SSRN 5167932</w:t>
      </w:r>
      <w:r>
        <w:rPr>
          <w:rStyle w:val="Hyperlink0"/>
        </w:rPr>
        <w:t>.</w:t>
      </w:r>
      <w:hyperlink r:id="rId29" w:history="1">
        <w:r w:rsidR="000244A7">
          <w:rPr>
            <w:rStyle w:val="Hyperlink0"/>
          </w:rPr>
          <w:t xml:space="preserve"> </w:t>
        </w:r>
      </w:hyperlink>
      <w:hyperlink r:id="rId30" w:history="1">
        <w:r w:rsidR="000244A7">
          <w:rPr>
            <w:rStyle w:val="Hyperlink1"/>
            <w:lang w:val="en-US"/>
          </w:rPr>
          <w:t>https://papers.ssrn.com/sol3/Delivery.cfm?abstractid=5167932</w:t>
        </w:r>
      </w:hyperlink>
    </w:p>
    <w:p w14:paraId="69ABFCFF" w14:textId="77777777" w:rsidR="000244A7" w:rsidRDefault="00000000">
      <w:pPr>
        <w:pStyle w:val="Body"/>
        <w:spacing w:before="240" w:after="240"/>
      </w:pPr>
      <w:r>
        <w:rPr>
          <w:rStyle w:val="Hyperlink0"/>
          <w:lang w:val="it-IT"/>
        </w:rPr>
        <w:t xml:space="preserve">Minato Unesco Association, 2022. </w:t>
      </w:r>
      <w:r>
        <w:rPr>
          <w:rStyle w:val="None"/>
          <w:i/>
          <w:iCs/>
          <w:lang w:val="en-US"/>
        </w:rPr>
        <w:t>The UK and Japan: Similarities and Differences</w:t>
      </w:r>
      <w:r>
        <w:rPr>
          <w:rStyle w:val="Hyperlink0"/>
          <w:lang w:val="en-US"/>
        </w:rPr>
        <w:t xml:space="preserve">. [online] Minato </w:t>
      </w:r>
      <w:proofErr w:type="spellStart"/>
      <w:r>
        <w:rPr>
          <w:rStyle w:val="Hyperlink0"/>
          <w:lang w:val="en-US"/>
        </w:rPr>
        <w:t>Unesco</w:t>
      </w:r>
      <w:proofErr w:type="spellEnd"/>
      <w:r>
        <w:rPr>
          <w:rStyle w:val="Hyperlink0"/>
          <w:lang w:val="en-US"/>
        </w:rPr>
        <w:t xml:space="preserve"> Association. Available at:</w:t>
      </w:r>
      <w:hyperlink r:id="rId31" w:history="1">
        <w:r w:rsidR="000244A7">
          <w:rPr>
            <w:rStyle w:val="Hyperlink0"/>
          </w:rPr>
          <w:t xml:space="preserve"> </w:t>
        </w:r>
      </w:hyperlink>
      <w:hyperlink r:id="rId32" w:history="1">
        <w:r w:rsidR="000244A7">
          <w:rPr>
            <w:rStyle w:val="Hyperlink1"/>
            <w:lang w:val="en-US"/>
          </w:rPr>
          <w:t>https://minato-unesco.jp/en/report/post-1363/</w:t>
        </w:r>
      </w:hyperlink>
      <w:r>
        <w:rPr>
          <w:rStyle w:val="Hyperlink0"/>
          <w:lang w:val="en-US"/>
        </w:rPr>
        <w:t xml:space="preserve"> [Accessed 12 Jul. 2025].</w:t>
      </w:r>
    </w:p>
    <w:p w14:paraId="0615B52B" w14:textId="77777777" w:rsidR="000244A7" w:rsidRDefault="00000000">
      <w:pPr>
        <w:pStyle w:val="Body"/>
        <w:spacing w:before="240" w:after="240"/>
      </w:pPr>
      <w:r>
        <w:rPr>
          <w:rStyle w:val="Hyperlink0"/>
        </w:rPr>
        <w:t xml:space="preserve">Mitsubishi Corporation, 2025. </w:t>
      </w:r>
      <w:r>
        <w:rPr>
          <w:rStyle w:val="None"/>
          <w:i/>
          <w:iCs/>
          <w:lang w:val="en-US"/>
        </w:rPr>
        <w:t>SUSTAINABILITY REPORT 2024_Environment Social Governance</w:t>
      </w:r>
      <w:r>
        <w:rPr>
          <w:rStyle w:val="Hyperlink0"/>
          <w:lang w:val="en-US"/>
        </w:rPr>
        <w:t>. [online] Available at:</w:t>
      </w:r>
      <w:hyperlink r:id="rId33" w:history="1">
        <w:r w:rsidR="000244A7">
          <w:rPr>
            <w:rStyle w:val="Hyperlink0"/>
          </w:rPr>
          <w:t xml:space="preserve"> </w:t>
        </w:r>
      </w:hyperlink>
      <w:hyperlink r:id="rId34" w:history="1">
        <w:r w:rsidR="000244A7">
          <w:rPr>
            <w:rStyle w:val="Hyperlink1"/>
            <w:lang w:val="en-US"/>
          </w:rPr>
          <w:t>https://www.mitsubishicorp.com/jp/en/ir/library/esg/pdf/202501en.pdf</w:t>
        </w:r>
      </w:hyperlink>
      <w:r>
        <w:rPr>
          <w:rStyle w:val="Hyperlink0"/>
          <w:lang w:val="en-US"/>
        </w:rPr>
        <w:t xml:space="preserve"> [Accessed 12 Jul. 2025].</w:t>
      </w:r>
    </w:p>
    <w:p w14:paraId="09D3EB6C" w14:textId="77777777" w:rsidR="000244A7" w:rsidRDefault="00000000">
      <w:pPr>
        <w:pStyle w:val="Body"/>
        <w:spacing w:before="240" w:after="240"/>
        <w:rPr>
          <w:rStyle w:val="Hyperlink1"/>
        </w:rPr>
      </w:pPr>
      <w:r>
        <w:rPr>
          <w:rStyle w:val="Hyperlink0"/>
          <w:lang w:val="en-US"/>
        </w:rPr>
        <w:t xml:space="preserve">Ozturk, M.B. and Berber, A., 2022. </w:t>
      </w:r>
      <w:proofErr w:type="spellStart"/>
      <w:r>
        <w:rPr>
          <w:rStyle w:val="Hyperlink0"/>
          <w:lang w:val="en-US"/>
        </w:rPr>
        <w:t>Racialised</w:t>
      </w:r>
      <w:proofErr w:type="spellEnd"/>
      <w:r>
        <w:rPr>
          <w:rStyle w:val="Hyperlink0"/>
          <w:lang w:val="en-US"/>
        </w:rPr>
        <w:t xml:space="preserve"> professionals</w:t>
      </w:r>
      <w:r>
        <w:rPr>
          <w:rStyle w:val="Hyperlink0"/>
          <w:rtl/>
        </w:rPr>
        <w:t xml:space="preserve">’ </w:t>
      </w:r>
      <w:r>
        <w:rPr>
          <w:rStyle w:val="Hyperlink0"/>
          <w:lang w:val="en-US"/>
        </w:rPr>
        <w:t xml:space="preserve">experiences of selective incivility in </w:t>
      </w:r>
      <w:proofErr w:type="spellStart"/>
      <w:r>
        <w:rPr>
          <w:rStyle w:val="Hyperlink0"/>
          <w:lang w:val="en-US"/>
        </w:rPr>
        <w:t>organisations</w:t>
      </w:r>
      <w:proofErr w:type="spellEnd"/>
      <w:r>
        <w:rPr>
          <w:rStyle w:val="Hyperlink0"/>
          <w:lang w:val="en-US"/>
        </w:rPr>
        <w:t xml:space="preserve">: A multi-level analysis of subtle racism. </w:t>
      </w:r>
      <w:proofErr w:type="spellStart"/>
      <w:proofErr w:type="gramStart"/>
      <w:r>
        <w:rPr>
          <w:rStyle w:val="None"/>
          <w:i/>
          <w:iCs/>
          <w:lang w:val="fr-FR"/>
        </w:rPr>
        <w:t>human</w:t>
      </w:r>
      <w:proofErr w:type="spellEnd"/>
      <w:proofErr w:type="gramEnd"/>
      <w:r>
        <w:rPr>
          <w:rStyle w:val="None"/>
          <w:i/>
          <w:iCs/>
          <w:lang w:val="fr-FR"/>
        </w:rPr>
        <w:t xml:space="preserve"> relations</w:t>
      </w:r>
      <w:r>
        <w:rPr>
          <w:rStyle w:val="Hyperlink0"/>
        </w:rPr>
        <w:t xml:space="preserve">, </w:t>
      </w:r>
      <w:r>
        <w:rPr>
          <w:rStyle w:val="None"/>
          <w:i/>
          <w:iCs/>
        </w:rPr>
        <w:t>75</w:t>
      </w:r>
      <w:r>
        <w:rPr>
          <w:rStyle w:val="Hyperlink0"/>
        </w:rPr>
        <w:t>(2), pp.213-239.</w:t>
      </w:r>
      <w:hyperlink r:id="rId35" w:history="1">
        <w:r w:rsidR="000244A7">
          <w:rPr>
            <w:rStyle w:val="Hyperlink0"/>
          </w:rPr>
          <w:t xml:space="preserve"> </w:t>
        </w:r>
      </w:hyperlink>
      <w:hyperlink r:id="rId36" w:history="1">
        <w:r w:rsidR="000244A7">
          <w:rPr>
            <w:rStyle w:val="Hyperlink1"/>
            <w:lang w:val="en-US"/>
          </w:rPr>
          <w:t>https://journals.sagepub.com/doi/pdf/10.1177/0018726720957727</w:t>
        </w:r>
      </w:hyperlink>
    </w:p>
    <w:p w14:paraId="21FB3593" w14:textId="77777777" w:rsidR="000244A7" w:rsidRDefault="00000000">
      <w:pPr>
        <w:pStyle w:val="Body"/>
        <w:spacing w:before="240" w:after="240"/>
        <w:rPr>
          <w:rStyle w:val="Hyperlink1"/>
        </w:rPr>
      </w:pPr>
      <w:r>
        <w:rPr>
          <w:rStyle w:val="Hyperlink0"/>
          <w:lang w:val="en-US"/>
        </w:rPr>
        <w:t xml:space="preserve">Rear, D., 2022, August. Persisting values in the Japanese workplace: managerial attitudes towards work skills. In </w:t>
      </w:r>
      <w:r>
        <w:rPr>
          <w:rStyle w:val="None"/>
          <w:i/>
          <w:iCs/>
        </w:rPr>
        <w:t>Japan forum</w:t>
      </w:r>
      <w:r>
        <w:rPr>
          <w:rStyle w:val="Hyperlink0"/>
          <w:lang w:val="en-US"/>
        </w:rPr>
        <w:t xml:space="preserve"> (Vol. 34, No. 4, pp. 493-513). Routledge.</w:t>
      </w:r>
      <w:hyperlink r:id="rId37" w:history="1">
        <w:r w:rsidR="000244A7">
          <w:rPr>
            <w:rStyle w:val="Hyperlink0"/>
          </w:rPr>
          <w:t xml:space="preserve"> </w:t>
        </w:r>
      </w:hyperlink>
      <w:hyperlink r:id="rId38" w:history="1">
        <w:r w:rsidR="000244A7">
          <w:rPr>
            <w:rStyle w:val="Hyperlink1"/>
            <w:lang w:val="en-US"/>
          </w:rPr>
          <w:t>https://www.academia.edu/download/62692752/Persisting_values_in_the_Japanese_workplace20200401-20264-ecz1qz.pdf</w:t>
        </w:r>
      </w:hyperlink>
    </w:p>
    <w:p w14:paraId="3D4309BE" w14:textId="77777777" w:rsidR="000244A7" w:rsidRDefault="00000000">
      <w:pPr>
        <w:pStyle w:val="Body"/>
        <w:spacing w:before="240" w:after="240"/>
        <w:rPr>
          <w:rStyle w:val="Hyperlink1"/>
        </w:rPr>
      </w:pPr>
      <w:r>
        <w:rPr>
          <w:rStyle w:val="Hyperlink0"/>
          <w:lang w:val="en-US"/>
        </w:rPr>
        <w:t xml:space="preserve">Sokol, E., 2021. The fate of universalism in global insolvency: neoconservatism and new horizons. </w:t>
      </w:r>
      <w:r>
        <w:rPr>
          <w:rStyle w:val="None"/>
          <w:i/>
          <w:iCs/>
          <w:lang w:val="en-US"/>
        </w:rPr>
        <w:t>Hastings Int'l &amp; Comp. L. Rev.</w:t>
      </w:r>
      <w:r>
        <w:rPr>
          <w:rStyle w:val="Hyperlink0"/>
        </w:rPr>
        <w:t xml:space="preserve">, </w:t>
      </w:r>
      <w:r>
        <w:rPr>
          <w:rStyle w:val="None"/>
          <w:i/>
          <w:iCs/>
        </w:rPr>
        <w:t>44</w:t>
      </w:r>
      <w:r>
        <w:rPr>
          <w:rStyle w:val="Hyperlink0"/>
        </w:rPr>
        <w:t>, p.39.</w:t>
      </w:r>
      <w:hyperlink r:id="rId39" w:history="1">
        <w:r w:rsidR="000244A7">
          <w:rPr>
            <w:rStyle w:val="Hyperlink0"/>
          </w:rPr>
          <w:t xml:space="preserve"> </w:t>
        </w:r>
      </w:hyperlink>
      <w:hyperlink r:id="rId40" w:history="1">
        <w:r w:rsidR="000244A7">
          <w:rPr>
            <w:rStyle w:val="Hyperlink1"/>
            <w:lang w:val="en-US"/>
          </w:rPr>
          <w:t>https://repository.uclawsf.edu/cgi/viewcontent.cgi?article=1856&amp;context=hastings_international_comparative_law_review</w:t>
        </w:r>
      </w:hyperlink>
    </w:p>
    <w:p w14:paraId="4FD9807C" w14:textId="77777777" w:rsidR="000244A7" w:rsidRDefault="00000000">
      <w:pPr>
        <w:pStyle w:val="Body"/>
        <w:spacing w:before="240" w:after="240"/>
        <w:rPr>
          <w:rStyle w:val="Hyperlink1"/>
        </w:rPr>
      </w:pPr>
      <w:r>
        <w:rPr>
          <w:rStyle w:val="Hyperlink0"/>
          <w:lang w:val="en-US"/>
        </w:rPr>
        <w:lastRenderedPageBreak/>
        <w:t xml:space="preserve">Tabata, N. and Vrij, A., 2023. Differences between Japanese and British participants in self-reported verbal strategies to appear convincing. </w:t>
      </w:r>
      <w:r>
        <w:rPr>
          <w:rStyle w:val="None"/>
          <w:i/>
          <w:iCs/>
          <w:lang w:val="en-US"/>
        </w:rPr>
        <w:t>Psychiatry, Psychology and Law</w:t>
      </w:r>
      <w:r>
        <w:rPr>
          <w:rStyle w:val="Hyperlink0"/>
        </w:rPr>
        <w:t xml:space="preserve">, </w:t>
      </w:r>
      <w:r>
        <w:rPr>
          <w:rStyle w:val="None"/>
          <w:i/>
          <w:iCs/>
        </w:rPr>
        <w:t>30</w:t>
      </w:r>
      <w:r>
        <w:rPr>
          <w:rStyle w:val="Hyperlink0"/>
        </w:rPr>
        <w:t>(2), pp.177-191.</w:t>
      </w:r>
      <w:hyperlink r:id="rId41" w:history="1">
        <w:r w:rsidR="000244A7">
          <w:rPr>
            <w:rStyle w:val="Hyperlink0"/>
          </w:rPr>
          <w:t xml:space="preserve"> </w:t>
        </w:r>
      </w:hyperlink>
      <w:hyperlink r:id="rId42" w:history="1">
        <w:r w:rsidR="000244A7">
          <w:rPr>
            <w:rStyle w:val="Hyperlink1"/>
            <w:lang w:val="en-US"/>
          </w:rPr>
          <w:t>https://pmc.ncbi.nlm.nih.gov/articles/PMC10026762/pdf/TPPL_30_2003269.pdf</w:t>
        </w:r>
      </w:hyperlink>
    </w:p>
    <w:p w14:paraId="6622F34E" w14:textId="77777777" w:rsidR="000244A7" w:rsidRDefault="00000000">
      <w:pPr>
        <w:pStyle w:val="Body"/>
        <w:spacing w:before="240" w:after="240"/>
      </w:pPr>
      <w:r>
        <w:rPr>
          <w:rStyle w:val="Hyperlink0"/>
          <w:lang w:val="en-US"/>
        </w:rPr>
        <w:t xml:space="preserve">The Culture Factor Group, 2025. </w:t>
      </w:r>
      <w:r>
        <w:rPr>
          <w:rStyle w:val="None"/>
          <w:i/>
          <w:iCs/>
          <w:lang w:val="en-US"/>
        </w:rPr>
        <w:t>Country comparison tool</w:t>
      </w:r>
      <w:r>
        <w:rPr>
          <w:rStyle w:val="Hyperlink0"/>
          <w:lang w:val="en-US"/>
        </w:rPr>
        <w:t>. [online] Theculturefactor.com. Available at:</w:t>
      </w:r>
      <w:hyperlink r:id="rId43" w:history="1">
        <w:r w:rsidR="000244A7">
          <w:rPr>
            <w:rStyle w:val="Hyperlink0"/>
          </w:rPr>
          <w:t xml:space="preserve"> </w:t>
        </w:r>
      </w:hyperlink>
      <w:hyperlink r:id="rId44" w:history="1">
        <w:r w:rsidR="000244A7">
          <w:rPr>
            <w:rStyle w:val="Hyperlink1"/>
            <w:lang w:val="en-US"/>
          </w:rPr>
          <w:t>https://www.theculturefactor.com/country-comparison-tool?countries=japan%2Cunited+kingdom</w:t>
        </w:r>
      </w:hyperlink>
      <w:r>
        <w:rPr>
          <w:rStyle w:val="Hyperlink0"/>
          <w:lang w:val="en-US"/>
        </w:rPr>
        <w:t xml:space="preserve"> [Accessed 12 Jul. 2025].</w:t>
      </w:r>
    </w:p>
    <w:p w14:paraId="65DCE481" w14:textId="77777777" w:rsidR="000244A7" w:rsidRDefault="00000000">
      <w:pPr>
        <w:pStyle w:val="Body"/>
        <w:spacing w:before="240" w:after="240"/>
      </w:pPr>
      <w:r>
        <w:rPr>
          <w:rStyle w:val="Hyperlink0"/>
          <w:lang w:val="it-IT"/>
        </w:rPr>
        <w:t xml:space="preserve">Treanor, J. 2025. </w:t>
      </w:r>
      <w:r>
        <w:rPr>
          <w:rStyle w:val="None"/>
          <w:i/>
          <w:iCs/>
          <w:lang w:val="en-US"/>
        </w:rPr>
        <w:t>Watchdog takes the axe to City stewardship code</w:t>
      </w:r>
      <w:r>
        <w:rPr>
          <w:rStyle w:val="Hyperlink0"/>
          <w:lang w:val="en-US"/>
        </w:rPr>
        <w:t>. [online] Thetimes.com. Available at:</w:t>
      </w:r>
      <w:hyperlink r:id="rId45" w:history="1">
        <w:r w:rsidR="000244A7">
          <w:rPr>
            <w:rStyle w:val="Hyperlink0"/>
          </w:rPr>
          <w:t xml:space="preserve"> </w:t>
        </w:r>
      </w:hyperlink>
      <w:hyperlink r:id="rId46" w:history="1">
        <w:r w:rsidR="000244A7">
          <w:rPr>
            <w:rStyle w:val="Hyperlink1"/>
            <w:lang w:val="en-US"/>
          </w:rPr>
          <w:t>https://www.thetimes.com/business-money/companies/article/watchdog-takes-the-axe-to-city-stewardship-code-698wbhv6m</w:t>
        </w:r>
      </w:hyperlink>
      <w:r>
        <w:rPr>
          <w:rStyle w:val="Hyperlink0"/>
          <w:lang w:val="en-US"/>
        </w:rPr>
        <w:t xml:space="preserve"> [Accessed 12 Jul. 2025].</w:t>
      </w:r>
    </w:p>
    <w:p w14:paraId="66371BA7" w14:textId="77777777" w:rsidR="000244A7" w:rsidRDefault="00000000">
      <w:pPr>
        <w:pStyle w:val="Body"/>
        <w:spacing w:before="240" w:after="240"/>
      </w:pPr>
      <w:r>
        <w:rPr>
          <w:rStyle w:val="Hyperlink0"/>
        </w:rPr>
        <w:t xml:space="preserve">Unilever PLC, 2025. </w:t>
      </w:r>
      <w:r>
        <w:rPr>
          <w:rStyle w:val="None"/>
          <w:i/>
          <w:iCs/>
          <w:lang w:val="en-US"/>
        </w:rPr>
        <w:t>Overview q4-2024</w:t>
      </w:r>
      <w:r>
        <w:rPr>
          <w:rStyle w:val="Hyperlink0"/>
          <w:lang w:val="en-US"/>
        </w:rPr>
        <w:t>. [online] Unilever. Available at:</w:t>
      </w:r>
      <w:hyperlink r:id="rId47" w:history="1">
        <w:r w:rsidR="000244A7">
          <w:rPr>
            <w:rStyle w:val="Hyperlink0"/>
          </w:rPr>
          <w:t xml:space="preserve"> </w:t>
        </w:r>
      </w:hyperlink>
      <w:hyperlink r:id="rId48" w:history="1">
        <w:r w:rsidR="000244A7">
          <w:rPr>
            <w:rStyle w:val="Hyperlink1"/>
            <w:lang w:val="en-US"/>
          </w:rPr>
          <w:t>https://www.unilever.com/investors/results-presentations-webcasts/overview-q4-2024/</w:t>
        </w:r>
      </w:hyperlink>
      <w:r>
        <w:rPr>
          <w:rStyle w:val="Hyperlink0"/>
          <w:lang w:val="en-US"/>
        </w:rPr>
        <w:t xml:space="preserve"> [Accessed 12 Jul. 2025].</w:t>
      </w:r>
    </w:p>
    <w:p w14:paraId="6B2CB9FF" w14:textId="77777777" w:rsidR="000244A7" w:rsidRDefault="00000000">
      <w:pPr>
        <w:pStyle w:val="Body"/>
        <w:spacing w:before="240" w:after="240"/>
      </w:pPr>
      <w:r>
        <w:rPr>
          <w:rStyle w:val="Hyperlink0"/>
          <w:lang w:val="en-US"/>
        </w:rPr>
        <w:t xml:space="preserve">Unilever, 2024. </w:t>
      </w:r>
      <w:r>
        <w:rPr>
          <w:rStyle w:val="None"/>
          <w:i/>
          <w:iCs/>
          <w:lang w:val="en-US"/>
        </w:rPr>
        <w:t>Responsible business</w:t>
      </w:r>
      <w:r>
        <w:rPr>
          <w:rStyle w:val="Hyperlink0"/>
          <w:lang w:val="en-US"/>
        </w:rPr>
        <w:t>. [online] Unilever. Available at:</w:t>
      </w:r>
      <w:hyperlink r:id="rId49" w:history="1">
        <w:r w:rsidR="000244A7">
          <w:rPr>
            <w:rStyle w:val="Hyperlink0"/>
          </w:rPr>
          <w:t xml:space="preserve"> </w:t>
        </w:r>
      </w:hyperlink>
      <w:hyperlink r:id="rId50" w:history="1">
        <w:r w:rsidR="000244A7">
          <w:rPr>
            <w:rStyle w:val="Hyperlink1"/>
            <w:lang w:val="en-US"/>
          </w:rPr>
          <w:t>https://www.unilever.com/sustainability/responsible-business/</w:t>
        </w:r>
      </w:hyperlink>
      <w:r>
        <w:rPr>
          <w:rStyle w:val="Hyperlink0"/>
          <w:lang w:val="en-US"/>
        </w:rPr>
        <w:t xml:space="preserve"> [Accessed 12 Jul. 2025].</w:t>
      </w:r>
    </w:p>
    <w:p w14:paraId="2DE84DCB" w14:textId="77777777" w:rsidR="000244A7" w:rsidRDefault="000244A7">
      <w:pPr>
        <w:pStyle w:val="Body"/>
        <w:spacing w:before="240" w:after="240"/>
      </w:pPr>
    </w:p>
    <w:sectPr w:rsidR="000244A7">
      <w:headerReference w:type="even" r:id="rId51"/>
      <w:headerReference w:type="default" r:id="rId52"/>
      <w:footerReference w:type="even" r:id="rId53"/>
      <w:footerReference w:type="default" r:id="rId54"/>
      <w:headerReference w:type="first" r:id="rId55"/>
      <w:footerReference w:type="first" r:id="rId56"/>
      <w:pgSz w:w="11900" w:h="16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5D83B" w14:textId="77777777" w:rsidR="00BF6EDE" w:rsidRDefault="00BF6EDE">
      <w:r>
        <w:separator/>
      </w:r>
    </w:p>
  </w:endnote>
  <w:endnote w:type="continuationSeparator" w:id="0">
    <w:p w14:paraId="06285D85" w14:textId="77777777" w:rsidR="00BF6EDE" w:rsidRDefault="00BF6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89887" w14:textId="77777777" w:rsidR="004E5B14" w:rsidRDefault="004E5B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36534" w14:textId="77777777" w:rsidR="000244A7" w:rsidRDefault="00000000">
    <w:pPr>
      <w:pStyle w:val="Footer"/>
      <w:tabs>
        <w:tab w:val="clear" w:pos="9360"/>
        <w:tab w:val="right" w:pos="9000"/>
      </w:tabs>
      <w:jc w:val="right"/>
    </w:pPr>
    <w:r>
      <w:fldChar w:fldCharType="begin"/>
    </w:r>
    <w:r>
      <w:instrText xml:space="preserve"> PAGE </w:instrText>
    </w:r>
    <w:r>
      <w:fldChar w:fldCharType="separate"/>
    </w:r>
    <w:r w:rsidR="004E5B14">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FA313" w14:textId="77777777" w:rsidR="000244A7" w:rsidRDefault="000244A7">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8D035" w14:textId="77777777" w:rsidR="00BF6EDE" w:rsidRDefault="00BF6EDE">
      <w:r>
        <w:separator/>
      </w:r>
    </w:p>
  </w:footnote>
  <w:footnote w:type="continuationSeparator" w:id="0">
    <w:p w14:paraId="21491C0D" w14:textId="77777777" w:rsidR="00BF6EDE" w:rsidRDefault="00BF6E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2EF6B" w14:textId="77777777" w:rsidR="004E5B14" w:rsidRDefault="004E5B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96B44" w14:textId="77777777" w:rsidR="000244A7" w:rsidRDefault="000244A7">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0E104" w14:textId="77777777" w:rsidR="000244A7" w:rsidRDefault="000244A7">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4A7"/>
    <w:rsid w:val="000244A7"/>
    <w:rsid w:val="001B0164"/>
    <w:rsid w:val="00287024"/>
    <w:rsid w:val="003604FE"/>
    <w:rsid w:val="003619D0"/>
    <w:rsid w:val="004E5B14"/>
    <w:rsid w:val="00827142"/>
    <w:rsid w:val="009B7221"/>
    <w:rsid w:val="00A13403"/>
    <w:rsid w:val="00B63A0C"/>
    <w:rsid w:val="00BF6EDE"/>
    <w:rsid w:val="00C13FF1"/>
    <w:rsid w:val="00C640A6"/>
    <w:rsid w:val="00CC09FA"/>
    <w:rsid w:val="00E63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2FAD0"/>
  <w15:docId w15:val="{12FD067C-03AE-440A-9EE1-3451E4115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360" w:after="120" w:line="360" w:lineRule="auto"/>
      <w:jc w:val="both"/>
      <w:outlineLvl w:val="1"/>
    </w:pPr>
    <w:rPr>
      <w:rFonts w:eastAsia="Times New Roman"/>
      <w:color w:val="000000"/>
      <w:sz w:val="32"/>
      <w:szCs w:val="32"/>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680"/>
        <w:tab w:val="right" w:pos="9360"/>
      </w:tabs>
      <w:jc w:val="both"/>
    </w:pPr>
    <w:rPr>
      <w:rFonts w:cs="Arial Unicode MS"/>
      <w:color w:val="000000"/>
      <w:sz w:val="24"/>
      <w:szCs w:val="24"/>
      <w:u w:color="000000"/>
      <w:lang w:val="en-US"/>
    </w:rPr>
  </w:style>
  <w:style w:type="paragraph" w:customStyle="1" w:styleId="Body">
    <w:name w:val="Body"/>
    <w:pPr>
      <w:spacing w:line="360" w:lineRule="auto"/>
      <w:jc w:val="both"/>
    </w:pPr>
    <w:rPr>
      <w:rFonts w:cs="Arial Unicode MS"/>
      <w:color w:val="000000"/>
      <w:sz w:val="24"/>
      <w:szCs w:val="24"/>
      <w:u w:color="000000"/>
      <w14:textOutline w14:w="0" w14:cap="flat" w14:cmpd="sng" w14:algn="ctr">
        <w14:noFill/>
        <w14:prstDash w14:val="solid"/>
        <w14:bevel/>
      </w14:textOutline>
    </w:rPr>
  </w:style>
  <w:style w:type="paragraph" w:styleId="TOCHeading">
    <w:name w:val="TOC Heading"/>
    <w:next w:val="Body"/>
    <w:pPr>
      <w:keepNext/>
      <w:keepLines/>
      <w:spacing w:before="240" w:line="259" w:lineRule="auto"/>
    </w:pPr>
    <w:rPr>
      <w:rFonts w:ascii="Calibri" w:eastAsia="Calibri" w:hAnsi="Calibri" w:cs="Calibri"/>
      <w:color w:val="365F91"/>
      <w:sz w:val="32"/>
      <w:szCs w:val="32"/>
      <w:u w:color="365F91"/>
      <w:lang w:val="en-US"/>
    </w:rPr>
  </w:style>
  <w:style w:type="paragraph" w:styleId="TOC1">
    <w:name w:val="toc 1"/>
    <w:pPr>
      <w:tabs>
        <w:tab w:val="right" w:leader="dot" w:pos="9000"/>
      </w:tabs>
      <w:spacing w:after="100" w:line="360" w:lineRule="auto"/>
      <w:jc w:val="both"/>
    </w:pPr>
    <w:rPr>
      <w:rFonts w:eastAsia="Times New Roman"/>
      <w:color w:val="000000"/>
      <w:sz w:val="24"/>
      <w:szCs w:val="24"/>
      <w:u w:color="000000"/>
      <w:lang w:val="en-US"/>
    </w:rPr>
  </w:style>
  <w:style w:type="paragraph" w:customStyle="1" w:styleId="Heading">
    <w:name w:val="Heading"/>
    <w:next w:val="Body"/>
    <w:pPr>
      <w:keepNext/>
      <w:keepLines/>
      <w:spacing w:before="400" w:after="120" w:line="360" w:lineRule="auto"/>
      <w:jc w:val="both"/>
      <w:outlineLvl w:val="0"/>
    </w:pPr>
    <w:rPr>
      <w:rFonts w:eastAsia="Times New Roman"/>
      <w:color w:val="000000"/>
      <w:sz w:val="40"/>
      <w:szCs w:val="40"/>
      <w:u w:color="000000"/>
      <w14:textOutline w14:w="0" w14:cap="flat" w14:cmpd="sng" w14:algn="ctr">
        <w14:noFill/>
        <w14:prstDash w14:val="solid"/>
        <w14:bevel/>
      </w14:textOutline>
    </w:rPr>
  </w:style>
  <w:style w:type="paragraph" w:styleId="TOC2">
    <w:name w:val="toc 2"/>
    <w:pPr>
      <w:tabs>
        <w:tab w:val="right" w:leader="dot" w:pos="9000"/>
      </w:tabs>
      <w:spacing w:after="100" w:line="360" w:lineRule="auto"/>
      <w:ind w:left="240"/>
      <w:jc w:val="both"/>
    </w:pPr>
    <w:rPr>
      <w:rFonts w:eastAsia="Times New Roman"/>
      <w:color w:val="000000"/>
      <w:sz w:val="24"/>
      <w:szCs w:val="24"/>
      <w:u w:color="000000"/>
      <w:lang w:val="en-US"/>
    </w:rPr>
  </w:style>
  <w:style w:type="paragraph" w:styleId="Caption">
    <w:name w:val="caption"/>
    <w:pPr>
      <w:suppressAutoHyphens/>
      <w:outlineLvl w:val="0"/>
    </w:pPr>
    <w:rPr>
      <w:rFonts w:ascii="Cambria" w:hAnsi="Cambria" w:cs="Arial Unicode MS"/>
      <w:color w:val="000000"/>
      <w:sz w:val="36"/>
      <w:szCs w:val="36"/>
      <w:lang w:val="en-US"/>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style>
  <w:style w:type="character" w:customStyle="1" w:styleId="Hyperlink1">
    <w:name w:val="Hyperlink.1"/>
    <w:basedOn w:val="None"/>
    <w:rPr>
      <w:outline w:val="0"/>
      <w:color w:val="1155CC"/>
      <w:u w:val="single" w:color="1155CC"/>
    </w:rPr>
  </w:style>
  <w:style w:type="paragraph" w:styleId="Header">
    <w:name w:val="header"/>
    <w:basedOn w:val="Normal"/>
    <w:link w:val="HeaderChar"/>
    <w:uiPriority w:val="99"/>
    <w:unhideWhenUsed/>
    <w:rsid w:val="004E5B14"/>
    <w:pPr>
      <w:tabs>
        <w:tab w:val="center" w:pos="4513"/>
        <w:tab w:val="right" w:pos="9026"/>
      </w:tabs>
    </w:pPr>
  </w:style>
  <w:style w:type="character" w:customStyle="1" w:styleId="HeaderChar">
    <w:name w:val="Header Char"/>
    <w:basedOn w:val="DefaultParagraphFont"/>
    <w:link w:val="Header"/>
    <w:uiPriority w:val="99"/>
    <w:rsid w:val="004E5B1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ature.com/articles/s41599-022-01109-4.pdf" TargetMode="External"/><Relationship Id="rId18" Type="http://schemas.openxmlformats.org/officeDocument/2006/relationships/hyperlink" Target="https://research.tilburguniversity.edu/files/50689011/1_2021_JUNE_JEICOM_Broeder_13_24.pdf" TargetMode="External"/><Relationship Id="rId26" Type="http://schemas.openxmlformats.org/officeDocument/2006/relationships/hyperlink" Target="https://www.ft.com/content/3a4f7d46-7ca9-4145-b29c-a0c7bc6a7245" TargetMode="External"/><Relationship Id="rId39" Type="http://schemas.openxmlformats.org/officeDocument/2006/relationships/hyperlink" Target="https://repository.uclawsf.edu/cgi/viewcontent.cgi?article=1856&amp;context=hastings_international_comparative_law_review" TargetMode="External"/><Relationship Id="rId21" Type="http://schemas.openxmlformats.org/officeDocument/2006/relationships/hyperlink" Target="https://wiseandshinezine.com/2024/11/16/haragei-the-art-of-unspoken-understanding/" TargetMode="External"/><Relationship Id="rId34" Type="http://schemas.openxmlformats.org/officeDocument/2006/relationships/hyperlink" Target="https://www.mitsubishicorp.com/jp/en/ir/library/esg/pdf/202501en.pdf" TargetMode="External"/><Relationship Id="rId42" Type="http://schemas.openxmlformats.org/officeDocument/2006/relationships/hyperlink" Target="https://pmc.ncbi.nlm.nih.gov/articles/PMC10026762/pdf/TPPL_30_2003269.pdf" TargetMode="External"/><Relationship Id="rId47" Type="http://schemas.openxmlformats.org/officeDocument/2006/relationships/hyperlink" Target="https://www.unilever.com/investors/results-presentations-webcasts/overview-q4-2024/" TargetMode="External"/><Relationship Id="rId50" Type="http://schemas.openxmlformats.org/officeDocument/2006/relationships/hyperlink" Target="https://www.unilever.com/sustainability/responsible-business/" TargetMode="External"/><Relationship Id="rId55" Type="http://schemas.openxmlformats.org/officeDocument/2006/relationships/header" Target="head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hrcak.srce.hr/file/444501" TargetMode="External"/><Relationship Id="rId29" Type="http://schemas.openxmlformats.org/officeDocument/2006/relationships/hyperlink" Target="https://papers.ssrn.com/sol3/Delivery.cfm?abstractid=5167932" TargetMode="External"/><Relationship Id="rId11" Type="http://schemas.openxmlformats.org/officeDocument/2006/relationships/image" Target="media/image3.png"/><Relationship Id="rId24" Type="http://schemas.openxmlformats.org/officeDocument/2006/relationships/hyperlink" Target="http://thecrja.com/index.php/Journal/article/download/6/6" TargetMode="External"/><Relationship Id="rId32" Type="http://schemas.openxmlformats.org/officeDocument/2006/relationships/hyperlink" Target="https://minato-unesco.jp/en/report/post-1363/" TargetMode="External"/><Relationship Id="rId37" Type="http://schemas.openxmlformats.org/officeDocument/2006/relationships/hyperlink" Target="https://www.academia.edu/download/62692752/Persisting_values_in_the_Japanese_workplace20200401-20264-ecz1qz.pdf" TargetMode="External"/><Relationship Id="rId40" Type="http://schemas.openxmlformats.org/officeDocument/2006/relationships/hyperlink" Target="https://repository.uclawsf.edu/cgi/viewcontent.cgi?article=1856&amp;context=hastings_international_comparative_law_review" TargetMode="External"/><Relationship Id="rId45" Type="http://schemas.openxmlformats.org/officeDocument/2006/relationships/hyperlink" Target="https://www.thetimes.com/business-money/companies/article/watchdog-takes-the-axe-to-city-stewardship-code-698wbhv6m" TargetMode="External"/><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hyperlink" Target="https://research.tilburguniversity.edu/files/50689011/1_2021_JUNE_JEICOM_Broeder_13_24.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researchgate.net/profile/Milton-Bennett-2/publication/371839501_Paradigmatic_Assumptions_and_a_Developmental_Approach_to_Intercultural_Learning/links/66557414bc86444c72075538/Paradigmatic-Assumptions-and-a-Developmental-Approach-to-Intercultural-Learning.pdf" TargetMode="External"/><Relationship Id="rId22" Type="http://schemas.openxmlformats.org/officeDocument/2006/relationships/hyperlink" Target="https://www.frc.org.uk/library/standards-codes-policy/corporate-governance/uk-corporate-governance-code/" TargetMode="External"/><Relationship Id="rId27" Type="http://schemas.openxmlformats.org/officeDocument/2006/relationships/hyperlink" Target="https://www.ft.com/content/3a4f7d46-7ca9-4145-b29c-a0c7bc6a7245" TargetMode="External"/><Relationship Id="rId30" Type="http://schemas.openxmlformats.org/officeDocument/2006/relationships/hyperlink" Target="https://papers.ssrn.com/sol3/Delivery.cfm?abstractid=5167932" TargetMode="External"/><Relationship Id="rId35" Type="http://schemas.openxmlformats.org/officeDocument/2006/relationships/hyperlink" Target="https://journals.sagepub.com/doi/pdf/10.1177/0018726720957727" TargetMode="External"/><Relationship Id="rId43" Type="http://schemas.openxmlformats.org/officeDocument/2006/relationships/hyperlink" Target="https://www.theculturefactor.com/country-comparison-tool?countries=japan,united+kingdom" TargetMode="External"/><Relationship Id="rId48" Type="http://schemas.openxmlformats.org/officeDocument/2006/relationships/hyperlink" Target="https://www.unilever.com/investors/results-presentations-webcasts/overview-q4-2024/" TargetMode="External"/><Relationship Id="rId56"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www.nature.com/articles/s41599-022-01109-4.pdf" TargetMode="External"/><Relationship Id="rId17" Type="http://schemas.openxmlformats.org/officeDocument/2006/relationships/hyperlink" Target="https://hrcak.srce.hr/file/444501" TargetMode="External"/><Relationship Id="rId25" Type="http://schemas.openxmlformats.org/officeDocument/2006/relationships/hyperlink" Target="http://thecrja.com/index.php/Journal/article/download/6/6" TargetMode="External"/><Relationship Id="rId33" Type="http://schemas.openxmlformats.org/officeDocument/2006/relationships/hyperlink" Target="https://www.mitsubishicorp.com/jp/en/ir/library/esg/pdf/202501en.pdf" TargetMode="External"/><Relationship Id="rId38" Type="http://schemas.openxmlformats.org/officeDocument/2006/relationships/hyperlink" Target="https://www.academia.edu/download/62692752/Persisting_values_in_the_Japanese_workplace20200401-20264-ecz1qz.pdf" TargetMode="External"/><Relationship Id="rId46" Type="http://schemas.openxmlformats.org/officeDocument/2006/relationships/hyperlink" Target="https://www.thetimes.com/business-money/companies/article/watchdog-takes-the-axe-to-city-stewardship-code-698wbhv6m" TargetMode="External"/><Relationship Id="rId20" Type="http://schemas.openxmlformats.org/officeDocument/2006/relationships/hyperlink" Target="https://wiseandshinezine.com/2024/11/16/haragei-the-art-of-unspoken-understanding/" TargetMode="External"/><Relationship Id="rId41" Type="http://schemas.openxmlformats.org/officeDocument/2006/relationships/hyperlink" Target="https://pmc.ncbi.nlm.nih.gov/articles/PMC10026762/pdf/TPPL_30_2003269.pdf"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researchgate.net/profile/Milton-Bennett-2/publication/371839501_Paradigmatic_Assumptions_and_a_Developmental_Approach_to_Intercultural_Learning/links/66557414bc86444c72075538/Paradigmatic-Assumptions-and-a-Developmental-Approach-to-Intercultural-Learning.pdf" TargetMode="External"/><Relationship Id="rId23" Type="http://schemas.openxmlformats.org/officeDocument/2006/relationships/hyperlink" Target="https://www.frc.org.uk/library/standards-codes-policy/corporate-governance/uk-corporate-governance-code/" TargetMode="External"/><Relationship Id="rId28" Type="http://schemas.openxmlformats.org/officeDocument/2006/relationships/hyperlink" Target="https://doi.org/10.22323/2.20010201" TargetMode="External"/><Relationship Id="rId36" Type="http://schemas.openxmlformats.org/officeDocument/2006/relationships/hyperlink" Target="https://journals.sagepub.com/doi/pdf/10.1177/0018726720957727" TargetMode="External"/><Relationship Id="rId49" Type="http://schemas.openxmlformats.org/officeDocument/2006/relationships/hyperlink" Target="https://www.unilever.com/sustainability/responsible-business/" TargetMode="External"/><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hyperlink" Target="https://minato-unesco.jp/en/report/post-1363/" TargetMode="External"/><Relationship Id="rId44" Type="http://schemas.openxmlformats.org/officeDocument/2006/relationships/hyperlink" Target="https://www.theculturefactor.com/country-comparison-tool?countries=japan,united+kingdom" TargetMode="External"/><Relationship Id="rId52" Type="http://schemas.openxmlformats.org/officeDocument/2006/relationships/header" Target="head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126fb8f-6f0a-4021-9821-3197397987a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10" ma:contentTypeDescription="Create a new document." ma:contentTypeScope="" ma:versionID="bf44e05bea720bc7f428e7f9ed1701fd">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d56029a6d69222d3cf934c42cdb73257"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0A1CEC-9820-439F-B598-DD8C32108F75}">
  <ds:schemaRefs>
    <ds:schemaRef ds:uri="http://schemas.microsoft.com/office/2006/metadata/properties"/>
    <ds:schemaRef ds:uri="http://schemas.microsoft.com/office/infopath/2007/PartnerControls"/>
    <ds:schemaRef ds:uri="3126fb8f-6f0a-4021-9821-3197397987a0"/>
  </ds:schemaRefs>
</ds:datastoreItem>
</file>

<file path=customXml/itemProps2.xml><?xml version="1.0" encoding="utf-8"?>
<ds:datastoreItem xmlns:ds="http://schemas.openxmlformats.org/officeDocument/2006/customXml" ds:itemID="{F600ECB6-485D-4714-A7CF-15EC8ABE25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E558E7-2DC3-4620-AE84-78565C724F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4491</Words>
  <Characters>25604</Characters>
  <Application>Microsoft Office Word</Application>
  <DocSecurity>0</DocSecurity>
  <Lines>213</Lines>
  <Paragraphs>60</Paragraphs>
  <ScaleCrop>false</ScaleCrop>
  <Company/>
  <LinksUpToDate>false</LinksUpToDate>
  <CharactersWithSpaces>30035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Farida</dc:creator>
  <cp:lastModifiedBy>Farida Ahmed (2123556)</cp:lastModifiedBy>
  <cp:revision>2</cp:revision>
  <dcterms:created xsi:type="dcterms:W3CDTF">2025-07-25T23:27:00Z</dcterms:created>
  <dcterms:modified xsi:type="dcterms:W3CDTF">2025-07-25T23:27:00Z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