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4CF4" w:rsidRDefault="008B4CF4" w:rsidP="00724AEA">
      <w:r>
        <w:rPr>
          <w:lang/>
        </w:rPr>
        <w:t>P248</w:t>
      </w:r>
    </w:p>
    <w:p w:rsidR="00724AEA" w:rsidRDefault="00724AEA" w:rsidP="00724AEA">
      <w:r>
        <w:t>even a best model exists, but rather it refers to a family of plausible models. Most researchers agree that specification should (1) be driven by theory, that is, by</w:t>
      </w:r>
    </w:p>
    <w:p w:rsidR="00724AEA" w:rsidRDefault="00724AEA" w:rsidP="00724AEA">
      <w:r>
        <w:t>persuasive arguments and perspectives that identify and justify which factors are most important, and (2) inform why the set of such variables is regarded as complete and parsimonious. In practice, the search for complete, parsimonious, and theory-driven explanations usually results in multiple regression models with about 5-12 independent variables; theory seldom results in fewer than 5 variables, and parsimony and problems of statistical estimation, discussed further, seldom result in models with more than 12.</w:t>
      </w:r>
    </w:p>
    <w:p w:rsidR="00724AEA" w:rsidRDefault="00724AEA" w:rsidP="00724AEA"/>
    <w:p w:rsidR="00724AEA" w:rsidRDefault="00724AEA" w:rsidP="00724AEA">
      <w:r>
        <w:t>The search for parsimonious explanations often leads analysts to first identify different categories of factors that most affect their dependent variable. Then, after these categories of factors have been identified, analysts turn to the task of trying to measure each, through either single or index variables. As an example, consider the dependent variable "high school violence," discussed in Chapter 2. We ask: "What are the most important, distinct factors affecting or causing high school violence?" Some plausible factors are (1) student access to weapons, (2) student isolation from others, (3) peer groups that are prone to violence, (4) lack of enforcement of school nonviolence policies, (5) participation in anger management programs, and (6) familiarity with warning signals (among teachers and staff). Perhaps you can think of other factors. Then, following the strategies discussed in Chapter 3-conceptualization, operationalization, and index variable construction-we use either single variables or index measures as independent variables to measure each of these factors. This approach provides for the inclusion of programs or policies as independent variables, as well as variables that measure salient rival hypotheses.</w:t>
      </w:r>
    </w:p>
    <w:p w:rsidR="00724AEA" w:rsidRDefault="00724AEA" w:rsidP="00724AEA"/>
    <w:p w:rsidR="00724AEA" w:rsidRDefault="00724AEA">
      <w:r>
        <w:t xml:space="preserve">The strategy of full model specification requires that analysts not overlook important factors. Thus analysts do well to carefully justify their model and to consult past studies and interview those who have direct experience with, or other opinions about, the research subject. Doing so might lead analysts to include additional variables, such as the socioeconomic status of students' parents. Then, after a fully specified model has been identified, analysts often include additional variables of interest. These may be variables of lesser relevance, speculative consequences, or variables that analysts want to test for their lack of impact, such as rival hypotheses. Demographic variables, such as the age of students, might be added. When additional variables are included, analysts should identify which independent variables constitute the nomothetic explanation and which serve some other </w:t>
      </w:r>
      <w:r>
        <w:lastRenderedPageBreak/>
        <w:t>purpose. Remember, all variables included in models must be theoretically justified. Analysts must argue how each variable could plausibly affect their dependent variable.</w:t>
      </w:r>
    </w:p>
    <w:p w:rsidR="00724AEA" w:rsidRDefault="00724AEA"/>
    <w:p w:rsidR="008B4CF4" w:rsidRDefault="008B4CF4">
      <w:pPr>
        <w:rPr>
          <w:rFonts w:hint="eastAsia"/>
        </w:rPr>
      </w:pPr>
      <w:r>
        <w:rPr>
          <w:lang/>
        </w:rPr>
        <w:t>P258</w:t>
      </w:r>
    </w:p>
    <w:p w:rsidR="00980343" w:rsidRDefault="00980343" w:rsidP="00980343">
      <w:proofErr w:type="spellStart"/>
      <w:r>
        <w:t>Multicollinearity</w:t>
      </w:r>
      <w:proofErr w:type="spellEnd"/>
    </w:p>
    <w:p w:rsidR="00724AEA" w:rsidRDefault="00980343">
      <w:r>
        <w:t xml:space="preserve">The problem of </w:t>
      </w:r>
      <w:proofErr w:type="spellStart"/>
      <w:r>
        <w:t>multicollinearity</w:t>
      </w:r>
      <w:proofErr w:type="spellEnd"/>
      <w:r>
        <w:t xml:space="preserve"> (pronounced "multi-KOH-li-nee-air-</w:t>
      </w:r>
      <w:proofErr w:type="spellStart"/>
      <w:r>
        <w:t>i</w:t>
      </w:r>
      <w:proofErr w:type="spellEnd"/>
      <w:r>
        <w:t>-tee") is that two independent variables may be correlated to such a high degree that their effects on the dependent variable are indistinguishably similar. For example, in a study of high school violence, the variables "off-campus crimes" and "off-campus misdemeanors" might be highly correlated. In this case, the regression coefficients of these two independent variables might be statistically insignificant because, net of the other(s), they have little or no residual effect on the dependent variable, "high school violence." This problem is shown graphically in Figure 15.5. The black and white observations produce regression lines so similar that, given their respective standard errors, they are statistically indistinguishable.</w:t>
      </w:r>
    </w:p>
    <w:p w:rsidR="00980343" w:rsidRDefault="00980343"/>
    <w:p w:rsidR="008B4CF4" w:rsidRDefault="008B4CF4">
      <w:pPr>
        <w:rPr>
          <w:rFonts w:hint="eastAsia"/>
        </w:rPr>
      </w:pPr>
      <w:r>
        <w:rPr>
          <w:lang/>
        </w:rPr>
        <w:t>P259</w:t>
      </w:r>
      <w:bookmarkStart w:id="0" w:name="_GoBack"/>
      <w:bookmarkEnd w:id="0"/>
    </w:p>
    <w:p w:rsidR="00642ADF" w:rsidRDefault="00642ADF">
      <w:pPr>
        <w:rPr>
          <w:lang/>
        </w:rPr>
      </w:pPr>
      <w:r>
        <w:rPr>
          <w:lang/>
        </w:rPr>
        <w:t>Detection. Multicollinearity is more likely to occur as more independent variables are entered into the model. The more independent variables entered, the more likely that some will be highly correlated with each other. Multicollinearity is usually first suspected when the regression coefficients of independent variables in a multiple regression are statistically insignificant,</w:t>
      </w:r>
    </w:p>
    <w:p w:rsidR="00642ADF" w:rsidRDefault="00642ADF">
      <w:pPr>
        <w:rPr>
          <w:lang/>
        </w:rPr>
      </w:pPr>
      <w:r>
        <w:rPr>
          <w:lang/>
        </w:rPr>
        <w:t>Even though in bivariate relationships they are known to be highly significant (for example, &gt; .60). Computers readily calculate correlation matrices, which show these correlations for all pairs of variables. Computers also calculate the variance inflation factor (VIF) for each regression coefficient.10 VIF is a measure of the effect of all other independent variables on a regression coefficients. Values greater than 5 or 10 indicate multicollinearity; values of variables that do not exhibit multicollinearity are usually between 1.0 and 2.0. VIFs are routinely calculated by statistical software packages.</w:t>
      </w:r>
    </w:p>
    <w:p w:rsidR="00642ADF" w:rsidRDefault="00642ADF">
      <w:pPr>
        <w:rPr>
          <w:lang/>
        </w:rPr>
      </w:pPr>
    </w:p>
    <w:p w:rsidR="00642ADF" w:rsidRDefault="00642ADF">
      <w:pPr>
        <w:rPr>
          <w:rFonts w:hint="eastAsia"/>
        </w:rPr>
      </w:pPr>
      <w:r>
        <w:rPr>
          <w:lang/>
        </w:rPr>
        <w:t xml:space="preserve">How to resolve. To correct for multicollinearity, researchers need to remove the collinear variables from the model. When the variables are substantively related, they might be combined to create a new index variable. For instance, in the example concerning high school violence, it might be possible to combine the variables “off-campus crimes” and “off-campus misdemeanors” into a single, new index variable. When variables are not substantively related to each other, analysts should consider </w:t>
      </w:r>
      <w:r>
        <w:rPr>
          <w:lang/>
        </w:rPr>
        <w:lastRenderedPageBreak/>
        <w:t xml:space="preserve">substituting one of the collinear variables for a similar measurement that is less highly correlated with the other variables. </w:t>
      </w:r>
    </w:p>
    <w:p w:rsidR="00980343" w:rsidRDefault="00980343">
      <w:pPr>
        <w:rPr>
          <w:rFonts w:hint="eastAsia"/>
        </w:rPr>
      </w:pPr>
    </w:p>
    <w:sectPr w:rsidR="00980343">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新細明體">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bordersDoNotSurroundHeader/>
  <w:bordersDoNotSurroundFooter/>
  <w:proofState w:spelling="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AEA"/>
    <w:rsid w:val="00642ADF"/>
    <w:rsid w:val="006D41C4"/>
    <w:rsid w:val="00724AEA"/>
    <w:rsid w:val="008B4CF4"/>
    <w:rsid w:val="0098034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16E7B1B6"/>
  <w15:chartTrackingRefBased/>
  <w15:docId w15:val="{1FE84AC8-EBDB-024F-A2FF-DC34CA184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HK"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814</Words>
  <Characters>4643</Characters>
  <Application>Microsoft Office Word</Application>
  <DocSecurity>0</DocSecurity>
  <Lines>38</Lines>
  <Paragraphs>10</Paragraphs>
  <ScaleCrop>false</ScaleCrop>
  <Company/>
  <LinksUpToDate>false</LinksUpToDate>
  <CharactersWithSpaces>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 Sum Chan (1605728)</dc:creator>
  <cp:keywords/>
  <dc:description/>
  <cp:lastModifiedBy>Ho Sum Chan (1605728)</cp:lastModifiedBy>
  <cp:revision>6</cp:revision>
  <dcterms:created xsi:type="dcterms:W3CDTF">2018-04-06T18:58:00Z</dcterms:created>
  <dcterms:modified xsi:type="dcterms:W3CDTF">2018-04-06T19:02:00Z</dcterms:modified>
</cp:coreProperties>
</file>