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C1199" w14:textId="77777777" w:rsidR="009A30D4" w:rsidRPr="00C0067C" w:rsidRDefault="009A30D4" w:rsidP="009A30D4">
      <w:pPr>
        <w:rPr>
          <w:u w:val="single"/>
        </w:rPr>
      </w:pPr>
      <w:r w:rsidRPr="00C0067C">
        <w:rPr>
          <w:u w:val="single"/>
        </w:rPr>
        <w:t>Why might terrorist organisations be involved in other types of criminality, and how might intelligence gained in the investigation of such criminality inform counter-terrorism policing?</w:t>
      </w:r>
    </w:p>
    <w:p w14:paraId="561BDF37" w14:textId="77777777" w:rsidR="009A30D4" w:rsidRDefault="009A30D4" w:rsidP="009A30D4"/>
    <w:p w14:paraId="064F2982" w14:textId="268C1915" w:rsidR="009A30D4" w:rsidRDefault="009A30D4" w:rsidP="009A30D4">
      <w:r>
        <w:t>Terrorist organisations are sadly a very current and widespread phenomenon in the United Kingdom. As of today, there are a total of 80 terrorist groups and organisations proscribed under the Terrorism Act 2000 (Home Office, 2024), in addition to 14 organisations in Northern Ireland proscribed under previous legislation. In comparison, when the list was first produced in 2013, there were 52 terrorist groups proscribed (Home Office, 2013).</w:t>
      </w:r>
    </w:p>
    <w:p w14:paraId="25F8229D" w14:textId="77777777" w:rsidR="009A30D4" w:rsidRDefault="009A30D4" w:rsidP="009A30D4">
      <w:r>
        <w:t>Terrorist groups are clearly a phenomenon that is not going away any time soon as the list of proscribed groups grows year on year. Even though it is not a particularly current source, a restricted MI5 document created in and shown to the Guardian in 2008, entitled ‘Understanding Radicalisation and Violent Extremism in the UK’ (Travis, 2008), still has a lot of relevance today in demonstrating how our perceptions of members of terrorist groups may often be wrong and based on stereotypes. Some of the most relevant insights from the report are:</w:t>
      </w:r>
    </w:p>
    <w:p w14:paraId="3B54B854" w14:textId="77777777" w:rsidR="009A30D4" w:rsidRDefault="009A30D4" w:rsidP="009A30D4">
      <w:pPr>
        <w:pStyle w:val="ListParagraph"/>
        <w:numPr>
          <w:ilvl w:val="0"/>
          <w:numId w:val="1"/>
        </w:numPr>
      </w:pPr>
      <w:r>
        <w:t>The majority of members are British nationals and not illegal immigrants. The majority of those not British-born came for family or economic reasons and were radicalised later.</w:t>
      </w:r>
    </w:p>
    <w:p w14:paraId="3C303972" w14:textId="77777777" w:rsidR="009A30D4" w:rsidRDefault="009A30D4" w:rsidP="009A30D4">
      <w:pPr>
        <w:pStyle w:val="ListParagraph"/>
      </w:pPr>
    </w:p>
    <w:p w14:paraId="21189678" w14:textId="77777777" w:rsidR="009A30D4" w:rsidRDefault="009A30D4" w:rsidP="009A30D4">
      <w:pPr>
        <w:pStyle w:val="ListParagraph"/>
        <w:numPr>
          <w:ilvl w:val="0"/>
          <w:numId w:val="1"/>
        </w:numPr>
      </w:pPr>
      <w:r>
        <w:t xml:space="preserve">A large number of members are lapsed in their faith and are prone to having low religious literacy. Very few were brought up in fundamentalist households, and a </w:t>
      </w:r>
      <w:proofErr w:type="gramStart"/>
      <w:r>
        <w:t>higher than average</w:t>
      </w:r>
      <w:proofErr w:type="gramEnd"/>
      <w:r>
        <w:t xml:space="preserve"> proportion were converts. In fact, evidence showed those with a religious identity tended to be protected from radicalisation instead. </w:t>
      </w:r>
    </w:p>
    <w:p w14:paraId="47513B15" w14:textId="77777777" w:rsidR="009A30D4" w:rsidRDefault="009A30D4" w:rsidP="009A30D4">
      <w:pPr>
        <w:pStyle w:val="ListParagraph"/>
      </w:pPr>
    </w:p>
    <w:p w14:paraId="12546508" w14:textId="77777777" w:rsidR="009A30D4" w:rsidRDefault="009A30D4" w:rsidP="009A30D4">
      <w:pPr>
        <w:pStyle w:val="ListParagraph"/>
        <w:numPr>
          <w:ilvl w:val="0"/>
          <w:numId w:val="1"/>
        </w:numPr>
      </w:pPr>
      <w:r>
        <w:t>Compared to the average population, members were not more likely to have mental illness or personality disorders.</w:t>
      </w:r>
    </w:p>
    <w:p w14:paraId="4AB4938F" w14:textId="77777777" w:rsidR="009A30D4" w:rsidRDefault="009A30D4" w:rsidP="009A30D4">
      <w:pPr>
        <w:pStyle w:val="ListParagraph"/>
      </w:pPr>
    </w:p>
    <w:p w14:paraId="0C8DC2DF" w14:textId="77777777" w:rsidR="009A30D4" w:rsidRDefault="009A30D4" w:rsidP="009A30D4">
      <w:pPr>
        <w:pStyle w:val="ListParagraph"/>
        <w:numPr>
          <w:ilvl w:val="0"/>
          <w:numId w:val="1"/>
        </w:numPr>
      </w:pPr>
      <w:r>
        <w:t>The majority of members over 30 have steady relationships and often children, which challenges the stereotype of members being driven by sexual frustration.</w:t>
      </w:r>
    </w:p>
    <w:p w14:paraId="3579AA65" w14:textId="77777777" w:rsidR="009A30D4" w:rsidRDefault="009A30D4" w:rsidP="009A30D4">
      <w:pPr>
        <w:pStyle w:val="ListParagraph"/>
      </w:pPr>
    </w:p>
    <w:p w14:paraId="178AC62D" w14:textId="77777777" w:rsidR="009A30D4" w:rsidRDefault="009A30D4" w:rsidP="009A30D4">
      <w:pPr>
        <w:pStyle w:val="ListParagraph"/>
        <w:numPr>
          <w:ilvl w:val="0"/>
          <w:numId w:val="1"/>
        </w:numPr>
      </w:pPr>
      <w:r>
        <w:t>Members are mostly employed in low-grade jobs, but their levels of education are greatly varied, from no qualifications at all to degree-level achievement.</w:t>
      </w:r>
    </w:p>
    <w:p w14:paraId="673A8398" w14:textId="77777777" w:rsidR="00AC2BFE" w:rsidRDefault="00AC2BFE" w:rsidP="00AC2BFE">
      <w:pPr>
        <w:pStyle w:val="ListParagraph"/>
      </w:pPr>
    </w:p>
    <w:p w14:paraId="2D7B1DFF" w14:textId="77777777" w:rsidR="00AC2BFE" w:rsidRDefault="00AC2BFE" w:rsidP="00AC2BFE">
      <w:pPr>
        <w:pStyle w:val="ListParagraph"/>
      </w:pPr>
    </w:p>
    <w:p w14:paraId="41E16BE3" w14:textId="77777777" w:rsidR="009A30D4" w:rsidRDefault="009A30D4" w:rsidP="009A30D4">
      <w:r>
        <w:t>This report highlights the harm that stereotypes might do to the success of counterterrorism measures, as clearly these terrorist groups are likely not to be governed by a cohort of uneducated madmen, but to be led and populated with a wide selection of demographics, with stable minds, healthy personal relationships, and potentially high levels of education. One Pakistani relief worker who interviewed nearly 250 Palestinian recruiters, failed suicide bombers, and relatives of deceased suicide bombers reported that “none were uneducated, desperately poor, simple-minded, or depressed… They all seemed to be entirely normal members of their families” (Atran, 2003).</w:t>
      </w:r>
    </w:p>
    <w:p w14:paraId="7FF4BE80" w14:textId="77777777" w:rsidR="009A30D4" w:rsidRDefault="009A30D4" w:rsidP="009A30D4">
      <w:r>
        <w:t xml:space="preserve">It is important in the context of this essay, or when talking about terror in general, to try to understand the psychology of its proponents, and in particular to consider any differentiation between members of a proscribed terror group, in contrast to the actions of a “lone wolf”. </w:t>
      </w:r>
    </w:p>
    <w:p w14:paraId="6B3D28F0" w14:textId="77777777" w:rsidR="009A30D4" w:rsidRDefault="009A30D4" w:rsidP="009A30D4">
      <w:r>
        <w:lastRenderedPageBreak/>
        <w:t>While the psychological profile of a lone wolf terrorist tends to show a much higher prevalence of mental disorders than the general population, this is not the same for members of a terrorist organisation. One study (Corner and Gill, 2015) concluded that lone wolf terrorists were 13.5 times more likely to have a history of mental illness than group-based terrorists. An accumulated range of studies were summarised (</w:t>
      </w:r>
      <w:proofErr w:type="spellStart"/>
      <w:r>
        <w:t>Yakeley</w:t>
      </w:r>
      <w:proofErr w:type="spellEnd"/>
      <w:r>
        <w:t xml:space="preserve"> and Taylor, 2017) by an explanation that the difference between lone wolf and group-based terrorists is a necessity for terrorist organisations to understand and be able to demonstrate calculated violence, secrecy, and the ability to work with others. Psychologically damaged people would naturally pose a threat to the effective functioning of a terrorist group and would likely be rejected during the selection process.</w:t>
      </w:r>
    </w:p>
    <w:p w14:paraId="24586385" w14:textId="77777777" w:rsidR="009A30D4" w:rsidRDefault="009A30D4" w:rsidP="009A30D4">
      <w:r>
        <w:t xml:space="preserve">With this borne in mind, it stands to reason that, just like any successful organisation, a terror organisation needs a clear management structure, competent members, and funds to carry out its objectives. Terrorist organisations will seemingly engage in practically any activity that will generate a profit. For example, when Islamic State’s profits from selling black market oil began to dwindle, they turned to the selling of antiquities, </w:t>
      </w:r>
      <w:proofErr w:type="gramStart"/>
      <w:r>
        <w:t>management</w:t>
      </w:r>
      <w:proofErr w:type="gramEnd"/>
      <w:r>
        <w:t xml:space="preserve"> and development of fish farms, and even running car dealerships and factories (Kalin, 2016).</w:t>
      </w:r>
    </w:p>
    <w:p w14:paraId="6DEEA12E" w14:textId="77777777" w:rsidR="009A30D4" w:rsidRPr="00866F89" w:rsidRDefault="009A30D4" w:rsidP="009A30D4">
      <w:r w:rsidRPr="00866F89">
        <w:t>The drug trade, according to Clarke (2016), remains the most lucrative form of organised crime used by terrorist organisations, and the profits from such enterprises have enabled them to obtain caches of sophisticated weapons and communications technology.</w:t>
      </w:r>
    </w:p>
    <w:p w14:paraId="76AA66EE" w14:textId="77777777" w:rsidR="009A30D4" w:rsidRPr="00866F89" w:rsidRDefault="009A30D4" w:rsidP="009A30D4">
      <w:r w:rsidRPr="00866F89">
        <w:t xml:space="preserve">Sanderson (2004) makes an interesting point that members of terror groups and organised crime tend to run in the same circles, that is in operating outside of the law and in their need to procure similar resources, such as false identification, operators, shipping documents, transport networks and counter-surveillance technology. The similarities do not end there, </w:t>
      </w:r>
      <w:proofErr w:type="gramStart"/>
      <w:r w:rsidRPr="00866F89">
        <w:t>including:</w:t>
      </w:r>
      <w:proofErr w:type="gramEnd"/>
      <w:r w:rsidRPr="00866F89">
        <w:t xml:space="preserve"> both using extreme violence, operating secretively, being highly adaptive and resilient, having interchangeable pools for recruitment, and it being rare and often fatal for a member to leave (Sanderson, 2004). It is easy to see how members of terrorist groups fall naturally into other criminal activities, particularly under the umbrella of an organised crime group (OCG), as the two concepts are intertwined.</w:t>
      </w:r>
    </w:p>
    <w:p w14:paraId="023BB72B" w14:textId="77777777" w:rsidR="009A30D4" w:rsidRPr="00866F89" w:rsidRDefault="009A30D4" w:rsidP="009A30D4">
      <w:proofErr w:type="spellStart"/>
      <w:r w:rsidRPr="00866F89">
        <w:t>Omelicheva</w:t>
      </w:r>
      <w:proofErr w:type="spellEnd"/>
      <w:r w:rsidRPr="00866F89">
        <w:t xml:space="preserve"> and Markowitz (2019) outlined three approaches to studying how terrorism and organised crime intersect. Firstly, the operational perspective conceiving of the use of crime, such as drug trafficking, as a source of funding. Secondly, from an organisational perspective, focussing on the linkages between groups and how a terrorist organisation and an OGC can use each other’s expertise, skills, and structures for their mutual benefit. Al Qaeda, for instance, were known to collaborate with the Italian mafia to provide safe houses and forge travel documents for them (</w:t>
      </w:r>
      <w:proofErr w:type="spellStart"/>
      <w:r w:rsidRPr="00866F89">
        <w:t>Pontoniere</w:t>
      </w:r>
      <w:proofErr w:type="spellEnd"/>
      <w:r w:rsidRPr="00866F89">
        <w:t xml:space="preserve">, 2005). Thirdly, they highlight an approach focusing on threat convergence analysis, which brings the </w:t>
      </w:r>
      <w:r>
        <w:t xml:space="preserve">first </w:t>
      </w:r>
      <w:r w:rsidRPr="00866F89">
        <w:t>two approaches together into perceiving the “trafficking-terrorism nexus” as a continuum through which different relationships may develop between criminal and terrorist organisations.</w:t>
      </w:r>
    </w:p>
    <w:p w14:paraId="47EEA617" w14:textId="77777777" w:rsidR="009A30D4" w:rsidRDefault="009A30D4" w:rsidP="009A30D4">
      <w:r>
        <w:t xml:space="preserve">When resources run dry, such as drugs to traffic and sell, terrorist organisations will turn to cash-for-crime type endeavours, if their alternative sources of support are unavailable or carry more risk (Cornell, 2006). Drug trafficking and selling, however, is widespread and is now considered a multi-agency problem. Clarke (2016) wrote that low-level crime, particularly local drug dealing, are no longer just the domain of the local police but is a strictly counterterrorism concern. He went on to state that probing into these criminal elements at the local level may </w:t>
      </w:r>
      <w:r>
        <w:lastRenderedPageBreak/>
        <w:t>shed light on broader networks, who may have connections to international terrorist organisations.</w:t>
      </w:r>
    </w:p>
    <w:p w14:paraId="2966A669" w14:textId="77777777" w:rsidR="009A30D4" w:rsidRDefault="009A30D4" w:rsidP="009A30D4">
      <w:r>
        <w:t xml:space="preserve">Not only does terror </w:t>
      </w:r>
      <w:proofErr w:type="gramStart"/>
      <w:r>
        <w:t>lead</w:t>
      </w:r>
      <w:proofErr w:type="gramEnd"/>
      <w:r>
        <w:t xml:space="preserve"> to crime for the necessity of funding it, but often the other way around too – petty crimes can sometimes lead an individual to a more organised crime setting within a terror group. A study on </w:t>
      </w:r>
      <w:proofErr w:type="spellStart"/>
      <w:r>
        <w:t>Jidhadi</w:t>
      </w:r>
      <w:proofErr w:type="spellEnd"/>
      <w:r>
        <w:t xml:space="preserve"> terrorists in Europe (Bakker, 2006) found that a quarter of terrorists had a criminal record, with many more being involved in various criminal activities without having been imprisoned or sentenced. A more recent study (Mullins, 2016) showed that half of the sample of terrorists (during the years 2012 to 2016) had a criminal past. For this reason, the investigation of both petty and more serious crimes and the apprehension of such suspects can, by consequence, remove threats of radicalisation in the community.</w:t>
      </w:r>
    </w:p>
    <w:p w14:paraId="620AE3C2" w14:textId="77777777" w:rsidR="009A30D4" w:rsidRDefault="009A30D4" w:rsidP="009A30D4">
      <w:r>
        <w:t>One difficulty faced by police is that terrorist groups naturally gravitate towards populous areas, for the multi-faceted benefit of being more difficult to police, providing a greater pool of recruits and resources, and having a much larger audience for the “spectacle” of their actions, although specifically in democracies the political significance of the capital is negated as the political power is dispersed nationally, and striking local targets may be as cost-effective as national targets (Nemeth et al., 2014). This would seem to put even greater importance on local police being conscious and active participants in counterterrorism measures.</w:t>
      </w:r>
    </w:p>
    <w:p w14:paraId="56D06C9B" w14:textId="77777777" w:rsidR="009A30D4" w:rsidRDefault="009A30D4" w:rsidP="009A30D4">
      <w:r>
        <w:t xml:space="preserve">With such a heavy reliance on the proceeds of crime to fund their terrorist activities, it is naturally a huge part of the operation to successfully facilitate the laundering of money. One largescale example was Al Qaeda in Afghanistan, who partnered with the New Ansari Exchange (now sanctioned) which provided terrorists with non-traditional banking operations (such as “hawala” networks) for the purpose of laundering money from their drug trade (US Department of the Treasury, 2011). Another notable example came from Australia’s “Project Eligo”, which helped to uncover hundreds of Australian nationals having been duped into assisting with laundering drug money linked to proscribed terrorist organisations, uncovering 40 separate operations involved in laundering and moving </w:t>
      </w:r>
      <w:proofErr w:type="spellStart"/>
      <w:r>
        <w:t>hundred</w:t>
      </w:r>
      <w:proofErr w:type="spellEnd"/>
      <w:r>
        <w:t xml:space="preserve"> of millions of Australian dollars overseas (McKenzie and Baker, 2014).</w:t>
      </w:r>
    </w:p>
    <w:p w14:paraId="14E35C10" w14:textId="77777777" w:rsidR="009A30D4" w:rsidRDefault="009A30D4" w:rsidP="009A30D4">
      <w:r>
        <w:t xml:space="preserve">As we have seen, members of terrorist organisations will take part, whether by pure inclination or by financial necessity, in crimes unrelated to terror, such as trafficking and selling drugs, money laundering, fraud, identity theft, and forgery. The investigations of these crimes can provide intelligence useful to counterterrorism. For instance, Dahl (2011) showed that out of a sample of 176 failed terrorist attacks in America between 1987 and 2010, 8% were attempted but failed in the execution, 5% were called off by the terrorists, 14% had insufficient data to determine cause of failure, and 73% were thwarted. Dahl (2011) also noted that while some plots were thwarted by deliberate surveillance and intelligence gathering by police and security officials, some plots were thwarted by other contact with police, such as traffic stops. </w:t>
      </w:r>
    </w:p>
    <w:p w14:paraId="714F9EE9" w14:textId="77777777" w:rsidR="009A30D4" w:rsidRDefault="009A30D4" w:rsidP="009A30D4">
      <w:r>
        <w:t xml:space="preserve">Dahl (2011) also studied some “overseas” (non-American) terror plots, including some from the United Kingdom, which showed that, of the plots that were thwarted, 45% were thwarted by overseas intelligence, 29% by human intelligence, 12% by signals intelligence, and 4% by other law enforcement. The high percentage of contribution that overseas intelligence has to thwarting terror plots demonstrates the importance of co-operation between both national and international bodies, such as Interpol and Europol. Although some academics (Jansson, 2015) question the lack of accountability of such international bodies and the legitimacy of their work, despite the depoliticised nature of this cooperation between police, the organisations such as Europol have turned into </w:t>
      </w:r>
      <w:proofErr w:type="gramStart"/>
      <w:r>
        <w:t>policy-makers</w:t>
      </w:r>
      <w:proofErr w:type="gramEnd"/>
      <w:r>
        <w:t xml:space="preserve"> despite not being governed by parliamentary control.</w:t>
      </w:r>
    </w:p>
    <w:p w14:paraId="16904D54" w14:textId="77777777" w:rsidR="009A30D4" w:rsidRDefault="009A30D4" w:rsidP="009A30D4">
      <w:r>
        <w:lastRenderedPageBreak/>
        <w:t>Other bodies within the UK are an integral part of connecting the dots between intelligence gathering by police and counterterrorism efforts. Domestically, counterterrorism is delivered by The Counter Terrorism Policing Headquarters (CTPHQ) and its 11 regional police counterterrorism units (CTUs), in conjunction with MI5. Halford (2023) showed that this joining of forces between law enforcement and intelligence services has proven to be fruitful in improving relationships, intelligence sharing, trust, and success between law enforcement and intelligence services, but identified some lingering issues that are holding back efforts, including an increased reliance on the “need-to-know” principle.</w:t>
      </w:r>
    </w:p>
    <w:p w14:paraId="38F34C95" w14:textId="77777777" w:rsidR="009A30D4" w:rsidRDefault="009A30D4" w:rsidP="009A30D4">
      <w:r>
        <w:t xml:space="preserve">Evidently it is not just a case of non-terror related crimes informing the efforts of counterterrorism bodies, but these OCG style crimes are symbiotic with terrorist group activities. As already touched upon, terrorist groups and OCGs may share personnel, may move in the same circles, and use the same resources and networks to commit the same kinds of crimes, or even collaborate (as per Al Qaeda with the Italian mafia, for example). Members of terrorist organisations are more diverse in terms of race, socioeconomic background, education level, and mental health than we generally expect. A terrorist group member could essentially be anyone you walk past on the street, which poses a challenge to counterterrorism bodies. The investigation of non-terror related crime is therefore one effective piece of the puzzle, as it can help to build intelligence that can have the joint benefits of both derailing the drug trade or other criminal endeavours that provide funding, as well as potentially thwarting terror plots through the identification and apprehension of the members of these organisations. </w:t>
      </w:r>
    </w:p>
    <w:p w14:paraId="68CDCB64" w14:textId="77777777" w:rsidR="009A30D4" w:rsidRDefault="009A30D4" w:rsidP="009A30D4"/>
    <w:p w14:paraId="3A009E4F" w14:textId="77777777" w:rsidR="009A30D4" w:rsidRDefault="009A30D4" w:rsidP="009A30D4">
      <w:r>
        <w:t>1907 words</w:t>
      </w:r>
    </w:p>
    <w:p w14:paraId="44C61484" w14:textId="77777777" w:rsidR="009A30D4" w:rsidRDefault="009A30D4" w:rsidP="009A30D4"/>
    <w:p w14:paraId="7E0DE14B" w14:textId="77777777" w:rsidR="009A30D4" w:rsidRDefault="009A30D4" w:rsidP="009A30D4">
      <w:r>
        <w:br w:type="page"/>
      </w:r>
    </w:p>
    <w:p w14:paraId="7588F62D" w14:textId="77777777" w:rsidR="009A30D4" w:rsidRPr="00412C0F" w:rsidRDefault="009A30D4" w:rsidP="009A30D4">
      <w:pPr>
        <w:rPr>
          <w:u w:val="single"/>
        </w:rPr>
      </w:pPr>
      <w:r w:rsidRPr="00412C0F">
        <w:rPr>
          <w:u w:val="single"/>
        </w:rPr>
        <w:lastRenderedPageBreak/>
        <w:t>Bibliography</w:t>
      </w:r>
    </w:p>
    <w:p w14:paraId="225906F9" w14:textId="77777777" w:rsidR="009A30D4" w:rsidRDefault="009A30D4" w:rsidP="009A30D4">
      <w:r>
        <w:t xml:space="preserve">Atran, S. (2003) ‘Genesis of Suicide Terrorism’. </w:t>
      </w:r>
      <w:r w:rsidRPr="003E03B3">
        <w:rPr>
          <w:i/>
          <w:iCs/>
        </w:rPr>
        <w:t>Science</w:t>
      </w:r>
      <w:r>
        <w:t xml:space="preserve">, 299, pp.1534–1539. Available at: </w:t>
      </w:r>
      <w:hyperlink r:id="rId7" w:history="1">
        <w:r w:rsidRPr="002139E7">
          <w:rPr>
            <w:rStyle w:val="Hyperlink"/>
          </w:rPr>
          <w:t>https://www.proquest.com/scholarly-journals/genesis-suicide-terrorism/docview/213575013/se-2?accountid=130472</w:t>
        </w:r>
      </w:hyperlink>
      <w:r>
        <w:t xml:space="preserve"> (Accessed: 25 February 2024).</w:t>
      </w:r>
    </w:p>
    <w:p w14:paraId="4C6D4437" w14:textId="77777777" w:rsidR="009A30D4" w:rsidRDefault="009A30D4" w:rsidP="009A30D4">
      <w:r>
        <w:t xml:space="preserve">Bakker, E. (2006) </w:t>
      </w:r>
      <w:r w:rsidRPr="00C96A83">
        <w:rPr>
          <w:i/>
          <w:iCs/>
        </w:rPr>
        <w:t>Jihadi Terrorists in Europe</w:t>
      </w:r>
      <w:r>
        <w:t xml:space="preserve">. </w:t>
      </w:r>
      <w:proofErr w:type="spellStart"/>
      <w:r>
        <w:t>Clingendael</w:t>
      </w:r>
      <w:proofErr w:type="spellEnd"/>
      <w:r>
        <w:t xml:space="preserve">: Netherlands Institute of International Relations. Available at: </w:t>
      </w:r>
      <w:hyperlink r:id="rId8" w:history="1">
        <w:r w:rsidRPr="002139E7">
          <w:rPr>
            <w:rStyle w:val="Hyperlink"/>
          </w:rPr>
          <w:t>https://www.clingendael.org/sites/default/files/pdfs/20061200_cscp_csp_bakker.pdf</w:t>
        </w:r>
      </w:hyperlink>
      <w:r>
        <w:t xml:space="preserve"> (Accessed: 25 February 2024).</w:t>
      </w:r>
    </w:p>
    <w:p w14:paraId="16DECFF2" w14:textId="77777777" w:rsidR="009A30D4" w:rsidRDefault="009A30D4" w:rsidP="009A30D4">
      <w:r>
        <w:t xml:space="preserve">Clarke, C. (2016) ‘Drugs &amp; Thugs: Funding Terrorism through Narcotics Trafficking’, </w:t>
      </w:r>
      <w:r w:rsidRPr="00AD49CC">
        <w:rPr>
          <w:i/>
          <w:iCs/>
        </w:rPr>
        <w:t>Journal of Strategic Security</w:t>
      </w:r>
      <w:r>
        <w:t xml:space="preserve">, 9(3), pp.1–15. Available at: </w:t>
      </w:r>
      <w:hyperlink r:id="rId9" w:history="1">
        <w:r w:rsidRPr="002139E7">
          <w:rPr>
            <w:rStyle w:val="Hyperlink"/>
          </w:rPr>
          <w:t>https://www.jstor.org/stable/26473335</w:t>
        </w:r>
      </w:hyperlink>
      <w:r>
        <w:t xml:space="preserve"> (Accessed: 25 February 2024).</w:t>
      </w:r>
    </w:p>
    <w:p w14:paraId="7CDC21D8" w14:textId="77777777" w:rsidR="009A30D4" w:rsidRDefault="009A30D4" w:rsidP="009A30D4">
      <w:r>
        <w:t xml:space="preserve">Cornell, S. (2006) ‘The Narcotics Threat in Greater Central Asia: From Crime-Terror Nexus to State Infiltration?’, </w:t>
      </w:r>
      <w:r w:rsidRPr="00C519FB">
        <w:rPr>
          <w:i/>
          <w:iCs/>
        </w:rPr>
        <w:t>China and Eurasia Forum Quarterly</w:t>
      </w:r>
      <w:r>
        <w:t xml:space="preserve">, 4(1), pp.37–67. Available at: </w:t>
      </w:r>
      <w:hyperlink r:id="rId10" w:history="1">
        <w:r w:rsidRPr="003101D8">
          <w:rPr>
            <w:rStyle w:val="Hyperlink"/>
          </w:rPr>
          <w:t>https://isdp.eu/content/uploads/publications/2006_cornell_the-narcotics-threat-in-greater-central-asia.pdf</w:t>
        </w:r>
      </w:hyperlink>
      <w:r>
        <w:t xml:space="preserve"> (Accessed: 25 February 2024).</w:t>
      </w:r>
    </w:p>
    <w:p w14:paraId="240B5EBF" w14:textId="77777777" w:rsidR="009A30D4" w:rsidRDefault="009A30D4" w:rsidP="009A30D4">
      <w:r>
        <w:t xml:space="preserve">Corner, E. and Gill, P. (2015) ‘A False Dichotomy? Mental Illness and Lone-Actor Terrorism’, </w:t>
      </w:r>
      <w:r w:rsidRPr="005B0408">
        <w:rPr>
          <w:i/>
          <w:iCs/>
        </w:rPr>
        <w:t xml:space="preserve">Law and Human </w:t>
      </w:r>
      <w:proofErr w:type="spellStart"/>
      <w:r w:rsidRPr="005B0408">
        <w:rPr>
          <w:i/>
          <w:iCs/>
        </w:rPr>
        <w:t>Behavior</w:t>
      </w:r>
      <w:proofErr w:type="spellEnd"/>
      <w:r>
        <w:t xml:space="preserve">, 39, pp.23–34. Available at: </w:t>
      </w:r>
      <w:hyperlink r:id="rId11" w:history="1">
        <w:r w:rsidRPr="002139E7">
          <w:rPr>
            <w:rStyle w:val="Hyperlink"/>
          </w:rPr>
          <w:t>http://dx.doi.org/10.1037/lhb0000102</w:t>
        </w:r>
      </w:hyperlink>
      <w:r>
        <w:t xml:space="preserve"> (Accessed: 25 February 2024).</w:t>
      </w:r>
    </w:p>
    <w:p w14:paraId="633E81DA" w14:textId="77777777" w:rsidR="009A30D4" w:rsidRDefault="009A30D4" w:rsidP="009A30D4">
      <w:r>
        <w:t>Dahl, E. (2011) ‘</w:t>
      </w:r>
      <w:r w:rsidRPr="00DF1845">
        <w:t>The Plots that Failed: Intelligence Lessons Learned from Unsuccessful Terrorist Attacks Against the United States</w:t>
      </w:r>
      <w:r>
        <w:t xml:space="preserve">’, </w:t>
      </w:r>
      <w:r w:rsidRPr="00256285">
        <w:rPr>
          <w:i/>
          <w:iCs/>
        </w:rPr>
        <w:t>Studies in Conflict &amp; Terrorism</w:t>
      </w:r>
      <w:r>
        <w:t xml:space="preserve">, 34(8), pp.621–648. Available at: </w:t>
      </w:r>
      <w:hyperlink r:id="rId12" w:history="1">
        <w:r w:rsidRPr="003101D8">
          <w:rPr>
            <w:rStyle w:val="Hyperlink"/>
          </w:rPr>
          <w:t>https://doi-org.ezproxy.uwtsd.ac.uk/10.1080/1057610X.2011.582628</w:t>
        </w:r>
      </w:hyperlink>
      <w:r>
        <w:t xml:space="preserve"> (Accessed: 25 February 2024).</w:t>
      </w:r>
    </w:p>
    <w:p w14:paraId="7008786F" w14:textId="77777777" w:rsidR="009A30D4" w:rsidRDefault="009A30D4" w:rsidP="009A30D4">
      <w:r>
        <w:t>Halford, E. (2023) ‘</w:t>
      </w:r>
      <w:r w:rsidRPr="00C63583">
        <w:t>A scoping analysis of the counter terrorism command policing structure and its impact on intelligence sharing between the police and the security services</w:t>
      </w:r>
      <w:r>
        <w:t xml:space="preserve">’, </w:t>
      </w:r>
      <w:r w:rsidRPr="00973A28">
        <w:rPr>
          <w:i/>
          <w:iCs/>
        </w:rPr>
        <w:t>Journal of Policing, Intelligence, and Counter Terrorism</w:t>
      </w:r>
      <w:r>
        <w:t xml:space="preserve">, 18(3), pp.353–374. Available at: </w:t>
      </w:r>
      <w:hyperlink r:id="rId13" w:history="1">
        <w:r w:rsidRPr="003101D8">
          <w:rPr>
            <w:rStyle w:val="Hyperlink"/>
          </w:rPr>
          <w:t>https://doi-org.ezproxy.uwtsd.ac.uk/10.1080/18335330.2023.2171309</w:t>
        </w:r>
      </w:hyperlink>
      <w:r>
        <w:t xml:space="preserve"> (Accessed: 25 February 2024).</w:t>
      </w:r>
    </w:p>
    <w:p w14:paraId="10013E47" w14:textId="77777777" w:rsidR="009A30D4" w:rsidRDefault="009A30D4" w:rsidP="009A30D4">
      <w:r>
        <w:t xml:space="preserve">Home Office (2013) </w:t>
      </w:r>
      <w:r w:rsidRPr="008240F8">
        <w:rPr>
          <w:i/>
          <w:iCs/>
        </w:rPr>
        <w:t>Proscribed Terrorist Organisations</w:t>
      </w:r>
      <w:r>
        <w:t xml:space="preserve">. Available at: </w:t>
      </w:r>
      <w:hyperlink r:id="rId14" w:history="1">
        <w:r w:rsidRPr="002139E7">
          <w:rPr>
            <w:rStyle w:val="Hyperlink"/>
          </w:rPr>
          <w:t>https://assets.publishing.service.gov.uk/government/uploads/system/uploads/attachment_data/file/266038/List_of_Proscribed_organisations.pdf</w:t>
        </w:r>
      </w:hyperlink>
      <w:r>
        <w:t xml:space="preserve"> (Accessed: 25 February 2024).</w:t>
      </w:r>
    </w:p>
    <w:p w14:paraId="1ABED853" w14:textId="77777777" w:rsidR="009A30D4" w:rsidRDefault="009A30D4" w:rsidP="009A30D4">
      <w:r>
        <w:t xml:space="preserve">Home Office (2024) Policy paper: Proscribed terrorist groups or organisations. Available at: </w:t>
      </w:r>
      <w:hyperlink r:id="rId15" w:history="1">
        <w:r w:rsidRPr="00BD27BD">
          <w:rPr>
            <w:rStyle w:val="Hyperlink"/>
          </w:rPr>
          <w:t>https://www.gov.uk/government/publications/proscribed-terror-groups-or-organisations--2/proscribed-terrorist-groups-or-organisations-accessible-version</w:t>
        </w:r>
      </w:hyperlink>
      <w:r>
        <w:t xml:space="preserve"> (Accessed: 24 February 2024).</w:t>
      </w:r>
    </w:p>
    <w:p w14:paraId="267DBA47" w14:textId="77777777" w:rsidR="009A30D4" w:rsidRDefault="009A30D4" w:rsidP="009A30D4">
      <w:r>
        <w:t>Jansson, J. (2015) ‘</w:t>
      </w:r>
      <w:r w:rsidRPr="00A05D5E">
        <w:t xml:space="preserve">Building resilience, demolishing accountability? The role of Europol in </w:t>
      </w:r>
      <w:proofErr w:type="gramStart"/>
      <w:r w:rsidRPr="00A05D5E">
        <w:t>counter-terrorism</w:t>
      </w:r>
      <w:proofErr w:type="gramEnd"/>
      <w:r>
        <w:t xml:space="preserve">’, </w:t>
      </w:r>
      <w:r w:rsidRPr="00A028D8">
        <w:rPr>
          <w:i/>
          <w:iCs/>
        </w:rPr>
        <w:t>Policing and Society</w:t>
      </w:r>
      <w:r>
        <w:t xml:space="preserve">, 28(4), pp.432–447. Available at: </w:t>
      </w:r>
      <w:hyperlink r:id="rId16" w:history="1">
        <w:r w:rsidRPr="003101D8">
          <w:rPr>
            <w:rStyle w:val="Hyperlink"/>
          </w:rPr>
          <w:t>https://doi-org.ezproxy.uwtsd.ac.uk/10.1080/10439463.2016.1191485</w:t>
        </w:r>
      </w:hyperlink>
      <w:r>
        <w:t xml:space="preserve"> (Accessed: 25 February 2024).</w:t>
      </w:r>
    </w:p>
    <w:p w14:paraId="405FEC44" w14:textId="77777777" w:rsidR="009A30D4" w:rsidRDefault="009A30D4" w:rsidP="009A30D4">
      <w:r>
        <w:t xml:space="preserve">Kalin, S. (2016) </w:t>
      </w:r>
      <w:r w:rsidRPr="00130F7A">
        <w:rPr>
          <w:i/>
          <w:iCs/>
        </w:rPr>
        <w:t>Islamic State turns to selling fish, cars to offset oil losses: report</w:t>
      </w:r>
      <w:r>
        <w:t xml:space="preserve">. Available at: </w:t>
      </w:r>
      <w:hyperlink r:id="rId17" w:history="1">
        <w:r w:rsidRPr="002139E7">
          <w:rPr>
            <w:rStyle w:val="Hyperlink"/>
          </w:rPr>
          <w:t>https://www.reuters.com/article/us-mideast-crisis-islamicstate-finances-idUSKCN0XP2CV/</w:t>
        </w:r>
      </w:hyperlink>
      <w:r>
        <w:t xml:space="preserve"> (Accessed: 25 February 2024).</w:t>
      </w:r>
    </w:p>
    <w:p w14:paraId="3AF7C891" w14:textId="77777777" w:rsidR="009A30D4" w:rsidRDefault="009A30D4" w:rsidP="009A30D4">
      <w:r>
        <w:lastRenderedPageBreak/>
        <w:t xml:space="preserve">McKenzie, N. and Baker, R. (2014) </w:t>
      </w:r>
      <w:r w:rsidRPr="001A7EB0">
        <w:rPr>
          <w:i/>
          <w:iCs/>
        </w:rPr>
        <w:t>Terrorists taking cut of millions in drug money</w:t>
      </w:r>
      <w:r>
        <w:t xml:space="preserve">. Available at: </w:t>
      </w:r>
      <w:hyperlink r:id="rId18" w:history="1">
        <w:r w:rsidRPr="003101D8">
          <w:rPr>
            <w:rStyle w:val="Hyperlink"/>
          </w:rPr>
          <w:t>https://www.smh.com.au/national/terrorists-taking-cut-of-millions-in-drug-money-20140122-3196s.html</w:t>
        </w:r>
      </w:hyperlink>
      <w:r>
        <w:t xml:space="preserve"> (Accessed: 25 February 2024).</w:t>
      </w:r>
    </w:p>
    <w:p w14:paraId="4ED630AD" w14:textId="77777777" w:rsidR="009A30D4" w:rsidRDefault="009A30D4" w:rsidP="009A30D4">
      <w:r>
        <w:t>Mullins, S. (2016) ‘</w:t>
      </w:r>
      <w:r w:rsidRPr="008747B3">
        <w:t>The Road to Orlando: Jihadist-Inspired Violence in the West, 2012-2016</w:t>
      </w:r>
      <w:r>
        <w:t xml:space="preserve">’, </w:t>
      </w:r>
      <w:r w:rsidRPr="00786980">
        <w:rPr>
          <w:i/>
          <w:iCs/>
        </w:rPr>
        <w:t>CTC Sentinel</w:t>
      </w:r>
      <w:r>
        <w:t xml:space="preserve">, 9(6), pp.26–30. Available at: </w:t>
      </w:r>
      <w:hyperlink r:id="rId19" w:history="1">
        <w:r w:rsidRPr="002139E7">
          <w:rPr>
            <w:rStyle w:val="Hyperlink"/>
          </w:rPr>
          <w:t>https://ctc.westpoint.edu/the-road-to-orlando-jihadist-inspired-violence-in-the-west-2012-2016/</w:t>
        </w:r>
      </w:hyperlink>
      <w:r>
        <w:t xml:space="preserve"> (Accessed: 25 February 2024).</w:t>
      </w:r>
    </w:p>
    <w:p w14:paraId="0A163A10" w14:textId="77777777" w:rsidR="009A30D4" w:rsidRDefault="009A30D4" w:rsidP="009A30D4">
      <w:r>
        <w:t xml:space="preserve">Nemeth, S., </w:t>
      </w:r>
      <w:proofErr w:type="spellStart"/>
      <w:r>
        <w:t>Mauslein</w:t>
      </w:r>
      <w:proofErr w:type="spellEnd"/>
      <w:r>
        <w:t xml:space="preserve">, J. and Stapley, C. (2014) ‘The Primacy of the Local: Identifying Terrorist Hot Spots Using Geographic Information Systems’, </w:t>
      </w:r>
      <w:r w:rsidRPr="00243BA7">
        <w:rPr>
          <w:i/>
          <w:iCs/>
        </w:rPr>
        <w:t>The Journal of Politics</w:t>
      </w:r>
      <w:r>
        <w:t xml:space="preserve">, 76(2), pp.304–317. Available at: </w:t>
      </w:r>
      <w:hyperlink r:id="rId20" w:history="1">
        <w:r w:rsidRPr="003101D8">
          <w:rPr>
            <w:rStyle w:val="Hyperlink"/>
          </w:rPr>
          <w:t>https://www.jstor.org/stable/10.1017/s0022381613001333</w:t>
        </w:r>
      </w:hyperlink>
      <w:r>
        <w:t xml:space="preserve"> (Accessed: 25 February 2024).</w:t>
      </w:r>
    </w:p>
    <w:p w14:paraId="11BE29CB" w14:textId="77777777" w:rsidR="009A30D4" w:rsidRDefault="009A30D4" w:rsidP="009A30D4">
      <w:proofErr w:type="spellStart"/>
      <w:r>
        <w:t>Omelicheva</w:t>
      </w:r>
      <w:proofErr w:type="spellEnd"/>
      <w:r>
        <w:t xml:space="preserve">, M. and Markowitz, L. (2019) </w:t>
      </w:r>
      <w:r w:rsidRPr="00866F89">
        <w:rPr>
          <w:i/>
          <w:iCs/>
        </w:rPr>
        <w:t>Webs of Corruption: Trafficking and Terrorism in Central Asia</w:t>
      </w:r>
      <w:r>
        <w:t xml:space="preserve">. Columbia University Press: New York. Available at: </w:t>
      </w:r>
      <w:hyperlink r:id="rId21" w:history="1">
        <w:r w:rsidRPr="003101D8">
          <w:rPr>
            <w:rStyle w:val="Hyperlink"/>
          </w:rPr>
          <w:t>https://www.jstor.org/stable/10.7312/omel18854.1</w:t>
        </w:r>
      </w:hyperlink>
      <w:r>
        <w:t xml:space="preserve"> (Accessed: 25 February 2024).</w:t>
      </w:r>
    </w:p>
    <w:p w14:paraId="47560A24" w14:textId="77777777" w:rsidR="009A30D4" w:rsidRDefault="009A30D4" w:rsidP="009A30D4">
      <w:proofErr w:type="spellStart"/>
      <w:r>
        <w:t>Pontoniere</w:t>
      </w:r>
      <w:proofErr w:type="spellEnd"/>
      <w:r>
        <w:t xml:space="preserve">, P. (2005) ‘In Italy, Al </w:t>
      </w:r>
      <w:proofErr w:type="spellStart"/>
      <w:r>
        <w:t>Queda</w:t>
      </w:r>
      <w:proofErr w:type="spellEnd"/>
      <w:r>
        <w:t xml:space="preserve"> Turns to Organized Crime for Protection’, </w:t>
      </w:r>
      <w:proofErr w:type="spellStart"/>
      <w:r w:rsidRPr="0026204F">
        <w:rPr>
          <w:i/>
          <w:iCs/>
        </w:rPr>
        <w:t>Silendo</w:t>
      </w:r>
      <w:proofErr w:type="spellEnd"/>
      <w:r>
        <w:t xml:space="preserve">, October 2005 [Blog]. Available at: </w:t>
      </w:r>
      <w:hyperlink r:id="rId22" w:history="1">
        <w:r w:rsidRPr="003101D8">
          <w:rPr>
            <w:rStyle w:val="Hyperlink"/>
          </w:rPr>
          <w:t>https://www.silendo.org/2005/10/23/in-italy-al-qaeda-turns-to-organized-crime-for-protection/</w:t>
        </w:r>
      </w:hyperlink>
      <w:r>
        <w:t xml:space="preserve"> (Accessed: 25 February 2024).</w:t>
      </w:r>
    </w:p>
    <w:p w14:paraId="4ACFE629" w14:textId="77777777" w:rsidR="009A30D4" w:rsidRDefault="009A30D4" w:rsidP="009A30D4">
      <w:r>
        <w:t>Sanderson, T. (2004) ‘</w:t>
      </w:r>
      <w:r w:rsidRPr="00A33E07">
        <w:t>Transnational Terror and Organized Crime: Blurring the Lines</w:t>
      </w:r>
      <w:r>
        <w:t xml:space="preserve">’, </w:t>
      </w:r>
      <w:r w:rsidRPr="00475A84">
        <w:rPr>
          <w:i/>
          <w:iCs/>
        </w:rPr>
        <w:t>The SAIS Review of International Affairs</w:t>
      </w:r>
      <w:r>
        <w:t xml:space="preserve">, 24(1), pp.49–61. Available at: </w:t>
      </w:r>
      <w:hyperlink r:id="rId23" w:history="1">
        <w:r w:rsidRPr="002139E7">
          <w:rPr>
            <w:rStyle w:val="Hyperlink"/>
          </w:rPr>
          <w:t>https://doi.org/10.1353/sais.2004.0020</w:t>
        </w:r>
      </w:hyperlink>
      <w:r>
        <w:t xml:space="preserve"> (Accessed 25 February 2024).</w:t>
      </w:r>
    </w:p>
    <w:p w14:paraId="24BD9FFE" w14:textId="77777777" w:rsidR="009A30D4" w:rsidRDefault="009A30D4" w:rsidP="009A30D4">
      <w:r>
        <w:t xml:space="preserve">Travis, A. (2008) </w:t>
      </w:r>
      <w:r w:rsidRPr="002B14FC">
        <w:rPr>
          <w:i/>
          <w:iCs/>
        </w:rPr>
        <w:t>MI5 report challenges views on terrorism in Britain</w:t>
      </w:r>
      <w:r>
        <w:t xml:space="preserve">. Available at: </w:t>
      </w:r>
      <w:hyperlink r:id="rId24" w:history="1">
        <w:r w:rsidRPr="002139E7">
          <w:rPr>
            <w:rStyle w:val="Hyperlink"/>
          </w:rPr>
          <w:t>https://www.theguardian.com/uk/2008/aug/20/uksecurity.terrorism1</w:t>
        </w:r>
      </w:hyperlink>
      <w:r>
        <w:t xml:space="preserve"> (Accessed: 25 February 2024).</w:t>
      </w:r>
    </w:p>
    <w:p w14:paraId="19AF98BC" w14:textId="77777777" w:rsidR="009A30D4" w:rsidRDefault="009A30D4" w:rsidP="009A30D4">
      <w:r>
        <w:t xml:space="preserve">US Department of the Treasure (2011) </w:t>
      </w:r>
      <w:r w:rsidRPr="00A112BC">
        <w:rPr>
          <w:i/>
          <w:iCs/>
        </w:rPr>
        <w:t>Treasury Designates New Ansari Money Exchange</w:t>
      </w:r>
      <w:r>
        <w:t xml:space="preserve">, February 2011 [Press Release]. Available at: </w:t>
      </w:r>
      <w:hyperlink r:id="rId25" w:history="1">
        <w:r w:rsidRPr="003101D8">
          <w:rPr>
            <w:rStyle w:val="Hyperlink"/>
          </w:rPr>
          <w:t>https://home.treasury.gov/news/press-releases/tg1071</w:t>
        </w:r>
      </w:hyperlink>
      <w:r>
        <w:t xml:space="preserve"> (Accessed: 25 February 2024).</w:t>
      </w:r>
    </w:p>
    <w:p w14:paraId="00832663" w14:textId="77777777" w:rsidR="009A30D4" w:rsidRDefault="009A30D4" w:rsidP="009A30D4">
      <w:proofErr w:type="spellStart"/>
      <w:r>
        <w:t>Yakeley</w:t>
      </w:r>
      <w:proofErr w:type="spellEnd"/>
      <w:r>
        <w:t xml:space="preserve">, J. and Taylor, R. (2017) ‘Terrorism and mental disorder, and the role of psychiatrists in </w:t>
      </w:r>
      <w:proofErr w:type="gramStart"/>
      <w:r>
        <w:t>counter-terrorism</w:t>
      </w:r>
      <w:proofErr w:type="gramEnd"/>
      <w:r>
        <w:t xml:space="preserve"> in the UK’, </w:t>
      </w:r>
      <w:r w:rsidRPr="008240F8">
        <w:rPr>
          <w:i/>
          <w:iCs/>
        </w:rPr>
        <w:t>Psychoanalytic Psychotherapy</w:t>
      </w:r>
      <w:r>
        <w:t xml:space="preserve">, 31(4), pp. 378–392. Available at: </w:t>
      </w:r>
      <w:hyperlink r:id="rId26" w:history="1">
        <w:r w:rsidRPr="00BD27BD">
          <w:rPr>
            <w:rStyle w:val="Hyperlink"/>
          </w:rPr>
          <w:t>https://doi.org/10.1080/02668734.2017.1368694</w:t>
        </w:r>
      </w:hyperlink>
      <w:r>
        <w:t xml:space="preserve"> (Accessed: 24 February 2024).</w:t>
      </w:r>
    </w:p>
    <w:p w14:paraId="7D17C8DF" w14:textId="6B2F93AA" w:rsidR="0021617E" w:rsidRDefault="0021617E">
      <w:pPr>
        <w:spacing w:line="278" w:lineRule="auto"/>
      </w:pPr>
      <w:r>
        <w:br w:type="page"/>
      </w:r>
    </w:p>
    <w:p w14:paraId="4D96F740" w14:textId="77777777" w:rsidR="00A50817" w:rsidRPr="00764C18" w:rsidRDefault="00A50817" w:rsidP="00A50817">
      <w:pPr>
        <w:rPr>
          <w:u w:val="single"/>
        </w:rPr>
      </w:pPr>
      <w:r w:rsidRPr="00764C18">
        <w:rPr>
          <w:u w:val="single"/>
        </w:rPr>
        <w:lastRenderedPageBreak/>
        <w:t>“Whilst public apathy and non-engagement are significant barriers for Neighbourhood Policing Teams to overcome, people who are anti-police or who might appear to be unwilling to engage are precisely those whom the police most need to engage” (Cosgrove and Ramshaw, 2013).</w:t>
      </w:r>
    </w:p>
    <w:p w14:paraId="33983861" w14:textId="77777777" w:rsidR="00A50817" w:rsidRPr="00764C18" w:rsidRDefault="00A50817" w:rsidP="00A50817">
      <w:pPr>
        <w:rPr>
          <w:u w:val="single"/>
        </w:rPr>
      </w:pPr>
      <w:r w:rsidRPr="00764C18">
        <w:rPr>
          <w:u w:val="single"/>
        </w:rPr>
        <w:t xml:space="preserve">Why might some groups be reluctant to engage with police, and to what extent do the police have a role in creating and maintaining community cohesion? </w:t>
      </w:r>
    </w:p>
    <w:p w14:paraId="71B7AAD1" w14:textId="77777777" w:rsidR="00A50817" w:rsidRDefault="00A50817" w:rsidP="00A50817"/>
    <w:p w14:paraId="2E20FC01" w14:textId="77777777" w:rsidR="00A50817" w:rsidRDefault="00A50817" w:rsidP="00A50817"/>
    <w:p w14:paraId="42707161" w14:textId="77777777" w:rsidR="00A50817" w:rsidRPr="00E421E3" w:rsidRDefault="00A50817" w:rsidP="00A50817">
      <w:pPr>
        <w:jc w:val="center"/>
        <w:rPr>
          <w:i/>
          <w:iCs/>
        </w:rPr>
      </w:pPr>
      <w:r w:rsidRPr="00E421E3">
        <w:rPr>
          <w:i/>
          <w:iCs/>
        </w:rPr>
        <w:t>“We help to pay your wages…”</w:t>
      </w:r>
    </w:p>
    <w:p w14:paraId="6EBA66DC" w14:textId="77777777" w:rsidR="00A50817" w:rsidRDefault="00A50817" w:rsidP="00A50817">
      <w:r>
        <w:t xml:space="preserve">This is most likely a familiar jibe in one form or another to all police officers up and down the </w:t>
      </w:r>
      <w:proofErr w:type="gramStart"/>
      <w:r>
        <w:t>country, and</w:t>
      </w:r>
      <w:proofErr w:type="gramEnd"/>
      <w:r>
        <w:t xml:space="preserve"> may be considered a quite effective summary of the current climate of anti-police sentiment. This quote, however, comes from an exchange between a Constable Palmer and Mr Kilburn who, back in 1880, was told he would be reported for leaving a wherry standing (Churchill, 2014). Anti-police sentiment has been firmly embedded into society since the earliest days of the existence of policing as we know it, with the New Poor Law of the 1830s and 1840s in particular leading to police of the day being described in such terms as a “plague of blue locusts” (Storch, 1975). This rhetoric has remained largely unchanged throughout the intervening </w:t>
      </w:r>
      <w:proofErr w:type="gramStart"/>
      <w:r>
        <w:t>years, and</w:t>
      </w:r>
      <w:proofErr w:type="gramEnd"/>
      <w:r>
        <w:t xml:space="preserve"> is something that Neighbourhood Policing Teams today will have to face.</w:t>
      </w:r>
    </w:p>
    <w:p w14:paraId="0008F0D9" w14:textId="77777777" w:rsidR="00A50817" w:rsidRDefault="00A50817" w:rsidP="00A50817">
      <w:r>
        <w:t xml:space="preserve">While anti-police sentiment was widespread anyway, the period during the Covid-19 pandemic in particular exacerbated the problem. In England and Wales, issues during the periods of lockdown affected the public’s attitude towards policing, and during that time there was enhanced scrutiny in the media on various issues and scandals facing the police (Fleming and Brown, 2023). Six of England’s police forces were placed in special measures, including the massive forces of the Metropolitan Police and Greater Manchester (BBC, 2022). In addition, there was a substantial rise in anti-police sentiment following the abduction and murder of Sarah Everard in March 2021, whereby a serving Metropolitan Police officer used the circumstances of the Covid-19 lockdown and his position to facilitate his crimes against her. A vigil held in honour of Sarah Everard’s memory, which was illegal under lockdown restrictions, turned to clashes with the police, which led to images in the media of police restraining female protesters which further added to the increasing public disquiet (Met Police, 2022). </w:t>
      </w:r>
    </w:p>
    <w:p w14:paraId="720C7019" w14:textId="77777777" w:rsidR="00A50817" w:rsidRDefault="00A50817" w:rsidP="00A50817">
      <w:r>
        <w:t>A recent poll by YouGov (2022) looked into the differences in sentiment about the police between various European countries. It found that Spanish citizens have the most positive attitudes about their police in two aspects of both having confidence in them (67%) and feeling that they are doing a good job (76%). In comparison, Britain was at the bottom of the list, with only 37% of Britons having confidence in the police, and only 51% believing that they are doing a good job.</w:t>
      </w:r>
    </w:p>
    <w:p w14:paraId="623562EC" w14:textId="77777777" w:rsidR="00A50817" w:rsidRDefault="00A50817" w:rsidP="00A50817">
      <w:r>
        <w:t xml:space="preserve">Further afield, in the United States for instance, relations with the police have been particularly strained in recent years, in light of the </w:t>
      </w:r>
      <w:proofErr w:type="gramStart"/>
      <w:r>
        <w:t>high profile</w:t>
      </w:r>
      <w:proofErr w:type="gramEnd"/>
      <w:r>
        <w:t xml:space="preserve"> death of George Floyd in Minneapolis which put the spotlight on the treatment of African Americans. While </w:t>
      </w:r>
      <w:proofErr w:type="spellStart"/>
      <w:r>
        <w:t>Nivette</w:t>
      </w:r>
      <w:proofErr w:type="spellEnd"/>
      <w:r>
        <w:t xml:space="preserve"> et al. (2022) admit there may have been some overlap of negative effects from Covid-19, their study showed that, at least in the long-term, there was a demonstrable increase in negative attitudes towards the police by black Londoners following the events of George Floyd’s death. While there was a similar trend in Asian Londoners, this trend was not demonstrated with white Londoners, which suggested the events following George Floyd’s death fostered increasingly negative feelings towards the police </w:t>
      </w:r>
      <w:r>
        <w:lastRenderedPageBreak/>
        <w:t>in ethnic minorities in general, and not just people of African descent, due to similar feelings or experiences of institutional racism and police aggression (Millings, 2013).</w:t>
      </w:r>
    </w:p>
    <w:p w14:paraId="3520D851" w14:textId="77777777" w:rsidR="00A50817" w:rsidRDefault="00A50817" w:rsidP="00A50817">
      <w:r>
        <w:t>One American study by Schuck (2013) looked at the correlation between anti-police sentiment and approaching and going through adolescence. Schuck set out to test several hypotheses, two of which were that adolescents who have been arrested will show a more negative attitude towards the police than adolescents who have not been arrested, and that adolescents with greater participation in delinquency correlates with greater anti-police sentiment. Schuck found that it was still quite unclear whether adolescents hold negative attitudes about the police due to their interactions with officers, or whether it comes down to their peer groups exerting pressure to reject police authority, though essentially the outcome is the same. It was found, however, that adolescents who participate in delinquency were much more likely to have negative contacts with the police. It was considered that, as anti-police sentiment in adolescents might well be as a result of pressure to prove a negative attitude to their peer group, and not related to an officer’s behaviour, the way police handle such interactions should be considered with the peer group aspect in mind.</w:t>
      </w:r>
    </w:p>
    <w:p w14:paraId="48177A6F" w14:textId="77777777" w:rsidR="00A50817" w:rsidRDefault="00A50817" w:rsidP="00A50817">
      <w:r>
        <w:t xml:space="preserve">In addition to peer group attitudes being a major factor in perpetuating anti-police sentiment amongst adolescents, another study (Defoe et al., 2021) looked into the “companions in crime hypothesis”. It suggests that co-development of delinquency in adolescents was stronger when they engaged in co-offending. This would suggest that peer groups are both actively making negative attitudes to police the only accepted </w:t>
      </w:r>
      <w:proofErr w:type="gramStart"/>
      <w:r>
        <w:t>attitude, and</w:t>
      </w:r>
      <w:proofErr w:type="gramEnd"/>
      <w:r>
        <w:t xml:space="preserve"> making contact with the police more likely due to increased likelihood of committing crime through co-offending. A previous study (Dynes et al., 2015) took a selection of 186 court-involved youth (12 to 18 years old) and showed that the delinquency of friends was particularly associated with increased delinquency when co-offending is present. Co-offending as a primary influence on delinquency was also shown to be a phenomenon mostly affecting youth and less so with adult offenders.</w:t>
      </w:r>
    </w:p>
    <w:p w14:paraId="47C0DA74" w14:textId="77777777" w:rsidR="00A50817" w:rsidRDefault="00A50817" w:rsidP="00A50817">
      <w:r>
        <w:t>Another American study by Rosenthal and Farhart (2023) compiled by several surveys on adolescent behaviour showed that being stopped by the police is linked to lower levels of political trust and political interest. It highlighted, in particular, a need by police and governments to provide positive childhood experiences that promote the idea of the police, and by extension the State, as being democratic and inclusive, rather than controlling and punitive.</w:t>
      </w:r>
    </w:p>
    <w:p w14:paraId="4C895DB8" w14:textId="77777777" w:rsidR="00A50817" w:rsidRDefault="00A50817" w:rsidP="00A50817">
      <w:r>
        <w:t xml:space="preserve">An additional hypothesis that Schuck (2013) tested was that adolescents with a skewed idea of legality were more likely to have anti-police attitudes. The study concluded that the hypothesis held up to </w:t>
      </w:r>
      <w:proofErr w:type="gramStart"/>
      <w:r>
        <w:t>scrutiny, and</w:t>
      </w:r>
      <w:proofErr w:type="gramEnd"/>
      <w:r>
        <w:t xml:space="preserve"> suggested that skewed legal norms might be pertinent in neighbourhoods with high rates of crime, which are both associated with these skewed legal norms and a higher police presence.</w:t>
      </w:r>
    </w:p>
    <w:p w14:paraId="4CDD43EB" w14:textId="77777777" w:rsidR="00A50817" w:rsidRDefault="00A50817" w:rsidP="00A50817">
      <w:r>
        <w:t>In addition, Schuck (2013) made a general observation from the data that anti-police sentiment started to increase at around 12 years of age, and then started to stabilise around 17 years of age; this was a general trend regardless of gender, race, or socioeconomic background.</w:t>
      </w:r>
    </w:p>
    <w:p w14:paraId="5F8373AC" w14:textId="77777777" w:rsidR="00A50817" w:rsidRDefault="00A50817" w:rsidP="00A50817">
      <w:r>
        <w:t xml:space="preserve">One study (Smith et al., 2021) demonstrated that, unsurprisingly, an increased perception of anti-police sentiment causes police officers to have an increased fear of victimisation, particularly in the performance of their duties. This fear can be, however, somewhat mitigated by feeling supported by their organisation. It would be prudent for police forces to take heed that, if police officers feel well-supported, their fear of victimisation will decrease, and would </w:t>
      </w:r>
      <w:r>
        <w:lastRenderedPageBreak/>
        <w:t>therefore be more mentally prepared to deal with the onslaught of anti-police sentiment that they will undoubtedly face in the course of their duties.</w:t>
      </w:r>
    </w:p>
    <w:p w14:paraId="50F97D80" w14:textId="77777777" w:rsidR="00A50817" w:rsidRDefault="00A50817" w:rsidP="00A50817">
      <w:r>
        <w:t>Another aspect that should be considered in regard to anti-police sentiment, is the impact of parental or other familial influence. One Australian study (Sargeant and Bond, 2013) found that the familial context is just as important as police contact with delinquency. A survey of 540 school students determined that parental influence did have a significant contribution to negative attitudes towards the police. This was, however, partially mitigated by children who had a maternal attachment. Paternal attachment, however, did not mitigate the familial influence in any way.</w:t>
      </w:r>
    </w:p>
    <w:p w14:paraId="0E50868C" w14:textId="77777777" w:rsidR="00A50817" w:rsidRDefault="00A50817" w:rsidP="00A50817">
      <w:r>
        <w:t xml:space="preserve">Reluctance to engage due to anti-police sentiment, whatever the cause of such sentiment, is something that needs to be addressed if community cohesion is to be improved. Despite some factors working against it, there have been some successes in case studies. A community policing model was trialled and reported on by Harnett and </w:t>
      </w:r>
      <w:proofErr w:type="spellStart"/>
      <w:r>
        <w:t>Skogan</w:t>
      </w:r>
      <w:proofErr w:type="spellEnd"/>
      <w:r>
        <w:t xml:space="preserve"> (1999) in Chicago’s Englewood neighbourhood. Their study emphasised the importance of police officers becoming embedded in the community, fostering positive interactions, and addressing the unique concerns of residents. Community involvement was facilitated mainly by monthly beat meetings and advisory committees in each police district. Such discussions often raised issues that were generally beyond the police’s usual remit, but it was found that the communication of concerns helped police to understand the agendas, desires, and priorities of residents which were not always what might be expected. They found, for instance, that despite Englewood having one of the highest crime rates compared to other districts, the residents’ concerns were focused more on decaying, abandoned buildings (of which there were more than 600 reported), and problems with waste disposal (with 2379 requests for clean-ups within a 16-month period). As a result of the trial in this case, and the following 18 months, abandonment of buildings and waste problems significantly declined alongside drug and gang offenses compared to non-trialled districts. It was noted that, despite successes in its aims, it was not easy to implement such significant change to the way policing was conducted, with officers tending to exhibit initial pessimism of the idea of taking on non-crime problems and concerns that their roles would transition to more like social work than traditional police work.</w:t>
      </w:r>
    </w:p>
    <w:p w14:paraId="424663AE" w14:textId="77777777" w:rsidR="00A50817" w:rsidRDefault="00A50817" w:rsidP="00A50817">
      <w:r>
        <w:t xml:space="preserve">In the absence of any radical changes such as those demonstrated by Harnett and </w:t>
      </w:r>
      <w:proofErr w:type="spellStart"/>
      <w:r>
        <w:t>Skogan</w:t>
      </w:r>
      <w:proofErr w:type="spellEnd"/>
      <w:r>
        <w:t xml:space="preserve"> above, Neighbourhood Policing Teams (NPTs) will be the key to tackling low levels of community cohesion. The National Police Improvement Agency (NPIA, 2013) considers it vital that NPTs “win the hearts and minds of these communities and work hard to overcome any prejudices the communities may have about the police”. This may not be as straightforward as it is made out to be, due to factors already outlined above, such as peer group and familial influence, as well as negative media coverage of policing scandals.</w:t>
      </w:r>
    </w:p>
    <w:p w14:paraId="216AD43E" w14:textId="77777777" w:rsidR="00A50817" w:rsidRDefault="00A50817" w:rsidP="00A50817">
      <w:r>
        <w:t xml:space="preserve">One American study (Rukus et al., 2017) successfully encapsulated the overarching purpose of this essay. It sought to analyse the phenomenon of community policing being least effective where there is the greatest need. 1300 cities and counties were surveyed for the purpose of the study, and it was recognised that the police often had implementation issues and citizens found it difficult to build trust in the police where they perceived lower levels of “collective efficacy”. Collective efficacy is defined as “the process of activating or converting social ties among neighbourhood residents in order to achieve collective goals, such as public order or the control of crime” (Sampson, 2010). Rukus et al. (2017) demonstrated some concerning results, particularly that community policing was working best where it is needed the least, in low crime communities, and not effective in high crime neighbourhoods. The results were similar in terms </w:t>
      </w:r>
      <w:r>
        <w:lastRenderedPageBreak/>
        <w:t>of collective efficacy, where in high crime neighbourhoods, collective efficacy only had a positive impact on safety perception. Police trust was only linked to community participation in the metro core and low crime communities, but not elsewhere. It would seem that despite a focus on community policing, these projects are still not reaching those most in need of its efforts.</w:t>
      </w:r>
    </w:p>
    <w:p w14:paraId="1A5D13AF" w14:textId="77777777" w:rsidR="00A50817" w:rsidRDefault="00A50817" w:rsidP="00A50817">
      <w:r>
        <w:t>This essay has shown that anti-police sentiment and community cohesion are multi-faceted concepts. Anti-police sentiment does not come from just one source, but may be entangled in many factors, such as long-established anti-authority culture, current exacerbating events in the media, peer group pressure, adolescence, familial influence, minority perceptions of police bias, and even unforeseen events such as a nationwide pandemic. Winning the hearts and minds of the community is not a straightforward task, and even the most effective NPTs and well-intentioned officers may not be able to mitigate the significant pressure exerting on certain demographics to exhibit anti-police sentiment. In other words, those who would benefit the most from the input of NPTs are those who are demonstrably less likely to trust or engage with them. Though some targeted interventions, such as in Englewood, Chicago, have shown it is possible, with radical changes, to reach those who are most in need of effective community policing, there are significant barriers to its success, such as police officer pessimism, and it being a very difficult transition to make for the police and the community involved. Perhaps it is time that, in light of the past successes in Englewood, similarly radical changes might be a huge benefit to the current climate of rising anti-police sentiment that we are experiencing in the United Kingdom.</w:t>
      </w:r>
    </w:p>
    <w:p w14:paraId="7FC8ED26" w14:textId="77777777" w:rsidR="00A50817" w:rsidRDefault="00A50817" w:rsidP="00A50817"/>
    <w:p w14:paraId="5A3EBD12" w14:textId="77777777" w:rsidR="00A50817" w:rsidRDefault="00A50817" w:rsidP="00A50817">
      <w:r>
        <w:t>2017 words</w:t>
      </w:r>
      <w:r>
        <w:br w:type="page"/>
      </w:r>
    </w:p>
    <w:p w14:paraId="33E83587" w14:textId="77777777" w:rsidR="00A50817" w:rsidRPr="00D2747D" w:rsidRDefault="00A50817" w:rsidP="00A50817">
      <w:pPr>
        <w:rPr>
          <w:u w:val="single"/>
        </w:rPr>
      </w:pPr>
      <w:r w:rsidRPr="00793960">
        <w:rPr>
          <w:u w:val="single"/>
        </w:rPr>
        <w:lastRenderedPageBreak/>
        <w:t>Bibliography</w:t>
      </w:r>
    </w:p>
    <w:p w14:paraId="6E5A5BA6" w14:textId="77777777" w:rsidR="00A50817" w:rsidRDefault="00A50817" w:rsidP="00A50817">
      <w:r>
        <w:t xml:space="preserve">BBC (2022) </w:t>
      </w:r>
      <w:r w:rsidRPr="00301159">
        <w:rPr>
          <w:i/>
          <w:iCs/>
        </w:rPr>
        <w:t>Six police forces in England placed in special measures</w:t>
      </w:r>
      <w:r>
        <w:t xml:space="preserve">. Available at: </w:t>
      </w:r>
      <w:hyperlink r:id="rId27" w:history="1">
        <w:r w:rsidRPr="00BE5D38">
          <w:rPr>
            <w:rStyle w:val="Hyperlink"/>
          </w:rPr>
          <w:t>https://www.bbc.co.uk/news/uk-england-wiltshire-61993621</w:t>
        </w:r>
      </w:hyperlink>
      <w:r>
        <w:t xml:space="preserve"> (Available at: 25 February 2024).</w:t>
      </w:r>
    </w:p>
    <w:p w14:paraId="1B7AE6D1" w14:textId="77777777" w:rsidR="00A50817" w:rsidRDefault="00A50817" w:rsidP="00A50817">
      <w:r>
        <w:t xml:space="preserve">Churchill, D. (2014) ‘‘I am just the man for Upsetting you Bloody Bobbies’: popular animosity towards the police in late nineteenth-century Leeds’, </w:t>
      </w:r>
      <w:r w:rsidRPr="00493B90">
        <w:rPr>
          <w:i/>
          <w:iCs/>
        </w:rPr>
        <w:t>Social History</w:t>
      </w:r>
      <w:r>
        <w:t xml:space="preserve">, 39(2), pp.248–266. Available at: </w:t>
      </w:r>
      <w:hyperlink r:id="rId28" w:history="1">
        <w:r w:rsidRPr="00BE5D38">
          <w:rPr>
            <w:rStyle w:val="Hyperlink"/>
          </w:rPr>
          <w:t>https://doi.org/10.1080/03071022.2014.912424</w:t>
        </w:r>
      </w:hyperlink>
      <w:r>
        <w:t xml:space="preserve"> (Accessed: 25 February 2024).</w:t>
      </w:r>
    </w:p>
    <w:p w14:paraId="54F5AEF9" w14:textId="77777777" w:rsidR="00A50817" w:rsidRDefault="00A50817" w:rsidP="00A50817">
      <w:r>
        <w:t>Defoe, I. et al. (2021) ‘</w:t>
      </w:r>
      <w:r w:rsidRPr="00E05F82">
        <w:t>The Co-development of Friends’ Delinquency with Adolescents’ Delinquency and Short-term Mindsets: The Moderating Role of Co-Offending</w:t>
      </w:r>
      <w:r>
        <w:t xml:space="preserve">’, </w:t>
      </w:r>
      <w:r w:rsidRPr="000903BC">
        <w:rPr>
          <w:i/>
          <w:iCs/>
        </w:rPr>
        <w:t>Journal of Youth and Adolescence</w:t>
      </w:r>
      <w:r>
        <w:t xml:space="preserve">, 50(8), pp.1601–1615. Available at: </w:t>
      </w:r>
      <w:hyperlink r:id="rId29" w:history="1">
        <w:r w:rsidRPr="00672D86">
          <w:rPr>
            <w:rStyle w:val="Hyperlink"/>
          </w:rPr>
          <w:t>https://doi.org/10.1007/s10964-021-01417-z</w:t>
        </w:r>
      </w:hyperlink>
      <w:r>
        <w:t xml:space="preserve"> (Accessed: 1 March 2024).</w:t>
      </w:r>
    </w:p>
    <w:p w14:paraId="7046787F" w14:textId="77777777" w:rsidR="00A50817" w:rsidRDefault="00A50817" w:rsidP="00A50817">
      <w:r>
        <w:t>Dynes, M. et al. (2015) ‘</w:t>
      </w:r>
      <w:r w:rsidRPr="00B94753">
        <w:t>The Influence of Co-offending Within a Moderated Mediation Model of Parent and Peer Predictors of Delinquency</w:t>
      </w:r>
      <w:r>
        <w:t xml:space="preserve">’, </w:t>
      </w:r>
      <w:r w:rsidRPr="00423169">
        <w:rPr>
          <w:i/>
          <w:iCs/>
        </w:rPr>
        <w:t>Journal of Child and Family Studies</w:t>
      </w:r>
      <w:r>
        <w:t xml:space="preserve">, 24(12), pp.3516–3525. Available at: </w:t>
      </w:r>
      <w:hyperlink r:id="rId30" w:history="1">
        <w:r w:rsidRPr="00672D86">
          <w:rPr>
            <w:rStyle w:val="Hyperlink"/>
          </w:rPr>
          <w:t>https://doi.org/10.1007/s10826-015-0153-3</w:t>
        </w:r>
      </w:hyperlink>
      <w:r>
        <w:t xml:space="preserve"> (Accessed: 1 March 2024).</w:t>
      </w:r>
    </w:p>
    <w:p w14:paraId="5A898B82" w14:textId="77777777" w:rsidR="00A50817" w:rsidRDefault="00A50817" w:rsidP="00A50817">
      <w:r>
        <w:t xml:space="preserve">Fleming, J. and Brown, J. (2023) ‘From Easter Eggs to Anti-Police Sentiment: Maintaining a Balance in Policing during the Three Pandemic Lockdowns in England and Wales’, </w:t>
      </w:r>
      <w:r w:rsidRPr="00416F55">
        <w:rPr>
          <w:i/>
          <w:iCs/>
        </w:rPr>
        <w:t>Administrative Sciences</w:t>
      </w:r>
      <w:r>
        <w:t xml:space="preserve">, 13(4). Available at: </w:t>
      </w:r>
      <w:hyperlink r:id="rId31" w:history="1">
        <w:r w:rsidRPr="00BE5D38">
          <w:rPr>
            <w:rStyle w:val="Hyperlink"/>
          </w:rPr>
          <w:t>https://doi.org/10.3390/admsci13010014</w:t>
        </w:r>
      </w:hyperlink>
      <w:r>
        <w:t xml:space="preserve"> (Accessed: 1 March 2024).</w:t>
      </w:r>
    </w:p>
    <w:p w14:paraId="69B9DF4D" w14:textId="77777777" w:rsidR="00A50817" w:rsidRDefault="00A50817" w:rsidP="00A50817">
      <w:r>
        <w:t xml:space="preserve">Harnett, S. and </w:t>
      </w:r>
      <w:proofErr w:type="spellStart"/>
      <w:r>
        <w:t>Skogan</w:t>
      </w:r>
      <w:proofErr w:type="spellEnd"/>
      <w:r>
        <w:t xml:space="preserve">, W. (1999) ‘Community Policing: Chicago’s Experience’, </w:t>
      </w:r>
      <w:r w:rsidRPr="00E332BB">
        <w:rPr>
          <w:i/>
          <w:iCs/>
        </w:rPr>
        <w:t>National Institute of Justice Journal</w:t>
      </w:r>
      <w:r>
        <w:t xml:space="preserve">. Available at: </w:t>
      </w:r>
      <w:hyperlink r:id="rId32" w:history="1">
        <w:r w:rsidRPr="00672D86">
          <w:rPr>
            <w:rStyle w:val="Hyperlink"/>
          </w:rPr>
          <w:t>https://www.skogan.org/files/Comm_Policing_Chicagos_Experience.pdf</w:t>
        </w:r>
      </w:hyperlink>
      <w:r>
        <w:t xml:space="preserve"> (Accessed: 1 March 2024).</w:t>
      </w:r>
    </w:p>
    <w:p w14:paraId="1AB88E74" w14:textId="77777777" w:rsidR="00A50817" w:rsidRDefault="00A50817" w:rsidP="00A50817">
      <w:r>
        <w:t xml:space="preserve">Met Police (2022) </w:t>
      </w:r>
      <w:r w:rsidRPr="00D32B3F">
        <w:rPr>
          <w:i/>
          <w:iCs/>
        </w:rPr>
        <w:t>Policing of the Sarah Everard vigil that took place on Clapham Common on 13 March 2021</w:t>
      </w:r>
      <w:r>
        <w:t xml:space="preserve"> [debrief]. Available at: </w:t>
      </w:r>
      <w:hyperlink r:id="rId33" w:history="1">
        <w:r w:rsidRPr="00BE5D38">
          <w:rPr>
            <w:rStyle w:val="Hyperlink"/>
          </w:rPr>
          <w:t>https://www.met.police.uk/cy-GB/SysSiteAssets/foi-media/metropolitan-police/disclosure_2022/may_2022/policing-saraheverard-vigil-clapham-common-event-debrief.pdf</w:t>
        </w:r>
      </w:hyperlink>
      <w:r>
        <w:t xml:space="preserve"> (Accessed: 25 February 2024).</w:t>
      </w:r>
    </w:p>
    <w:p w14:paraId="353DA6D2" w14:textId="77777777" w:rsidR="00A50817" w:rsidRDefault="00A50817" w:rsidP="00A50817">
      <w:r>
        <w:t>Millings, M. (2013) ‘</w:t>
      </w:r>
      <w:r w:rsidRPr="00782152">
        <w:t>Policing British Asian Identities: The Enduring Role of the Police in Young British Asian Men’s Situated Negotiation of Identity and Belonging</w:t>
      </w:r>
      <w:r>
        <w:t xml:space="preserve">’, </w:t>
      </w:r>
      <w:r w:rsidRPr="00B2188A">
        <w:rPr>
          <w:i/>
          <w:iCs/>
        </w:rPr>
        <w:t>The British Journal of Criminology</w:t>
      </w:r>
      <w:r>
        <w:t xml:space="preserve">, 53(6), pp.1075–1092. Available at: </w:t>
      </w:r>
      <w:hyperlink r:id="rId34" w:history="1">
        <w:r w:rsidRPr="00BE5D38">
          <w:rPr>
            <w:rStyle w:val="Hyperlink"/>
          </w:rPr>
          <w:t>https://doi.org/10.1093/bjc/azt041</w:t>
        </w:r>
      </w:hyperlink>
      <w:r>
        <w:t xml:space="preserve"> (Accessed: 1 March 2024).</w:t>
      </w:r>
    </w:p>
    <w:p w14:paraId="1935A65A" w14:textId="77777777" w:rsidR="00A50817" w:rsidRDefault="00A50817" w:rsidP="00A50817">
      <w:proofErr w:type="spellStart"/>
      <w:r>
        <w:t>Nivette</w:t>
      </w:r>
      <w:proofErr w:type="spellEnd"/>
      <w:r>
        <w:t xml:space="preserve">, A., </w:t>
      </w:r>
      <w:proofErr w:type="spellStart"/>
      <w:r>
        <w:t>N</w:t>
      </w:r>
      <w:r>
        <w:rPr>
          <w:rFonts w:cstheme="minorHAnsi"/>
        </w:rPr>
        <w:t>ä</w:t>
      </w:r>
      <w:r>
        <w:t>gel</w:t>
      </w:r>
      <w:proofErr w:type="spellEnd"/>
      <w:r>
        <w:t>, C., and Gilbert, E. (2023) ‘</w:t>
      </w:r>
      <w:r w:rsidRPr="00740E95">
        <w:t>Examining the effects of the killing of George Floyd by police in the United States on attitudes of Black Londoners: a replication</w:t>
      </w:r>
      <w:r>
        <w:t xml:space="preserve">’, </w:t>
      </w:r>
      <w:r w:rsidRPr="00F2017A">
        <w:rPr>
          <w:i/>
          <w:iCs/>
        </w:rPr>
        <w:t>Police Practice and Research</w:t>
      </w:r>
      <w:r>
        <w:t xml:space="preserve">, 24(5). Available at: </w:t>
      </w:r>
      <w:hyperlink r:id="rId35" w:history="1">
        <w:r w:rsidRPr="00BE5D38">
          <w:rPr>
            <w:rStyle w:val="Hyperlink"/>
          </w:rPr>
          <w:t>https://doi.org/10.1080/15614263.2023.2185241</w:t>
        </w:r>
      </w:hyperlink>
      <w:r>
        <w:t xml:space="preserve"> (Accessed: 1 March 2024).</w:t>
      </w:r>
    </w:p>
    <w:p w14:paraId="3A3B78ED" w14:textId="77777777" w:rsidR="00A50817" w:rsidRDefault="00A50817" w:rsidP="00A50817">
      <w:r>
        <w:t xml:space="preserve">NPIA (2013) </w:t>
      </w:r>
      <w:r w:rsidRPr="00E07546">
        <w:rPr>
          <w:i/>
          <w:iCs/>
        </w:rPr>
        <w:t>Cohesion Guide</w:t>
      </w:r>
      <w:r>
        <w:t xml:space="preserve">. Available at: </w:t>
      </w:r>
      <w:hyperlink r:id="rId36" w:history="1">
        <w:r w:rsidRPr="00672D86">
          <w:rPr>
            <w:rStyle w:val="Hyperlink"/>
          </w:rPr>
          <w:t>https://library.college.police.uk/docs/npia/CohesionGuide.pdf</w:t>
        </w:r>
      </w:hyperlink>
      <w:r>
        <w:t xml:space="preserve"> (Available at: 1 March 2024).</w:t>
      </w:r>
    </w:p>
    <w:p w14:paraId="169AF8B6" w14:textId="77777777" w:rsidR="00A50817" w:rsidRDefault="00A50817" w:rsidP="00A50817">
      <w:r>
        <w:t>Rosenthal, A., Farhart, C. (2023) ‘</w:t>
      </w:r>
      <w:r w:rsidRPr="00D913EA">
        <w:t>Timing Matters: How Adolescent Police Contact Shapes Political Lives</w:t>
      </w:r>
      <w:r>
        <w:t xml:space="preserve">’, Political </w:t>
      </w:r>
      <w:proofErr w:type="spellStart"/>
      <w:r>
        <w:t>Behavior</w:t>
      </w:r>
      <w:proofErr w:type="spellEnd"/>
      <w:r>
        <w:t xml:space="preserve">, 45, p.1933–1958. Available at: </w:t>
      </w:r>
      <w:hyperlink r:id="rId37" w:anchor="Sec9" w:history="1">
        <w:r w:rsidRPr="00672D86">
          <w:rPr>
            <w:rStyle w:val="Hyperlink"/>
          </w:rPr>
          <w:t>https://link-springer-com.ezproxy.uwtsd.ac.uk/article/10.1007/s11109-022-09806-1#Sec9</w:t>
        </w:r>
      </w:hyperlink>
      <w:r>
        <w:t xml:space="preserve"> (Accessed: 1 March 2024).</w:t>
      </w:r>
    </w:p>
    <w:p w14:paraId="52442513" w14:textId="77777777" w:rsidR="00A50817" w:rsidRDefault="00A50817" w:rsidP="00A50817">
      <w:r>
        <w:lastRenderedPageBreak/>
        <w:t xml:space="preserve">Sampson, R. (2010) </w:t>
      </w:r>
      <w:proofErr w:type="spellStart"/>
      <w:r w:rsidRPr="00CE1F49">
        <w:rPr>
          <w:i/>
          <w:iCs/>
        </w:rPr>
        <w:t>Encyclopedia</w:t>
      </w:r>
      <w:proofErr w:type="spellEnd"/>
      <w:r w:rsidRPr="00CE1F49">
        <w:rPr>
          <w:i/>
          <w:iCs/>
        </w:rPr>
        <w:t xml:space="preserve"> of Criminological Theory: Collective Efficacy Theory</w:t>
      </w:r>
      <w:r>
        <w:t xml:space="preserve">. Available at: </w:t>
      </w:r>
      <w:hyperlink r:id="rId38" w:history="1">
        <w:r w:rsidRPr="00672D86">
          <w:rPr>
            <w:rStyle w:val="Hyperlink"/>
          </w:rPr>
          <w:t>http://dx.doi.org/10.4135/9781412959193.n220</w:t>
        </w:r>
      </w:hyperlink>
      <w:r>
        <w:t xml:space="preserve"> (Accessed: 1 March 2024).</w:t>
      </w:r>
    </w:p>
    <w:p w14:paraId="1B4F2445" w14:textId="77777777" w:rsidR="00A50817" w:rsidRDefault="00A50817" w:rsidP="00A50817">
      <w:r>
        <w:t>Sargeant, E., and Bond, C. (2013) ‘</w:t>
      </w:r>
      <w:r w:rsidRPr="0097425A">
        <w:t>Keeping it in the family: Parental influences on young people’s attitudes to police</w:t>
      </w:r>
      <w:r>
        <w:t xml:space="preserve">’, The Australian Sociological Association, 51(4). Available at: </w:t>
      </w:r>
      <w:hyperlink r:id="rId39" w:history="1">
        <w:r w:rsidRPr="00672D86">
          <w:rPr>
            <w:rStyle w:val="Hyperlink"/>
          </w:rPr>
          <w:t>https://doi-org.ezproxy.uwtsd.ac.uk/10.1177/1440783313482817</w:t>
        </w:r>
      </w:hyperlink>
      <w:r>
        <w:t xml:space="preserve"> (Accessed: 1 March 2024).</w:t>
      </w:r>
    </w:p>
    <w:p w14:paraId="462F20CA" w14:textId="77777777" w:rsidR="00A50817" w:rsidRDefault="00A50817" w:rsidP="00A50817">
      <w:r>
        <w:t>Schuck, A (2013) ‘</w:t>
      </w:r>
      <w:r w:rsidRPr="00BB653C">
        <w:t>A Life-course Perspective on Adolescents’ Attitudes to Police: DARE, Delinquency, and Residential Segregation</w:t>
      </w:r>
      <w:r>
        <w:t xml:space="preserve">’, </w:t>
      </w:r>
      <w:r w:rsidRPr="00F80777">
        <w:rPr>
          <w:i/>
          <w:iCs/>
        </w:rPr>
        <w:t>Journal of Research in Crime and Delinquency</w:t>
      </w:r>
      <w:r>
        <w:t xml:space="preserve">, 50(4). Available at: </w:t>
      </w:r>
      <w:hyperlink r:id="rId40" w:history="1">
        <w:r w:rsidRPr="00BE5D38">
          <w:rPr>
            <w:rStyle w:val="Hyperlink"/>
          </w:rPr>
          <w:t>https://doi-org.ezproxy.uwtsd.ac.uk/10.1177/0022427813481977</w:t>
        </w:r>
      </w:hyperlink>
      <w:r>
        <w:t xml:space="preserve"> (Accessed: 1 March 2024).</w:t>
      </w:r>
    </w:p>
    <w:p w14:paraId="1909C84A" w14:textId="77777777" w:rsidR="00A50817" w:rsidRDefault="00A50817" w:rsidP="00A50817">
      <w:r>
        <w:t xml:space="preserve">Smith, R, Helfers, R., and Reynolds, P. (2021) ‘Anti-police sentiment and police fear of victimization in the UK’, Policing: A Journal of Policy and Practice, 16(1), pp.1–12. Available at: </w:t>
      </w:r>
      <w:hyperlink r:id="rId41" w:history="1">
        <w:r w:rsidRPr="00BE5D38">
          <w:rPr>
            <w:rStyle w:val="Hyperlink"/>
          </w:rPr>
          <w:t>https://doi.org/10.1093/police/paab045</w:t>
        </w:r>
      </w:hyperlink>
      <w:r>
        <w:t xml:space="preserve"> (Accessed: 1 March 2024).</w:t>
      </w:r>
    </w:p>
    <w:p w14:paraId="27558FBB" w14:textId="77777777" w:rsidR="00A50817" w:rsidRDefault="00A50817" w:rsidP="00A50817">
      <w:r>
        <w:t xml:space="preserve">Storch, R. (1975) ‘The Plague of Blue Locusts: Police Reform and Popular Resistance in Northern England, 1840-57’, </w:t>
      </w:r>
      <w:r w:rsidRPr="006C4CC9">
        <w:rPr>
          <w:i/>
          <w:iCs/>
        </w:rPr>
        <w:t>International Review of Social History</w:t>
      </w:r>
      <w:r>
        <w:t xml:space="preserve">, 20(1), pp.61–90. Available at: </w:t>
      </w:r>
      <w:hyperlink r:id="rId42" w:history="1">
        <w:r w:rsidRPr="00BE5D38">
          <w:rPr>
            <w:rStyle w:val="Hyperlink"/>
          </w:rPr>
          <w:t>https://www.jstor.org/stable/44581742</w:t>
        </w:r>
      </w:hyperlink>
      <w:r>
        <w:t xml:space="preserve"> (Accessed: 25 February 2024).</w:t>
      </w:r>
    </w:p>
    <w:p w14:paraId="1877D267" w14:textId="77777777" w:rsidR="00A50817" w:rsidRDefault="00A50817" w:rsidP="00A50817">
      <w:r>
        <w:t xml:space="preserve">YouGov (2022) </w:t>
      </w:r>
      <w:r w:rsidRPr="00DA54EE">
        <w:rPr>
          <w:i/>
          <w:iCs/>
        </w:rPr>
        <w:t xml:space="preserve">YouGov </w:t>
      </w:r>
      <w:proofErr w:type="spellStart"/>
      <w:r w:rsidRPr="00DA54EE">
        <w:rPr>
          <w:i/>
          <w:iCs/>
        </w:rPr>
        <w:t>Eurotrack</w:t>
      </w:r>
      <w:proofErr w:type="spellEnd"/>
      <w:r w:rsidRPr="00DA54EE">
        <w:rPr>
          <w:i/>
          <w:iCs/>
        </w:rPr>
        <w:t xml:space="preserve"> Survey Results</w:t>
      </w:r>
      <w:r>
        <w:t xml:space="preserve">. Available at: </w:t>
      </w:r>
      <w:hyperlink r:id="rId43" w:history="1">
        <w:r w:rsidRPr="00BE5D38">
          <w:rPr>
            <w:rStyle w:val="Hyperlink"/>
          </w:rPr>
          <w:t>https://d3nkl3psvxxpe9.cloudfront.net/documents/Eurotrack_Police_Mar22_W.pdf</w:t>
        </w:r>
      </w:hyperlink>
      <w:r>
        <w:t xml:space="preserve"> (Accessed: 1 March 2024).</w:t>
      </w:r>
    </w:p>
    <w:p w14:paraId="1B40C7C9" w14:textId="77777777" w:rsidR="00815E9C" w:rsidRDefault="00815E9C"/>
    <w:sectPr w:rsidR="00815E9C" w:rsidSect="006260AF">
      <w:head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4A3053" w14:textId="77777777" w:rsidR="006260AF" w:rsidRDefault="006260AF" w:rsidP="004E3942">
      <w:pPr>
        <w:spacing w:after="0" w:line="240" w:lineRule="auto"/>
      </w:pPr>
      <w:r>
        <w:separator/>
      </w:r>
    </w:p>
  </w:endnote>
  <w:endnote w:type="continuationSeparator" w:id="0">
    <w:p w14:paraId="6B3ED598" w14:textId="77777777" w:rsidR="006260AF" w:rsidRDefault="006260AF" w:rsidP="004E39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397960" w14:textId="77777777" w:rsidR="006260AF" w:rsidRDefault="006260AF" w:rsidP="004E3942">
      <w:pPr>
        <w:spacing w:after="0" w:line="240" w:lineRule="auto"/>
      </w:pPr>
      <w:r>
        <w:separator/>
      </w:r>
    </w:p>
  </w:footnote>
  <w:footnote w:type="continuationSeparator" w:id="0">
    <w:p w14:paraId="7D12F57B" w14:textId="77777777" w:rsidR="006260AF" w:rsidRDefault="006260AF" w:rsidP="004E39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E443B0" w14:textId="4C20F4B9" w:rsidR="004E3942" w:rsidRDefault="00437591">
    <w:pPr>
      <w:pStyle w:val="Header"/>
    </w:pPr>
    <w:r>
      <w:t>Christopher Thompson - 2134417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F63739"/>
    <w:multiLevelType w:val="hybridMultilevel"/>
    <w:tmpl w:val="C2DE6F32"/>
    <w:lvl w:ilvl="0" w:tplc="08090005">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1615812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E9C"/>
    <w:rsid w:val="0021617E"/>
    <w:rsid w:val="003B1C8C"/>
    <w:rsid w:val="00437591"/>
    <w:rsid w:val="004E3942"/>
    <w:rsid w:val="006260AF"/>
    <w:rsid w:val="00764C18"/>
    <w:rsid w:val="007700EB"/>
    <w:rsid w:val="00815E9C"/>
    <w:rsid w:val="00835670"/>
    <w:rsid w:val="009A30D4"/>
    <w:rsid w:val="00A50817"/>
    <w:rsid w:val="00AC2BFE"/>
    <w:rsid w:val="00C0067C"/>
    <w:rsid w:val="00C72315"/>
    <w:rsid w:val="00FF29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66F9A"/>
  <w15:chartTrackingRefBased/>
  <w15:docId w15:val="{8903FD28-61F5-42BB-8978-22CBFB1A78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30D4"/>
    <w:pPr>
      <w:spacing w:line="259" w:lineRule="auto"/>
    </w:pPr>
    <w:rPr>
      <w:sz w:val="22"/>
      <w:szCs w:val="22"/>
    </w:rPr>
  </w:style>
  <w:style w:type="paragraph" w:styleId="Heading1">
    <w:name w:val="heading 1"/>
    <w:basedOn w:val="Normal"/>
    <w:next w:val="Normal"/>
    <w:link w:val="Heading1Char"/>
    <w:uiPriority w:val="9"/>
    <w:qFormat/>
    <w:rsid w:val="00815E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5E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5E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5E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5E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5E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5E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5E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5E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5E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5E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5E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5E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5E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5E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5E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5E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5E9C"/>
    <w:rPr>
      <w:rFonts w:eastAsiaTheme="majorEastAsia" w:cstheme="majorBidi"/>
      <w:color w:val="272727" w:themeColor="text1" w:themeTint="D8"/>
    </w:rPr>
  </w:style>
  <w:style w:type="paragraph" w:styleId="Title">
    <w:name w:val="Title"/>
    <w:basedOn w:val="Normal"/>
    <w:next w:val="Normal"/>
    <w:link w:val="TitleChar"/>
    <w:uiPriority w:val="10"/>
    <w:qFormat/>
    <w:rsid w:val="00815E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5E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5E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5E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5E9C"/>
    <w:pPr>
      <w:spacing w:before="160"/>
      <w:jc w:val="center"/>
    </w:pPr>
    <w:rPr>
      <w:i/>
      <w:iCs/>
      <w:color w:val="404040" w:themeColor="text1" w:themeTint="BF"/>
    </w:rPr>
  </w:style>
  <w:style w:type="character" w:customStyle="1" w:styleId="QuoteChar">
    <w:name w:val="Quote Char"/>
    <w:basedOn w:val="DefaultParagraphFont"/>
    <w:link w:val="Quote"/>
    <w:uiPriority w:val="29"/>
    <w:rsid w:val="00815E9C"/>
    <w:rPr>
      <w:i/>
      <w:iCs/>
      <w:color w:val="404040" w:themeColor="text1" w:themeTint="BF"/>
    </w:rPr>
  </w:style>
  <w:style w:type="paragraph" w:styleId="ListParagraph">
    <w:name w:val="List Paragraph"/>
    <w:basedOn w:val="Normal"/>
    <w:uiPriority w:val="34"/>
    <w:qFormat/>
    <w:rsid w:val="00815E9C"/>
    <w:pPr>
      <w:ind w:left="720"/>
      <w:contextualSpacing/>
    </w:pPr>
  </w:style>
  <w:style w:type="character" w:styleId="IntenseEmphasis">
    <w:name w:val="Intense Emphasis"/>
    <w:basedOn w:val="DefaultParagraphFont"/>
    <w:uiPriority w:val="21"/>
    <w:qFormat/>
    <w:rsid w:val="00815E9C"/>
    <w:rPr>
      <w:i/>
      <w:iCs/>
      <w:color w:val="0F4761" w:themeColor="accent1" w:themeShade="BF"/>
    </w:rPr>
  </w:style>
  <w:style w:type="paragraph" w:styleId="IntenseQuote">
    <w:name w:val="Intense Quote"/>
    <w:basedOn w:val="Normal"/>
    <w:next w:val="Normal"/>
    <w:link w:val="IntenseQuoteChar"/>
    <w:uiPriority w:val="30"/>
    <w:qFormat/>
    <w:rsid w:val="00815E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5E9C"/>
    <w:rPr>
      <w:i/>
      <w:iCs/>
      <w:color w:val="0F4761" w:themeColor="accent1" w:themeShade="BF"/>
    </w:rPr>
  </w:style>
  <w:style w:type="character" w:styleId="IntenseReference">
    <w:name w:val="Intense Reference"/>
    <w:basedOn w:val="DefaultParagraphFont"/>
    <w:uiPriority w:val="32"/>
    <w:qFormat/>
    <w:rsid w:val="00815E9C"/>
    <w:rPr>
      <w:b/>
      <w:bCs/>
      <w:smallCaps/>
      <w:color w:val="0F4761" w:themeColor="accent1" w:themeShade="BF"/>
      <w:spacing w:val="5"/>
    </w:rPr>
  </w:style>
  <w:style w:type="character" w:styleId="Hyperlink">
    <w:name w:val="Hyperlink"/>
    <w:basedOn w:val="DefaultParagraphFont"/>
    <w:uiPriority w:val="99"/>
    <w:unhideWhenUsed/>
    <w:rsid w:val="009A30D4"/>
    <w:rPr>
      <w:color w:val="467886" w:themeColor="hyperlink"/>
      <w:u w:val="single"/>
    </w:rPr>
  </w:style>
  <w:style w:type="paragraph" w:styleId="Header">
    <w:name w:val="header"/>
    <w:basedOn w:val="Normal"/>
    <w:link w:val="HeaderChar"/>
    <w:uiPriority w:val="99"/>
    <w:unhideWhenUsed/>
    <w:rsid w:val="004E39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942"/>
    <w:rPr>
      <w:sz w:val="22"/>
      <w:szCs w:val="22"/>
    </w:rPr>
  </w:style>
  <w:style w:type="paragraph" w:styleId="Footer">
    <w:name w:val="footer"/>
    <w:basedOn w:val="Normal"/>
    <w:link w:val="FooterChar"/>
    <w:uiPriority w:val="99"/>
    <w:unhideWhenUsed/>
    <w:rsid w:val="004E39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942"/>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ezproxy.uwtsd.ac.uk/10.1080/18335330.2023.2171309" TargetMode="External"/><Relationship Id="rId18" Type="http://schemas.openxmlformats.org/officeDocument/2006/relationships/hyperlink" Target="https://www.smh.com.au/national/terrorists-taking-cut-of-millions-in-drug-money-20140122-3196s.html" TargetMode="External"/><Relationship Id="rId26" Type="http://schemas.openxmlformats.org/officeDocument/2006/relationships/hyperlink" Target="https://doi.org/10.1080/02668734.2017.1368694" TargetMode="External"/><Relationship Id="rId39" Type="http://schemas.openxmlformats.org/officeDocument/2006/relationships/hyperlink" Target="https://doi-org.ezproxy.uwtsd.ac.uk/10.1177/1440783313482817" TargetMode="External"/><Relationship Id="rId21" Type="http://schemas.openxmlformats.org/officeDocument/2006/relationships/hyperlink" Target="https://www.jstor.org/stable/10.7312/omel18854.1" TargetMode="External"/><Relationship Id="rId34" Type="http://schemas.openxmlformats.org/officeDocument/2006/relationships/hyperlink" Target="https://doi.org/10.1093/bjc/azt041" TargetMode="External"/><Relationship Id="rId42" Type="http://schemas.openxmlformats.org/officeDocument/2006/relationships/hyperlink" Target="https://www.jstor.org/stable/44581742" TargetMode="External"/><Relationship Id="rId7" Type="http://schemas.openxmlformats.org/officeDocument/2006/relationships/hyperlink" Target="https://www.proquest.com/scholarly-journals/genesis-suicide-terrorism/docview/213575013/se-2?accountid=130472" TargetMode="External"/><Relationship Id="rId2" Type="http://schemas.openxmlformats.org/officeDocument/2006/relationships/styles" Target="styles.xml"/><Relationship Id="rId16" Type="http://schemas.openxmlformats.org/officeDocument/2006/relationships/hyperlink" Target="https://doi-org.ezproxy.uwtsd.ac.uk/10.1080/10439463.2016.1191485" TargetMode="External"/><Relationship Id="rId29" Type="http://schemas.openxmlformats.org/officeDocument/2006/relationships/hyperlink" Target="https://doi.org/10.1007/s10964-021-01417-z"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dx.doi.org/10.1037/lhb0000102" TargetMode="External"/><Relationship Id="rId24" Type="http://schemas.openxmlformats.org/officeDocument/2006/relationships/hyperlink" Target="https://www.theguardian.com/uk/2008/aug/20/uksecurity.terrorism1" TargetMode="External"/><Relationship Id="rId32" Type="http://schemas.openxmlformats.org/officeDocument/2006/relationships/hyperlink" Target="https://www.skogan.org/files/Comm_Policing_Chicagos_Experience.pdf" TargetMode="External"/><Relationship Id="rId37" Type="http://schemas.openxmlformats.org/officeDocument/2006/relationships/hyperlink" Target="https://link-springer-com.ezproxy.uwtsd.ac.uk/article/10.1007/s11109-022-09806-1" TargetMode="External"/><Relationship Id="rId40" Type="http://schemas.openxmlformats.org/officeDocument/2006/relationships/hyperlink" Target="https://doi-org.ezproxy.uwtsd.ac.uk/10.1177/0022427813481977"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ov.uk/government/publications/proscribed-terror-groups-or-organisations--2/proscribed-terrorist-groups-or-organisations-accessible-version" TargetMode="External"/><Relationship Id="rId23" Type="http://schemas.openxmlformats.org/officeDocument/2006/relationships/hyperlink" Target="https://doi.org/10.1353/sais.2004.0020" TargetMode="External"/><Relationship Id="rId28" Type="http://schemas.openxmlformats.org/officeDocument/2006/relationships/hyperlink" Target="https://doi.org/10.1080/03071022.2014.912424" TargetMode="External"/><Relationship Id="rId36" Type="http://schemas.openxmlformats.org/officeDocument/2006/relationships/hyperlink" Target="https://library.college.police.uk/docs/npia/CohesionGuide.pdf" TargetMode="External"/><Relationship Id="rId10" Type="http://schemas.openxmlformats.org/officeDocument/2006/relationships/hyperlink" Target="https://isdp.eu/content/uploads/publications/2006_cornell_the-narcotics-threat-in-greater-central-asia.pdf" TargetMode="External"/><Relationship Id="rId19" Type="http://schemas.openxmlformats.org/officeDocument/2006/relationships/hyperlink" Target="https://ctc.westpoint.edu/the-road-to-orlando-jihadist-inspired-violence-in-the-west-2012-2016/" TargetMode="External"/><Relationship Id="rId31" Type="http://schemas.openxmlformats.org/officeDocument/2006/relationships/hyperlink" Target="https://doi.org/10.3390/admsci13010014"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jstor.org/stable/26473335" TargetMode="External"/><Relationship Id="rId14" Type="http://schemas.openxmlformats.org/officeDocument/2006/relationships/hyperlink" Target="https://assets.publishing.service.gov.uk/government/uploads/system/uploads/attachment_data/file/266038/List_of_Proscribed_organisations.pdf" TargetMode="External"/><Relationship Id="rId22" Type="http://schemas.openxmlformats.org/officeDocument/2006/relationships/hyperlink" Target="https://www.silendo.org/2005/10/23/in-italy-al-qaeda-turns-to-organized-crime-for-protection/" TargetMode="External"/><Relationship Id="rId27" Type="http://schemas.openxmlformats.org/officeDocument/2006/relationships/hyperlink" Target="https://www.bbc.co.uk/news/uk-england-wiltshire-61993621" TargetMode="External"/><Relationship Id="rId30" Type="http://schemas.openxmlformats.org/officeDocument/2006/relationships/hyperlink" Target="https://doi.org/10.1007/s10826-015-0153-3" TargetMode="External"/><Relationship Id="rId35" Type="http://schemas.openxmlformats.org/officeDocument/2006/relationships/hyperlink" Target="https://doi.org/10.1080/15614263.2023.2185241" TargetMode="External"/><Relationship Id="rId43" Type="http://schemas.openxmlformats.org/officeDocument/2006/relationships/hyperlink" Target="https://d3nkl3psvxxpe9.cloudfront.net/documents/Eurotrack_Police_Mar22_W.pdf" TargetMode="External"/><Relationship Id="rId8" Type="http://schemas.openxmlformats.org/officeDocument/2006/relationships/hyperlink" Target="https://www.clingendael.org/sites/default/files/pdfs/20061200_cscp_csp_bakker.pdf" TargetMode="External"/><Relationship Id="rId3" Type="http://schemas.openxmlformats.org/officeDocument/2006/relationships/settings" Target="settings.xml"/><Relationship Id="rId12" Type="http://schemas.openxmlformats.org/officeDocument/2006/relationships/hyperlink" Target="https://doi-org.ezproxy.uwtsd.ac.uk/10.1080/1057610X.2011.582628" TargetMode="External"/><Relationship Id="rId17" Type="http://schemas.openxmlformats.org/officeDocument/2006/relationships/hyperlink" Target="https://www.reuters.com/article/us-mideast-crisis-islamicstate-finances-idUSKCN0XP2CV/" TargetMode="External"/><Relationship Id="rId25" Type="http://schemas.openxmlformats.org/officeDocument/2006/relationships/hyperlink" Target="https://home.treasury.gov/news/press-releases/tg1071" TargetMode="External"/><Relationship Id="rId33" Type="http://schemas.openxmlformats.org/officeDocument/2006/relationships/hyperlink" Target="https://www.met.police.uk/cy-GB/SysSiteAssets/foi-media/metropolitan-police/disclosure_2022/may_2022/policing-saraheverard-vigil-clapham-common-event-debrief.pdf" TargetMode="External"/><Relationship Id="rId38" Type="http://schemas.openxmlformats.org/officeDocument/2006/relationships/hyperlink" Target="http://dx.doi.org/10.4135/9781412959193.n220" TargetMode="External"/><Relationship Id="rId46" Type="http://schemas.openxmlformats.org/officeDocument/2006/relationships/theme" Target="theme/theme1.xml"/><Relationship Id="rId20" Type="http://schemas.openxmlformats.org/officeDocument/2006/relationships/hyperlink" Target="https://www.jstor.org/stable/10.1017/s0022381613001333" TargetMode="External"/><Relationship Id="rId41" Type="http://schemas.openxmlformats.org/officeDocument/2006/relationships/hyperlink" Target="https://doi.org/10.1093/police/paab0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17</TotalTime>
  <Pages>12</Pages>
  <Words>5766</Words>
  <Characters>32870</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 Thompson 2134417</dc:title>
  <dc:subject>Assignment 2</dc:subject>
  <dc:creator>Chris Thompson</dc:creator>
  <cp:keywords/>
  <dc:description/>
  <cp:lastModifiedBy>Chris Thompson</cp:lastModifiedBy>
  <cp:revision>13</cp:revision>
  <dcterms:created xsi:type="dcterms:W3CDTF">2024-03-04T10:06:00Z</dcterms:created>
  <dcterms:modified xsi:type="dcterms:W3CDTF">2024-03-04T10:45:00Z</dcterms:modified>
</cp:coreProperties>
</file>