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BACFFEC" w14:textId="66EA7423" w:rsidR="0098673E" w:rsidRPr="00E0089A" w:rsidRDefault="00E0089A" w:rsidP="0098673E">
      <w:pPr>
        <w:rPr>
          <w:rFonts w:ascii="Arial" w:hAnsi="Arial" w:cs="Arial"/>
          <w:b/>
          <w:sz w:val="36"/>
          <w:szCs w:val="28"/>
        </w:rPr>
      </w:pPr>
      <w:r w:rsidRPr="00E0089A">
        <w:rPr>
          <w:rFonts w:ascii="Arial" w:hAnsi="Arial" w:cs="Arial"/>
          <w:b/>
          <w:sz w:val="28"/>
          <w:szCs w:val="21"/>
          <w:shd w:val="clear" w:color="auto" w:fill="FFFFFF"/>
        </w:rPr>
        <w:t>To what extent do key figures within Homeric epics conform to Greek ideals of a hero?</w:t>
      </w:r>
    </w:p>
    <w:p w14:paraId="29FEB319" w14:textId="300AAE56" w:rsidR="0098673E" w:rsidRPr="00E0089A" w:rsidRDefault="0098673E" w:rsidP="0098673E">
      <w:pPr>
        <w:rPr>
          <w:rFonts w:ascii="Arial" w:hAnsi="Arial" w:cs="Arial"/>
          <w:sz w:val="24"/>
          <w:szCs w:val="28"/>
        </w:rPr>
      </w:pPr>
      <w:r w:rsidRPr="00E0089A">
        <w:rPr>
          <w:rFonts w:ascii="Arial" w:hAnsi="Arial" w:cs="Arial"/>
          <w:sz w:val="24"/>
          <w:szCs w:val="28"/>
        </w:rPr>
        <w:t xml:space="preserve">Introduction – </w:t>
      </w:r>
    </w:p>
    <w:p w14:paraId="055F42FA" w14:textId="0F5F6CCC" w:rsidR="00041DBF" w:rsidRPr="00E0089A" w:rsidRDefault="0098673E" w:rsidP="0098673E">
      <w:pPr>
        <w:rPr>
          <w:rFonts w:ascii="Arial" w:hAnsi="Arial" w:cs="Arial"/>
          <w:sz w:val="24"/>
          <w:szCs w:val="28"/>
        </w:rPr>
      </w:pPr>
      <w:r w:rsidRPr="00E0089A">
        <w:rPr>
          <w:rFonts w:ascii="Arial" w:hAnsi="Arial" w:cs="Arial"/>
          <w:sz w:val="24"/>
          <w:szCs w:val="28"/>
        </w:rPr>
        <w:t xml:space="preserve">Within the introduction I will outline the ideals of a Greek Hero, I will then go on to name my Homeric Case studies, for this I have chosen Odysseus, Achilles, Agamemnon and Hector. I have chosen these four as they all represent a different form of hero and how the show their </w:t>
      </w:r>
      <w:r w:rsidR="00041DBF" w:rsidRPr="00E0089A">
        <w:rPr>
          <w:rFonts w:ascii="Arial" w:hAnsi="Arial" w:cs="Arial"/>
          <w:sz w:val="24"/>
          <w:szCs w:val="28"/>
        </w:rPr>
        <w:t>diverse types</w:t>
      </w:r>
      <w:r w:rsidRPr="00E0089A">
        <w:rPr>
          <w:rFonts w:ascii="Arial" w:hAnsi="Arial" w:cs="Arial"/>
          <w:sz w:val="24"/>
          <w:szCs w:val="28"/>
        </w:rPr>
        <w:t xml:space="preserve"> of their kind of hero.</w:t>
      </w:r>
    </w:p>
    <w:p w14:paraId="4D6B2F53" w14:textId="4EFCC156" w:rsidR="0098673E" w:rsidRPr="00E0089A" w:rsidRDefault="00041DBF" w:rsidP="0098673E">
      <w:pPr>
        <w:rPr>
          <w:rFonts w:ascii="Arial" w:hAnsi="Arial" w:cs="Arial"/>
          <w:sz w:val="24"/>
          <w:szCs w:val="28"/>
        </w:rPr>
      </w:pPr>
      <w:r w:rsidRPr="00E0089A">
        <w:rPr>
          <w:rFonts w:ascii="Arial" w:hAnsi="Arial" w:cs="Arial"/>
          <w:sz w:val="24"/>
          <w:szCs w:val="28"/>
        </w:rPr>
        <w:t>Main body of the paper</w:t>
      </w:r>
      <w:r w:rsidR="0098673E" w:rsidRPr="00E0089A">
        <w:rPr>
          <w:rFonts w:ascii="Arial" w:hAnsi="Arial" w:cs="Arial"/>
          <w:sz w:val="24"/>
          <w:szCs w:val="28"/>
        </w:rPr>
        <w:t xml:space="preserve"> </w:t>
      </w:r>
      <w:r w:rsidRPr="00E0089A">
        <w:rPr>
          <w:rFonts w:ascii="Arial" w:hAnsi="Arial" w:cs="Arial"/>
          <w:sz w:val="24"/>
          <w:szCs w:val="28"/>
        </w:rPr>
        <w:t xml:space="preserve">– </w:t>
      </w:r>
    </w:p>
    <w:p w14:paraId="01A0636D" w14:textId="15DD3820" w:rsidR="00041DBF" w:rsidRPr="00E0089A" w:rsidRDefault="00041DBF" w:rsidP="0098673E">
      <w:pPr>
        <w:rPr>
          <w:rFonts w:ascii="Arial" w:hAnsi="Arial" w:cs="Arial"/>
          <w:sz w:val="24"/>
          <w:szCs w:val="28"/>
        </w:rPr>
      </w:pPr>
      <w:r w:rsidRPr="00E0089A">
        <w:rPr>
          <w:rFonts w:ascii="Arial" w:hAnsi="Arial" w:cs="Arial"/>
          <w:sz w:val="24"/>
          <w:szCs w:val="28"/>
        </w:rPr>
        <w:t xml:space="preserve">I will in this part of the paper discuss different Heroic ideals such as glory, military skill, </w:t>
      </w:r>
      <w:r w:rsidR="00E0089A" w:rsidRPr="00E0089A">
        <w:rPr>
          <w:rFonts w:ascii="Arial" w:hAnsi="Arial" w:cs="Arial"/>
          <w:sz w:val="24"/>
          <w:szCs w:val="28"/>
        </w:rPr>
        <w:t>honour, dignity and others. I will them discuss whether the case studies I have used present the ideals that I have discussed or not as in some cases they will have not.</w:t>
      </w:r>
    </w:p>
    <w:p w14:paraId="62BEEE7A" w14:textId="651E4BB8" w:rsidR="00E0089A" w:rsidRPr="00E0089A" w:rsidRDefault="00E0089A" w:rsidP="0098673E">
      <w:pPr>
        <w:rPr>
          <w:rFonts w:ascii="Arial" w:hAnsi="Arial" w:cs="Arial"/>
          <w:sz w:val="24"/>
          <w:szCs w:val="28"/>
        </w:rPr>
      </w:pPr>
      <w:r w:rsidRPr="00E0089A">
        <w:rPr>
          <w:rFonts w:ascii="Arial" w:hAnsi="Arial" w:cs="Arial"/>
          <w:sz w:val="24"/>
          <w:szCs w:val="28"/>
        </w:rPr>
        <w:t xml:space="preserve">Conclusion – </w:t>
      </w:r>
    </w:p>
    <w:p w14:paraId="1F80F3D7" w14:textId="3B2DD521" w:rsidR="00E0089A" w:rsidRDefault="00E0089A" w:rsidP="0098673E">
      <w:pPr>
        <w:rPr>
          <w:rFonts w:ascii="Arial" w:hAnsi="Arial" w:cs="Arial"/>
          <w:sz w:val="24"/>
          <w:szCs w:val="28"/>
        </w:rPr>
      </w:pPr>
      <w:r w:rsidRPr="00E0089A">
        <w:rPr>
          <w:rFonts w:ascii="Arial" w:hAnsi="Arial" w:cs="Arial"/>
          <w:sz w:val="24"/>
          <w:szCs w:val="28"/>
        </w:rPr>
        <w:t>In the conclusion I will summari</w:t>
      </w:r>
      <w:r>
        <w:rPr>
          <w:rFonts w:ascii="Arial" w:hAnsi="Arial" w:cs="Arial"/>
          <w:sz w:val="24"/>
          <w:szCs w:val="28"/>
        </w:rPr>
        <w:t>se whether these figures do conform to the Greek ideals of a hero or where they just tools of the narrative.</w:t>
      </w:r>
    </w:p>
    <w:p w14:paraId="685623AF" w14:textId="4BA3E277" w:rsidR="00E0089A" w:rsidRDefault="00E0089A" w:rsidP="0098673E">
      <w:pPr>
        <w:rPr>
          <w:rFonts w:ascii="Arial" w:hAnsi="Arial" w:cs="Arial"/>
          <w:sz w:val="24"/>
          <w:szCs w:val="28"/>
        </w:rPr>
      </w:pPr>
    </w:p>
    <w:p w14:paraId="6933CCAA" w14:textId="1565DE87" w:rsidR="00E0089A" w:rsidRPr="00E0089A" w:rsidRDefault="00E0089A" w:rsidP="0098673E">
      <w:pPr>
        <w:rPr>
          <w:rFonts w:ascii="Arial" w:hAnsi="Arial" w:cs="Arial"/>
          <w:b/>
          <w:sz w:val="28"/>
          <w:szCs w:val="28"/>
        </w:rPr>
      </w:pPr>
      <w:r w:rsidRPr="00E0089A">
        <w:rPr>
          <w:rFonts w:ascii="Arial" w:hAnsi="Arial" w:cs="Arial"/>
          <w:b/>
          <w:sz w:val="28"/>
          <w:szCs w:val="28"/>
        </w:rPr>
        <w:t>Bibliography</w:t>
      </w:r>
    </w:p>
    <w:p w14:paraId="00168C5B" w14:textId="7B512610" w:rsidR="00E0089A" w:rsidRDefault="00E0089A" w:rsidP="0098673E">
      <w:pPr>
        <w:rPr>
          <w:rFonts w:ascii="Arial" w:hAnsi="Arial" w:cs="Arial"/>
          <w:sz w:val="24"/>
          <w:szCs w:val="28"/>
          <w:u w:val="single"/>
        </w:rPr>
      </w:pPr>
      <w:r>
        <w:rPr>
          <w:rFonts w:ascii="Arial" w:hAnsi="Arial" w:cs="Arial"/>
          <w:sz w:val="24"/>
          <w:szCs w:val="28"/>
          <w:u w:val="single"/>
        </w:rPr>
        <w:t>Primary Sources</w:t>
      </w:r>
    </w:p>
    <w:p w14:paraId="732E40C0" w14:textId="77777777" w:rsidR="00E0089A" w:rsidRDefault="00E0089A" w:rsidP="0098673E">
      <w:pPr>
        <w:rPr>
          <w:rFonts w:ascii="Arial" w:hAnsi="Arial" w:cs="Arial"/>
          <w:sz w:val="24"/>
          <w:szCs w:val="28"/>
          <w:u w:val="single"/>
        </w:rPr>
      </w:pPr>
    </w:p>
    <w:p w14:paraId="07264986" w14:textId="5076F937" w:rsidR="00E0089A" w:rsidRDefault="00E0089A" w:rsidP="0098673E">
      <w:pPr>
        <w:rPr>
          <w:rFonts w:ascii="Arial" w:hAnsi="Arial" w:cs="Arial"/>
          <w:sz w:val="24"/>
          <w:szCs w:val="28"/>
        </w:rPr>
      </w:pPr>
      <w:r>
        <w:rPr>
          <w:rFonts w:ascii="Arial" w:hAnsi="Arial" w:cs="Arial"/>
          <w:sz w:val="24"/>
          <w:szCs w:val="28"/>
        </w:rPr>
        <w:t>Homer – The Iliad</w:t>
      </w:r>
    </w:p>
    <w:p w14:paraId="7F43895F" w14:textId="77777777" w:rsidR="00E0089A" w:rsidRDefault="00E0089A" w:rsidP="0098673E">
      <w:pPr>
        <w:rPr>
          <w:rFonts w:ascii="Arial" w:hAnsi="Arial" w:cs="Arial"/>
          <w:sz w:val="24"/>
          <w:szCs w:val="28"/>
        </w:rPr>
      </w:pPr>
    </w:p>
    <w:p w14:paraId="525F8147" w14:textId="1D36185A" w:rsidR="00E0089A" w:rsidRDefault="00E0089A" w:rsidP="0098673E">
      <w:pPr>
        <w:rPr>
          <w:rFonts w:ascii="Arial" w:hAnsi="Arial" w:cs="Arial"/>
          <w:sz w:val="24"/>
          <w:szCs w:val="28"/>
        </w:rPr>
      </w:pPr>
      <w:r>
        <w:rPr>
          <w:rFonts w:ascii="Arial" w:hAnsi="Arial" w:cs="Arial"/>
          <w:sz w:val="24"/>
          <w:szCs w:val="28"/>
        </w:rPr>
        <w:t>Homer – The Odyssey</w:t>
      </w:r>
    </w:p>
    <w:p w14:paraId="3F50FB6E" w14:textId="20CA706C" w:rsidR="00E0089A" w:rsidRDefault="00E0089A" w:rsidP="0098673E">
      <w:pPr>
        <w:rPr>
          <w:rFonts w:ascii="Arial" w:hAnsi="Arial" w:cs="Arial"/>
          <w:sz w:val="24"/>
          <w:szCs w:val="28"/>
        </w:rPr>
      </w:pPr>
    </w:p>
    <w:p w14:paraId="1147A153" w14:textId="03D7C2B3" w:rsidR="00E0089A" w:rsidRDefault="00E0089A" w:rsidP="0098673E">
      <w:pPr>
        <w:rPr>
          <w:rFonts w:ascii="Arial" w:hAnsi="Arial" w:cs="Arial"/>
          <w:sz w:val="24"/>
          <w:szCs w:val="28"/>
          <w:u w:val="single"/>
        </w:rPr>
      </w:pPr>
      <w:r>
        <w:rPr>
          <w:rFonts w:ascii="Arial" w:hAnsi="Arial" w:cs="Arial"/>
          <w:sz w:val="24"/>
          <w:szCs w:val="28"/>
          <w:u w:val="single"/>
        </w:rPr>
        <w:t>Secondary Scholarship</w:t>
      </w:r>
    </w:p>
    <w:p w14:paraId="07550886" w14:textId="55C8ECB0" w:rsidR="00EC0319" w:rsidRDefault="00EC0319" w:rsidP="0098673E">
      <w:pPr>
        <w:rPr>
          <w:rFonts w:ascii="Arial" w:hAnsi="Arial" w:cs="Arial"/>
          <w:sz w:val="24"/>
          <w:szCs w:val="28"/>
          <w:u w:val="single"/>
        </w:rPr>
      </w:pPr>
    </w:p>
    <w:p w14:paraId="182D01B1" w14:textId="6B4F462A" w:rsidR="00E54DE3" w:rsidRPr="00E54DE3" w:rsidRDefault="00E54DE3" w:rsidP="0098673E">
      <w:pPr>
        <w:rPr>
          <w:rFonts w:ascii="Arial" w:hAnsi="Arial" w:cs="Arial"/>
          <w:sz w:val="24"/>
          <w:szCs w:val="28"/>
        </w:rPr>
      </w:pPr>
      <w:r w:rsidRPr="00E54DE3">
        <w:rPr>
          <w:rFonts w:ascii="Arial" w:hAnsi="Arial" w:cs="Arial"/>
          <w:sz w:val="24"/>
          <w:szCs w:val="28"/>
        </w:rPr>
        <w:t xml:space="preserve">Ball, R. (1967). ACHILLES: TRAGIC HERO. The Classical Outlook, 44(5), 53-56. Retrieved from </w:t>
      </w:r>
      <w:hyperlink r:id="rId4" w:history="1">
        <w:r w:rsidRPr="000167F4">
          <w:rPr>
            <w:rStyle w:val="Hyperlink"/>
            <w:rFonts w:ascii="Arial" w:hAnsi="Arial" w:cs="Arial"/>
            <w:sz w:val="24"/>
            <w:szCs w:val="28"/>
          </w:rPr>
          <w:t>http://www.jstor.org.ezproxy.uwtsd.ac.uk/stable/43929347</w:t>
        </w:r>
      </w:hyperlink>
      <w:r>
        <w:rPr>
          <w:rFonts w:ascii="Arial" w:hAnsi="Arial" w:cs="Arial"/>
          <w:sz w:val="24"/>
          <w:szCs w:val="28"/>
        </w:rPr>
        <w:t xml:space="preserve"> </w:t>
      </w:r>
    </w:p>
    <w:p w14:paraId="42CA35BC" w14:textId="77777777" w:rsidR="00E54DE3" w:rsidRDefault="00E54DE3" w:rsidP="0098673E">
      <w:pPr>
        <w:rPr>
          <w:rFonts w:ascii="Arial" w:hAnsi="Arial" w:cs="Arial"/>
          <w:sz w:val="24"/>
          <w:szCs w:val="28"/>
          <w:u w:val="single"/>
        </w:rPr>
      </w:pPr>
    </w:p>
    <w:p w14:paraId="559E7175" w14:textId="49C0DD00" w:rsidR="00EC0319" w:rsidRDefault="00EC0319" w:rsidP="0098673E">
      <w:pPr>
        <w:rPr>
          <w:rFonts w:ascii="Arial" w:hAnsi="Arial" w:cs="Arial"/>
          <w:sz w:val="24"/>
          <w:szCs w:val="28"/>
        </w:rPr>
      </w:pPr>
      <w:r w:rsidRPr="00EC0319">
        <w:rPr>
          <w:rFonts w:ascii="Arial" w:hAnsi="Arial" w:cs="Arial"/>
          <w:sz w:val="24"/>
          <w:szCs w:val="28"/>
        </w:rPr>
        <w:t xml:space="preserve">Bassett, S. (1933). Achilles' Treatment of Hector's Body. Transactions and Proceedings of the American Philological Association, 64, 41-65. </w:t>
      </w:r>
    </w:p>
    <w:p w14:paraId="06EB2CCF" w14:textId="0722B295" w:rsidR="00E54DE3" w:rsidRDefault="00E54DE3" w:rsidP="0098673E">
      <w:pPr>
        <w:rPr>
          <w:rFonts w:ascii="Arial" w:hAnsi="Arial" w:cs="Arial"/>
          <w:sz w:val="24"/>
          <w:szCs w:val="28"/>
        </w:rPr>
      </w:pPr>
    </w:p>
    <w:p w14:paraId="5929A624" w14:textId="43F17C5D" w:rsidR="00E54DE3" w:rsidRDefault="00E54DE3" w:rsidP="0098673E">
      <w:pPr>
        <w:rPr>
          <w:rFonts w:ascii="Arial" w:hAnsi="Arial" w:cs="Arial"/>
          <w:sz w:val="24"/>
          <w:szCs w:val="28"/>
        </w:rPr>
      </w:pPr>
      <w:r w:rsidRPr="00E54DE3">
        <w:rPr>
          <w:rFonts w:ascii="Arial" w:hAnsi="Arial" w:cs="Arial"/>
          <w:sz w:val="24"/>
          <w:szCs w:val="28"/>
        </w:rPr>
        <w:t xml:space="preserve">Bassett, S. (1923). Hector's Fault in </w:t>
      </w:r>
      <w:proofErr w:type="spellStart"/>
      <w:r w:rsidRPr="00E54DE3">
        <w:rPr>
          <w:rFonts w:ascii="Arial" w:hAnsi="Arial" w:cs="Arial"/>
          <w:sz w:val="24"/>
          <w:szCs w:val="28"/>
        </w:rPr>
        <w:t>Honor</w:t>
      </w:r>
      <w:proofErr w:type="spellEnd"/>
      <w:r w:rsidRPr="00E54DE3">
        <w:rPr>
          <w:rFonts w:ascii="Arial" w:hAnsi="Arial" w:cs="Arial"/>
          <w:sz w:val="24"/>
          <w:szCs w:val="28"/>
        </w:rPr>
        <w:t>. Transactions and Proceedings of the American Philological Association, 54, 117-127. doi:10.2307/282846</w:t>
      </w:r>
      <w:r>
        <w:rPr>
          <w:rFonts w:ascii="Arial" w:hAnsi="Arial" w:cs="Arial"/>
          <w:sz w:val="24"/>
          <w:szCs w:val="28"/>
        </w:rPr>
        <w:t xml:space="preserve"> </w:t>
      </w:r>
    </w:p>
    <w:p w14:paraId="223CC66A" w14:textId="1094A70E" w:rsidR="00E54DE3" w:rsidRDefault="00E54DE3" w:rsidP="0098673E">
      <w:pPr>
        <w:rPr>
          <w:rFonts w:ascii="Arial" w:hAnsi="Arial" w:cs="Arial"/>
          <w:sz w:val="24"/>
          <w:szCs w:val="28"/>
        </w:rPr>
      </w:pPr>
    </w:p>
    <w:p w14:paraId="5F490C42" w14:textId="693ACBEB" w:rsidR="005B1EFC" w:rsidRDefault="00E54DE3" w:rsidP="0098673E">
      <w:pPr>
        <w:rPr>
          <w:rFonts w:ascii="Arial" w:hAnsi="Arial" w:cs="Arial"/>
          <w:sz w:val="24"/>
          <w:szCs w:val="28"/>
        </w:rPr>
      </w:pPr>
      <w:r w:rsidRPr="00E54DE3">
        <w:rPr>
          <w:rFonts w:ascii="Arial" w:hAnsi="Arial" w:cs="Arial"/>
          <w:sz w:val="24"/>
          <w:szCs w:val="28"/>
        </w:rPr>
        <w:lastRenderedPageBreak/>
        <w:t xml:space="preserve">Brown, W. (1965). Sophocles' Ajax and Homer's Hector. The Classical Journal, 61(3), 118-121. Retrieved from </w:t>
      </w:r>
      <w:hyperlink r:id="rId5" w:history="1">
        <w:r w:rsidRPr="000167F4">
          <w:rPr>
            <w:rStyle w:val="Hyperlink"/>
            <w:rFonts w:ascii="Arial" w:hAnsi="Arial" w:cs="Arial"/>
            <w:sz w:val="24"/>
            <w:szCs w:val="28"/>
          </w:rPr>
          <w:t>http://www.jstor.org.ezproxy.uwtsd.ac.uk/stable/3294510</w:t>
        </w:r>
      </w:hyperlink>
      <w:r>
        <w:rPr>
          <w:rFonts w:ascii="Arial" w:hAnsi="Arial" w:cs="Arial"/>
          <w:sz w:val="24"/>
          <w:szCs w:val="28"/>
        </w:rPr>
        <w:t xml:space="preserve"> </w:t>
      </w:r>
      <w:bookmarkStart w:id="0" w:name="_GoBack"/>
      <w:bookmarkEnd w:id="0"/>
    </w:p>
    <w:p w14:paraId="53D8C9B3" w14:textId="3EBEAE7F" w:rsidR="005B1EFC" w:rsidRDefault="005B1EFC" w:rsidP="0098673E">
      <w:pPr>
        <w:rPr>
          <w:rFonts w:ascii="Arial" w:hAnsi="Arial" w:cs="Arial"/>
          <w:sz w:val="24"/>
          <w:szCs w:val="28"/>
        </w:rPr>
      </w:pPr>
    </w:p>
    <w:p w14:paraId="34390924" w14:textId="59A544C3" w:rsidR="005B1EFC" w:rsidRDefault="005B1EFC" w:rsidP="0098673E">
      <w:pPr>
        <w:rPr>
          <w:rFonts w:ascii="Arial" w:hAnsi="Arial" w:cs="Arial"/>
          <w:sz w:val="24"/>
          <w:szCs w:val="28"/>
        </w:rPr>
      </w:pPr>
      <w:r w:rsidRPr="005B1EFC">
        <w:rPr>
          <w:rFonts w:ascii="Arial" w:hAnsi="Arial" w:cs="Arial"/>
          <w:sz w:val="24"/>
          <w:szCs w:val="28"/>
        </w:rPr>
        <w:t>Coleman-Norton, P. (1927). Odysseus in the Iliad. The Classical Weekly, 21(10), 73-78. doi:10.2307/4389055</w:t>
      </w:r>
      <w:r>
        <w:rPr>
          <w:rFonts w:ascii="Arial" w:hAnsi="Arial" w:cs="Arial"/>
          <w:sz w:val="24"/>
          <w:szCs w:val="28"/>
        </w:rPr>
        <w:t xml:space="preserve"> </w:t>
      </w:r>
    </w:p>
    <w:p w14:paraId="4D6B956D" w14:textId="3350674A" w:rsidR="00E54DE3" w:rsidRDefault="00E54DE3" w:rsidP="0098673E">
      <w:pPr>
        <w:rPr>
          <w:rFonts w:ascii="Arial" w:hAnsi="Arial" w:cs="Arial"/>
          <w:sz w:val="24"/>
          <w:szCs w:val="28"/>
        </w:rPr>
      </w:pPr>
    </w:p>
    <w:p w14:paraId="2E9762EB" w14:textId="4F08E059" w:rsidR="00E54DE3" w:rsidRDefault="00E54DE3" w:rsidP="0098673E">
      <w:pPr>
        <w:rPr>
          <w:rFonts w:ascii="Arial" w:hAnsi="Arial" w:cs="Arial"/>
          <w:sz w:val="24"/>
          <w:szCs w:val="28"/>
        </w:rPr>
      </w:pPr>
      <w:proofErr w:type="spellStart"/>
      <w:r w:rsidRPr="00E54DE3">
        <w:rPr>
          <w:rFonts w:ascii="Arial" w:hAnsi="Arial" w:cs="Arial"/>
          <w:sz w:val="24"/>
          <w:szCs w:val="28"/>
        </w:rPr>
        <w:t>Combellack</w:t>
      </w:r>
      <w:proofErr w:type="spellEnd"/>
      <w:r w:rsidRPr="00E54DE3">
        <w:rPr>
          <w:rFonts w:ascii="Arial" w:hAnsi="Arial" w:cs="Arial"/>
          <w:sz w:val="24"/>
          <w:szCs w:val="28"/>
        </w:rPr>
        <w:t>, F. (1944). Homer and Hector. The American Journal of Philology, 65(3), 209-243. doi:10.2307/291490</w:t>
      </w:r>
      <w:r>
        <w:rPr>
          <w:rFonts w:ascii="Arial" w:hAnsi="Arial" w:cs="Arial"/>
          <w:sz w:val="24"/>
          <w:szCs w:val="28"/>
        </w:rPr>
        <w:t xml:space="preserve"> </w:t>
      </w:r>
    </w:p>
    <w:p w14:paraId="22939784" w14:textId="2DA36C80" w:rsidR="005B1EFC" w:rsidRDefault="005B1EFC" w:rsidP="0098673E">
      <w:pPr>
        <w:rPr>
          <w:rFonts w:ascii="Arial" w:hAnsi="Arial" w:cs="Arial"/>
          <w:sz w:val="24"/>
          <w:szCs w:val="28"/>
        </w:rPr>
      </w:pPr>
    </w:p>
    <w:p w14:paraId="718633ED" w14:textId="641DE082" w:rsidR="005B1EFC" w:rsidRDefault="005B1EFC" w:rsidP="0098673E">
      <w:pPr>
        <w:rPr>
          <w:rFonts w:ascii="Arial" w:hAnsi="Arial" w:cs="Arial"/>
          <w:sz w:val="24"/>
          <w:szCs w:val="28"/>
        </w:rPr>
      </w:pPr>
      <w:r w:rsidRPr="005B1EFC">
        <w:rPr>
          <w:rFonts w:ascii="Arial" w:hAnsi="Arial" w:cs="Arial"/>
          <w:sz w:val="24"/>
          <w:szCs w:val="28"/>
        </w:rPr>
        <w:t xml:space="preserve">Cook, E. (2003). Agamemnon's Test of the Army in Iliad Book 2 and the Function of Homeric </w:t>
      </w:r>
      <w:proofErr w:type="spellStart"/>
      <w:r w:rsidRPr="005B1EFC">
        <w:rPr>
          <w:rFonts w:ascii="Arial" w:hAnsi="Arial" w:cs="Arial"/>
          <w:sz w:val="24"/>
          <w:szCs w:val="28"/>
        </w:rPr>
        <w:t>Akhos</w:t>
      </w:r>
      <w:proofErr w:type="spellEnd"/>
      <w:r w:rsidRPr="005B1EFC">
        <w:rPr>
          <w:rFonts w:ascii="Arial" w:hAnsi="Arial" w:cs="Arial"/>
          <w:sz w:val="24"/>
          <w:szCs w:val="28"/>
        </w:rPr>
        <w:t xml:space="preserve">. The American Journal of Philology, 124(2), 165-198. Retrieved from </w:t>
      </w:r>
      <w:hyperlink r:id="rId6" w:history="1">
        <w:r w:rsidRPr="000167F4">
          <w:rPr>
            <w:rStyle w:val="Hyperlink"/>
            <w:rFonts w:ascii="Arial" w:hAnsi="Arial" w:cs="Arial"/>
            <w:sz w:val="24"/>
            <w:szCs w:val="28"/>
          </w:rPr>
          <w:t>http://www.jstor.org.ezproxy.uwtsd.ac.uk/stable/1561660</w:t>
        </w:r>
      </w:hyperlink>
      <w:r>
        <w:rPr>
          <w:rFonts w:ascii="Arial" w:hAnsi="Arial" w:cs="Arial"/>
          <w:sz w:val="24"/>
          <w:szCs w:val="28"/>
        </w:rPr>
        <w:t xml:space="preserve"> </w:t>
      </w:r>
    </w:p>
    <w:p w14:paraId="7260DA33" w14:textId="77777777" w:rsidR="005B1EFC" w:rsidRDefault="005B1EFC" w:rsidP="0098673E">
      <w:pPr>
        <w:rPr>
          <w:rFonts w:ascii="Arial" w:hAnsi="Arial" w:cs="Arial"/>
          <w:sz w:val="24"/>
          <w:szCs w:val="28"/>
        </w:rPr>
      </w:pPr>
    </w:p>
    <w:p w14:paraId="10E9C4B5" w14:textId="1F85B415" w:rsidR="005B1EFC" w:rsidRDefault="005B1EFC" w:rsidP="0098673E">
      <w:pPr>
        <w:rPr>
          <w:rFonts w:ascii="Arial" w:hAnsi="Arial" w:cs="Arial"/>
          <w:sz w:val="24"/>
          <w:szCs w:val="28"/>
        </w:rPr>
      </w:pPr>
      <w:proofErr w:type="spellStart"/>
      <w:r w:rsidRPr="005B1EFC">
        <w:rPr>
          <w:rFonts w:ascii="Arial" w:hAnsi="Arial" w:cs="Arial"/>
          <w:sz w:val="24"/>
          <w:szCs w:val="28"/>
        </w:rPr>
        <w:t>Donlan</w:t>
      </w:r>
      <w:proofErr w:type="spellEnd"/>
      <w:r w:rsidRPr="005B1EFC">
        <w:rPr>
          <w:rFonts w:ascii="Arial" w:hAnsi="Arial" w:cs="Arial"/>
          <w:sz w:val="24"/>
          <w:szCs w:val="28"/>
        </w:rPr>
        <w:t xml:space="preserve">, W. (1971). Homer's Agamemnon. The Classical World, 65(4), 109-115. Retrieved from </w:t>
      </w:r>
      <w:hyperlink r:id="rId7" w:history="1">
        <w:r w:rsidRPr="000167F4">
          <w:rPr>
            <w:rStyle w:val="Hyperlink"/>
            <w:rFonts w:ascii="Arial" w:hAnsi="Arial" w:cs="Arial"/>
            <w:sz w:val="24"/>
            <w:szCs w:val="28"/>
          </w:rPr>
          <w:t>http://www.jstor.org.ezproxy.uwtsd.ac.uk/stable/4347609</w:t>
        </w:r>
      </w:hyperlink>
      <w:r>
        <w:rPr>
          <w:rFonts w:ascii="Arial" w:hAnsi="Arial" w:cs="Arial"/>
          <w:sz w:val="24"/>
          <w:szCs w:val="28"/>
        </w:rPr>
        <w:t xml:space="preserve"> </w:t>
      </w:r>
    </w:p>
    <w:p w14:paraId="4E230B45" w14:textId="3174233E" w:rsidR="00E54DE3" w:rsidRDefault="00E54DE3" w:rsidP="0098673E">
      <w:pPr>
        <w:rPr>
          <w:rFonts w:ascii="Arial" w:hAnsi="Arial" w:cs="Arial"/>
          <w:sz w:val="24"/>
          <w:szCs w:val="28"/>
        </w:rPr>
      </w:pPr>
    </w:p>
    <w:p w14:paraId="4F78DECF" w14:textId="143AFD7E" w:rsidR="00E54DE3" w:rsidRPr="00EC0319" w:rsidRDefault="00E54DE3" w:rsidP="0098673E">
      <w:pPr>
        <w:rPr>
          <w:rFonts w:ascii="Arial" w:hAnsi="Arial" w:cs="Arial"/>
          <w:sz w:val="24"/>
          <w:szCs w:val="28"/>
        </w:rPr>
      </w:pPr>
      <w:proofErr w:type="spellStart"/>
      <w:r w:rsidRPr="00E54DE3">
        <w:rPr>
          <w:rFonts w:ascii="Arial" w:hAnsi="Arial" w:cs="Arial"/>
          <w:sz w:val="24"/>
          <w:szCs w:val="28"/>
        </w:rPr>
        <w:t>Farron</w:t>
      </w:r>
      <w:proofErr w:type="spellEnd"/>
      <w:r w:rsidRPr="00E54DE3">
        <w:rPr>
          <w:rFonts w:ascii="Arial" w:hAnsi="Arial" w:cs="Arial"/>
          <w:sz w:val="24"/>
          <w:szCs w:val="28"/>
        </w:rPr>
        <w:t xml:space="preserve">, S. (1978). THE CHARACTER OF HECTOR IN THE "ILIAD". Acta Classica, 21, 39-57. Retrieved from </w:t>
      </w:r>
      <w:hyperlink r:id="rId8" w:history="1">
        <w:r w:rsidRPr="000167F4">
          <w:rPr>
            <w:rStyle w:val="Hyperlink"/>
            <w:rFonts w:ascii="Arial" w:hAnsi="Arial" w:cs="Arial"/>
            <w:sz w:val="24"/>
            <w:szCs w:val="28"/>
          </w:rPr>
          <w:t>http://www.jstor.org.ezproxy.uwtsd.ac.uk/stable/24591547</w:t>
        </w:r>
      </w:hyperlink>
      <w:r>
        <w:rPr>
          <w:rFonts w:ascii="Arial" w:hAnsi="Arial" w:cs="Arial"/>
          <w:sz w:val="24"/>
          <w:szCs w:val="28"/>
        </w:rPr>
        <w:t xml:space="preserve"> </w:t>
      </w:r>
    </w:p>
    <w:p w14:paraId="36DA99F5" w14:textId="77777777" w:rsidR="00E0089A" w:rsidRPr="00E0089A" w:rsidRDefault="00E0089A" w:rsidP="0098673E">
      <w:pPr>
        <w:rPr>
          <w:rFonts w:ascii="Arial" w:hAnsi="Arial" w:cs="Arial"/>
          <w:sz w:val="24"/>
          <w:szCs w:val="28"/>
          <w:u w:val="single"/>
        </w:rPr>
      </w:pPr>
    </w:p>
    <w:p w14:paraId="448640A8" w14:textId="3B2A6782" w:rsidR="00E0089A" w:rsidRDefault="00E0089A" w:rsidP="0098673E">
      <w:pPr>
        <w:rPr>
          <w:rFonts w:ascii="Arial" w:hAnsi="Arial" w:cs="Arial"/>
          <w:sz w:val="24"/>
          <w:szCs w:val="28"/>
        </w:rPr>
      </w:pPr>
      <w:r>
        <w:rPr>
          <w:rFonts w:ascii="Arial" w:hAnsi="Arial" w:cs="Arial"/>
          <w:sz w:val="24"/>
          <w:szCs w:val="28"/>
        </w:rPr>
        <w:t>Fowler</w:t>
      </w:r>
      <w:r w:rsidR="00EC0319">
        <w:rPr>
          <w:rFonts w:ascii="Arial" w:hAnsi="Arial" w:cs="Arial"/>
          <w:sz w:val="24"/>
          <w:szCs w:val="28"/>
        </w:rPr>
        <w:t>.</w:t>
      </w:r>
      <w:r>
        <w:rPr>
          <w:rFonts w:ascii="Arial" w:hAnsi="Arial" w:cs="Arial"/>
          <w:sz w:val="24"/>
          <w:szCs w:val="28"/>
        </w:rPr>
        <w:t xml:space="preserve"> R,</w:t>
      </w:r>
      <w:r w:rsidR="005B1EFC">
        <w:rPr>
          <w:rFonts w:ascii="Arial" w:hAnsi="Arial" w:cs="Arial"/>
          <w:sz w:val="24"/>
          <w:szCs w:val="28"/>
        </w:rPr>
        <w:t xml:space="preserve"> (</w:t>
      </w:r>
      <w:r>
        <w:rPr>
          <w:rFonts w:ascii="Arial" w:hAnsi="Arial" w:cs="Arial"/>
          <w:sz w:val="24"/>
          <w:szCs w:val="28"/>
        </w:rPr>
        <w:t>2004</w:t>
      </w:r>
      <w:r w:rsidR="005B1EFC">
        <w:rPr>
          <w:rFonts w:ascii="Arial" w:hAnsi="Arial" w:cs="Arial"/>
          <w:sz w:val="24"/>
          <w:szCs w:val="28"/>
        </w:rPr>
        <w:t>)</w:t>
      </w:r>
      <w:r>
        <w:rPr>
          <w:rFonts w:ascii="Arial" w:hAnsi="Arial" w:cs="Arial"/>
          <w:sz w:val="24"/>
          <w:szCs w:val="28"/>
        </w:rPr>
        <w:t xml:space="preserve">, The Cambridge Companion </w:t>
      </w:r>
      <w:r w:rsidR="00E54DE3">
        <w:rPr>
          <w:rFonts w:ascii="Arial" w:hAnsi="Arial" w:cs="Arial"/>
          <w:sz w:val="24"/>
          <w:szCs w:val="28"/>
        </w:rPr>
        <w:t>to</w:t>
      </w:r>
      <w:r>
        <w:rPr>
          <w:rFonts w:ascii="Arial" w:hAnsi="Arial" w:cs="Arial"/>
          <w:sz w:val="24"/>
          <w:szCs w:val="28"/>
        </w:rPr>
        <w:t xml:space="preserve"> Homer, Cambridge, </w:t>
      </w:r>
      <w:r w:rsidR="00EC0319">
        <w:rPr>
          <w:rFonts w:ascii="Arial" w:hAnsi="Arial" w:cs="Arial"/>
          <w:sz w:val="24"/>
          <w:szCs w:val="28"/>
        </w:rPr>
        <w:t xml:space="preserve">Cambridge </w:t>
      </w:r>
      <w:r>
        <w:rPr>
          <w:rFonts w:ascii="Arial" w:hAnsi="Arial" w:cs="Arial"/>
          <w:sz w:val="24"/>
          <w:szCs w:val="28"/>
        </w:rPr>
        <w:t>University Pres</w:t>
      </w:r>
      <w:r w:rsidR="00EC0319">
        <w:rPr>
          <w:rFonts w:ascii="Arial" w:hAnsi="Arial" w:cs="Arial"/>
          <w:sz w:val="24"/>
          <w:szCs w:val="28"/>
        </w:rPr>
        <w:t>s</w:t>
      </w:r>
    </w:p>
    <w:p w14:paraId="4E4C08FB" w14:textId="32610B2F" w:rsidR="00E54DE3" w:rsidRDefault="00E54DE3" w:rsidP="0098673E">
      <w:pPr>
        <w:rPr>
          <w:rFonts w:ascii="Arial" w:hAnsi="Arial" w:cs="Arial"/>
          <w:sz w:val="24"/>
          <w:szCs w:val="28"/>
        </w:rPr>
      </w:pPr>
    </w:p>
    <w:p w14:paraId="4FF6CC9C" w14:textId="4E894C25" w:rsidR="005B1EFC" w:rsidRDefault="005B1EFC" w:rsidP="0098673E">
      <w:pPr>
        <w:rPr>
          <w:rFonts w:ascii="Arial" w:hAnsi="Arial" w:cs="Arial"/>
          <w:sz w:val="24"/>
          <w:szCs w:val="28"/>
        </w:rPr>
      </w:pPr>
      <w:r w:rsidRPr="005B1EFC">
        <w:rPr>
          <w:rFonts w:ascii="Arial" w:hAnsi="Arial" w:cs="Arial"/>
          <w:sz w:val="24"/>
          <w:szCs w:val="28"/>
        </w:rPr>
        <w:t xml:space="preserve">Hernández, P. (2002). Odysseus, </w:t>
      </w:r>
      <w:proofErr w:type="spellStart"/>
      <w:r w:rsidRPr="005B1EFC">
        <w:rPr>
          <w:rFonts w:ascii="Arial" w:hAnsi="Arial" w:cs="Arial"/>
          <w:sz w:val="24"/>
          <w:szCs w:val="28"/>
        </w:rPr>
        <w:t>Agammemnon</w:t>
      </w:r>
      <w:proofErr w:type="spellEnd"/>
      <w:r w:rsidRPr="005B1EFC">
        <w:rPr>
          <w:rFonts w:ascii="Arial" w:hAnsi="Arial" w:cs="Arial"/>
          <w:sz w:val="24"/>
          <w:szCs w:val="28"/>
        </w:rPr>
        <w:t xml:space="preserve"> and Apollo. The Classical Journal, 97(4), 319-334. Retrieved from </w:t>
      </w:r>
      <w:hyperlink r:id="rId9" w:history="1">
        <w:r w:rsidRPr="000167F4">
          <w:rPr>
            <w:rStyle w:val="Hyperlink"/>
            <w:rFonts w:ascii="Arial" w:hAnsi="Arial" w:cs="Arial"/>
            <w:sz w:val="24"/>
            <w:szCs w:val="28"/>
          </w:rPr>
          <w:t>http://www.jstor.org.ezproxy.uwtsd.ac.uk/stable/3298447</w:t>
        </w:r>
      </w:hyperlink>
      <w:r>
        <w:rPr>
          <w:rFonts w:ascii="Arial" w:hAnsi="Arial" w:cs="Arial"/>
          <w:sz w:val="24"/>
          <w:szCs w:val="28"/>
        </w:rPr>
        <w:t xml:space="preserve"> </w:t>
      </w:r>
    </w:p>
    <w:p w14:paraId="043B082E" w14:textId="67B56CEE" w:rsidR="005B1EFC" w:rsidRDefault="005B1EFC" w:rsidP="0098673E">
      <w:pPr>
        <w:rPr>
          <w:rFonts w:ascii="Arial" w:hAnsi="Arial" w:cs="Arial"/>
          <w:sz w:val="24"/>
          <w:szCs w:val="28"/>
        </w:rPr>
      </w:pPr>
    </w:p>
    <w:p w14:paraId="3620C459" w14:textId="7D0801C3" w:rsidR="005B1EFC" w:rsidRDefault="005B1EFC" w:rsidP="0098673E">
      <w:pPr>
        <w:rPr>
          <w:rFonts w:ascii="Arial" w:hAnsi="Arial" w:cs="Arial"/>
          <w:sz w:val="24"/>
          <w:szCs w:val="28"/>
        </w:rPr>
      </w:pPr>
      <w:r w:rsidRPr="005B1EFC">
        <w:rPr>
          <w:rFonts w:ascii="Arial" w:hAnsi="Arial" w:cs="Arial"/>
          <w:sz w:val="24"/>
          <w:szCs w:val="28"/>
        </w:rPr>
        <w:t xml:space="preserve">Howell, E. (2012). Odysseus Deconstructed: Crossing the Threshold into Critical Thinking. The English Journal, 102(1), 61-66. Retrieved from </w:t>
      </w:r>
      <w:hyperlink r:id="rId10" w:history="1">
        <w:r w:rsidRPr="000167F4">
          <w:rPr>
            <w:rStyle w:val="Hyperlink"/>
            <w:rFonts w:ascii="Arial" w:hAnsi="Arial" w:cs="Arial"/>
            <w:sz w:val="24"/>
            <w:szCs w:val="28"/>
          </w:rPr>
          <w:t>http://www.jstor.org.ezproxy.uwtsd.ac.uk/stable/23269385</w:t>
        </w:r>
      </w:hyperlink>
      <w:r>
        <w:rPr>
          <w:rFonts w:ascii="Arial" w:hAnsi="Arial" w:cs="Arial"/>
          <w:sz w:val="24"/>
          <w:szCs w:val="28"/>
        </w:rPr>
        <w:t xml:space="preserve"> </w:t>
      </w:r>
    </w:p>
    <w:p w14:paraId="373885B5" w14:textId="0E6E51F0" w:rsidR="005B1EFC" w:rsidRDefault="005B1EFC" w:rsidP="0098673E">
      <w:pPr>
        <w:rPr>
          <w:rFonts w:ascii="Arial" w:hAnsi="Arial" w:cs="Arial"/>
          <w:sz w:val="24"/>
          <w:szCs w:val="28"/>
        </w:rPr>
      </w:pPr>
    </w:p>
    <w:p w14:paraId="394A2E38" w14:textId="16A9302F" w:rsidR="005B1EFC" w:rsidRDefault="005B1EFC" w:rsidP="0098673E">
      <w:pPr>
        <w:rPr>
          <w:rFonts w:ascii="Arial" w:hAnsi="Arial" w:cs="Arial"/>
          <w:sz w:val="24"/>
          <w:szCs w:val="28"/>
        </w:rPr>
      </w:pPr>
      <w:r w:rsidRPr="005B1EFC">
        <w:rPr>
          <w:rFonts w:ascii="Arial" w:hAnsi="Arial" w:cs="Arial"/>
          <w:sz w:val="24"/>
          <w:szCs w:val="28"/>
        </w:rPr>
        <w:t>Kemp, L. (1957). Odysseus. The Hudson Review, 10(3), 381-382. doi:10.2307/3848066</w:t>
      </w:r>
      <w:r>
        <w:rPr>
          <w:rFonts w:ascii="Arial" w:hAnsi="Arial" w:cs="Arial"/>
          <w:sz w:val="24"/>
          <w:szCs w:val="28"/>
        </w:rPr>
        <w:t xml:space="preserve"> </w:t>
      </w:r>
    </w:p>
    <w:p w14:paraId="0AFC9D9C" w14:textId="77777777" w:rsidR="005B1EFC" w:rsidRDefault="005B1EFC" w:rsidP="0098673E">
      <w:pPr>
        <w:rPr>
          <w:rFonts w:ascii="Arial" w:hAnsi="Arial" w:cs="Arial"/>
          <w:sz w:val="24"/>
          <w:szCs w:val="28"/>
        </w:rPr>
      </w:pPr>
    </w:p>
    <w:p w14:paraId="0DFD76FA" w14:textId="60B940DE" w:rsidR="00E54DE3" w:rsidRDefault="00E54DE3" w:rsidP="0098673E">
      <w:pPr>
        <w:rPr>
          <w:rFonts w:ascii="Arial" w:hAnsi="Arial" w:cs="Arial"/>
          <w:sz w:val="24"/>
          <w:szCs w:val="28"/>
        </w:rPr>
      </w:pPr>
      <w:r w:rsidRPr="00E54DE3">
        <w:rPr>
          <w:rFonts w:ascii="Arial" w:hAnsi="Arial" w:cs="Arial"/>
          <w:sz w:val="24"/>
          <w:szCs w:val="28"/>
        </w:rPr>
        <w:t>Knox, B. (1990). Achilles. Grand Street, 9(3), 129-150. doi:10.2307/25007374</w:t>
      </w:r>
    </w:p>
    <w:p w14:paraId="2A53A6C3" w14:textId="66314A80" w:rsidR="00EC0319" w:rsidRDefault="00EC0319" w:rsidP="0098673E">
      <w:pPr>
        <w:rPr>
          <w:rFonts w:ascii="Arial" w:hAnsi="Arial" w:cs="Arial"/>
          <w:sz w:val="24"/>
          <w:szCs w:val="28"/>
        </w:rPr>
      </w:pPr>
    </w:p>
    <w:p w14:paraId="0C03EB2B" w14:textId="6D7D0A01" w:rsidR="00EC0319" w:rsidRDefault="00EC0319" w:rsidP="0098673E">
      <w:pPr>
        <w:rPr>
          <w:rFonts w:ascii="Arial" w:hAnsi="Arial" w:cs="Arial"/>
          <w:sz w:val="24"/>
          <w:szCs w:val="28"/>
        </w:rPr>
      </w:pPr>
      <w:r>
        <w:rPr>
          <w:rFonts w:ascii="Arial" w:hAnsi="Arial" w:cs="Arial"/>
          <w:sz w:val="24"/>
          <w:szCs w:val="28"/>
        </w:rPr>
        <w:t xml:space="preserve">Michelakis. P, </w:t>
      </w:r>
      <w:r w:rsidR="005B1EFC">
        <w:rPr>
          <w:rFonts w:ascii="Arial" w:hAnsi="Arial" w:cs="Arial"/>
          <w:sz w:val="24"/>
          <w:szCs w:val="28"/>
        </w:rPr>
        <w:t>(</w:t>
      </w:r>
      <w:r>
        <w:rPr>
          <w:rFonts w:ascii="Arial" w:hAnsi="Arial" w:cs="Arial"/>
          <w:sz w:val="24"/>
          <w:szCs w:val="28"/>
        </w:rPr>
        <w:t>2002</w:t>
      </w:r>
      <w:r w:rsidR="005B1EFC">
        <w:rPr>
          <w:rFonts w:ascii="Arial" w:hAnsi="Arial" w:cs="Arial"/>
          <w:sz w:val="24"/>
          <w:szCs w:val="28"/>
        </w:rPr>
        <w:t>)</w:t>
      </w:r>
      <w:r>
        <w:rPr>
          <w:rFonts w:ascii="Arial" w:hAnsi="Arial" w:cs="Arial"/>
          <w:sz w:val="24"/>
          <w:szCs w:val="28"/>
        </w:rPr>
        <w:t>, Achilles in Greek Tragedy, Oxford, Cambridge University Press</w:t>
      </w:r>
    </w:p>
    <w:p w14:paraId="035757EC" w14:textId="48D4BD85" w:rsidR="005B1EFC" w:rsidRDefault="005B1EFC" w:rsidP="0098673E">
      <w:pPr>
        <w:rPr>
          <w:rFonts w:ascii="Arial" w:hAnsi="Arial" w:cs="Arial"/>
          <w:sz w:val="24"/>
          <w:szCs w:val="28"/>
        </w:rPr>
      </w:pPr>
    </w:p>
    <w:p w14:paraId="2477676B" w14:textId="55B9C7E5" w:rsidR="005B1EFC" w:rsidRDefault="005B1EFC" w:rsidP="0098673E">
      <w:pPr>
        <w:rPr>
          <w:rFonts w:ascii="Arial" w:hAnsi="Arial" w:cs="Arial"/>
          <w:sz w:val="24"/>
          <w:szCs w:val="28"/>
        </w:rPr>
      </w:pPr>
      <w:r w:rsidRPr="005B1EFC">
        <w:rPr>
          <w:rFonts w:ascii="Arial" w:hAnsi="Arial" w:cs="Arial"/>
          <w:sz w:val="24"/>
          <w:szCs w:val="28"/>
        </w:rPr>
        <w:t>Olson, S. (1990). The Stories of Agamemnon in Homer's Odyssey. Transactions of the American Philological Association (1974-), 120, 57-71. doi:10.2307/283978</w:t>
      </w:r>
    </w:p>
    <w:p w14:paraId="0CB8DD0B" w14:textId="2B04A818" w:rsidR="005B1EFC" w:rsidRDefault="005B1EFC" w:rsidP="0098673E">
      <w:pPr>
        <w:rPr>
          <w:rFonts w:ascii="Arial" w:hAnsi="Arial" w:cs="Arial"/>
          <w:sz w:val="24"/>
          <w:szCs w:val="28"/>
        </w:rPr>
      </w:pPr>
    </w:p>
    <w:p w14:paraId="6CB163ED" w14:textId="0839687B" w:rsidR="005B1EFC" w:rsidRDefault="005B1EFC" w:rsidP="0098673E">
      <w:pPr>
        <w:rPr>
          <w:rFonts w:ascii="Arial" w:hAnsi="Arial" w:cs="Arial"/>
          <w:sz w:val="24"/>
          <w:szCs w:val="28"/>
        </w:rPr>
      </w:pPr>
      <w:r w:rsidRPr="005B1EFC">
        <w:rPr>
          <w:rFonts w:ascii="Arial" w:hAnsi="Arial" w:cs="Arial"/>
          <w:sz w:val="24"/>
          <w:szCs w:val="28"/>
        </w:rPr>
        <w:t>Postlethwaite, N. (1995). Agamemnon Best of Spearmen. Phoenix, 49(2), 95-103. doi:10.2307/1192626</w:t>
      </w:r>
      <w:r>
        <w:rPr>
          <w:rFonts w:ascii="Arial" w:hAnsi="Arial" w:cs="Arial"/>
          <w:sz w:val="24"/>
          <w:szCs w:val="28"/>
        </w:rPr>
        <w:t xml:space="preserve"> </w:t>
      </w:r>
    </w:p>
    <w:p w14:paraId="1160B839" w14:textId="4688205F" w:rsidR="00EC0319" w:rsidRDefault="00EC0319" w:rsidP="0098673E">
      <w:pPr>
        <w:rPr>
          <w:rFonts w:ascii="Arial" w:hAnsi="Arial" w:cs="Arial"/>
          <w:sz w:val="24"/>
          <w:szCs w:val="28"/>
        </w:rPr>
      </w:pPr>
    </w:p>
    <w:p w14:paraId="6F4EC928" w14:textId="1DAF505C" w:rsidR="00EC0319" w:rsidRDefault="00EC0319" w:rsidP="0098673E">
      <w:pPr>
        <w:rPr>
          <w:rFonts w:ascii="Arial" w:hAnsi="Arial" w:cs="Arial"/>
          <w:sz w:val="24"/>
          <w:szCs w:val="28"/>
        </w:rPr>
      </w:pPr>
      <w:r>
        <w:rPr>
          <w:rFonts w:ascii="Arial" w:hAnsi="Arial" w:cs="Arial"/>
          <w:sz w:val="24"/>
          <w:szCs w:val="28"/>
        </w:rPr>
        <w:t xml:space="preserve">Schein. S, </w:t>
      </w:r>
      <w:r w:rsidR="005B1EFC">
        <w:rPr>
          <w:rFonts w:ascii="Arial" w:hAnsi="Arial" w:cs="Arial"/>
          <w:sz w:val="24"/>
          <w:szCs w:val="28"/>
        </w:rPr>
        <w:t>(</w:t>
      </w:r>
      <w:r>
        <w:rPr>
          <w:rFonts w:ascii="Arial" w:hAnsi="Arial" w:cs="Arial"/>
          <w:sz w:val="24"/>
          <w:szCs w:val="28"/>
        </w:rPr>
        <w:t>1996</w:t>
      </w:r>
      <w:r w:rsidR="005B1EFC">
        <w:rPr>
          <w:rFonts w:ascii="Arial" w:hAnsi="Arial" w:cs="Arial"/>
          <w:sz w:val="24"/>
          <w:szCs w:val="28"/>
        </w:rPr>
        <w:t>)</w:t>
      </w:r>
      <w:r>
        <w:rPr>
          <w:rFonts w:ascii="Arial" w:hAnsi="Arial" w:cs="Arial"/>
          <w:sz w:val="24"/>
          <w:szCs w:val="28"/>
        </w:rPr>
        <w:t>, Reading the Odyssey: Selected Interpretive Essays, New Jersey Princeton University Press</w:t>
      </w:r>
    </w:p>
    <w:p w14:paraId="6506FA9C" w14:textId="57C920D1" w:rsidR="00E54DE3" w:rsidRDefault="00E54DE3" w:rsidP="0098673E">
      <w:pPr>
        <w:rPr>
          <w:rFonts w:ascii="Arial" w:hAnsi="Arial" w:cs="Arial"/>
          <w:sz w:val="24"/>
          <w:szCs w:val="28"/>
        </w:rPr>
      </w:pPr>
    </w:p>
    <w:p w14:paraId="59FCCC37" w14:textId="18210ED8" w:rsidR="00E54DE3" w:rsidRDefault="00E54DE3" w:rsidP="0098673E">
      <w:pPr>
        <w:rPr>
          <w:rFonts w:ascii="Arial" w:hAnsi="Arial" w:cs="Arial"/>
          <w:sz w:val="24"/>
          <w:szCs w:val="28"/>
        </w:rPr>
      </w:pPr>
      <w:r w:rsidRPr="00E54DE3">
        <w:rPr>
          <w:rFonts w:ascii="Arial" w:hAnsi="Arial" w:cs="Arial"/>
          <w:sz w:val="24"/>
          <w:szCs w:val="28"/>
        </w:rPr>
        <w:t>Scott, J. (1914). Two Homeric Personages. The American Journal of Philology, 35(3), 309-325. doi:10.2307/289414</w:t>
      </w:r>
      <w:r>
        <w:rPr>
          <w:rFonts w:ascii="Arial" w:hAnsi="Arial" w:cs="Arial"/>
          <w:sz w:val="24"/>
          <w:szCs w:val="28"/>
        </w:rPr>
        <w:t xml:space="preserve"> </w:t>
      </w:r>
    </w:p>
    <w:p w14:paraId="456BEC17" w14:textId="584CFA1B" w:rsidR="00EC0319" w:rsidRDefault="00EC0319" w:rsidP="0098673E">
      <w:pPr>
        <w:rPr>
          <w:rFonts w:ascii="Arial" w:hAnsi="Arial" w:cs="Arial"/>
          <w:sz w:val="24"/>
          <w:szCs w:val="28"/>
        </w:rPr>
      </w:pPr>
    </w:p>
    <w:p w14:paraId="1C23D027" w14:textId="11BAE1BB" w:rsidR="00EC0319" w:rsidRDefault="00EC0319" w:rsidP="0098673E">
      <w:pPr>
        <w:rPr>
          <w:rFonts w:ascii="Arial" w:hAnsi="Arial" w:cs="Arial"/>
          <w:sz w:val="24"/>
          <w:szCs w:val="28"/>
        </w:rPr>
      </w:pPr>
      <w:r>
        <w:rPr>
          <w:rFonts w:ascii="Arial" w:hAnsi="Arial" w:cs="Arial"/>
          <w:sz w:val="24"/>
          <w:szCs w:val="28"/>
        </w:rPr>
        <w:t xml:space="preserve">Seymour. T, </w:t>
      </w:r>
      <w:r w:rsidR="005B1EFC">
        <w:rPr>
          <w:rFonts w:ascii="Arial" w:hAnsi="Arial" w:cs="Arial"/>
          <w:sz w:val="24"/>
          <w:szCs w:val="28"/>
        </w:rPr>
        <w:t>(</w:t>
      </w:r>
      <w:r>
        <w:rPr>
          <w:rFonts w:ascii="Arial" w:hAnsi="Arial" w:cs="Arial"/>
          <w:sz w:val="24"/>
          <w:szCs w:val="28"/>
        </w:rPr>
        <w:t>1907</w:t>
      </w:r>
      <w:r w:rsidR="005B1EFC">
        <w:rPr>
          <w:rFonts w:ascii="Arial" w:hAnsi="Arial" w:cs="Arial"/>
          <w:sz w:val="24"/>
          <w:szCs w:val="28"/>
        </w:rPr>
        <w:t>)</w:t>
      </w:r>
      <w:r>
        <w:rPr>
          <w:rFonts w:ascii="Arial" w:hAnsi="Arial" w:cs="Arial"/>
          <w:sz w:val="24"/>
          <w:szCs w:val="28"/>
        </w:rPr>
        <w:t>, Life in the Homeric Age, London, The Macmillan Company</w:t>
      </w:r>
    </w:p>
    <w:p w14:paraId="4972902F" w14:textId="77777777" w:rsidR="005B1EFC" w:rsidRDefault="005B1EFC" w:rsidP="0098673E">
      <w:pPr>
        <w:rPr>
          <w:rFonts w:ascii="Arial" w:hAnsi="Arial" w:cs="Arial"/>
          <w:sz w:val="24"/>
          <w:szCs w:val="28"/>
        </w:rPr>
      </w:pPr>
    </w:p>
    <w:p w14:paraId="7BB50346" w14:textId="4B123F54" w:rsidR="00EC0319" w:rsidRDefault="00EC0319" w:rsidP="0098673E">
      <w:pPr>
        <w:rPr>
          <w:rFonts w:ascii="Arial" w:hAnsi="Arial" w:cs="Arial"/>
          <w:sz w:val="24"/>
          <w:szCs w:val="28"/>
        </w:rPr>
      </w:pPr>
      <w:r>
        <w:rPr>
          <w:rFonts w:ascii="Arial" w:hAnsi="Arial" w:cs="Arial"/>
          <w:sz w:val="24"/>
          <w:szCs w:val="28"/>
        </w:rPr>
        <w:t xml:space="preserve">Sowerby. R, </w:t>
      </w:r>
      <w:r w:rsidR="005B1EFC">
        <w:rPr>
          <w:rFonts w:ascii="Arial" w:hAnsi="Arial" w:cs="Arial"/>
          <w:sz w:val="24"/>
          <w:szCs w:val="28"/>
        </w:rPr>
        <w:t>(</w:t>
      </w:r>
      <w:r>
        <w:rPr>
          <w:rFonts w:ascii="Arial" w:hAnsi="Arial" w:cs="Arial"/>
          <w:sz w:val="24"/>
          <w:szCs w:val="28"/>
        </w:rPr>
        <w:t>2001</w:t>
      </w:r>
      <w:r w:rsidR="005B1EFC">
        <w:rPr>
          <w:rFonts w:ascii="Arial" w:hAnsi="Arial" w:cs="Arial"/>
          <w:sz w:val="24"/>
          <w:szCs w:val="28"/>
        </w:rPr>
        <w:t>)</w:t>
      </w:r>
      <w:r>
        <w:rPr>
          <w:rFonts w:ascii="Arial" w:hAnsi="Arial" w:cs="Arial"/>
          <w:sz w:val="24"/>
          <w:szCs w:val="28"/>
        </w:rPr>
        <w:t>, York Notes, Homer, The Iliad, London, York Press</w:t>
      </w:r>
    </w:p>
    <w:p w14:paraId="161454B5" w14:textId="25025968" w:rsidR="005B1EFC" w:rsidRDefault="005B1EFC" w:rsidP="0098673E">
      <w:pPr>
        <w:rPr>
          <w:rFonts w:ascii="Arial" w:hAnsi="Arial" w:cs="Arial"/>
          <w:sz w:val="24"/>
          <w:szCs w:val="28"/>
        </w:rPr>
      </w:pPr>
    </w:p>
    <w:p w14:paraId="662CA05A" w14:textId="73AA3883" w:rsidR="005B1EFC" w:rsidRDefault="005B1EFC" w:rsidP="0098673E">
      <w:pPr>
        <w:rPr>
          <w:rFonts w:ascii="Arial" w:hAnsi="Arial" w:cs="Arial"/>
          <w:sz w:val="24"/>
          <w:szCs w:val="28"/>
        </w:rPr>
      </w:pPr>
      <w:r w:rsidRPr="005B1EFC">
        <w:rPr>
          <w:rFonts w:ascii="Arial" w:hAnsi="Arial" w:cs="Arial"/>
          <w:sz w:val="24"/>
          <w:szCs w:val="28"/>
        </w:rPr>
        <w:t>The Study Club: Odysseus as a Hero. (1922). The English Journal, 11(2), 115-117. doi:10.2307/802063</w:t>
      </w:r>
      <w:r>
        <w:rPr>
          <w:rFonts w:ascii="Arial" w:hAnsi="Arial" w:cs="Arial"/>
          <w:sz w:val="24"/>
          <w:szCs w:val="28"/>
        </w:rPr>
        <w:t xml:space="preserve"> </w:t>
      </w:r>
    </w:p>
    <w:p w14:paraId="6446F7B1" w14:textId="1199361E" w:rsidR="005B1EFC" w:rsidRDefault="005B1EFC" w:rsidP="0098673E">
      <w:pPr>
        <w:rPr>
          <w:rFonts w:ascii="Arial" w:hAnsi="Arial" w:cs="Arial"/>
          <w:sz w:val="24"/>
          <w:szCs w:val="28"/>
        </w:rPr>
      </w:pPr>
    </w:p>
    <w:p w14:paraId="3DBDD731" w14:textId="25480C89" w:rsidR="005B1EFC" w:rsidRPr="00E0089A" w:rsidRDefault="005B1EFC" w:rsidP="0098673E">
      <w:pPr>
        <w:rPr>
          <w:rFonts w:ascii="Arial" w:hAnsi="Arial" w:cs="Arial"/>
          <w:sz w:val="24"/>
          <w:szCs w:val="28"/>
        </w:rPr>
      </w:pPr>
      <w:r w:rsidRPr="005B1EFC">
        <w:rPr>
          <w:rFonts w:ascii="Arial" w:hAnsi="Arial" w:cs="Arial"/>
          <w:sz w:val="24"/>
          <w:szCs w:val="28"/>
        </w:rPr>
        <w:t xml:space="preserve">Turner, F. (1981). Heroes. The Kenyon Review, 3(4), 53-53. Retrieved from </w:t>
      </w:r>
      <w:hyperlink r:id="rId11" w:history="1">
        <w:r w:rsidRPr="000167F4">
          <w:rPr>
            <w:rStyle w:val="Hyperlink"/>
            <w:rFonts w:ascii="Arial" w:hAnsi="Arial" w:cs="Arial"/>
            <w:sz w:val="24"/>
            <w:szCs w:val="28"/>
          </w:rPr>
          <w:t>http://www.jstor.org.ezproxy.uwtsd.ac.uk/stable/4335229</w:t>
        </w:r>
      </w:hyperlink>
      <w:r>
        <w:rPr>
          <w:rFonts w:ascii="Arial" w:hAnsi="Arial" w:cs="Arial"/>
          <w:sz w:val="24"/>
          <w:szCs w:val="28"/>
        </w:rPr>
        <w:t xml:space="preserve"> </w:t>
      </w:r>
    </w:p>
    <w:sectPr w:rsidR="005B1EFC" w:rsidRPr="00E0089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8673E"/>
    <w:rsid w:val="00041DBF"/>
    <w:rsid w:val="005B1EFC"/>
    <w:rsid w:val="00963C7E"/>
    <w:rsid w:val="0098673E"/>
    <w:rsid w:val="00E0089A"/>
    <w:rsid w:val="00E54DE3"/>
    <w:rsid w:val="00EC031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364C324"/>
  <w15:chartTrackingRefBased/>
  <w15:docId w15:val="{16698FE6-F8DE-484F-9A76-215FD4F6632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E54DE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54DE3"/>
    <w:rPr>
      <w:color w:val="808080"/>
      <w:shd w:val="clear" w:color="auto" w:fill="E6E6E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jstor.org.ezproxy.uwtsd.ac.uk/stable/24591547" TargetMode="External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hyperlink" Target="http://www.jstor.org.ezproxy.uwtsd.ac.uk/stable/4347609" TargetMode="External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://www.jstor.org.ezproxy.uwtsd.ac.uk/stable/1561660" TargetMode="External"/><Relationship Id="rId11" Type="http://schemas.openxmlformats.org/officeDocument/2006/relationships/hyperlink" Target="http://www.jstor.org.ezproxy.uwtsd.ac.uk/stable/4335229" TargetMode="External"/><Relationship Id="rId5" Type="http://schemas.openxmlformats.org/officeDocument/2006/relationships/hyperlink" Target="http://www.jstor.org.ezproxy.uwtsd.ac.uk/stable/3294510" TargetMode="External"/><Relationship Id="rId10" Type="http://schemas.openxmlformats.org/officeDocument/2006/relationships/hyperlink" Target="http://www.jstor.org.ezproxy.uwtsd.ac.uk/stable/23269385" TargetMode="External"/><Relationship Id="rId4" Type="http://schemas.openxmlformats.org/officeDocument/2006/relationships/hyperlink" Target="http://www.jstor.org.ezproxy.uwtsd.ac.uk/stable/43929347" TargetMode="External"/><Relationship Id="rId9" Type="http://schemas.openxmlformats.org/officeDocument/2006/relationships/hyperlink" Target="http://www.jstor.org.ezproxy.uwtsd.ac.uk/stable/3298447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76</TotalTime>
  <Pages>3</Pages>
  <Words>666</Words>
  <Characters>3798</Characters>
  <Application>Microsoft Office Word</Application>
  <DocSecurity>0</DocSecurity>
  <Lines>31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4456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Amy Beckett</dc:creator>
  <cp:keywords/>
  <dc:description/>
  <cp:lastModifiedBy>Amy Beckett</cp:lastModifiedBy>
  <cp:revision>1</cp:revision>
  <dcterms:created xsi:type="dcterms:W3CDTF">2018-03-14T16:32:00Z</dcterms:created>
  <dcterms:modified xsi:type="dcterms:W3CDTF">2018-03-14T17:50:00Z</dcterms:modified>
</cp:coreProperties>
</file>