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44B23D" w14:textId="77777777" w:rsidR="009216DE" w:rsidRDefault="009216DE" w:rsidP="009216DE">
      <w:pPr>
        <w:jc w:val="center"/>
        <w:rPr>
          <w:rFonts w:ascii="Times New Roman" w:eastAsia="Times New Roman" w:hAnsi="Times New Roman" w:cs="Times New Roman"/>
          <w:b/>
          <w:sz w:val="32"/>
          <w:szCs w:val="32"/>
        </w:rPr>
      </w:pPr>
    </w:p>
    <w:p w14:paraId="1E91994D" w14:textId="77777777" w:rsidR="009216DE" w:rsidRDefault="009216DE" w:rsidP="009216DE">
      <w:pPr>
        <w:jc w:val="center"/>
        <w:rPr>
          <w:rFonts w:ascii="Times New Roman" w:eastAsia="Times New Roman" w:hAnsi="Times New Roman" w:cs="Times New Roman"/>
          <w:b/>
          <w:sz w:val="32"/>
          <w:szCs w:val="32"/>
        </w:rPr>
      </w:pPr>
    </w:p>
    <w:p w14:paraId="36145FD7" w14:textId="77777777" w:rsidR="009216DE" w:rsidRDefault="009216DE" w:rsidP="009216DE">
      <w:pPr>
        <w:jc w:val="center"/>
        <w:rPr>
          <w:rFonts w:ascii="Times New Roman" w:eastAsia="Times New Roman" w:hAnsi="Times New Roman" w:cs="Times New Roman"/>
          <w:b/>
          <w:sz w:val="32"/>
          <w:szCs w:val="32"/>
        </w:rPr>
      </w:pPr>
    </w:p>
    <w:p w14:paraId="0B0CE70A" w14:textId="77777777" w:rsidR="009216DE" w:rsidRDefault="009216DE" w:rsidP="009216DE">
      <w:pPr>
        <w:jc w:val="center"/>
        <w:rPr>
          <w:rFonts w:ascii="Times New Roman" w:eastAsia="Times New Roman" w:hAnsi="Times New Roman" w:cs="Times New Roman"/>
          <w:b/>
          <w:sz w:val="32"/>
          <w:szCs w:val="32"/>
        </w:rPr>
      </w:pPr>
    </w:p>
    <w:p w14:paraId="18639F3E" w14:textId="77777777" w:rsidR="009216DE" w:rsidRDefault="009216DE" w:rsidP="009216DE">
      <w:pPr>
        <w:jc w:val="center"/>
        <w:rPr>
          <w:rFonts w:ascii="Times New Roman" w:eastAsia="Times New Roman" w:hAnsi="Times New Roman" w:cs="Times New Roman"/>
          <w:b/>
          <w:sz w:val="32"/>
          <w:szCs w:val="32"/>
        </w:rPr>
      </w:pPr>
    </w:p>
    <w:p w14:paraId="0A6162C7" w14:textId="77777777" w:rsidR="009216DE" w:rsidRDefault="009216DE" w:rsidP="009216DE">
      <w:pPr>
        <w:jc w:val="center"/>
        <w:rPr>
          <w:rFonts w:ascii="Times New Roman" w:eastAsia="Times New Roman" w:hAnsi="Times New Roman" w:cs="Times New Roman"/>
          <w:b/>
          <w:sz w:val="32"/>
          <w:szCs w:val="32"/>
        </w:rPr>
      </w:pPr>
    </w:p>
    <w:p w14:paraId="73C5D340" w14:textId="77777777" w:rsidR="009216DE" w:rsidRDefault="009216DE" w:rsidP="009216DE">
      <w:pPr>
        <w:jc w:val="center"/>
        <w:rPr>
          <w:rFonts w:ascii="Times New Roman" w:eastAsia="Times New Roman" w:hAnsi="Times New Roman" w:cs="Times New Roman"/>
          <w:b/>
          <w:sz w:val="32"/>
          <w:szCs w:val="32"/>
        </w:rPr>
      </w:pPr>
    </w:p>
    <w:p w14:paraId="7FBA429E" w14:textId="77777777" w:rsidR="007E0E28" w:rsidRPr="007E0E28" w:rsidRDefault="007E0E28" w:rsidP="007E0E28">
      <w:pPr>
        <w:spacing w:line="360" w:lineRule="auto"/>
        <w:jc w:val="center"/>
        <w:rPr>
          <w:rFonts w:ascii="Times New Roman" w:eastAsia="Times New Roman" w:hAnsi="Times New Roman" w:cs="Times New Roman"/>
          <w:b/>
          <w:bCs/>
          <w:noProof/>
          <w:color w:val="000000"/>
          <w:sz w:val="32"/>
          <w:szCs w:val="32"/>
          <w:lang w:eastAsia="en-GB"/>
        </w:rPr>
      </w:pPr>
      <w:r w:rsidRPr="007E0E28">
        <w:rPr>
          <w:rFonts w:ascii="Times New Roman" w:eastAsia="Times New Roman" w:hAnsi="Times New Roman" w:cs="Times New Roman"/>
          <w:b/>
          <w:bCs/>
          <w:noProof/>
          <w:color w:val="000000"/>
          <w:sz w:val="32"/>
          <w:szCs w:val="32"/>
          <w:lang w:eastAsia="en-GB"/>
        </w:rPr>
        <w:t>PLANNING AND DELIVERING AN INTERNATIONAL MEETING/EVENT</w:t>
      </w:r>
    </w:p>
    <w:p w14:paraId="279AA594" w14:textId="77777777" w:rsidR="007E0E28" w:rsidRPr="007E0E28" w:rsidRDefault="007E0E28" w:rsidP="007E0E28">
      <w:pPr>
        <w:spacing w:line="360" w:lineRule="auto"/>
        <w:jc w:val="center"/>
        <w:rPr>
          <w:rFonts w:ascii="Times New Roman" w:eastAsia="Times New Roman" w:hAnsi="Times New Roman" w:cs="Times New Roman"/>
          <w:b/>
          <w:bCs/>
          <w:noProof/>
          <w:color w:val="000000"/>
          <w:sz w:val="32"/>
          <w:szCs w:val="32"/>
          <w:lang w:eastAsia="en-GB"/>
        </w:rPr>
      </w:pPr>
      <w:r w:rsidRPr="007E0E28">
        <w:rPr>
          <w:rFonts w:ascii="Times New Roman" w:eastAsia="Times New Roman" w:hAnsi="Times New Roman" w:cs="Times New Roman"/>
          <w:b/>
          <w:bCs/>
          <w:noProof/>
          <w:color w:val="000000"/>
          <w:sz w:val="32"/>
          <w:szCs w:val="32"/>
          <w:lang w:eastAsia="en-GB"/>
        </w:rPr>
        <w:t>MODULE CODE: INTERNATIONAL MEETINGS MANAGEMENT</w:t>
      </w:r>
    </w:p>
    <w:p w14:paraId="72CEF41B" w14:textId="77777777" w:rsidR="007E0E28" w:rsidRPr="007E0E28" w:rsidRDefault="007E0E28" w:rsidP="007E0E28">
      <w:pPr>
        <w:spacing w:line="360" w:lineRule="auto"/>
        <w:jc w:val="center"/>
        <w:rPr>
          <w:rFonts w:ascii="Times New Roman" w:eastAsia="Times New Roman" w:hAnsi="Times New Roman" w:cs="Times New Roman"/>
          <w:b/>
          <w:bCs/>
          <w:noProof/>
          <w:color w:val="000000"/>
          <w:sz w:val="32"/>
          <w:szCs w:val="32"/>
          <w:lang w:eastAsia="en-GB"/>
        </w:rPr>
      </w:pPr>
      <w:r w:rsidRPr="007E0E28">
        <w:rPr>
          <w:rFonts w:ascii="Times New Roman" w:eastAsia="Times New Roman" w:hAnsi="Times New Roman" w:cs="Times New Roman"/>
          <w:b/>
          <w:bCs/>
          <w:noProof/>
          <w:color w:val="000000"/>
          <w:sz w:val="32"/>
          <w:szCs w:val="32"/>
          <w:lang w:eastAsia="en-GB"/>
        </w:rPr>
        <w:t>MODULE TITLE: BMIH6007</w:t>
      </w:r>
    </w:p>
    <w:p w14:paraId="0877ABBE" w14:textId="72509BC2" w:rsidR="007E0E28" w:rsidRPr="007E0E28" w:rsidRDefault="007E0E28" w:rsidP="007E0E28">
      <w:pPr>
        <w:spacing w:line="360" w:lineRule="auto"/>
        <w:jc w:val="center"/>
        <w:rPr>
          <w:rFonts w:ascii="Times New Roman" w:eastAsia="Times New Roman" w:hAnsi="Times New Roman" w:cs="Times New Roman"/>
          <w:b/>
          <w:bCs/>
          <w:noProof/>
          <w:color w:val="000000"/>
          <w:sz w:val="32"/>
          <w:szCs w:val="32"/>
          <w:lang w:eastAsia="en-GB"/>
        </w:rPr>
      </w:pPr>
      <w:r w:rsidRPr="007E0E28">
        <w:rPr>
          <w:rFonts w:ascii="Times New Roman" w:eastAsia="Times New Roman" w:hAnsi="Times New Roman" w:cs="Times New Roman"/>
          <w:b/>
          <w:bCs/>
          <w:noProof/>
          <w:color w:val="000000"/>
          <w:sz w:val="32"/>
          <w:szCs w:val="32"/>
          <w:lang w:eastAsia="en-GB"/>
        </w:rPr>
        <w:t xml:space="preserve">STUDENT NAME: </w:t>
      </w:r>
      <w:r>
        <w:rPr>
          <w:rFonts w:ascii="Times New Roman" w:eastAsia="Times New Roman" w:hAnsi="Times New Roman" w:cs="Times New Roman"/>
          <w:b/>
          <w:bCs/>
          <w:noProof/>
          <w:color w:val="000000"/>
          <w:sz w:val="32"/>
          <w:szCs w:val="32"/>
          <w:lang w:eastAsia="en-GB"/>
        </w:rPr>
        <w:t>Gabriel Neagu</w:t>
      </w:r>
    </w:p>
    <w:p w14:paraId="6FD79138" w14:textId="3C989213" w:rsidR="009216DE" w:rsidRDefault="007E0E28" w:rsidP="007E0E28">
      <w:pPr>
        <w:rPr>
          <w:rFonts w:ascii="Times New Roman" w:eastAsia="Times New Roman" w:hAnsi="Times New Roman" w:cs="Times New Roman"/>
          <w:b/>
          <w:bCs/>
          <w:noProof/>
          <w:color w:val="000000"/>
          <w:sz w:val="32"/>
          <w:szCs w:val="32"/>
          <w:lang w:eastAsia="en-GB"/>
        </w:rPr>
      </w:pPr>
      <w:r>
        <w:rPr>
          <w:rFonts w:ascii="Times New Roman" w:eastAsia="Times New Roman" w:hAnsi="Times New Roman" w:cs="Times New Roman"/>
          <w:b/>
          <w:bCs/>
          <w:noProof/>
          <w:color w:val="000000"/>
          <w:sz w:val="32"/>
          <w:szCs w:val="32"/>
          <w:lang w:eastAsia="en-GB"/>
        </w:rPr>
        <w:t xml:space="preserve">                                   </w:t>
      </w:r>
      <w:r w:rsidRPr="007E0E28">
        <w:rPr>
          <w:rFonts w:ascii="Times New Roman" w:eastAsia="Times New Roman" w:hAnsi="Times New Roman" w:cs="Times New Roman"/>
          <w:b/>
          <w:bCs/>
          <w:noProof/>
          <w:color w:val="000000"/>
          <w:sz w:val="32"/>
          <w:szCs w:val="32"/>
          <w:lang w:eastAsia="en-GB"/>
        </w:rPr>
        <w:t xml:space="preserve">STUDENT ID: </w:t>
      </w:r>
      <w:r>
        <w:rPr>
          <w:rFonts w:ascii="Times New Roman" w:eastAsia="Times New Roman" w:hAnsi="Times New Roman" w:cs="Times New Roman"/>
          <w:b/>
          <w:bCs/>
          <w:noProof/>
          <w:color w:val="000000"/>
          <w:sz w:val="32"/>
          <w:szCs w:val="32"/>
          <w:lang w:eastAsia="en-GB"/>
        </w:rPr>
        <w:t>2121349</w:t>
      </w:r>
    </w:p>
    <w:p w14:paraId="088AA244"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497FB8A2"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43DB05F4"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44803915"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061AB37F"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4964D2F2"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3BFD7684"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05B86F50"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0F92FCDF"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14FBC251"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195A65F6"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3C063B40"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561BD885"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3D2A8A35" w14:textId="77777777" w:rsidR="007E0E28" w:rsidRDefault="007E0E28" w:rsidP="007E0E28">
      <w:pPr>
        <w:rPr>
          <w:rFonts w:ascii="Times New Roman" w:eastAsia="Times New Roman" w:hAnsi="Times New Roman" w:cs="Times New Roman"/>
          <w:b/>
          <w:bCs/>
          <w:noProof/>
          <w:color w:val="000000"/>
          <w:sz w:val="32"/>
          <w:szCs w:val="32"/>
          <w:lang w:eastAsia="en-GB"/>
        </w:rPr>
      </w:pPr>
    </w:p>
    <w:p w14:paraId="4428BD0B" w14:textId="77777777" w:rsidR="007E0E28" w:rsidRDefault="007E0E28" w:rsidP="007E0E28">
      <w:pPr>
        <w:rPr>
          <w:rFonts w:ascii="Times New Roman" w:eastAsia="Times New Roman" w:hAnsi="Times New Roman" w:cs="Times New Roman"/>
          <w:b/>
          <w:sz w:val="32"/>
          <w:szCs w:val="32"/>
        </w:rPr>
      </w:pPr>
    </w:p>
    <w:sdt>
      <w:sdtPr>
        <w:rPr>
          <w:rFonts w:ascii="Arial" w:eastAsia="Arial" w:hAnsi="Arial" w:cs="Arial"/>
          <w:color w:val="auto"/>
          <w:sz w:val="22"/>
          <w:szCs w:val="22"/>
          <w:lang w:val="en-GB" w:eastAsia="en-IN"/>
        </w:rPr>
        <w:id w:val="-189926984"/>
        <w:docPartObj>
          <w:docPartGallery w:val="Table of Contents"/>
          <w:docPartUnique/>
        </w:docPartObj>
      </w:sdtPr>
      <w:sdtEndPr>
        <w:rPr>
          <w:b/>
          <w:bCs/>
          <w:noProof/>
        </w:rPr>
      </w:sdtEndPr>
      <w:sdtContent>
        <w:bookmarkStart w:id="0" w:name="_GoBack" w:displacedByCustomXml="prev"/>
        <w:bookmarkEnd w:id="0" w:displacedByCustomXml="prev"/>
        <w:p w14:paraId="5AD1FD9C" w14:textId="18B88871" w:rsidR="009216DE" w:rsidRPr="009216DE" w:rsidRDefault="009216DE" w:rsidP="009216DE">
          <w:pPr>
            <w:pStyle w:val="TOCHeading"/>
            <w:spacing w:line="360" w:lineRule="auto"/>
            <w:jc w:val="center"/>
            <w:rPr>
              <w:rFonts w:ascii="Times New Roman" w:hAnsi="Times New Roman" w:cs="Times New Roman"/>
              <w:b/>
              <w:bCs/>
              <w:color w:val="000000" w:themeColor="text1"/>
              <w:sz w:val="28"/>
              <w:szCs w:val="28"/>
            </w:rPr>
          </w:pPr>
          <w:r w:rsidRPr="009216DE">
            <w:rPr>
              <w:rFonts w:ascii="Times New Roman" w:hAnsi="Times New Roman" w:cs="Times New Roman"/>
              <w:b/>
              <w:bCs/>
              <w:color w:val="000000" w:themeColor="text1"/>
              <w:sz w:val="28"/>
              <w:szCs w:val="28"/>
            </w:rPr>
            <w:t>Table of Contents</w:t>
          </w:r>
        </w:p>
        <w:p w14:paraId="1D6888F8" w14:textId="11ACF54E" w:rsidR="009216DE" w:rsidRPr="009216DE" w:rsidRDefault="009216DE" w:rsidP="009216DE">
          <w:pPr>
            <w:pStyle w:val="TOC1"/>
            <w:tabs>
              <w:tab w:val="right" w:leader="dot" w:pos="9019"/>
            </w:tabs>
            <w:spacing w:line="360" w:lineRule="auto"/>
            <w:jc w:val="both"/>
            <w:rPr>
              <w:rFonts w:ascii="Times New Roman" w:hAnsi="Times New Roman" w:cs="Times New Roman"/>
              <w:noProof/>
              <w:sz w:val="24"/>
              <w:szCs w:val="24"/>
            </w:rPr>
          </w:pPr>
          <w:r w:rsidRPr="009216DE">
            <w:rPr>
              <w:rFonts w:ascii="Times New Roman" w:hAnsi="Times New Roman" w:cs="Times New Roman"/>
              <w:sz w:val="24"/>
              <w:szCs w:val="24"/>
            </w:rPr>
            <w:fldChar w:fldCharType="begin"/>
          </w:r>
          <w:r w:rsidRPr="009216DE">
            <w:rPr>
              <w:rFonts w:ascii="Times New Roman" w:hAnsi="Times New Roman" w:cs="Times New Roman"/>
              <w:sz w:val="24"/>
              <w:szCs w:val="24"/>
            </w:rPr>
            <w:instrText xml:space="preserve"> TOC \o "1-3" \h \z \u </w:instrText>
          </w:r>
          <w:r w:rsidRPr="009216DE">
            <w:rPr>
              <w:rFonts w:ascii="Times New Roman" w:hAnsi="Times New Roman" w:cs="Times New Roman"/>
              <w:sz w:val="24"/>
              <w:szCs w:val="24"/>
            </w:rPr>
            <w:fldChar w:fldCharType="separate"/>
          </w:r>
          <w:hyperlink w:anchor="_Toc157548596" w:history="1">
            <w:r w:rsidRPr="009216DE">
              <w:rPr>
                <w:rStyle w:val="Hyperlink"/>
                <w:rFonts w:ascii="Times New Roman" w:hAnsi="Times New Roman" w:cs="Times New Roman"/>
                <w:noProof/>
                <w:sz w:val="24"/>
                <w:szCs w:val="24"/>
              </w:rPr>
              <w:t>Introduction</w:t>
            </w:r>
            <w:r w:rsidRPr="009216DE">
              <w:rPr>
                <w:rFonts w:ascii="Times New Roman" w:hAnsi="Times New Roman" w:cs="Times New Roman"/>
                <w:noProof/>
                <w:webHidden/>
                <w:sz w:val="24"/>
                <w:szCs w:val="24"/>
              </w:rPr>
              <w:tab/>
            </w:r>
            <w:r w:rsidRPr="009216DE">
              <w:rPr>
                <w:rFonts w:ascii="Times New Roman" w:hAnsi="Times New Roman" w:cs="Times New Roman"/>
                <w:noProof/>
                <w:webHidden/>
                <w:sz w:val="24"/>
                <w:szCs w:val="24"/>
              </w:rPr>
              <w:fldChar w:fldCharType="begin"/>
            </w:r>
            <w:r w:rsidRPr="009216DE">
              <w:rPr>
                <w:rFonts w:ascii="Times New Roman" w:hAnsi="Times New Roman" w:cs="Times New Roman"/>
                <w:noProof/>
                <w:webHidden/>
                <w:sz w:val="24"/>
                <w:szCs w:val="24"/>
              </w:rPr>
              <w:instrText xml:space="preserve"> PAGEREF _Toc157548596 \h </w:instrText>
            </w:r>
            <w:r w:rsidRPr="009216DE">
              <w:rPr>
                <w:rFonts w:ascii="Times New Roman" w:hAnsi="Times New Roman" w:cs="Times New Roman"/>
                <w:noProof/>
                <w:webHidden/>
                <w:sz w:val="24"/>
                <w:szCs w:val="24"/>
              </w:rPr>
            </w:r>
            <w:r w:rsidRPr="009216DE">
              <w:rPr>
                <w:rFonts w:ascii="Times New Roman" w:hAnsi="Times New Roman" w:cs="Times New Roman"/>
                <w:noProof/>
                <w:webHidden/>
                <w:sz w:val="24"/>
                <w:szCs w:val="24"/>
              </w:rPr>
              <w:fldChar w:fldCharType="separate"/>
            </w:r>
            <w:r w:rsidRPr="009216DE">
              <w:rPr>
                <w:rFonts w:ascii="Times New Roman" w:hAnsi="Times New Roman" w:cs="Times New Roman"/>
                <w:noProof/>
                <w:webHidden/>
                <w:sz w:val="24"/>
                <w:szCs w:val="24"/>
              </w:rPr>
              <w:t>3</w:t>
            </w:r>
            <w:r w:rsidRPr="009216DE">
              <w:rPr>
                <w:rFonts w:ascii="Times New Roman" w:hAnsi="Times New Roman" w:cs="Times New Roman"/>
                <w:noProof/>
                <w:webHidden/>
                <w:sz w:val="24"/>
                <w:szCs w:val="24"/>
              </w:rPr>
              <w:fldChar w:fldCharType="end"/>
            </w:r>
          </w:hyperlink>
        </w:p>
        <w:p w14:paraId="4E5B54EE" w14:textId="4CD4961A"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597" w:history="1">
            <w:r w:rsidR="009216DE" w:rsidRPr="009216DE">
              <w:rPr>
                <w:rStyle w:val="Hyperlink"/>
                <w:rFonts w:ascii="Times New Roman" w:hAnsi="Times New Roman" w:cs="Times New Roman"/>
                <w:noProof/>
                <w:sz w:val="24"/>
                <w:szCs w:val="24"/>
              </w:rPr>
              <w:t>Event’s Background and Description</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_Toc157548597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3</w:t>
            </w:r>
            <w:r w:rsidR="009216DE" w:rsidRPr="009216DE">
              <w:rPr>
                <w:rFonts w:ascii="Times New Roman" w:hAnsi="Times New Roman" w:cs="Times New Roman"/>
                <w:noProof/>
                <w:webHidden/>
                <w:sz w:val="24"/>
                <w:szCs w:val="24"/>
              </w:rPr>
              <w:fldChar w:fldCharType="end"/>
            </w:r>
          </w:hyperlink>
        </w:p>
        <w:p w14:paraId="20D60934" w14:textId="240F7524"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598" w:history="1">
            <w:r w:rsidR="009216DE" w:rsidRPr="009216DE">
              <w:rPr>
                <w:rStyle w:val="Hyperlink"/>
                <w:rFonts w:ascii="Times New Roman" w:hAnsi="Times New Roman" w:cs="Times New Roman"/>
                <w:noProof/>
                <w:sz w:val="24"/>
                <w:szCs w:val="24"/>
              </w:rPr>
              <w:t>Significance of the Event</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_Toc157548598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3</w:t>
            </w:r>
            <w:r w:rsidR="009216DE" w:rsidRPr="009216DE">
              <w:rPr>
                <w:rFonts w:ascii="Times New Roman" w:hAnsi="Times New Roman" w:cs="Times New Roman"/>
                <w:noProof/>
                <w:webHidden/>
                <w:sz w:val="24"/>
                <w:szCs w:val="24"/>
              </w:rPr>
              <w:fldChar w:fldCharType="end"/>
            </w:r>
          </w:hyperlink>
        </w:p>
        <w:p w14:paraId="4E2BC218" w14:textId="59A42C6A"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599" w:history="1">
            <w:r w:rsidR="009216DE" w:rsidRPr="009216DE">
              <w:rPr>
                <w:rStyle w:val="Hyperlink"/>
                <w:rFonts w:ascii="Times New Roman" w:hAnsi="Times New Roman" w:cs="Times New Roman"/>
                <w:noProof/>
                <w:sz w:val="24"/>
                <w:szCs w:val="24"/>
              </w:rPr>
              <w:t>Location and Proposed Dates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_Toc157548599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3</w:t>
            </w:r>
            <w:r w:rsidR="009216DE" w:rsidRPr="009216DE">
              <w:rPr>
                <w:rFonts w:ascii="Times New Roman" w:hAnsi="Times New Roman" w:cs="Times New Roman"/>
                <w:noProof/>
                <w:webHidden/>
                <w:sz w:val="24"/>
                <w:szCs w:val="24"/>
              </w:rPr>
              <w:fldChar w:fldCharType="end"/>
            </w:r>
          </w:hyperlink>
        </w:p>
        <w:p w14:paraId="7FC1E104" w14:textId="50202534"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00" w:history="1">
            <w:r w:rsidR="009216DE" w:rsidRPr="009216DE">
              <w:rPr>
                <w:rStyle w:val="Hyperlink"/>
                <w:rFonts w:ascii="Times New Roman" w:hAnsi="Times New Roman" w:cs="Times New Roman"/>
                <w:noProof/>
                <w:sz w:val="24"/>
                <w:szCs w:val="24"/>
              </w:rPr>
              <w:t>The Event Cycle</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_Toc157548600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3</w:t>
            </w:r>
            <w:r w:rsidR="009216DE" w:rsidRPr="009216DE">
              <w:rPr>
                <w:rFonts w:ascii="Times New Roman" w:hAnsi="Times New Roman" w:cs="Times New Roman"/>
                <w:noProof/>
                <w:webHidden/>
                <w:sz w:val="24"/>
                <w:szCs w:val="24"/>
              </w:rPr>
              <w:fldChar w:fldCharType="end"/>
            </w:r>
          </w:hyperlink>
        </w:p>
        <w:p w14:paraId="4BE24F89" w14:textId="28AF3690"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1" w:history="1">
            <w:r w:rsidR="009216DE" w:rsidRPr="009216DE">
              <w:rPr>
                <w:rStyle w:val="Hyperlink"/>
                <w:rFonts w:ascii="Times New Roman" w:hAnsi="Times New Roman" w:cs="Times New Roman"/>
                <w:noProof/>
                <w:sz w:val="24"/>
                <w:szCs w:val="24"/>
              </w:rPr>
              <w:t>Definition and Explanation</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_Toc157548601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3</w:t>
            </w:r>
            <w:r w:rsidR="009216DE" w:rsidRPr="009216DE">
              <w:rPr>
                <w:rFonts w:ascii="Times New Roman" w:hAnsi="Times New Roman" w:cs="Times New Roman"/>
                <w:noProof/>
                <w:webHidden/>
                <w:sz w:val="24"/>
                <w:szCs w:val="24"/>
              </w:rPr>
              <w:fldChar w:fldCharType="end"/>
            </w:r>
          </w:hyperlink>
        </w:p>
        <w:p w14:paraId="441228FD" w14:textId="55633057"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2" w:history="1">
            <w:r w:rsidR="009216DE" w:rsidRPr="009216DE">
              <w:rPr>
                <w:rStyle w:val="Hyperlink"/>
                <w:rFonts w:ascii="Times New Roman" w:hAnsi="Times New Roman" w:cs="Times New Roman"/>
                <w:noProof/>
                <w:sz w:val="24"/>
                <w:szCs w:val="24"/>
              </w:rPr>
              <w:t>Application to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_Toc157548602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4</w:t>
            </w:r>
            <w:r w:rsidR="009216DE" w:rsidRPr="009216DE">
              <w:rPr>
                <w:rFonts w:ascii="Times New Roman" w:hAnsi="Times New Roman" w:cs="Times New Roman"/>
                <w:noProof/>
                <w:webHidden/>
                <w:sz w:val="24"/>
                <w:szCs w:val="24"/>
              </w:rPr>
              <w:fldChar w:fldCharType="end"/>
            </w:r>
          </w:hyperlink>
        </w:p>
        <w:p w14:paraId="07BB532C" w14:textId="056BB5F8"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03" w:history="1">
            <w:r w:rsidR="009216DE" w:rsidRPr="009216DE">
              <w:rPr>
                <w:rStyle w:val="Hyperlink"/>
                <w:rFonts w:ascii="Times New Roman" w:hAnsi="Times New Roman" w:cs="Times New Roman"/>
                <w:noProof/>
                <w:sz w:val="24"/>
                <w:szCs w:val="24"/>
              </w:rPr>
              <w:t>Event Concept</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_Toc157548603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4</w:t>
            </w:r>
            <w:r w:rsidR="009216DE" w:rsidRPr="009216DE">
              <w:rPr>
                <w:rFonts w:ascii="Times New Roman" w:hAnsi="Times New Roman" w:cs="Times New Roman"/>
                <w:noProof/>
                <w:webHidden/>
                <w:sz w:val="24"/>
                <w:szCs w:val="24"/>
              </w:rPr>
              <w:fldChar w:fldCharType="end"/>
            </w:r>
          </w:hyperlink>
        </w:p>
        <w:p w14:paraId="3872699F" w14:textId="72DA1C31"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4" w:history="1">
            <w:r w:rsidR="009216DE" w:rsidRPr="009216DE">
              <w:rPr>
                <w:rStyle w:val="Hyperlink"/>
                <w:rFonts w:ascii="Times New Roman" w:hAnsi="Times New Roman" w:cs="Times New Roman"/>
                <w:noProof/>
                <w:sz w:val="24"/>
                <w:szCs w:val="24"/>
              </w:rPr>
              <w:t>Detailed Description of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_Toc157548604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4</w:t>
            </w:r>
            <w:r w:rsidR="009216DE" w:rsidRPr="009216DE">
              <w:rPr>
                <w:rFonts w:ascii="Times New Roman" w:hAnsi="Times New Roman" w:cs="Times New Roman"/>
                <w:noProof/>
                <w:webHidden/>
                <w:sz w:val="24"/>
                <w:szCs w:val="24"/>
              </w:rPr>
              <w:fldChar w:fldCharType="end"/>
            </w:r>
          </w:hyperlink>
        </w:p>
        <w:p w14:paraId="184AB9CD" w14:textId="272E9862"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5" w:history="1">
            <w:r w:rsidR="009216DE" w:rsidRPr="009216DE">
              <w:rPr>
                <w:rStyle w:val="Hyperlink"/>
                <w:rFonts w:ascii="Times New Roman" w:hAnsi="Times New Roman" w:cs="Times New Roman"/>
                <w:noProof/>
                <w:sz w:val="24"/>
                <w:szCs w:val="24"/>
              </w:rPr>
              <w:t>Delegate and Guest Experience</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_Toc157548605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4</w:t>
            </w:r>
            <w:r w:rsidR="009216DE" w:rsidRPr="009216DE">
              <w:rPr>
                <w:rFonts w:ascii="Times New Roman" w:hAnsi="Times New Roman" w:cs="Times New Roman"/>
                <w:noProof/>
                <w:webHidden/>
                <w:sz w:val="24"/>
                <w:szCs w:val="24"/>
              </w:rPr>
              <w:fldChar w:fldCharType="end"/>
            </w:r>
          </w:hyperlink>
        </w:p>
        <w:p w14:paraId="05C6BA6E" w14:textId="0A582FDA"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06" w:history="1">
            <w:r w:rsidR="009216DE" w:rsidRPr="009216DE">
              <w:rPr>
                <w:rStyle w:val="Hyperlink"/>
                <w:rFonts w:ascii="Times New Roman" w:hAnsi="Times New Roman" w:cs="Times New Roman"/>
                <w:noProof/>
                <w:sz w:val="24"/>
                <w:szCs w:val="24"/>
              </w:rPr>
              <w:t>Aim and Objectives of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_Toc157548606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5</w:t>
            </w:r>
            <w:r w:rsidR="009216DE" w:rsidRPr="009216DE">
              <w:rPr>
                <w:rFonts w:ascii="Times New Roman" w:hAnsi="Times New Roman" w:cs="Times New Roman"/>
                <w:noProof/>
                <w:webHidden/>
                <w:sz w:val="24"/>
                <w:szCs w:val="24"/>
              </w:rPr>
              <w:fldChar w:fldCharType="end"/>
            </w:r>
          </w:hyperlink>
        </w:p>
        <w:p w14:paraId="33EAAFFB" w14:textId="03307EDF"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7" w:history="1">
            <w:r w:rsidR="009216DE" w:rsidRPr="009216DE">
              <w:rPr>
                <w:rStyle w:val="Hyperlink"/>
                <w:rFonts w:ascii="Times New Roman" w:hAnsi="Times New Roman" w:cs="Times New Roman"/>
                <w:noProof/>
                <w:sz w:val="24"/>
                <w:szCs w:val="24"/>
              </w:rPr>
              <w:t>Overarching Aim</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_Toc157548607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5</w:t>
            </w:r>
            <w:r w:rsidR="009216DE" w:rsidRPr="009216DE">
              <w:rPr>
                <w:rFonts w:ascii="Times New Roman" w:hAnsi="Times New Roman" w:cs="Times New Roman"/>
                <w:noProof/>
                <w:webHidden/>
                <w:sz w:val="24"/>
                <w:szCs w:val="24"/>
              </w:rPr>
              <w:fldChar w:fldCharType="end"/>
            </w:r>
          </w:hyperlink>
        </w:p>
        <w:p w14:paraId="4D6DF57E" w14:textId="09C1FB40"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08" w:history="1">
            <w:r w:rsidR="009216DE" w:rsidRPr="009216DE">
              <w:rPr>
                <w:rStyle w:val="Hyperlink"/>
                <w:rFonts w:ascii="Times New Roman" w:hAnsi="Times New Roman" w:cs="Times New Roman"/>
                <w:noProof/>
                <w:sz w:val="24"/>
                <w:szCs w:val="24"/>
              </w:rPr>
              <w:t>SMART Objectives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_Toc157548608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5</w:t>
            </w:r>
            <w:r w:rsidR="009216DE" w:rsidRPr="009216DE">
              <w:rPr>
                <w:rFonts w:ascii="Times New Roman" w:hAnsi="Times New Roman" w:cs="Times New Roman"/>
                <w:noProof/>
                <w:webHidden/>
                <w:sz w:val="24"/>
                <w:szCs w:val="24"/>
              </w:rPr>
              <w:fldChar w:fldCharType="end"/>
            </w:r>
          </w:hyperlink>
        </w:p>
        <w:p w14:paraId="0E6FBD4A" w14:textId="294392B5"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09" w:history="1">
            <w:r w:rsidR="009216DE" w:rsidRPr="009216DE">
              <w:rPr>
                <w:rStyle w:val="Hyperlink"/>
                <w:rFonts w:ascii="Times New Roman" w:hAnsi="Times New Roman" w:cs="Times New Roman"/>
                <w:noProof/>
                <w:sz w:val="24"/>
                <w:szCs w:val="24"/>
              </w:rPr>
              <w:t>Event Operations for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_Toc157548609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6</w:t>
            </w:r>
            <w:r w:rsidR="009216DE" w:rsidRPr="009216DE">
              <w:rPr>
                <w:rFonts w:ascii="Times New Roman" w:hAnsi="Times New Roman" w:cs="Times New Roman"/>
                <w:noProof/>
                <w:webHidden/>
                <w:sz w:val="24"/>
                <w:szCs w:val="24"/>
              </w:rPr>
              <w:fldChar w:fldCharType="end"/>
            </w:r>
          </w:hyperlink>
        </w:p>
        <w:p w14:paraId="6FBD838A" w14:textId="2E94A55F"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10" w:history="1">
            <w:r w:rsidR="009216DE" w:rsidRPr="009216DE">
              <w:rPr>
                <w:rStyle w:val="Hyperlink"/>
                <w:rFonts w:ascii="Times New Roman" w:hAnsi="Times New Roman" w:cs="Times New Roman"/>
                <w:noProof/>
                <w:sz w:val="24"/>
                <w:szCs w:val="24"/>
              </w:rPr>
              <w:t>Skills and Resources Required</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_Toc157548610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6</w:t>
            </w:r>
            <w:r w:rsidR="009216DE" w:rsidRPr="009216DE">
              <w:rPr>
                <w:rFonts w:ascii="Times New Roman" w:hAnsi="Times New Roman" w:cs="Times New Roman"/>
                <w:noProof/>
                <w:webHidden/>
                <w:sz w:val="24"/>
                <w:szCs w:val="24"/>
              </w:rPr>
              <w:fldChar w:fldCharType="end"/>
            </w:r>
          </w:hyperlink>
        </w:p>
        <w:p w14:paraId="546C4629" w14:textId="4890336B"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11" w:history="1">
            <w:r w:rsidR="009216DE" w:rsidRPr="009216DE">
              <w:rPr>
                <w:rStyle w:val="Hyperlink"/>
                <w:rFonts w:ascii="Times New Roman" w:hAnsi="Times New Roman" w:cs="Times New Roman"/>
                <w:noProof/>
                <w:sz w:val="24"/>
                <w:szCs w:val="24"/>
              </w:rPr>
              <w:t>Staffing Considerations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_Toc157548611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6</w:t>
            </w:r>
            <w:r w:rsidR="009216DE" w:rsidRPr="009216DE">
              <w:rPr>
                <w:rFonts w:ascii="Times New Roman" w:hAnsi="Times New Roman" w:cs="Times New Roman"/>
                <w:noProof/>
                <w:webHidden/>
                <w:sz w:val="24"/>
                <w:szCs w:val="24"/>
              </w:rPr>
              <w:fldChar w:fldCharType="end"/>
            </w:r>
          </w:hyperlink>
        </w:p>
        <w:p w14:paraId="58CC64A4" w14:textId="101B50AC"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12" w:history="1">
            <w:r w:rsidR="009216DE" w:rsidRPr="009216DE">
              <w:rPr>
                <w:rStyle w:val="Hyperlink"/>
                <w:rFonts w:ascii="Times New Roman" w:hAnsi="Times New Roman" w:cs="Times New Roman"/>
                <w:noProof/>
                <w:sz w:val="24"/>
                <w:szCs w:val="24"/>
              </w:rPr>
              <w:t>Logistical Considerations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_Toc157548612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7</w:t>
            </w:r>
            <w:r w:rsidR="009216DE" w:rsidRPr="009216DE">
              <w:rPr>
                <w:rFonts w:ascii="Times New Roman" w:hAnsi="Times New Roman" w:cs="Times New Roman"/>
                <w:noProof/>
                <w:webHidden/>
                <w:sz w:val="24"/>
                <w:szCs w:val="24"/>
              </w:rPr>
              <w:fldChar w:fldCharType="end"/>
            </w:r>
          </w:hyperlink>
        </w:p>
        <w:p w14:paraId="343DC7F0" w14:textId="07C2B952"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13" w:history="1">
            <w:r w:rsidR="009216DE" w:rsidRPr="009216DE">
              <w:rPr>
                <w:rStyle w:val="Hyperlink"/>
                <w:rFonts w:ascii="Times New Roman" w:hAnsi="Times New Roman" w:cs="Times New Roman"/>
                <w:noProof/>
                <w:sz w:val="24"/>
                <w:szCs w:val="24"/>
              </w:rPr>
              <w:t>Expenditure Breakdown</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_Toc157548613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7</w:t>
            </w:r>
            <w:r w:rsidR="009216DE" w:rsidRPr="009216DE">
              <w:rPr>
                <w:rFonts w:ascii="Times New Roman" w:hAnsi="Times New Roman" w:cs="Times New Roman"/>
                <w:noProof/>
                <w:webHidden/>
                <w:sz w:val="24"/>
                <w:szCs w:val="24"/>
              </w:rPr>
              <w:fldChar w:fldCharType="end"/>
            </w:r>
          </w:hyperlink>
        </w:p>
        <w:p w14:paraId="412C0C4B" w14:textId="14D704FC"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14" w:history="1">
            <w:r w:rsidR="009216DE" w:rsidRPr="009216DE">
              <w:rPr>
                <w:rStyle w:val="Hyperlink"/>
                <w:rFonts w:ascii="Times New Roman" w:hAnsi="Times New Roman" w:cs="Times New Roman"/>
                <w:noProof/>
                <w:sz w:val="24"/>
                <w:szCs w:val="24"/>
              </w:rPr>
              <w:t>Income Sources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_Toc157548614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8</w:t>
            </w:r>
            <w:r w:rsidR="009216DE" w:rsidRPr="009216DE">
              <w:rPr>
                <w:rFonts w:ascii="Times New Roman" w:hAnsi="Times New Roman" w:cs="Times New Roman"/>
                <w:noProof/>
                <w:webHidden/>
                <w:sz w:val="24"/>
                <w:szCs w:val="24"/>
              </w:rPr>
              <w:fldChar w:fldCharType="end"/>
            </w:r>
          </w:hyperlink>
        </w:p>
        <w:p w14:paraId="51E0655F" w14:textId="2DD1DA66"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15" w:history="1">
            <w:r w:rsidR="009216DE" w:rsidRPr="009216DE">
              <w:rPr>
                <w:rStyle w:val="Hyperlink"/>
                <w:rFonts w:ascii="Times New Roman" w:hAnsi="Times New Roman" w:cs="Times New Roman"/>
                <w:noProof/>
                <w:sz w:val="24"/>
                <w:szCs w:val="24"/>
              </w:rPr>
              <w:t>Revenue Generation Strategies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_Toc157548615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8</w:t>
            </w:r>
            <w:r w:rsidR="009216DE" w:rsidRPr="009216DE">
              <w:rPr>
                <w:rFonts w:ascii="Times New Roman" w:hAnsi="Times New Roman" w:cs="Times New Roman"/>
                <w:noProof/>
                <w:webHidden/>
                <w:sz w:val="24"/>
                <w:szCs w:val="24"/>
              </w:rPr>
              <w:fldChar w:fldCharType="end"/>
            </w:r>
          </w:hyperlink>
        </w:p>
        <w:p w14:paraId="289DDC55" w14:textId="2CE465B0"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16" w:history="1">
            <w:r w:rsidR="009216DE" w:rsidRPr="009216DE">
              <w:rPr>
                <w:rStyle w:val="Hyperlink"/>
                <w:rFonts w:ascii="Times New Roman" w:hAnsi="Times New Roman" w:cs="Times New Roman"/>
                <w:noProof/>
                <w:sz w:val="24"/>
                <w:szCs w:val="24"/>
              </w:rPr>
              <w:t>Industry Trends/Impacts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_Toc157548616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9</w:t>
            </w:r>
            <w:r w:rsidR="009216DE" w:rsidRPr="009216DE">
              <w:rPr>
                <w:rFonts w:ascii="Times New Roman" w:hAnsi="Times New Roman" w:cs="Times New Roman"/>
                <w:noProof/>
                <w:webHidden/>
                <w:sz w:val="24"/>
                <w:szCs w:val="24"/>
              </w:rPr>
              <w:fldChar w:fldCharType="end"/>
            </w:r>
          </w:hyperlink>
        </w:p>
        <w:p w14:paraId="4B1A7528" w14:textId="09DF7602"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17" w:history="1">
            <w:r w:rsidR="009216DE" w:rsidRPr="009216DE">
              <w:rPr>
                <w:rStyle w:val="Hyperlink"/>
                <w:rFonts w:ascii="Times New Roman" w:hAnsi="Times New Roman" w:cs="Times New Roman"/>
                <w:noProof/>
                <w:sz w:val="24"/>
                <w:szCs w:val="24"/>
              </w:rPr>
              <w:t>Current Trends in the Meetings/Events Industry</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_Toc157548617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9</w:t>
            </w:r>
            <w:r w:rsidR="009216DE" w:rsidRPr="009216DE">
              <w:rPr>
                <w:rFonts w:ascii="Times New Roman" w:hAnsi="Times New Roman" w:cs="Times New Roman"/>
                <w:noProof/>
                <w:webHidden/>
                <w:sz w:val="24"/>
                <w:szCs w:val="24"/>
              </w:rPr>
              <w:fldChar w:fldCharType="end"/>
            </w:r>
          </w:hyperlink>
        </w:p>
        <w:p w14:paraId="510D55EC" w14:textId="7F4FA27B"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18" w:history="1">
            <w:r w:rsidR="009216DE" w:rsidRPr="009216DE">
              <w:rPr>
                <w:rStyle w:val="Hyperlink"/>
                <w:rFonts w:ascii="Times New Roman" w:hAnsi="Times New Roman" w:cs="Times New Roman"/>
                <w:noProof/>
                <w:sz w:val="24"/>
                <w:szCs w:val="24"/>
              </w:rPr>
              <w:t>Impact on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_Toc157548618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9</w:t>
            </w:r>
            <w:r w:rsidR="009216DE" w:rsidRPr="009216DE">
              <w:rPr>
                <w:rFonts w:ascii="Times New Roman" w:hAnsi="Times New Roman" w:cs="Times New Roman"/>
                <w:noProof/>
                <w:webHidden/>
                <w:sz w:val="24"/>
                <w:szCs w:val="24"/>
              </w:rPr>
              <w:fldChar w:fldCharType="end"/>
            </w:r>
          </w:hyperlink>
        </w:p>
        <w:p w14:paraId="07A62923" w14:textId="6834A186"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19" w:history="1">
            <w:r w:rsidR="009216DE" w:rsidRPr="009216DE">
              <w:rPr>
                <w:rStyle w:val="Hyperlink"/>
                <w:rFonts w:ascii="Times New Roman" w:hAnsi="Times New Roman" w:cs="Times New Roman"/>
                <w:noProof/>
                <w:sz w:val="24"/>
                <w:szCs w:val="24"/>
              </w:rPr>
              <w:t>Cultural and Situational Considerations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_Toc157548619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10</w:t>
            </w:r>
            <w:r w:rsidR="009216DE" w:rsidRPr="009216DE">
              <w:rPr>
                <w:rFonts w:ascii="Times New Roman" w:hAnsi="Times New Roman" w:cs="Times New Roman"/>
                <w:noProof/>
                <w:webHidden/>
                <w:sz w:val="24"/>
                <w:szCs w:val="24"/>
              </w:rPr>
              <w:fldChar w:fldCharType="end"/>
            </w:r>
          </w:hyperlink>
        </w:p>
        <w:p w14:paraId="0C84D47F" w14:textId="324A1468"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20" w:history="1">
            <w:r w:rsidR="009216DE" w:rsidRPr="009216DE">
              <w:rPr>
                <w:rStyle w:val="Hyperlink"/>
                <w:rFonts w:ascii="Times New Roman" w:hAnsi="Times New Roman" w:cs="Times New Roman"/>
                <w:noProof/>
                <w:sz w:val="24"/>
                <w:szCs w:val="24"/>
              </w:rPr>
              <w:t>Relevance to "Green Horizons"</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_Toc157548620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10</w:t>
            </w:r>
            <w:r w:rsidR="009216DE" w:rsidRPr="009216DE">
              <w:rPr>
                <w:rFonts w:ascii="Times New Roman" w:hAnsi="Times New Roman" w:cs="Times New Roman"/>
                <w:noProof/>
                <w:webHidden/>
                <w:sz w:val="24"/>
                <w:szCs w:val="24"/>
              </w:rPr>
              <w:fldChar w:fldCharType="end"/>
            </w:r>
          </w:hyperlink>
        </w:p>
        <w:p w14:paraId="5ED8C920" w14:textId="399300F2" w:rsidR="009216DE" w:rsidRPr="009216DE" w:rsidRDefault="006B5030" w:rsidP="009216DE">
          <w:pPr>
            <w:pStyle w:val="TOC2"/>
            <w:tabs>
              <w:tab w:val="right" w:leader="dot" w:pos="9019"/>
            </w:tabs>
            <w:spacing w:line="360" w:lineRule="auto"/>
            <w:jc w:val="both"/>
            <w:rPr>
              <w:rFonts w:ascii="Times New Roman" w:hAnsi="Times New Roman" w:cs="Times New Roman"/>
              <w:noProof/>
              <w:sz w:val="24"/>
              <w:szCs w:val="24"/>
            </w:rPr>
          </w:pPr>
          <w:hyperlink w:anchor="_Toc157548621" w:history="1">
            <w:r w:rsidR="009216DE" w:rsidRPr="009216DE">
              <w:rPr>
                <w:rStyle w:val="Hyperlink"/>
                <w:rFonts w:ascii="Times New Roman" w:hAnsi="Times New Roman" w:cs="Times New Roman"/>
                <w:noProof/>
                <w:sz w:val="24"/>
                <w:szCs w:val="24"/>
              </w:rPr>
              <w:t>Importance in Event Planning</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_Toc157548621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10</w:t>
            </w:r>
            <w:r w:rsidR="009216DE" w:rsidRPr="009216DE">
              <w:rPr>
                <w:rFonts w:ascii="Times New Roman" w:hAnsi="Times New Roman" w:cs="Times New Roman"/>
                <w:noProof/>
                <w:webHidden/>
                <w:sz w:val="24"/>
                <w:szCs w:val="24"/>
              </w:rPr>
              <w:fldChar w:fldCharType="end"/>
            </w:r>
          </w:hyperlink>
        </w:p>
        <w:p w14:paraId="3DA8CB48" w14:textId="60583F83" w:rsidR="009216DE" w:rsidRPr="009216DE" w:rsidRDefault="006B5030" w:rsidP="009216DE">
          <w:pPr>
            <w:pStyle w:val="TOC1"/>
            <w:tabs>
              <w:tab w:val="right" w:leader="dot" w:pos="9019"/>
            </w:tabs>
            <w:spacing w:line="360" w:lineRule="auto"/>
            <w:jc w:val="both"/>
            <w:rPr>
              <w:rFonts w:ascii="Times New Roman" w:hAnsi="Times New Roman" w:cs="Times New Roman"/>
              <w:noProof/>
              <w:sz w:val="24"/>
              <w:szCs w:val="24"/>
            </w:rPr>
          </w:pPr>
          <w:hyperlink w:anchor="_Toc157548622" w:history="1">
            <w:r w:rsidR="009216DE" w:rsidRPr="009216DE">
              <w:rPr>
                <w:rStyle w:val="Hyperlink"/>
                <w:rFonts w:ascii="Times New Roman" w:hAnsi="Times New Roman" w:cs="Times New Roman"/>
                <w:noProof/>
                <w:sz w:val="24"/>
                <w:szCs w:val="24"/>
              </w:rPr>
              <w:t>Reference List</w:t>
            </w:r>
            <w:r w:rsidR="009216DE" w:rsidRPr="009216DE">
              <w:rPr>
                <w:rFonts w:ascii="Times New Roman" w:hAnsi="Times New Roman" w:cs="Times New Roman"/>
                <w:noProof/>
                <w:webHidden/>
                <w:sz w:val="24"/>
                <w:szCs w:val="24"/>
              </w:rPr>
              <w:tab/>
            </w:r>
            <w:r w:rsidR="009216DE" w:rsidRPr="009216DE">
              <w:rPr>
                <w:rFonts w:ascii="Times New Roman" w:hAnsi="Times New Roman" w:cs="Times New Roman"/>
                <w:noProof/>
                <w:webHidden/>
                <w:sz w:val="24"/>
                <w:szCs w:val="24"/>
              </w:rPr>
              <w:fldChar w:fldCharType="begin"/>
            </w:r>
            <w:r w:rsidR="009216DE" w:rsidRPr="009216DE">
              <w:rPr>
                <w:rFonts w:ascii="Times New Roman" w:hAnsi="Times New Roman" w:cs="Times New Roman"/>
                <w:noProof/>
                <w:webHidden/>
                <w:sz w:val="24"/>
                <w:szCs w:val="24"/>
              </w:rPr>
              <w:instrText xml:space="preserve"> PAGEREF _Toc157548622 \h </w:instrText>
            </w:r>
            <w:r w:rsidR="009216DE" w:rsidRPr="009216DE">
              <w:rPr>
                <w:rFonts w:ascii="Times New Roman" w:hAnsi="Times New Roman" w:cs="Times New Roman"/>
                <w:noProof/>
                <w:webHidden/>
                <w:sz w:val="24"/>
                <w:szCs w:val="24"/>
              </w:rPr>
            </w:r>
            <w:r w:rsidR="009216DE" w:rsidRPr="009216DE">
              <w:rPr>
                <w:rFonts w:ascii="Times New Roman" w:hAnsi="Times New Roman" w:cs="Times New Roman"/>
                <w:noProof/>
                <w:webHidden/>
                <w:sz w:val="24"/>
                <w:szCs w:val="24"/>
              </w:rPr>
              <w:fldChar w:fldCharType="separate"/>
            </w:r>
            <w:r w:rsidR="009216DE" w:rsidRPr="009216DE">
              <w:rPr>
                <w:rFonts w:ascii="Times New Roman" w:hAnsi="Times New Roman" w:cs="Times New Roman"/>
                <w:noProof/>
                <w:webHidden/>
                <w:sz w:val="24"/>
                <w:szCs w:val="24"/>
              </w:rPr>
              <w:t>11</w:t>
            </w:r>
            <w:r w:rsidR="009216DE" w:rsidRPr="009216DE">
              <w:rPr>
                <w:rFonts w:ascii="Times New Roman" w:hAnsi="Times New Roman" w:cs="Times New Roman"/>
                <w:noProof/>
                <w:webHidden/>
                <w:sz w:val="24"/>
                <w:szCs w:val="24"/>
              </w:rPr>
              <w:fldChar w:fldCharType="end"/>
            </w:r>
          </w:hyperlink>
        </w:p>
        <w:p w14:paraId="44FB33EC" w14:textId="34897775" w:rsidR="009216DE" w:rsidRDefault="009216DE" w:rsidP="009216DE">
          <w:pPr>
            <w:spacing w:line="360" w:lineRule="auto"/>
            <w:jc w:val="both"/>
          </w:pPr>
          <w:r w:rsidRPr="009216DE">
            <w:rPr>
              <w:rFonts w:ascii="Times New Roman" w:hAnsi="Times New Roman" w:cs="Times New Roman"/>
              <w:b/>
              <w:bCs/>
              <w:noProof/>
              <w:sz w:val="24"/>
              <w:szCs w:val="24"/>
            </w:rPr>
            <w:fldChar w:fldCharType="end"/>
          </w:r>
        </w:p>
      </w:sdtContent>
    </w:sdt>
    <w:p w14:paraId="2DEAAD79" w14:textId="77777777" w:rsidR="009216DE" w:rsidRPr="009216DE" w:rsidRDefault="009216DE" w:rsidP="009216DE">
      <w:pPr>
        <w:jc w:val="center"/>
        <w:rPr>
          <w:rFonts w:ascii="Times New Roman" w:eastAsia="Times New Roman" w:hAnsi="Times New Roman" w:cs="Times New Roman"/>
          <w:b/>
          <w:sz w:val="32"/>
          <w:szCs w:val="32"/>
        </w:rPr>
      </w:pPr>
    </w:p>
    <w:p w14:paraId="07D27CC3" w14:textId="77777777" w:rsidR="009216DE" w:rsidRDefault="009216DE">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76BC1A8D" w14:textId="77777777" w:rsidR="007829E4" w:rsidRDefault="007829E4">
      <w:pPr>
        <w:rPr>
          <w:rFonts w:ascii="Times New Roman" w:eastAsia="Times New Roman" w:hAnsi="Times New Roman" w:cs="Times New Roman"/>
          <w:b/>
          <w:sz w:val="28"/>
          <w:szCs w:val="28"/>
        </w:rPr>
      </w:pPr>
    </w:p>
    <w:p w14:paraId="00000001" w14:textId="277EF3E6" w:rsidR="00D672E9" w:rsidRDefault="00BD0F2A" w:rsidP="007829E4">
      <w:pPr>
        <w:pStyle w:val="Heading1"/>
      </w:pPr>
      <w:bookmarkStart w:id="1" w:name="_Toc157548596"/>
      <w:r w:rsidRPr="007829E4">
        <w:t>Introduction</w:t>
      </w:r>
      <w:bookmarkEnd w:id="1"/>
    </w:p>
    <w:p w14:paraId="0DF070E7" w14:textId="77777777" w:rsidR="007829E4" w:rsidRPr="007829E4" w:rsidRDefault="007829E4" w:rsidP="007829E4">
      <w:pPr>
        <w:pStyle w:val="Heading2"/>
      </w:pPr>
      <w:bookmarkStart w:id="2" w:name="_Toc157548597"/>
      <w:r w:rsidRPr="007829E4">
        <w:t>Event’s Background and Description</w:t>
      </w:r>
      <w:bookmarkEnd w:id="2"/>
    </w:p>
    <w:p w14:paraId="5C280D62" w14:textId="3A88A717" w:rsidR="007829E4" w:rsidRPr="007829E4" w:rsidRDefault="007829E4" w:rsidP="007829E4">
      <w:pPr>
        <w:spacing w:line="360" w:lineRule="auto"/>
        <w:jc w:val="both"/>
        <w:rPr>
          <w:rFonts w:ascii="Times New Roman" w:eastAsia="Times New Roman" w:hAnsi="Times New Roman" w:cs="Times New Roman"/>
          <w:bCs/>
          <w:sz w:val="24"/>
          <w:szCs w:val="24"/>
        </w:rPr>
      </w:pPr>
      <w:r w:rsidRPr="007829E4">
        <w:rPr>
          <w:rFonts w:ascii="Times New Roman" w:eastAsia="Times New Roman" w:hAnsi="Times New Roman" w:cs="Times New Roman"/>
          <w:bCs/>
          <w:sz w:val="24"/>
          <w:szCs w:val="24"/>
        </w:rPr>
        <w:t>"Green Horizons: The title for the imagined international conference that would be focused on encouraging sustainable practices in hospitality is Innovating Sustainability in Hospitality. Scheduled to take place for three days, this ground-breaking event is designed as a central point where environmental professionals will gather along with industry developers and progressives. The conference presents current sustainable technologies, tactics and techniques for implementation within the hospitality sector to ensure that business expansion coincides with nature preservation.</w:t>
      </w:r>
    </w:p>
    <w:p w14:paraId="0796482D" w14:textId="77777777" w:rsidR="007829E4" w:rsidRPr="007829E4" w:rsidRDefault="007829E4" w:rsidP="007829E4">
      <w:pPr>
        <w:pStyle w:val="Heading2"/>
      </w:pPr>
      <w:bookmarkStart w:id="3" w:name="_Toc157548598"/>
      <w:r w:rsidRPr="007829E4">
        <w:t>Significance of the Event</w:t>
      </w:r>
      <w:bookmarkEnd w:id="3"/>
    </w:p>
    <w:p w14:paraId="2B5BA0CB" w14:textId="77777777" w:rsidR="007829E4" w:rsidRPr="007829E4" w:rsidRDefault="007829E4" w:rsidP="007829E4">
      <w:pPr>
        <w:spacing w:line="360" w:lineRule="auto"/>
        <w:jc w:val="both"/>
        <w:rPr>
          <w:rFonts w:ascii="Times New Roman" w:eastAsia="Times New Roman" w:hAnsi="Times New Roman" w:cs="Times New Roman"/>
          <w:bCs/>
          <w:sz w:val="24"/>
          <w:szCs w:val="24"/>
        </w:rPr>
      </w:pPr>
      <w:r w:rsidRPr="007829E4">
        <w:rPr>
          <w:rFonts w:ascii="Times New Roman" w:eastAsia="Times New Roman" w:hAnsi="Times New Roman" w:cs="Times New Roman"/>
          <w:bCs/>
          <w:sz w:val="24"/>
          <w:szCs w:val="24"/>
        </w:rPr>
        <w:t>The choice of ‘Green Horizons’ to be the subject of this research study is justified by a clear need for opportunities and more attention towards environmental matters that are persistent in the hospitality sector. However, as the sector is rapidly growing throughout various parts of the world interest in its environmental effect has become subject to a critical analysis. The main objective of this event is to merge environmental sustainability and industry development by providing a discussion platform, networking opportunity as well sharing ideas. Through their emphasis on sustainable innovations, Green Horizons does more than bringing attention to ecological responsibility – it can thus be seen as an organization that is ahead of its time.</w:t>
      </w:r>
    </w:p>
    <w:p w14:paraId="7534594B" w14:textId="77777777" w:rsidR="007829E4" w:rsidRPr="007829E4" w:rsidRDefault="007829E4" w:rsidP="007829E4">
      <w:pPr>
        <w:pStyle w:val="Heading2"/>
      </w:pPr>
      <w:bookmarkStart w:id="4" w:name="_Toc157548599"/>
      <w:r w:rsidRPr="007829E4">
        <w:t>Location and Proposed Dates</w:t>
      </w:r>
      <w:bookmarkEnd w:id="4"/>
    </w:p>
    <w:p w14:paraId="00000007" w14:textId="12918BF1" w:rsidR="00D672E9" w:rsidRPr="007829E4" w:rsidRDefault="007829E4" w:rsidP="007829E4">
      <w:pPr>
        <w:spacing w:line="360" w:lineRule="auto"/>
        <w:jc w:val="both"/>
        <w:rPr>
          <w:rFonts w:ascii="Times New Roman" w:eastAsia="Times New Roman" w:hAnsi="Times New Roman" w:cs="Times New Roman"/>
          <w:bCs/>
          <w:sz w:val="24"/>
          <w:szCs w:val="24"/>
        </w:rPr>
      </w:pPr>
      <w:r w:rsidRPr="007829E4">
        <w:rPr>
          <w:rFonts w:ascii="Times New Roman" w:eastAsia="Times New Roman" w:hAnsi="Times New Roman" w:cs="Times New Roman"/>
          <w:bCs/>
          <w:sz w:val="24"/>
          <w:szCs w:val="24"/>
        </w:rPr>
        <w:t>Copenhagen, Denmark was selected to host the event because of its worldwide recognition as one of the best providers when it comes to sustainability and environmental innovation. The city’s dedication to host green initiatives and its modern facilities place it in the most suitable position for hosting such an event</w:t>
      </w:r>
      <w:r w:rsidR="009216DE">
        <w:rPr>
          <w:rFonts w:ascii="Times New Roman" w:eastAsia="Times New Roman" w:hAnsi="Times New Roman" w:cs="Times New Roman"/>
          <w:bCs/>
          <w:sz w:val="24"/>
          <w:szCs w:val="24"/>
        </w:rPr>
        <w:t xml:space="preserve"> (</w:t>
      </w:r>
      <w:r w:rsidR="009216DE" w:rsidRPr="009216DE">
        <w:rPr>
          <w:rFonts w:ascii="Times New Roman" w:eastAsia="Times New Roman" w:hAnsi="Times New Roman" w:cs="Times New Roman"/>
          <w:sz w:val="24"/>
          <w:szCs w:val="24"/>
        </w:rPr>
        <w:t>Gulak-Lipka</w:t>
      </w:r>
      <w:r w:rsidR="009216DE">
        <w:rPr>
          <w:rFonts w:ascii="Times New Roman" w:eastAsia="Times New Roman" w:hAnsi="Times New Roman" w:cs="Times New Roman"/>
          <w:sz w:val="24"/>
          <w:szCs w:val="24"/>
        </w:rPr>
        <w:t xml:space="preserve"> </w:t>
      </w:r>
      <w:r w:rsidR="009216DE" w:rsidRPr="009216DE">
        <w:rPr>
          <w:rFonts w:ascii="Times New Roman" w:eastAsia="Times New Roman" w:hAnsi="Times New Roman" w:cs="Times New Roman"/>
          <w:sz w:val="24"/>
          <w:szCs w:val="24"/>
        </w:rPr>
        <w:t>and Jagielski, 2020</w:t>
      </w:r>
      <w:r w:rsidR="009216DE">
        <w:rPr>
          <w:rFonts w:ascii="Times New Roman" w:eastAsia="Times New Roman" w:hAnsi="Times New Roman" w:cs="Times New Roman"/>
          <w:bCs/>
          <w:sz w:val="24"/>
          <w:szCs w:val="24"/>
        </w:rPr>
        <w:t>)</w:t>
      </w:r>
      <w:r w:rsidRPr="007829E4">
        <w:rPr>
          <w:rFonts w:ascii="Times New Roman" w:eastAsia="Times New Roman" w:hAnsi="Times New Roman" w:cs="Times New Roman"/>
          <w:bCs/>
          <w:sz w:val="24"/>
          <w:szCs w:val="24"/>
        </w:rPr>
        <w:t>. The target dates for the “Green Horizons” are 21st through to 23rd September, which represents a time frame when Copenhagen usually experiences better climate conditions and coincides with strong international attention paid towards sustainability aspects that further promotes its visibility and attractiveness on an equal note</w:t>
      </w:r>
      <w:r w:rsidR="00BD0F2A" w:rsidRPr="007829E4">
        <w:rPr>
          <w:rFonts w:ascii="Times New Roman" w:eastAsia="Times New Roman" w:hAnsi="Times New Roman" w:cs="Times New Roman"/>
          <w:bCs/>
          <w:sz w:val="24"/>
          <w:szCs w:val="24"/>
        </w:rPr>
        <w:t>.</w:t>
      </w:r>
    </w:p>
    <w:p w14:paraId="00000008" w14:textId="77777777" w:rsidR="00D672E9" w:rsidRDefault="00BD0F2A" w:rsidP="007829E4">
      <w:pPr>
        <w:pStyle w:val="Heading1"/>
      </w:pPr>
      <w:bookmarkStart w:id="5" w:name="_Toc157548600"/>
      <w:r>
        <w:t>The Event Cycle</w:t>
      </w:r>
      <w:bookmarkEnd w:id="5"/>
    </w:p>
    <w:p w14:paraId="00000009" w14:textId="77777777" w:rsidR="00D672E9" w:rsidRDefault="00BD0F2A" w:rsidP="007829E4">
      <w:pPr>
        <w:pStyle w:val="Heading2"/>
      </w:pPr>
      <w:bookmarkStart w:id="6" w:name="_Toc157548601"/>
      <w:r>
        <w:t>Definition and Explanation</w:t>
      </w:r>
      <w:bookmarkEnd w:id="6"/>
    </w:p>
    <w:p w14:paraId="0B2A5F92" w14:textId="28C443F5"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 xml:space="preserve">The Event Cycle is the most important structure in event management that outlines planning, implementing and evaluating an even with respect to various stages. Usually this cycle includes the creation of initial ideas, further planning on a more detailed level, performance itself and </w:t>
      </w:r>
      <w:r w:rsidRPr="007829E4">
        <w:rPr>
          <w:rFonts w:ascii="Times New Roman" w:eastAsia="Times New Roman" w:hAnsi="Times New Roman" w:cs="Times New Roman"/>
          <w:sz w:val="24"/>
          <w:szCs w:val="24"/>
        </w:rPr>
        <w:lastRenderedPageBreak/>
        <w:t>post analysis work</w:t>
      </w:r>
      <w:r w:rsidR="009216D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Saint</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2020</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 It is intended for event managers as a complete tool to help structure their organisation of events and ensure that all the considerations, aspects discussed are phrased through an entire process.</w:t>
      </w:r>
    </w:p>
    <w:p w14:paraId="049CA6D5" w14:textId="3BE58415" w:rsidR="007829E4" w:rsidRPr="007829E4" w:rsidRDefault="007829E4" w:rsidP="007829E4">
      <w:pPr>
        <w:pStyle w:val="Heading2"/>
      </w:pPr>
      <w:bookmarkStart w:id="7" w:name="_Toc157548602"/>
      <w:r w:rsidRPr="007829E4">
        <w:t>Application to "Green Horizons"</w:t>
      </w:r>
      <w:bookmarkEnd w:id="7"/>
    </w:p>
    <w:p w14:paraId="08B8F600"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In the frame of Green Horizons, Event Cycle starts with Concept Development stage when an idea for sustainable hospitality conference is generated that will be concentrated on ecological innovations in this industry. This stage is about developing ideas, finding an audience for the developed PR plans and determining specific goals.</w:t>
      </w:r>
    </w:p>
    <w:p w14:paraId="3AC20F74" w14:textId="7F14680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In the Planning Stage, logistical components include securing a sustainable venue in Copenhagen as well as formatting content and recruiting speakers at best industry practices of sustainability</w:t>
      </w:r>
      <w:r w:rsidR="009216D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Nolte</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2020</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 xml:space="preserve">. It also involves development of marketing strategies and allocation </w:t>
      </w:r>
      <w:r w:rsidR="009216DE" w:rsidRPr="007829E4">
        <w:rPr>
          <w:rFonts w:ascii="Times New Roman" w:eastAsia="Times New Roman" w:hAnsi="Times New Roman" w:cs="Times New Roman"/>
          <w:sz w:val="24"/>
          <w:szCs w:val="24"/>
        </w:rPr>
        <w:t>of</w:t>
      </w:r>
      <w:r w:rsidRPr="007829E4">
        <w:rPr>
          <w:rFonts w:ascii="Times New Roman" w:eastAsia="Times New Roman" w:hAnsi="Times New Roman" w:cs="Times New Roman"/>
          <w:sz w:val="24"/>
          <w:szCs w:val="24"/>
        </w:rPr>
        <w:t xml:space="preserve"> resources.</w:t>
      </w:r>
    </w:p>
    <w:p w14:paraId="41D7AA7C"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Execution Stage will last three days when the conference is alive and it all becomes about flawless management, attendees’ engagement, promises in terms of sustainability and innovations becoming reality.</w:t>
      </w:r>
    </w:p>
    <w:p w14:paraId="00000010" w14:textId="5E3592A9"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Lastly, the Evaluation Stage will evaluate how well did it go against objectives. This will comprise collecting data from participants, financial performance analysis and measurements of sustainability promotion across the industry by means of this event. The experience gained here will be precious for further editions of this conference, especially with a view to its continuous novel development</w:t>
      </w:r>
      <w:r w:rsidR="00BD0F2A">
        <w:rPr>
          <w:rFonts w:ascii="Times New Roman" w:eastAsia="Times New Roman" w:hAnsi="Times New Roman" w:cs="Times New Roman"/>
          <w:sz w:val="24"/>
          <w:szCs w:val="24"/>
        </w:rPr>
        <w:t>.</w:t>
      </w:r>
    </w:p>
    <w:p w14:paraId="00000011" w14:textId="77777777" w:rsidR="00D672E9" w:rsidRDefault="00BD0F2A" w:rsidP="007829E4">
      <w:pPr>
        <w:pStyle w:val="Heading1"/>
      </w:pPr>
      <w:bookmarkStart w:id="8" w:name="_Toc157548603"/>
      <w:r>
        <w:t>Event Concept</w:t>
      </w:r>
      <w:bookmarkEnd w:id="8"/>
    </w:p>
    <w:p w14:paraId="00000012" w14:textId="77777777" w:rsidR="00D672E9" w:rsidRDefault="00BD0F2A" w:rsidP="007829E4">
      <w:pPr>
        <w:pStyle w:val="Heading2"/>
      </w:pPr>
      <w:bookmarkStart w:id="9" w:name="_Toc157548604"/>
      <w:r>
        <w:t>Detailed Description of "Green Horizons"</w:t>
      </w:r>
      <w:bookmarkEnd w:id="9"/>
    </w:p>
    <w:p w14:paraId="59905D15"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The “Green Horizons is conceived as a three-day landmark initiative, the first of its kind across international borders in transforming hospitality into sustainability”. The essence of the event is to drive innovative environmentally friendly measures that can be easily implemented across this industry. Being designed to take place in an environmentally-conscious city, such as Copenhagen, Green Horizons will act as a meeting point for industry practitioners with the most advanced insights regarding sustainability and policy makers who are determined to develop state-of-the-art frameworks.</w:t>
      </w:r>
    </w:p>
    <w:p w14:paraId="124FE59E" w14:textId="77777777" w:rsidR="007829E4" w:rsidRPr="007829E4" w:rsidRDefault="007829E4" w:rsidP="007829E4">
      <w:pPr>
        <w:pStyle w:val="Heading2"/>
      </w:pPr>
      <w:bookmarkStart w:id="10" w:name="_Toc157548605"/>
      <w:r w:rsidRPr="007829E4">
        <w:t>Delegate and Guest Experience</w:t>
      </w:r>
      <w:bookmarkEnd w:id="10"/>
    </w:p>
    <w:p w14:paraId="1E28A2F6"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 xml:space="preserve">The participants will enjoy a multidimensional event that would include learning sessions, workshop activities and connections among attendees. This conference, therefore, intends to </w:t>
      </w:r>
      <w:r w:rsidRPr="007829E4">
        <w:rPr>
          <w:rFonts w:ascii="Times New Roman" w:eastAsia="Times New Roman" w:hAnsi="Times New Roman" w:cs="Times New Roman"/>
          <w:sz w:val="24"/>
          <w:szCs w:val="24"/>
        </w:rPr>
        <w:lastRenderedPageBreak/>
        <w:t>place its attendees within an atmosphere where they do not only talk about sustainability but feel it as well.</w:t>
      </w:r>
    </w:p>
    <w:p w14:paraId="18007290" w14:textId="0C02F9D3"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Educational Panels and Keynote Speeches:</w:t>
      </w:r>
      <w:r w:rsidRPr="007829E4">
        <w:rPr>
          <w:rFonts w:ascii="Times New Roman" w:eastAsia="Times New Roman" w:hAnsi="Times New Roman" w:cs="Times New Roman"/>
          <w:sz w:val="24"/>
          <w:szCs w:val="24"/>
        </w:rPr>
        <w:t xml:space="preserve"> Wisdom nodes and gurus in sustainability will provide best practices, trends that are imminent as well as case studies of how green has been fused into the system through perfect marketing orientations.</w:t>
      </w:r>
    </w:p>
    <w:p w14:paraId="6437C4D1" w14:textId="02C6E970"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Interactive Workshops:</w:t>
      </w:r>
      <w:r w:rsidRPr="007829E4">
        <w:rPr>
          <w:rFonts w:ascii="Times New Roman" w:eastAsia="Times New Roman" w:hAnsi="Times New Roman" w:cs="Times New Roman"/>
          <w:sz w:val="24"/>
          <w:szCs w:val="24"/>
        </w:rPr>
        <w:t xml:space="preserve"> Practical demonstrations of sustainable technologies and practices in hands on sessions</w:t>
      </w:r>
      <w:r w:rsidR="009216DE">
        <w:rPr>
          <w:rFonts w:ascii="Times New Roman" w:eastAsia="Times New Roman" w:hAnsi="Times New Roman" w:cs="Times New Roman"/>
          <w:sz w:val="24"/>
          <w:szCs w:val="24"/>
        </w:rPr>
        <w:t xml:space="preserve"> (</w:t>
      </w:r>
      <w:proofErr w:type="spellStart"/>
      <w:r w:rsidR="00FD1EEE" w:rsidRPr="00FD1EEE">
        <w:rPr>
          <w:rFonts w:ascii="Times New Roman" w:eastAsia="Times New Roman" w:hAnsi="Times New Roman" w:cs="Times New Roman"/>
          <w:sz w:val="24"/>
          <w:szCs w:val="24"/>
        </w:rPr>
        <w:t>Pather</w:t>
      </w:r>
      <w:proofErr w:type="spellEnd"/>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2020</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4A868335"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Sustainable Exhibition Space:</w:t>
      </w:r>
      <w:r w:rsidRPr="007829E4">
        <w:rPr>
          <w:rFonts w:ascii="Times New Roman" w:eastAsia="Times New Roman" w:hAnsi="Times New Roman" w:cs="Times New Roman"/>
          <w:sz w:val="24"/>
          <w:szCs w:val="24"/>
        </w:rPr>
        <w:t xml:space="preserve"> An area for the display of environmentally conscious products and services exhibited by companies as well as start-ups, providing practical cases to support sustainability.</w:t>
      </w:r>
    </w:p>
    <w:p w14:paraId="00000019" w14:textId="546C3935"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Networking Sessions:</w:t>
      </w:r>
      <w:r w:rsidRPr="007829E4">
        <w:rPr>
          <w:rFonts w:ascii="Times New Roman" w:eastAsia="Times New Roman" w:hAnsi="Times New Roman" w:cs="Times New Roman"/>
          <w:sz w:val="24"/>
          <w:szCs w:val="24"/>
        </w:rPr>
        <w:t xml:space="preserve"> Networking opportunities for attendees to meet their peers, experts and future potential business partners; a community of specialists with pro-sustainable attitudes</w:t>
      </w:r>
      <w:r w:rsidR="00BD0F2A">
        <w:rPr>
          <w:rFonts w:ascii="Times New Roman" w:eastAsia="Times New Roman" w:hAnsi="Times New Roman" w:cs="Times New Roman"/>
          <w:sz w:val="24"/>
          <w:szCs w:val="24"/>
        </w:rPr>
        <w:t>.</w:t>
      </w:r>
    </w:p>
    <w:p w14:paraId="0000001A" w14:textId="77777777" w:rsidR="00D672E9" w:rsidRDefault="00BD0F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Itinerary and Key Activities</w:t>
      </w:r>
    </w:p>
    <w:p w14:paraId="6EF8AB69"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Day 1:</w:t>
      </w:r>
      <w:r w:rsidRPr="007829E4">
        <w:rPr>
          <w:rFonts w:ascii="Times New Roman" w:eastAsia="Times New Roman" w:hAnsi="Times New Roman" w:cs="Times New Roman"/>
          <w:sz w:val="24"/>
          <w:szCs w:val="24"/>
        </w:rPr>
        <w:t xml:space="preserve"> An opening address then was given, among another mentioned topic the international effects of sustainability on hospitality through key speeches. Breakout sessions in the afternoon, focusing on different aspects of sustainability.</w:t>
      </w:r>
    </w:p>
    <w:p w14:paraId="54D4E0E4"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Day 2:</w:t>
      </w:r>
      <w:r w:rsidRPr="007829E4">
        <w:rPr>
          <w:rFonts w:ascii="Times New Roman" w:eastAsia="Times New Roman" w:hAnsi="Times New Roman" w:cs="Times New Roman"/>
          <w:sz w:val="24"/>
          <w:szCs w:val="24"/>
        </w:rPr>
        <w:t xml:space="preserve"> Interactive symposiums in respect of sustainable practices and technologies. Evening panel discussions on policy and investment towards sustainable hospitality.</w:t>
      </w:r>
    </w:p>
    <w:p w14:paraId="05C46D83"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Day 3:</w:t>
      </w:r>
      <w:r w:rsidRPr="007829E4">
        <w:rPr>
          <w:rFonts w:ascii="Times New Roman" w:eastAsia="Times New Roman" w:hAnsi="Times New Roman" w:cs="Times New Roman"/>
          <w:sz w:val="24"/>
          <w:szCs w:val="24"/>
        </w:rPr>
        <w:t xml:space="preserve"> A closing plenary outlining ending the session with a presentation and in braining storming notes made during breakout sessions from keystones. A networking luncheon summed up the series of events and served as a last chance to meet attendees for further cooperation.</w:t>
      </w:r>
    </w:p>
    <w:p w14:paraId="0000001E" w14:textId="31EBEC17"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Green Horizons is not structured to act as a conference but an experience that opens one’s eyes on the need of changing their actions and provides practical resolutions through developing change-making network within practitioners in the hospitality sector</w:t>
      </w:r>
      <w:r w:rsidR="00BD0F2A">
        <w:rPr>
          <w:rFonts w:ascii="Times New Roman" w:eastAsia="Times New Roman" w:hAnsi="Times New Roman" w:cs="Times New Roman"/>
          <w:sz w:val="24"/>
          <w:szCs w:val="24"/>
        </w:rPr>
        <w:t>.</w:t>
      </w:r>
    </w:p>
    <w:p w14:paraId="0000001F" w14:textId="77777777" w:rsidR="00D672E9" w:rsidRDefault="00BD0F2A" w:rsidP="007829E4">
      <w:pPr>
        <w:pStyle w:val="Heading1"/>
      </w:pPr>
      <w:bookmarkStart w:id="11" w:name="_Toc157548606"/>
      <w:r>
        <w:t>Aim and Objectives of "Green Horizons"</w:t>
      </w:r>
      <w:bookmarkEnd w:id="11"/>
    </w:p>
    <w:p w14:paraId="00000020" w14:textId="77777777" w:rsidR="00D672E9" w:rsidRDefault="00BD0F2A" w:rsidP="007829E4">
      <w:pPr>
        <w:pStyle w:val="Heading2"/>
      </w:pPr>
      <w:bookmarkStart w:id="12" w:name="_Toc157548607"/>
      <w:r>
        <w:t>Overarching Aim</w:t>
      </w:r>
      <w:bookmarkEnd w:id="12"/>
    </w:p>
    <w:p w14:paraId="0057D251"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The main objectives of Green Horizons are to stimulate a new approach in the hospitality industry, which will serve as an example for further sustainable practices and change. It is aimed at becoming a change agent by positively influencing the industrial direction to that of environmental responsibility.</w:t>
      </w:r>
    </w:p>
    <w:p w14:paraId="442C18E2" w14:textId="77777777" w:rsidR="007829E4" w:rsidRPr="007829E4" w:rsidRDefault="007829E4" w:rsidP="007829E4">
      <w:pPr>
        <w:pStyle w:val="Heading2"/>
      </w:pPr>
      <w:bookmarkStart w:id="13" w:name="_Toc157548608"/>
      <w:r w:rsidRPr="007829E4">
        <w:t>SMART Objectives</w:t>
      </w:r>
      <w:bookmarkEnd w:id="13"/>
    </w:p>
    <w:p w14:paraId="6AC37D6D"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lastRenderedPageBreak/>
        <w:t>Educational Outreach: To inform and motivate more than 80% of the participants to integrate sustainable practices in their organizations as revealed through an event’s survey. This objective addresses the short term effects of the conference in terms of knowledge sharing and implementation.</w:t>
      </w:r>
    </w:p>
    <w:p w14:paraId="68AFB954"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Networking and Collaboration:</w:t>
      </w:r>
      <w:r w:rsidRPr="007829E4">
        <w:rPr>
          <w:rFonts w:ascii="Times New Roman" w:eastAsia="Times New Roman" w:hAnsi="Times New Roman" w:cs="Times New Roman"/>
          <w:sz w:val="24"/>
          <w:szCs w:val="24"/>
        </w:rPr>
        <w:t xml:space="preserve"> To create a minimum of 50 new business collaborations or joint initiatives on sustainability, within six months from the event. This will be measured by following up with the participants, and using a report on an impact analysis that is prepared after the event.</w:t>
      </w:r>
    </w:p>
    <w:p w14:paraId="3865B996"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Sustainable Event Management:</w:t>
      </w:r>
      <w:r w:rsidRPr="007829E4">
        <w:rPr>
          <w:rFonts w:ascii="Times New Roman" w:eastAsia="Times New Roman" w:hAnsi="Times New Roman" w:cs="Times New Roman"/>
          <w:sz w:val="24"/>
          <w:szCs w:val="24"/>
        </w:rPr>
        <w:t xml:space="preserve"> To use the conference as a chance to put in power practice with at least 75% MRD waste diversion rate and carbon neutrality apply, thus establishing standards of sustainable event management. Waste management reports and carbon offset documentation will be used for measuring the achievement of this objective.</w:t>
      </w:r>
    </w:p>
    <w:p w14:paraId="00000026" w14:textId="3A9B41F1"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The above-mentioned goals work in line with the general objective of “Green Horizons,” which is making sure that not only does the event discuss sustainability, but also be sustainable itself when it comes to realization and generate real long-standing changes within a hotelier industry</w:t>
      </w:r>
      <w:r w:rsidR="00BD0F2A">
        <w:rPr>
          <w:rFonts w:ascii="Times New Roman" w:eastAsia="Times New Roman" w:hAnsi="Times New Roman" w:cs="Times New Roman"/>
          <w:sz w:val="24"/>
          <w:szCs w:val="24"/>
        </w:rPr>
        <w:t>.</w:t>
      </w:r>
    </w:p>
    <w:p w14:paraId="00000027" w14:textId="77777777" w:rsidR="00D672E9" w:rsidRDefault="00BD0F2A" w:rsidP="007829E4">
      <w:pPr>
        <w:pStyle w:val="Heading1"/>
      </w:pPr>
      <w:bookmarkStart w:id="14" w:name="_Toc157548609"/>
      <w:r>
        <w:t>Event Operations for "Green Horizons"</w:t>
      </w:r>
      <w:bookmarkEnd w:id="14"/>
    </w:p>
    <w:p w14:paraId="00000028" w14:textId="77777777" w:rsidR="00D672E9" w:rsidRDefault="00BD0F2A" w:rsidP="007829E4">
      <w:pPr>
        <w:pStyle w:val="Heading2"/>
      </w:pPr>
      <w:bookmarkStart w:id="15" w:name="_Toc157548610"/>
      <w:r>
        <w:t>Skills and Resources Required</w:t>
      </w:r>
      <w:bookmarkEnd w:id="15"/>
    </w:p>
    <w:p w14:paraId="62F466B3"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For successful implementation of Green Horizons there should be a functional integration specialized skills and resources in order to ensure that the event does not only preach about sustainable practices but also practice them.</w:t>
      </w:r>
    </w:p>
    <w:p w14:paraId="5514BED6" w14:textId="31BFE6CD"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Sustainable Venue:</w:t>
      </w:r>
      <w:r w:rsidRPr="007829E4">
        <w:rPr>
          <w:rFonts w:ascii="Times New Roman" w:eastAsia="Times New Roman" w:hAnsi="Times New Roman" w:cs="Times New Roman"/>
          <w:sz w:val="24"/>
          <w:szCs w:val="24"/>
        </w:rPr>
        <w:t xml:space="preserve"> The selected venue in Copenhagen is well suited to the specification needs of having eco-friendly facilities, which include energy efficient lighting fixtures, recycling plant for waste and water saving installations</w:t>
      </w:r>
      <w:r w:rsidR="009216DE">
        <w:rPr>
          <w:rFonts w:ascii="Times New Roman" w:eastAsia="Times New Roman" w:hAnsi="Times New Roman" w:cs="Times New Roman"/>
          <w:sz w:val="24"/>
          <w:szCs w:val="24"/>
        </w:rPr>
        <w:t xml:space="preserve"> (</w:t>
      </w:r>
      <w:proofErr w:type="spellStart"/>
      <w:r w:rsidR="00FD1EEE" w:rsidRPr="00FD1EEE">
        <w:rPr>
          <w:rFonts w:ascii="Times New Roman" w:eastAsia="Times New Roman" w:hAnsi="Times New Roman" w:cs="Times New Roman"/>
          <w:sz w:val="24"/>
          <w:szCs w:val="24"/>
        </w:rPr>
        <w:t>Marrucci</w:t>
      </w:r>
      <w:proofErr w:type="spellEnd"/>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2023</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17EA0178" w14:textId="5103556C"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Technology:</w:t>
      </w:r>
      <w:r w:rsidRPr="007829E4">
        <w:rPr>
          <w:rFonts w:ascii="Times New Roman" w:eastAsia="Times New Roman" w:hAnsi="Times New Roman" w:cs="Times New Roman"/>
          <w:sz w:val="24"/>
          <w:szCs w:val="24"/>
        </w:rPr>
        <w:t xml:space="preserve"> Necessary audio-visual tools to ensure sound testimony, modern digital media for Internet-enabled participants in order not only benefits organizing the high-rise event but also save our planet from wasteful carbon footprint and software support of all aspects as mentioned earlier</w:t>
      </w:r>
      <w:r w:rsidR="009216D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Ågren, 2020</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0000002C" w14:textId="305B835A"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Materials:</w:t>
      </w:r>
      <w:r w:rsidRPr="007829E4">
        <w:rPr>
          <w:rFonts w:ascii="Times New Roman" w:eastAsia="Times New Roman" w:hAnsi="Times New Roman" w:cs="Times New Roman"/>
          <w:sz w:val="24"/>
          <w:szCs w:val="24"/>
        </w:rPr>
        <w:t xml:space="preserve"> Waste Management Bio-degradable or recyclable materials for all items used in the event which include badges, signage and promotional material</w:t>
      </w:r>
      <w:r w:rsidR="00BD0F2A">
        <w:rPr>
          <w:rFonts w:ascii="Times New Roman" w:eastAsia="Times New Roman" w:hAnsi="Times New Roman" w:cs="Times New Roman"/>
          <w:sz w:val="24"/>
          <w:szCs w:val="24"/>
        </w:rPr>
        <w:t>.</w:t>
      </w:r>
    </w:p>
    <w:p w14:paraId="2A19A463" w14:textId="6DD38B32" w:rsidR="007829E4" w:rsidRPr="007829E4" w:rsidRDefault="00BD0F2A" w:rsidP="007829E4">
      <w:pPr>
        <w:pStyle w:val="Heading2"/>
      </w:pPr>
      <w:bookmarkStart w:id="16" w:name="_Toc157548611"/>
      <w:r>
        <w:t>Staffing Considerations</w:t>
      </w:r>
      <w:bookmarkEnd w:id="16"/>
    </w:p>
    <w:p w14:paraId="34C445D4"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Event Manager:</w:t>
      </w:r>
      <w:r w:rsidRPr="007829E4">
        <w:rPr>
          <w:rFonts w:ascii="Times New Roman" w:eastAsia="Times New Roman" w:hAnsi="Times New Roman" w:cs="Times New Roman"/>
          <w:sz w:val="24"/>
          <w:szCs w:val="24"/>
        </w:rPr>
        <w:t xml:space="preserve"> Supervising the entire event, checking that all measures are in line with sustainability.</w:t>
      </w:r>
    </w:p>
    <w:p w14:paraId="68B7A404"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lastRenderedPageBreak/>
        <w:t>Sustainability Coordinator:</w:t>
      </w:r>
      <w:r w:rsidRPr="007829E4">
        <w:rPr>
          <w:rFonts w:ascii="Times New Roman" w:eastAsia="Times New Roman" w:hAnsi="Times New Roman" w:cs="Times New Roman"/>
          <w:sz w:val="24"/>
          <w:szCs w:val="24"/>
        </w:rPr>
        <w:t xml:space="preserve"> They are specifically mandated to make sure that all practices during the event conform with environmental stipulations.</w:t>
      </w:r>
    </w:p>
    <w:p w14:paraId="681C0AA9"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Technical Staff:</w:t>
      </w:r>
      <w:r w:rsidRPr="007829E4">
        <w:rPr>
          <w:rFonts w:ascii="Times New Roman" w:eastAsia="Times New Roman" w:hAnsi="Times New Roman" w:cs="Times New Roman"/>
          <w:sz w:val="24"/>
          <w:szCs w:val="24"/>
        </w:rPr>
        <w:t xml:space="preserve"> Technological oversight to be done by experts, thus guaranteeing flawless technology mixing and idling.</w:t>
      </w:r>
    </w:p>
    <w:p w14:paraId="00000032" w14:textId="51708229"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Volunteer Team:</w:t>
      </w:r>
      <w:r w:rsidRPr="007829E4">
        <w:rPr>
          <w:rFonts w:ascii="Times New Roman" w:eastAsia="Times New Roman" w:hAnsi="Times New Roman" w:cs="Times New Roman"/>
          <w:sz w:val="24"/>
          <w:szCs w:val="24"/>
        </w:rPr>
        <w:t xml:space="preserve"> Volunteers to help in different roles such as crowd management, information distribution and running</w:t>
      </w:r>
      <w:r w:rsidR="00BD0F2A">
        <w:rPr>
          <w:rFonts w:ascii="Times New Roman" w:eastAsia="Times New Roman" w:hAnsi="Times New Roman" w:cs="Times New Roman"/>
          <w:sz w:val="24"/>
          <w:szCs w:val="24"/>
        </w:rPr>
        <w:t>.</w:t>
      </w:r>
    </w:p>
    <w:p w14:paraId="00000034" w14:textId="224DC6E6" w:rsidR="00D672E9" w:rsidRDefault="00BD0F2A" w:rsidP="007829E4">
      <w:pPr>
        <w:pStyle w:val="Heading2"/>
      </w:pPr>
      <w:bookmarkStart w:id="17" w:name="_Toc157548612"/>
      <w:r>
        <w:t>Logistical Considerations</w:t>
      </w:r>
      <w:bookmarkEnd w:id="17"/>
    </w:p>
    <w:p w14:paraId="783AA189" w14:textId="69978CCE"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Transport:</w:t>
      </w:r>
      <w:r w:rsidRPr="007829E4">
        <w:rPr>
          <w:rFonts w:ascii="Times New Roman" w:eastAsia="Times New Roman" w:hAnsi="Times New Roman" w:cs="Times New Roman"/>
          <w:sz w:val="24"/>
          <w:szCs w:val="24"/>
        </w:rPr>
        <w:t xml:space="preserve"> Orders for services of institutions that provide ecological local transport to organize buses for participants urge attendees from among the travel resources</w:t>
      </w:r>
      <w:r w:rsidR="009216D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Karner</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and Levine,</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2021</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7C5405F2"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Accommodation:</w:t>
      </w:r>
      <w:r w:rsidRPr="007829E4">
        <w:rPr>
          <w:rFonts w:ascii="Times New Roman" w:eastAsia="Times New Roman" w:hAnsi="Times New Roman" w:cs="Times New Roman"/>
          <w:sz w:val="24"/>
          <w:szCs w:val="24"/>
        </w:rPr>
        <w:t xml:space="preserve"> Joining efforts together with the eco-friendly practicing hotels to ensure that attendees have options of sustainable accommodation.</w:t>
      </w:r>
    </w:p>
    <w:p w14:paraId="3E74FFFD"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Catering:</w:t>
      </w:r>
      <w:r w:rsidRPr="007829E4">
        <w:rPr>
          <w:rFonts w:ascii="Times New Roman" w:eastAsia="Times New Roman" w:hAnsi="Times New Roman" w:cs="Times New Roman"/>
          <w:sz w:val="24"/>
          <w:szCs w:val="24"/>
        </w:rPr>
        <w:t xml:space="preserve"> Working together for preparing food with local area’s caterer companies which believe in pure natural foods and buy only locally made products, will reduce the incoming carbon foot print due to cooking.</w:t>
      </w:r>
    </w:p>
    <w:p w14:paraId="298D561E" w14:textId="00403DB0"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Waste Management:</w:t>
      </w:r>
      <w:r w:rsidRPr="007829E4">
        <w:rPr>
          <w:rFonts w:ascii="Times New Roman" w:eastAsia="Times New Roman" w:hAnsi="Times New Roman" w:cs="Times New Roman"/>
          <w:sz w:val="24"/>
          <w:szCs w:val="24"/>
        </w:rPr>
        <w:t xml:space="preserve"> Introducing an effective system of garbage utilization, such as recycling and composting for reducing influence upon the nature</w:t>
      </w:r>
      <w:r w:rsidR="009216DE">
        <w:rPr>
          <w:rFonts w:ascii="Times New Roman" w:eastAsia="Times New Roman" w:hAnsi="Times New Roman" w:cs="Times New Roman"/>
          <w:sz w:val="24"/>
          <w:szCs w:val="24"/>
        </w:rPr>
        <w:t xml:space="preserve"> (</w:t>
      </w:r>
      <w:proofErr w:type="spellStart"/>
      <w:r w:rsidR="00FD1EEE" w:rsidRPr="00FD1EEE">
        <w:rPr>
          <w:rFonts w:ascii="Times New Roman" w:eastAsia="Times New Roman" w:hAnsi="Times New Roman" w:cs="Times New Roman"/>
          <w:sz w:val="24"/>
          <w:szCs w:val="24"/>
        </w:rPr>
        <w:t>Ayilara</w:t>
      </w:r>
      <w:proofErr w:type="spellEnd"/>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2020</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2E2D8222"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Carbon Offsetting:</w:t>
      </w:r>
      <w:r w:rsidRPr="007829E4">
        <w:rPr>
          <w:rFonts w:ascii="Times New Roman" w:eastAsia="Times New Roman" w:hAnsi="Times New Roman" w:cs="Times New Roman"/>
          <w:sz w:val="24"/>
          <w:szCs w:val="24"/>
        </w:rPr>
        <w:t xml:space="preserve"> Measuring the carbon which will be generated from this event and buying into co2 offset projects, in a bid to have an event with zero net emissions of co2.</w:t>
      </w:r>
    </w:p>
    <w:p w14:paraId="7248B055" w14:textId="4044967B"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As well as to provide opportunities for discussing the aspects of sustainability by concentrating on these operational elements, ‘Green Horizons’ wishes not only be a channel but also how it works in practice. In the process of making each operational decision, practical applications and mitigation approaches to serve as a model in integrating environmental sustainability concerns within hospitality will be visibly considered.</w:t>
      </w:r>
    </w:p>
    <w:p w14:paraId="0000003D" w14:textId="69A1AD87" w:rsidR="00D672E9"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sz w:val="24"/>
          <w:szCs w:val="24"/>
        </w:rPr>
        <w:t>The financial strategy of ‘Green Horizons’ is thoroughly planned so that the solution offered not only meets all sustainability requirements but also turns out to be economically profitable. The total budget is divided into income and expenditure where emphasis laid on the environmental friendly practices that goes in line with the theme of event.</w:t>
      </w:r>
    </w:p>
    <w:p w14:paraId="0000003F" w14:textId="127F3470" w:rsidR="00D672E9" w:rsidRPr="007829E4" w:rsidRDefault="00BD0F2A" w:rsidP="007829E4">
      <w:pPr>
        <w:pStyle w:val="Heading1"/>
      </w:pPr>
      <w:bookmarkStart w:id="18" w:name="_Toc157548613"/>
      <w:r>
        <w:t>Expenditure Breakdown</w:t>
      </w:r>
      <w:bookmarkEnd w:id="18"/>
    </w:p>
    <w:p w14:paraId="1316E92D"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Venue Rental:</w:t>
      </w:r>
      <w:r w:rsidRPr="007829E4">
        <w:rPr>
          <w:rFonts w:ascii="Times New Roman" w:eastAsia="Times New Roman" w:hAnsi="Times New Roman" w:cs="Times New Roman"/>
          <w:sz w:val="24"/>
          <w:szCs w:val="24"/>
        </w:rPr>
        <w:t xml:space="preserve"> Choosing a green location in Copenhagen. Costs include rent payment, utilities that are energy efficient and waste management being classified as green.</w:t>
      </w:r>
    </w:p>
    <w:p w14:paraId="70FC1E9D"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Technology and Equipment:</w:t>
      </w:r>
      <w:r w:rsidRPr="007829E4">
        <w:rPr>
          <w:rFonts w:ascii="Times New Roman" w:eastAsia="Times New Roman" w:hAnsi="Times New Roman" w:cs="Times New Roman"/>
          <w:sz w:val="24"/>
          <w:szCs w:val="24"/>
        </w:rPr>
        <w:t xml:space="preserve"> Spending on good quality energy saving aβ ‑ V- equipment and digital platforms they will used to virtually attend meetings.</w:t>
      </w:r>
    </w:p>
    <w:p w14:paraId="132F60E1"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lastRenderedPageBreak/>
        <w:t>Marketing and Promotion:</w:t>
      </w:r>
      <w:r w:rsidRPr="007829E4">
        <w:rPr>
          <w:rFonts w:ascii="Times New Roman" w:eastAsia="Times New Roman" w:hAnsi="Times New Roman" w:cs="Times New Roman"/>
          <w:sz w:val="24"/>
          <w:szCs w:val="24"/>
        </w:rPr>
        <w:t xml:space="preserve"> The costs involve digital marketing, using their environment-friendly physical promotion advertisement tools and public relations actions.</w:t>
      </w:r>
    </w:p>
    <w:p w14:paraId="1BA44453" w14:textId="33D87143"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Staffing:</w:t>
      </w:r>
      <w:r w:rsidRPr="007829E4">
        <w:rPr>
          <w:rFonts w:ascii="Times New Roman" w:eastAsia="Times New Roman" w:hAnsi="Times New Roman" w:cs="Times New Roman"/>
          <w:sz w:val="24"/>
          <w:szCs w:val="24"/>
        </w:rPr>
        <w:t xml:space="preserve"> The costs include staff payments, such as that of a sustainability coordinator and technical crew, along with administrative personnel</w:t>
      </w:r>
      <w:r w:rsidR="009216D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Crabtree-Ide</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2021</w:t>
      </w:r>
      <w:r w:rsidR="009216DE">
        <w:rPr>
          <w:rFonts w:ascii="Times New Roman" w:eastAsia="Times New Roman" w:hAnsi="Times New Roman" w:cs="Times New Roman"/>
          <w:sz w:val="24"/>
          <w:szCs w:val="24"/>
        </w:rPr>
        <w:t>)</w:t>
      </w:r>
      <w:r w:rsidRPr="007829E4">
        <w:rPr>
          <w:rFonts w:ascii="Times New Roman" w:eastAsia="Times New Roman" w:hAnsi="Times New Roman" w:cs="Times New Roman"/>
          <w:sz w:val="24"/>
          <w:szCs w:val="24"/>
        </w:rPr>
        <w:t>.</w:t>
      </w:r>
    </w:p>
    <w:p w14:paraId="07DDDA8E"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Catering:</w:t>
      </w:r>
      <w:r w:rsidRPr="007829E4">
        <w:rPr>
          <w:rFonts w:ascii="Times New Roman" w:eastAsia="Times New Roman" w:hAnsi="Times New Roman" w:cs="Times New Roman"/>
          <w:sz w:val="24"/>
          <w:szCs w:val="24"/>
        </w:rPr>
        <w:t xml:space="preserve"> Collaborating with organic and sustainable food focused local caterers.</w:t>
      </w:r>
    </w:p>
    <w:p w14:paraId="6516281D" w14:textId="77777777" w:rsidR="007829E4" w:rsidRP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Transportation and Logistics:</w:t>
      </w:r>
      <w:r w:rsidRPr="007829E4">
        <w:rPr>
          <w:rFonts w:ascii="Times New Roman" w:eastAsia="Times New Roman" w:hAnsi="Times New Roman" w:cs="Times New Roman"/>
          <w:sz w:val="24"/>
          <w:szCs w:val="24"/>
        </w:rPr>
        <w:t xml:space="preserve"> Allocating funds on transport that is friendly to the environment when transporting materials and organizers.</w:t>
      </w:r>
    </w:p>
    <w:p w14:paraId="5409AEAE" w14:textId="77777777" w:rsidR="007829E4" w:rsidRDefault="007829E4" w:rsidP="007829E4">
      <w:pPr>
        <w:spacing w:line="360" w:lineRule="auto"/>
        <w:jc w:val="both"/>
        <w:rPr>
          <w:rFonts w:ascii="Times New Roman" w:eastAsia="Times New Roman" w:hAnsi="Times New Roman" w:cs="Times New Roman"/>
          <w:sz w:val="24"/>
          <w:szCs w:val="24"/>
        </w:rPr>
      </w:pPr>
      <w:r w:rsidRPr="007829E4">
        <w:rPr>
          <w:rFonts w:ascii="Times New Roman" w:eastAsia="Times New Roman" w:hAnsi="Times New Roman" w:cs="Times New Roman"/>
          <w:b/>
          <w:bCs/>
          <w:i/>
          <w:iCs/>
          <w:sz w:val="24"/>
          <w:szCs w:val="24"/>
        </w:rPr>
        <w:t>Miscellaneous:</w:t>
      </w:r>
      <w:r w:rsidRPr="007829E4">
        <w:rPr>
          <w:rFonts w:ascii="Times New Roman" w:eastAsia="Times New Roman" w:hAnsi="Times New Roman" w:cs="Times New Roman"/>
          <w:sz w:val="24"/>
          <w:szCs w:val="24"/>
        </w:rPr>
        <w:t xml:space="preserve"> Consists of provision for miscellaneous including insurance and any other cost that the team may incur unexpectedly.</w:t>
      </w:r>
    </w:p>
    <w:p w14:paraId="00000047" w14:textId="6A8A3B16" w:rsidR="00D672E9" w:rsidRDefault="00BD0F2A" w:rsidP="007829E4">
      <w:pPr>
        <w:pStyle w:val="Heading1"/>
      </w:pPr>
      <w:bookmarkStart w:id="19" w:name="_Toc157548614"/>
      <w:r>
        <w:t>Income Sources</w:t>
      </w:r>
      <w:bookmarkEnd w:id="19"/>
    </w:p>
    <w:p w14:paraId="00000049" w14:textId="77777777" w:rsidR="00D672E9" w:rsidRDefault="00BD0F2A">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Ticket Sales:</w:t>
      </w:r>
      <w:r>
        <w:rPr>
          <w:rFonts w:ascii="Times New Roman" w:eastAsia="Times New Roman" w:hAnsi="Times New Roman" w:cs="Times New Roman"/>
          <w:sz w:val="24"/>
          <w:szCs w:val="24"/>
        </w:rPr>
        <w:t xml:space="preserve"> Revenue from ticket sales, with options for physical and virtual attendance.</w:t>
      </w:r>
    </w:p>
    <w:p w14:paraId="0000004A" w14:textId="77777777" w:rsidR="00D672E9" w:rsidRDefault="00BD0F2A">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Sponsorships:</w:t>
      </w:r>
      <w:r>
        <w:rPr>
          <w:rFonts w:ascii="Times New Roman" w:eastAsia="Times New Roman" w:hAnsi="Times New Roman" w:cs="Times New Roman"/>
          <w:sz w:val="24"/>
          <w:szCs w:val="24"/>
        </w:rPr>
        <w:t xml:space="preserve"> Targeting environmentally conscious corporations and local businesses for sponsorships, offering them promotional opportunities in return.</w:t>
      </w:r>
    </w:p>
    <w:p w14:paraId="0000004B" w14:textId="77777777" w:rsidR="00D672E9" w:rsidRDefault="00BD0F2A">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Exhibitor Fees:</w:t>
      </w:r>
      <w:r>
        <w:rPr>
          <w:rFonts w:ascii="Times New Roman" w:eastAsia="Times New Roman" w:hAnsi="Times New Roman" w:cs="Times New Roman"/>
          <w:sz w:val="24"/>
          <w:szCs w:val="24"/>
        </w:rPr>
        <w:t xml:space="preserve"> Charging exhibitors for space in the sustainable exhibition area.</w:t>
      </w:r>
    </w:p>
    <w:p w14:paraId="0000004C" w14:textId="77777777" w:rsidR="00D672E9" w:rsidRDefault="00BD0F2A">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Merchandising:</w:t>
      </w:r>
      <w:r>
        <w:rPr>
          <w:rFonts w:ascii="Times New Roman" w:eastAsia="Times New Roman" w:hAnsi="Times New Roman" w:cs="Times New Roman"/>
          <w:sz w:val="24"/>
          <w:szCs w:val="24"/>
        </w:rPr>
        <w:t xml:space="preserve"> Selling event-themed sustainable merchandise.</w:t>
      </w:r>
    </w:p>
    <w:p w14:paraId="0000004D" w14:textId="77777777" w:rsidR="00D672E9" w:rsidRDefault="00BD0F2A" w:rsidP="009216DE">
      <w:pPr>
        <w:pStyle w:val="Heading1"/>
      </w:pPr>
      <w:bookmarkStart w:id="20" w:name="_Toc157548615"/>
      <w:r>
        <w:t>Revenue Generation Strategies</w:t>
      </w:r>
      <w:bookmarkEnd w:id="20"/>
    </w:p>
    <w:p w14:paraId="4E04C0A4"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Venue Rental:</w:t>
      </w:r>
      <w:r w:rsidRPr="009216DE">
        <w:rPr>
          <w:rFonts w:ascii="Times New Roman" w:eastAsia="Times New Roman" w:hAnsi="Times New Roman" w:cs="Times New Roman"/>
          <w:sz w:val="24"/>
          <w:szCs w:val="24"/>
        </w:rPr>
        <w:t xml:space="preserve"> Opting a venue in Copenhagen that is environmental friendly. The costs include paying for rent, the utilities utilized like those that are energy conserving and waste is also considered to be green.</w:t>
      </w:r>
    </w:p>
    <w:p w14:paraId="275F3C1B" w14:textId="427CD8E8"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Technology and Equipment:</w:t>
      </w:r>
      <w:r w:rsidRPr="009216DE">
        <w:rPr>
          <w:rFonts w:ascii="Times New Roman" w:eastAsia="Times New Roman" w:hAnsi="Times New Roman" w:cs="Times New Roman"/>
          <w:sz w:val="24"/>
          <w:szCs w:val="24"/>
        </w:rPr>
        <w:t xml:space="preserve"> Good-quality energy saving equipment, and the digital platforms they will be using to participate virtually in meetings.</w:t>
      </w:r>
    </w:p>
    <w:p w14:paraId="0B919A33"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Marketing and Promotion:</w:t>
      </w:r>
      <w:r w:rsidRPr="009216DE">
        <w:rPr>
          <w:rFonts w:ascii="Times New Roman" w:eastAsia="Times New Roman" w:hAnsi="Times New Roman" w:cs="Times New Roman"/>
          <w:sz w:val="24"/>
          <w:szCs w:val="24"/>
        </w:rPr>
        <w:t xml:space="preserve"> The costs refer to digital marketing as well using their e-friendly physical promotion advertisement tools and PR actions.</w:t>
      </w:r>
    </w:p>
    <w:p w14:paraId="6BD54774"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 xml:space="preserve">Staffing: </w:t>
      </w:r>
      <w:r w:rsidRPr="009216DE">
        <w:rPr>
          <w:rFonts w:ascii="Times New Roman" w:eastAsia="Times New Roman" w:hAnsi="Times New Roman" w:cs="Times New Roman"/>
          <w:sz w:val="24"/>
          <w:szCs w:val="24"/>
        </w:rPr>
        <w:t>Other costs include wages and salaries of staff especially sustainability coordinator, technicians’ crew as well administrative personnel.</w:t>
      </w:r>
    </w:p>
    <w:p w14:paraId="70231E6E" w14:textId="18E6C024"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Catering:</w:t>
      </w:r>
      <w:r w:rsidRPr="009216DE">
        <w:rPr>
          <w:rFonts w:ascii="Times New Roman" w:eastAsia="Times New Roman" w:hAnsi="Times New Roman" w:cs="Times New Roman"/>
          <w:sz w:val="24"/>
          <w:szCs w:val="24"/>
        </w:rPr>
        <w:t xml:space="preserve"> Working together with locally based caterers, who tend to be more focused on organic and sustainable food</w:t>
      </w:r>
      <w:r>
        <w:rPr>
          <w:rFonts w:ascii="Times New Roman" w:eastAsia="Times New Roman" w:hAnsi="Times New Roman" w:cs="Times New Roman"/>
          <w:sz w:val="24"/>
          <w:szCs w:val="24"/>
        </w:rPr>
        <w:t xml:space="preserve"> (</w:t>
      </w:r>
      <w:proofErr w:type="spellStart"/>
      <w:r w:rsidR="00FD1EEE" w:rsidRPr="00FD1EEE">
        <w:rPr>
          <w:rFonts w:ascii="Times New Roman" w:eastAsia="Times New Roman" w:hAnsi="Times New Roman" w:cs="Times New Roman"/>
          <w:sz w:val="24"/>
          <w:szCs w:val="24"/>
        </w:rPr>
        <w:t>Tregear</w:t>
      </w:r>
      <w:proofErr w:type="spellEnd"/>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w:t>
      </w:r>
      <w:r w:rsidRPr="009216DE">
        <w:rPr>
          <w:rFonts w:ascii="Times New Roman" w:eastAsia="Times New Roman" w:hAnsi="Times New Roman" w:cs="Times New Roman"/>
          <w:sz w:val="24"/>
          <w:szCs w:val="24"/>
        </w:rPr>
        <w:t>.</w:t>
      </w:r>
    </w:p>
    <w:p w14:paraId="0E535461"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Transportation and Logistics:</w:t>
      </w:r>
      <w:r w:rsidRPr="009216DE">
        <w:rPr>
          <w:rFonts w:ascii="Times New Roman" w:eastAsia="Times New Roman" w:hAnsi="Times New Roman" w:cs="Times New Roman"/>
          <w:sz w:val="24"/>
          <w:szCs w:val="24"/>
        </w:rPr>
        <w:t xml:space="preserve"> Budgeting for eco-friendly means of transportation while moving products and planners around.</w:t>
      </w:r>
    </w:p>
    <w:p w14:paraId="0000004E" w14:textId="2DD8CECD" w:rsidR="00D672E9"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Miscellaneous:</w:t>
      </w:r>
      <w:r w:rsidRPr="009216DE">
        <w:rPr>
          <w:rFonts w:ascii="Times New Roman" w:eastAsia="Times New Roman" w:hAnsi="Times New Roman" w:cs="Times New Roman"/>
          <w:sz w:val="24"/>
          <w:szCs w:val="24"/>
        </w:rPr>
        <w:t xml:space="preserve"> Includes provision for other such as insurance and sundries which are unforeseen expenses that the team may incur.</w:t>
      </w:r>
    </w:p>
    <w:p w14:paraId="24592221"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Early Bird Pricing:</w:t>
      </w:r>
      <w:r w:rsidRPr="009216DE">
        <w:rPr>
          <w:rFonts w:ascii="Times New Roman" w:eastAsia="Times New Roman" w:hAnsi="Times New Roman" w:cs="Times New Roman"/>
          <w:sz w:val="24"/>
          <w:szCs w:val="24"/>
        </w:rPr>
        <w:t xml:space="preserve"> Providing early bird fees to help obtain the initial registrations.</w:t>
      </w:r>
    </w:p>
    <w:p w14:paraId="0A7F0D54"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lastRenderedPageBreak/>
        <w:t>Tiered Sponsorship Packages: Developing various levels of sponsorship to appeal a broader range of sponsors.</w:t>
      </w:r>
    </w:p>
    <w:p w14:paraId="472F11FA"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Virtual Attendance Fees:</w:t>
      </w:r>
      <w:r w:rsidRPr="009216DE">
        <w:rPr>
          <w:rFonts w:ascii="Times New Roman" w:eastAsia="Times New Roman" w:hAnsi="Times New Roman" w:cs="Times New Roman"/>
          <w:sz w:val="24"/>
          <w:szCs w:val="24"/>
        </w:rPr>
        <w:t xml:space="preserve"> Charging virtual participants, which will also increase the number of attendees and income.</w:t>
      </w:r>
    </w:p>
    <w:p w14:paraId="73D18214"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Dynamic Pricing for Exhibitors:</w:t>
      </w:r>
      <w:r w:rsidRPr="009216DE">
        <w:rPr>
          <w:rFonts w:ascii="Times New Roman" w:eastAsia="Times New Roman" w:hAnsi="Times New Roman" w:cs="Times New Roman"/>
          <w:sz w:val="24"/>
          <w:szCs w:val="24"/>
        </w:rPr>
        <w:t xml:space="preserve"> There should be pricing by the location and size of exhibition space to harness as much ticket revenue from these exhibitors.</w:t>
      </w:r>
    </w:p>
    <w:p w14:paraId="00000053" w14:textId="3F4E365E" w:rsidR="00D672E9"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The budget of the project ‘Green Horizons’ should not only target full reimbursement but also create a margin that could be directed either toward further eco-events or used for ecology purposes. All financial choices and decisions are made with sustainability at their core, guaranteeing that the event stays true to its mission while being financially sound</w:t>
      </w:r>
      <w:r w:rsidR="00BD0F2A">
        <w:rPr>
          <w:rFonts w:ascii="Times New Roman" w:eastAsia="Times New Roman" w:hAnsi="Times New Roman" w:cs="Times New Roman"/>
          <w:sz w:val="24"/>
          <w:szCs w:val="24"/>
        </w:rPr>
        <w:t>.</w:t>
      </w:r>
    </w:p>
    <w:p w14:paraId="00000054" w14:textId="77777777" w:rsidR="00D672E9" w:rsidRDefault="00BD0F2A" w:rsidP="009216DE">
      <w:pPr>
        <w:pStyle w:val="Heading1"/>
      </w:pPr>
      <w:bookmarkStart w:id="21" w:name="_Toc157548616"/>
      <w:r>
        <w:t>Industry Trends/Impacts</w:t>
      </w:r>
      <w:bookmarkEnd w:id="21"/>
    </w:p>
    <w:p w14:paraId="55FBA353" w14:textId="4B41AD23" w:rsidR="009216DE" w:rsidRPr="009216DE" w:rsidRDefault="00BD0F2A" w:rsidP="009216DE">
      <w:pPr>
        <w:pStyle w:val="Heading2"/>
      </w:pPr>
      <w:bookmarkStart w:id="22" w:name="_Toc157548617"/>
      <w:r>
        <w:t>Current Trends in the Meetings/Events Industry</w:t>
      </w:r>
      <w:bookmarkEnd w:id="22"/>
    </w:p>
    <w:p w14:paraId="31B577B4" w14:textId="149BC7D8"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Sustainability Focus:</w:t>
      </w:r>
      <w:r w:rsidRPr="009216DE">
        <w:rPr>
          <w:rFonts w:ascii="Times New Roman" w:eastAsia="Times New Roman" w:hAnsi="Times New Roman" w:cs="Times New Roman"/>
          <w:sz w:val="24"/>
          <w:szCs w:val="24"/>
        </w:rPr>
        <w:t xml:space="preserve"> There’s an emerging trend where events are becoming more environ conscious, and the adoption of environmental friendly practices is evident.</w:t>
      </w:r>
    </w:p>
    <w:p w14:paraId="19BDF1FC" w14:textId="69CC747B"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Technological Integration:</w:t>
      </w:r>
      <w:r w:rsidRPr="009216DE">
        <w:rPr>
          <w:rFonts w:ascii="Times New Roman" w:eastAsia="Times New Roman" w:hAnsi="Times New Roman" w:cs="Times New Roman"/>
          <w:sz w:val="24"/>
          <w:szCs w:val="24"/>
        </w:rPr>
        <w:t xml:space="preserve"> Advanced technology is increasingly being utilized to make attendees have better experiences with the respective organizations and those employed by them work in an organized manner</w:t>
      </w:r>
      <w:r>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Zizic</w:t>
      </w:r>
      <w:r w:rsidR="00FD1EEE">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i/>
          <w:iCs/>
          <w:sz w:val="24"/>
          <w:szCs w:val="24"/>
        </w:rPr>
        <w:t>et al.,</w:t>
      </w:r>
      <w:r w:rsidR="00FD1EEE">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w:t>
      </w:r>
      <w:r w:rsidRPr="009216DE">
        <w:rPr>
          <w:rFonts w:ascii="Times New Roman" w:eastAsia="Times New Roman" w:hAnsi="Times New Roman" w:cs="Times New Roman"/>
          <w:sz w:val="24"/>
          <w:szCs w:val="24"/>
        </w:rPr>
        <w:t>.</w:t>
      </w:r>
    </w:p>
    <w:p w14:paraId="26F90FDD"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Hybrid Events:</w:t>
      </w:r>
      <w:r w:rsidRPr="009216DE">
        <w:rPr>
          <w:rFonts w:ascii="Times New Roman" w:eastAsia="Times New Roman" w:hAnsi="Times New Roman" w:cs="Times New Roman"/>
          <w:sz w:val="24"/>
          <w:szCs w:val="24"/>
        </w:rPr>
        <w:t xml:space="preserve"> By using a mix of both physical and virtual, such an event gives itself to the larger audience as well as flexibility.</w:t>
      </w:r>
    </w:p>
    <w:p w14:paraId="3BE2576B"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Personalization:</w:t>
      </w:r>
      <w:r w:rsidRPr="009216DE">
        <w:rPr>
          <w:rFonts w:ascii="Times New Roman" w:eastAsia="Times New Roman" w:hAnsi="Times New Roman" w:cs="Times New Roman"/>
          <w:sz w:val="24"/>
          <w:szCs w:val="24"/>
        </w:rPr>
        <w:t xml:space="preserve"> Customizing experiences in line with specific preferences is gradually becoming an essential element of achieving a high level of attendee engagement.</w:t>
      </w:r>
    </w:p>
    <w:p w14:paraId="75407E4E"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Safety and Health Protocols: After the pandemic, there is an increased focus on health and safety standards in managing events.</w:t>
      </w:r>
    </w:p>
    <w:p w14:paraId="4D43EE0C" w14:textId="374E602B" w:rsidR="009216DE" w:rsidRPr="009216DE" w:rsidRDefault="009216DE" w:rsidP="009216DE">
      <w:pPr>
        <w:pStyle w:val="Heading2"/>
      </w:pPr>
      <w:bookmarkStart w:id="23" w:name="_Toc157548618"/>
      <w:r w:rsidRPr="009216DE">
        <w:t>Impact on "Green Horizons"</w:t>
      </w:r>
      <w:bookmarkEnd w:id="23"/>
    </w:p>
    <w:p w14:paraId="42102185"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Sustainability:</w:t>
      </w:r>
      <w:r w:rsidRPr="009216DE">
        <w:rPr>
          <w:rFonts w:ascii="Times New Roman" w:eastAsia="Times New Roman" w:hAnsi="Times New Roman" w:cs="Times New Roman"/>
          <w:sz w:val="24"/>
          <w:szCs w:val="24"/>
        </w:rPr>
        <w:t xml:space="preserve"> The match of the mentioned observations is this study with those patterns addressed to become a guideline for setting not only high but universal standards in organizing environmentally friendly event activities, “Green Horizons”.</w:t>
      </w:r>
    </w:p>
    <w:p w14:paraId="7FE2B903"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Technology:</w:t>
      </w:r>
      <w:r w:rsidRPr="009216DE">
        <w:rPr>
          <w:rFonts w:ascii="Times New Roman" w:eastAsia="Times New Roman" w:hAnsi="Times New Roman" w:cs="Times New Roman"/>
          <w:sz w:val="24"/>
          <w:szCs w:val="24"/>
        </w:rPr>
        <w:t xml:space="preserve"> Gives a chance to present the advanced sustainable technologies, thus improving not only operational effectiveness but also attendees’ involvement.</w:t>
      </w:r>
    </w:p>
    <w:p w14:paraId="37E0B628"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Hybrid Model:</w:t>
      </w:r>
      <w:r w:rsidRPr="009216DE">
        <w:rPr>
          <w:rFonts w:ascii="Times New Roman" w:eastAsia="Times New Roman" w:hAnsi="Times New Roman" w:cs="Times New Roman"/>
          <w:sz w:val="24"/>
          <w:szCs w:val="24"/>
        </w:rPr>
        <w:t xml:space="preserve"> This is in line with the goal of increasing audience and reducing carbon emissions by this event.</w:t>
      </w:r>
    </w:p>
    <w:p w14:paraId="42B8DEFE"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lastRenderedPageBreak/>
        <w:t>Personalization:</w:t>
      </w:r>
      <w:r w:rsidRPr="009216DE">
        <w:rPr>
          <w:rFonts w:ascii="Times New Roman" w:eastAsia="Times New Roman" w:hAnsi="Times New Roman" w:cs="Times New Roman"/>
          <w:sz w:val="24"/>
          <w:szCs w:val="24"/>
        </w:rPr>
        <w:t xml:space="preserve"> Can help improve quality of services delivered to the attendees thereby making them come up with memorable events, therefore “Green Horizons” is not just informative but also provides meaningful inferences.</w:t>
      </w:r>
    </w:p>
    <w:p w14:paraId="6784BDF2" w14:textId="77777777" w:rsid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b/>
          <w:bCs/>
          <w:i/>
          <w:iCs/>
          <w:sz w:val="24"/>
          <w:szCs w:val="24"/>
        </w:rPr>
        <w:t>Health Protocols:</w:t>
      </w:r>
      <w:r w:rsidRPr="009216DE">
        <w:rPr>
          <w:rFonts w:ascii="Times New Roman" w:eastAsia="Times New Roman" w:hAnsi="Times New Roman" w:cs="Times New Roman"/>
          <w:sz w:val="24"/>
          <w:szCs w:val="24"/>
        </w:rPr>
        <w:t xml:space="preserve"> Necessary for conferring sense of security on participants and compliance with modern safety standards.</w:t>
      </w:r>
    </w:p>
    <w:p w14:paraId="00000065" w14:textId="49373F50" w:rsidR="00D672E9" w:rsidRDefault="00BD0F2A" w:rsidP="009216DE">
      <w:pPr>
        <w:pStyle w:val="Heading1"/>
      </w:pPr>
      <w:bookmarkStart w:id="24" w:name="_Toc157548619"/>
      <w:r>
        <w:t>Cultural and Situational Considerations</w:t>
      </w:r>
      <w:bookmarkEnd w:id="24"/>
    </w:p>
    <w:p w14:paraId="2D90B712" w14:textId="610C39C9" w:rsidR="009216DE" w:rsidRPr="009216DE" w:rsidRDefault="009216DE" w:rsidP="009216DE">
      <w:pPr>
        <w:pStyle w:val="Heading2"/>
      </w:pPr>
      <w:bookmarkStart w:id="25" w:name="_Toc157548620"/>
      <w:r w:rsidRPr="009216DE">
        <w:t>Relevance to "Green Horizons"</w:t>
      </w:r>
      <w:bookmarkEnd w:id="25"/>
    </w:p>
    <w:p w14:paraId="23CBF89F"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Cultural Diversity of Attendees: The inclusiveness of people using different languages and approaching things differently is important because once this type of event hosts an international crowd, language becomes more relevant.</w:t>
      </w:r>
    </w:p>
    <w:p w14:paraId="630D9F63"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Local Culture and Practices: The integration of the Danish culture and sustainable practices will help to increase authenticity and attractiveness of the event.</w:t>
      </w:r>
    </w:p>
    <w:p w14:paraId="1CA87893"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Global Environmental Consciousness: With the increasing global consciousness and sensitivity about environmental matters, this makes “Green Horizons” timely.</w:t>
      </w:r>
    </w:p>
    <w:p w14:paraId="0BB8A033" w14:textId="2D11C5B0" w:rsidR="009216DE" w:rsidRPr="009216DE" w:rsidRDefault="009216DE" w:rsidP="009216DE">
      <w:pPr>
        <w:pStyle w:val="Heading2"/>
      </w:pPr>
      <w:bookmarkStart w:id="26" w:name="_Toc157548621"/>
      <w:r w:rsidRPr="009216DE">
        <w:t>Importance in Event Planning</w:t>
      </w:r>
      <w:bookmarkEnd w:id="26"/>
    </w:p>
    <w:p w14:paraId="44E6893D"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Cultural Sensitivity: Creates an environment more inviting to all participants, thus giving room for improved networking and sharing of information.</w:t>
      </w:r>
    </w:p>
    <w:p w14:paraId="5B2BB24A" w14:textId="2BE7849E"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Local Engagement: Local scene and businesses can add value to these events as far as event experience is concerned, this therefore help in making local economics grow</w:t>
      </w:r>
      <w:r>
        <w:rPr>
          <w:rFonts w:ascii="Times New Roman" w:eastAsia="Times New Roman" w:hAnsi="Times New Roman" w:cs="Times New Roman"/>
          <w:sz w:val="24"/>
          <w:szCs w:val="24"/>
        </w:rPr>
        <w:t xml:space="preserve"> (</w:t>
      </w:r>
      <w:r w:rsidR="00FD1EEE" w:rsidRPr="00FD1EEE">
        <w:rPr>
          <w:rFonts w:ascii="Times New Roman" w:eastAsia="Times New Roman" w:hAnsi="Times New Roman" w:cs="Times New Roman"/>
          <w:sz w:val="24"/>
          <w:szCs w:val="24"/>
        </w:rPr>
        <w:t>Mair and Smith, 2022</w:t>
      </w:r>
      <w:r>
        <w:rPr>
          <w:rFonts w:ascii="Times New Roman" w:eastAsia="Times New Roman" w:hAnsi="Times New Roman" w:cs="Times New Roman"/>
          <w:sz w:val="24"/>
          <w:szCs w:val="24"/>
        </w:rPr>
        <w:t>)</w:t>
      </w:r>
      <w:r w:rsidRPr="009216DE">
        <w:rPr>
          <w:rFonts w:ascii="Times New Roman" w:eastAsia="Times New Roman" w:hAnsi="Times New Roman" w:cs="Times New Roman"/>
          <w:sz w:val="24"/>
          <w:szCs w:val="24"/>
        </w:rPr>
        <w:t>.</w:t>
      </w:r>
    </w:p>
    <w:p w14:paraId="3663A583" w14:textId="77777777" w:rsidR="009216DE" w:rsidRP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Responsiveness to Global Issues: Proves event’s dedication to the global problems solution, increasing its credibility and influence.</w:t>
      </w:r>
    </w:p>
    <w:p w14:paraId="00000071" w14:textId="3C792161" w:rsidR="009216DE" w:rsidRDefault="009216DE" w:rsidP="009216D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All of these aspects have an important significance in the planning and implementation process for ‘Green Horizons’ so that even though it is successful with respect to attendance, engagement but also resonates well its impacts on the industry as well as society.</w:t>
      </w:r>
    </w:p>
    <w:p w14:paraId="0E024AA7" w14:textId="77777777" w:rsidR="009216DE" w:rsidRDefault="009216D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4AD03D7" w14:textId="65762AAD" w:rsidR="00D672E9" w:rsidRDefault="009216DE" w:rsidP="009216DE">
      <w:pPr>
        <w:pStyle w:val="Heading1"/>
      </w:pPr>
      <w:bookmarkStart w:id="27" w:name="_Toc157548622"/>
      <w:r>
        <w:lastRenderedPageBreak/>
        <w:t>Reference List</w:t>
      </w:r>
      <w:bookmarkEnd w:id="27"/>
    </w:p>
    <w:p w14:paraId="66BD07E9" w14:textId="6536C992"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Ågren, K.A., </w:t>
      </w:r>
      <w:r>
        <w:rPr>
          <w:rFonts w:ascii="Times New Roman" w:eastAsia="Times New Roman" w:hAnsi="Times New Roman" w:cs="Times New Roman"/>
          <w:sz w:val="24"/>
          <w:szCs w:val="24"/>
        </w:rPr>
        <w:t>(2020).</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Internet use and digital participation in everyday life: Adolescents and young adults with intellectual disabilities</w:t>
      </w:r>
      <w:r w:rsidRPr="00FD1EEE">
        <w:rPr>
          <w:rFonts w:ascii="Times New Roman" w:eastAsia="Times New Roman" w:hAnsi="Times New Roman" w:cs="Times New Roman"/>
          <w:sz w:val="24"/>
          <w:szCs w:val="24"/>
        </w:rPr>
        <w:t> (Vol. 1734). Linköping University Electronic Press.</w:t>
      </w:r>
    </w:p>
    <w:p w14:paraId="7CE56D14" w14:textId="6439E232" w:rsidR="00FD1EEE" w:rsidRDefault="00FD1EEE">
      <w:pPr>
        <w:spacing w:line="360" w:lineRule="auto"/>
        <w:jc w:val="both"/>
        <w:rPr>
          <w:rFonts w:ascii="Times New Roman" w:eastAsia="Times New Roman" w:hAnsi="Times New Roman" w:cs="Times New Roman"/>
          <w:sz w:val="24"/>
          <w:szCs w:val="24"/>
        </w:rPr>
      </w:pPr>
      <w:proofErr w:type="spellStart"/>
      <w:r w:rsidRPr="00FD1EEE">
        <w:rPr>
          <w:rFonts w:ascii="Times New Roman" w:eastAsia="Times New Roman" w:hAnsi="Times New Roman" w:cs="Times New Roman"/>
          <w:sz w:val="24"/>
          <w:szCs w:val="24"/>
        </w:rPr>
        <w:t>Ayilara</w:t>
      </w:r>
      <w:proofErr w:type="spellEnd"/>
      <w:r w:rsidRPr="00FD1EEE">
        <w:rPr>
          <w:rFonts w:ascii="Times New Roman" w:eastAsia="Times New Roman" w:hAnsi="Times New Roman" w:cs="Times New Roman"/>
          <w:sz w:val="24"/>
          <w:szCs w:val="24"/>
        </w:rPr>
        <w:t xml:space="preserve">, M.S., </w:t>
      </w:r>
      <w:proofErr w:type="spellStart"/>
      <w:r w:rsidRPr="00FD1EEE">
        <w:rPr>
          <w:rFonts w:ascii="Times New Roman" w:eastAsia="Times New Roman" w:hAnsi="Times New Roman" w:cs="Times New Roman"/>
          <w:sz w:val="24"/>
          <w:szCs w:val="24"/>
        </w:rPr>
        <w:t>Olanrewaju</w:t>
      </w:r>
      <w:proofErr w:type="spellEnd"/>
      <w:r w:rsidRPr="00FD1EEE">
        <w:rPr>
          <w:rFonts w:ascii="Times New Roman" w:eastAsia="Times New Roman" w:hAnsi="Times New Roman" w:cs="Times New Roman"/>
          <w:sz w:val="24"/>
          <w:szCs w:val="24"/>
        </w:rPr>
        <w:t xml:space="preserve">, O.S., Babalola, O.O. and Odeyemi, O., </w:t>
      </w:r>
      <w:r>
        <w:rPr>
          <w:rFonts w:ascii="Times New Roman" w:eastAsia="Times New Roman" w:hAnsi="Times New Roman" w:cs="Times New Roman"/>
          <w:sz w:val="24"/>
          <w:szCs w:val="24"/>
        </w:rPr>
        <w:t>(2020).</w:t>
      </w:r>
      <w:r w:rsidRPr="00FD1EEE">
        <w:rPr>
          <w:rFonts w:ascii="Times New Roman" w:eastAsia="Times New Roman" w:hAnsi="Times New Roman" w:cs="Times New Roman"/>
          <w:sz w:val="24"/>
          <w:szCs w:val="24"/>
        </w:rPr>
        <w:t xml:space="preserve"> Waste management through composting: Challenges and potentials. </w:t>
      </w:r>
      <w:r w:rsidRPr="00FD1EEE">
        <w:rPr>
          <w:rFonts w:ascii="Times New Roman" w:eastAsia="Times New Roman" w:hAnsi="Times New Roman" w:cs="Times New Roman"/>
          <w:i/>
          <w:iCs/>
          <w:sz w:val="24"/>
          <w:szCs w:val="24"/>
        </w:rPr>
        <w:t>Sustainability</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12</w:t>
      </w:r>
      <w:r w:rsidRPr="00FD1EEE">
        <w:rPr>
          <w:rFonts w:ascii="Times New Roman" w:eastAsia="Times New Roman" w:hAnsi="Times New Roman" w:cs="Times New Roman"/>
          <w:sz w:val="24"/>
          <w:szCs w:val="24"/>
        </w:rPr>
        <w:t>(11), p.4456.</w:t>
      </w:r>
    </w:p>
    <w:p w14:paraId="089686A4" w14:textId="01BF562C"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Crabtree-Ide, C., </w:t>
      </w:r>
      <w:proofErr w:type="spellStart"/>
      <w:r w:rsidRPr="00FD1EEE">
        <w:rPr>
          <w:rFonts w:ascii="Times New Roman" w:eastAsia="Times New Roman" w:hAnsi="Times New Roman" w:cs="Times New Roman"/>
          <w:sz w:val="24"/>
          <w:szCs w:val="24"/>
        </w:rPr>
        <w:t>Lillvis</w:t>
      </w:r>
      <w:proofErr w:type="spellEnd"/>
      <w:r w:rsidRPr="00FD1EEE">
        <w:rPr>
          <w:rFonts w:ascii="Times New Roman" w:eastAsia="Times New Roman" w:hAnsi="Times New Roman" w:cs="Times New Roman"/>
          <w:sz w:val="24"/>
          <w:szCs w:val="24"/>
        </w:rPr>
        <w:t xml:space="preserve">, D.F., </w:t>
      </w:r>
      <w:proofErr w:type="spellStart"/>
      <w:r w:rsidRPr="00FD1EEE">
        <w:rPr>
          <w:rFonts w:ascii="Times New Roman" w:eastAsia="Times New Roman" w:hAnsi="Times New Roman" w:cs="Times New Roman"/>
          <w:sz w:val="24"/>
          <w:szCs w:val="24"/>
        </w:rPr>
        <w:t>Nie</w:t>
      </w:r>
      <w:proofErr w:type="spellEnd"/>
      <w:r w:rsidRPr="00FD1EEE">
        <w:rPr>
          <w:rFonts w:ascii="Times New Roman" w:eastAsia="Times New Roman" w:hAnsi="Times New Roman" w:cs="Times New Roman"/>
          <w:sz w:val="24"/>
          <w:szCs w:val="24"/>
        </w:rPr>
        <w:t xml:space="preserve">, J., Fagnano, M., Tajon, R.S., Tremblay, P., Halterman, J.S. and Noyes, K., </w:t>
      </w:r>
      <w:r>
        <w:rPr>
          <w:rFonts w:ascii="Times New Roman" w:eastAsia="Times New Roman" w:hAnsi="Times New Roman" w:cs="Times New Roman"/>
          <w:sz w:val="24"/>
          <w:szCs w:val="24"/>
        </w:rPr>
        <w:t>(2021).</w:t>
      </w:r>
      <w:r w:rsidRPr="00FD1EEE">
        <w:rPr>
          <w:rFonts w:ascii="Times New Roman" w:eastAsia="Times New Roman" w:hAnsi="Times New Roman" w:cs="Times New Roman"/>
          <w:sz w:val="24"/>
          <w:szCs w:val="24"/>
        </w:rPr>
        <w:t xml:space="preserve"> Evaluating the financial sustainability of the school-based telemedicine asthma management program. </w:t>
      </w:r>
      <w:r w:rsidRPr="00FD1EEE">
        <w:rPr>
          <w:rFonts w:ascii="Times New Roman" w:eastAsia="Times New Roman" w:hAnsi="Times New Roman" w:cs="Times New Roman"/>
          <w:i/>
          <w:iCs/>
          <w:sz w:val="24"/>
          <w:szCs w:val="24"/>
        </w:rPr>
        <w:t>Population Health Management</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24</w:t>
      </w:r>
      <w:r w:rsidRPr="00FD1EEE">
        <w:rPr>
          <w:rFonts w:ascii="Times New Roman" w:eastAsia="Times New Roman" w:hAnsi="Times New Roman" w:cs="Times New Roman"/>
          <w:sz w:val="24"/>
          <w:szCs w:val="24"/>
        </w:rPr>
        <w:t>(6), pp.664-674.</w:t>
      </w:r>
    </w:p>
    <w:p w14:paraId="11B7E420" w14:textId="04B5E08B" w:rsidR="00FD1EEE" w:rsidRDefault="00FD1EEE">
      <w:pPr>
        <w:spacing w:line="360" w:lineRule="auto"/>
        <w:jc w:val="both"/>
        <w:rPr>
          <w:rFonts w:ascii="Times New Roman" w:eastAsia="Times New Roman" w:hAnsi="Times New Roman" w:cs="Times New Roman"/>
          <w:sz w:val="24"/>
          <w:szCs w:val="24"/>
        </w:rPr>
      </w:pPr>
      <w:r w:rsidRPr="009216DE">
        <w:rPr>
          <w:rFonts w:ascii="Times New Roman" w:eastAsia="Times New Roman" w:hAnsi="Times New Roman" w:cs="Times New Roman"/>
          <w:sz w:val="24"/>
          <w:szCs w:val="24"/>
        </w:rPr>
        <w:t xml:space="preserve">Gulak-Lipka, P.A.T.R.Y.C.J.A. and Jagielski, M.I.C.H.A.Ł., </w:t>
      </w:r>
      <w:r>
        <w:rPr>
          <w:rFonts w:ascii="Times New Roman" w:eastAsia="Times New Roman" w:hAnsi="Times New Roman" w:cs="Times New Roman"/>
          <w:sz w:val="24"/>
          <w:szCs w:val="24"/>
        </w:rPr>
        <w:t>(2020).</w:t>
      </w:r>
      <w:r w:rsidRPr="009216DE">
        <w:rPr>
          <w:rFonts w:ascii="Times New Roman" w:eastAsia="Times New Roman" w:hAnsi="Times New Roman" w:cs="Times New Roman"/>
          <w:sz w:val="24"/>
          <w:szCs w:val="24"/>
        </w:rPr>
        <w:t xml:space="preserve"> Incorporating sustainability into mega-event management as means of providing economic, social and environmental legacy: a comparative analysis. </w:t>
      </w:r>
      <w:r w:rsidRPr="009216DE">
        <w:rPr>
          <w:rFonts w:ascii="Times New Roman" w:eastAsia="Times New Roman" w:hAnsi="Times New Roman" w:cs="Times New Roman"/>
          <w:i/>
          <w:iCs/>
          <w:sz w:val="24"/>
          <w:szCs w:val="24"/>
        </w:rPr>
        <w:t>Journal of Physical Education and Sport</w:t>
      </w:r>
      <w:r w:rsidRPr="009216DE">
        <w:rPr>
          <w:rFonts w:ascii="Times New Roman" w:eastAsia="Times New Roman" w:hAnsi="Times New Roman" w:cs="Times New Roman"/>
          <w:sz w:val="24"/>
          <w:szCs w:val="24"/>
        </w:rPr>
        <w:t>, </w:t>
      </w:r>
      <w:r w:rsidRPr="009216DE">
        <w:rPr>
          <w:rFonts w:ascii="Times New Roman" w:eastAsia="Times New Roman" w:hAnsi="Times New Roman" w:cs="Times New Roman"/>
          <w:i/>
          <w:iCs/>
          <w:sz w:val="24"/>
          <w:szCs w:val="24"/>
        </w:rPr>
        <w:t>20</w:t>
      </w:r>
      <w:r w:rsidRPr="009216DE">
        <w:rPr>
          <w:rFonts w:ascii="Times New Roman" w:eastAsia="Times New Roman" w:hAnsi="Times New Roman" w:cs="Times New Roman"/>
          <w:sz w:val="24"/>
          <w:szCs w:val="24"/>
        </w:rPr>
        <w:t>(5), pp.2859-2866.</w:t>
      </w:r>
    </w:p>
    <w:p w14:paraId="56B748FC" w14:textId="172CBCDF"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Karner, A. and Levine, K., </w:t>
      </w:r>
      <w:r>
        <w:rPr>
          <w:rFonts w:ascii="Times New Roman" w:eastAsia="Times New Roman" w:hAnsi="Times New Roman" w:cs="Times New Roman"/>
          <w:sz w:val="24"/>
          <w:szCs w:val="24"/>
        </w:rPr>
        <w:t>(2021).</w:t>
      </w:r>
      <w:r w:rsidRPr="00FD1EEE">
        <w:rPr>
          <w:rFonts w:ascii="Times New Roman" w:eastAsia="Times New Roman" w:hAnsi="Times New Roman" w:cs="Times New Roman"/>
          <w:sz w:val="24"/>
          <w:szCs w:val="24"/>
        </w:rPr>
        <w:t xml:space="preserve"> Equity-Advancing Practices at Public Transit Agencies in the United States. </w:t>
      </w:r>
      <w:r w:rsidRPr="00FD1EEE">
        <w:rPr>
          <w:rFonts w:ascii="Times New Roman" w:eastAsia="Times New Roman" w:hAnsi="Times New Roman" w:cs="Times New Roman"/>
          <w:i/>
          <w:iCs/>
          <w:sz w:val="24"/>
          <w:szCs w:val="24"/>
        </w:rPr>
        <w:t>Transportation Research Record</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2675</w:t>
      </w:r>
      <w:r w:rsidRPr="00FD1EEE">
        <w:rPr>
          <w:rFonts w:ascii="Times New Roman" w:eastAsia="Times New Roman" w:hAnsi="Times New Roman" w:cs="Times New Roman"/>
          <w:sz w:val="24"/>
          <w:szCs w:val="24"/>
        </w:rPr>
        <w:t>(10), pp.1431-1441.</w:t>
      </w:r>
    </w:p>
    <w:p w14:paraId="5077CF93" w14:textId="5298D40D"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Mair, J. and Smith, A., </w:t>
      </w:r>
      <w:r>
        <w:rPr>
          <w:rFonts w:ascii="Times New Roman" w:eastAsia="Times New Roman" w:hAnsi="Times New Roman" w:cs="Times New Roman"/>
          <w:sz w:val="24"/>
          <w:szCs w:val="24"/>
        </w:rPr>
        <w:t>(2022).</w:t>
      </w:r>
      <w:r w:rsidRPr="00FD1EEE">
        <w:rPr>
          <w:rFonts w:ascii="Times New Roman" w:eastAsia="Times New Roman" w:hAnsi="Times New Roman" w:cs="Times New Roman"/>
          <w:sz w:val="24"/>
          <w:szCs w:val="24"/>
        </w:rPr>
        <w:t xml:space="preserve"> Events and sustainability: Why making events more sustainable is not enough. In </w:t>
      </w:r>
      <w:r w:rsidRPr="00FD1EEE">
        <w:rPr>
          <w:rFonts w:ascii="Times New Roman" w:eastAsia="Times New Roman" w:hAnsi="Times New Roman" w:cs="Times New Roman"/>
          <w:i/>
          <w:iCs/>
          <w:sz w:val="24"/>
          <w:szCs w:val="24"/>
        </w:rPr>
        <w:t>Events and sustainability</w:t>
      </w:r>
      <w:r w:rsidRPr="00FD1EEE">
        <w:rPr>
          <w:rFonts w:ascii="Times New Roman" w:eastAsia="Times New Roman" w:hAnsi="Times New Roman" w:cs="Times New Roman"/>
          <w:sz w:val="24"/>
          <w:szCs w:val="24"/>
        </w:rPr>
        <w:t> (pp. 1-17). Routledge.</w:t>
      </w:r>
    </w:p>
    <w:p w14:paraId="1F63270D" w14:textId="092FA998" w:rsidR="00FD1EEE" w:rsidRDefault="00FD1EEE">
      <w:pPr>
        <w:spacing w:line="360" w:lineRule="auto"/>
        <w:jc w:val="both"/>
        <w:rPr>
          <w:rFonts w:ascii="Times New Roman" w:eastAsia="Times New Roman" w:hAnsi="Times New Roman" w:cs="Times New Roman"/>
          <w:sz w:val="24"/>
          <w:szCs w:val="24"/>
        </w:rPr>
      </w:pPr>
      <w:proofErr w:type="spellStart"/>
      <w:r w:rsidRPr="00FD1EEE">
        <w:rPr>
          <w:rFonts w:ascii="Times New Roman" w:eastAsia="Times New Roman" w:hAnsi="Times New Roman" w:cs="Times New Roman"/>
          <w:sz w:val="24"/>
          <w:szCs w:val="24"/>
        </w:rPr>
        <w:t>Marrucci</w:t>
      </w:r>
      <w:proofErr w:type="spellEnd"/>
      <w:r w:rsidRPr="00FD1EEE">
        <w:rPr>
          <w:rFonts w:ascii="Times New Roman" w:eastAsia="Times New Roman" w:hAnsi="Times New Roman" w:cs="Times New Roman"/>
          <w:sz w:val="24"/>
          <w:szCs w:val="24"/>
        </w:rPr>
        <w:t xml:space="preserve">, L., Daddi, T. and </w:t>
      </w:r>
      <w:proofErr w:type="spellStart"/>
      <w:r w:rsidRPr="00FD1EEE">
        <w:rPr>
          <w:rFonts w:ascii="Times New Roman" w:eastAsia="Times New Roman" w:hAnsi="Times New Roman" w:cs="Times New Roman"/>
          <w:sz w:val="24"/>
          <w:szCs w:val="24"/>
        </w:rPr>
        <w:t>Iraldo</w:t>
      </w:r>
      <w:proofErr w:type="spellEnd"/>
      <w:r w:rsidRPr="00FD1EEE">
        <w:rPr>
          <w:rFonts w:ascii="Times New Roman" w:eastAsia="Times New Roman" w:hAnsi="Times New Roman" w:cs="Times New Roman"/>
          <w:sz w:val="24"/>
          <w:szCs w:val="24"/>
        </w:rPr>
        <w:t xml:space="preserve">, F., </w:t>
      </w:r>
      <w:r>
        <w:rPr>
          <w:rFonts w:ascii="Times New Roman" w:eastAsia="Times New Roman" w:hAnsi="Times New Roman" w:cs="Times New Roman"/>
          <w:sz w:val="24"/>
          <w:szCs w:val="24"/>
        </w:rPr>
        <w:t>(2023).</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Sustainable Football: Environmental Management in Practice</w:t>
      </w:r>
      <w:r w:rsidRPr="00FD1EEE">
        <w:rPr>
          <w:rFonts w:ascii="Times New Roman" w:eastAsia="Times New Roman" w:hAnsi="Times New Roman" w:cs="Times New Roman"/>
          <w:sz w:val="24"/>
          <w:szCs w:val="24"/>
        </w:rPr>
        <w:t>. Taylor &amp; Francis.</w:t>
      </w:r>
    </w:p>
    <w:p w14:paraId="39DDDFBC" w14:textId="0A8B6224"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Nolte, A., </w:t>
      </w:r>
      <w:proofErr w:type="spellStart"/>
      <w:r w:rsidRPr="00FD1EEE">
        <w:rPr>
          <w:rFonts w:ascii="Times New Roman" w:eastAsia="Times New Roman" w:hAnsi="Times New Roman" w:cs="Times New Roman"/>
          <w:sz w:val="24"/>
          <w:szCs w:val="24"/>
        </w:rPr>
        <w:t>Pe</w:t>
      </w:r>
      <w:proofErr w:type="spellEnd"/>
      <w:r w:rsidRPr="00FD1EEE">
        <w:rPr>
          <w:rFonts w:ascii="Times New Roman" w:eastAsia="Times New Roman" w:hAnsi="Times New Roman" w:cs="Times New Roman"/>
          <w:sz w:val="24"/>
          <w:szCs w:val="24"/>
        </w:rPr>
        <w:t xml:space="preserve">-Than, E.P.P., </w:t>
      </w:r>
      <w:proofErr w:type="spellStart"/>
      <w:r w:rsidRPr="00FD1EEE">
        <w:rPr>
          <w:rFonts w:ascii="Times New Roman" w:eastAsia="Times New Roman" w:hAnsi="Times New Roman" w:cs="Times New Roman"/>
          <w:sz w:val="24"/>
          <w:szCs w:val="24"/>
        </w:rPr>
        <w:t>Affia</w:t>
      </w:r>
      <w:proofErr w:type="spellEnd"/>
      <w:r w:rsidRPr="00FD1EEE">
        <w:rPr>
          <w:rFonts w:ascii="Times New Roman" w:eastAsia="Times New Roman" w:hAnsi="Times New Roman" w:cs="Times New Roman"/>
          <w:sz w:val="24"/>
          <w:szCs w:val="24"/>
        </w:rPr>
        <w:t xml:space="preserve">, A.A.O., </w:t>
      </w:r>
      <w:proofErr w:type="spellStart"/>
      <w:r w:rsidRPr="00FD1EEE">
        <w:rPr>
          <w:rFonts w:ascii="Times New Roman" w:eastAsia="Times New Roman" w:hAnsi="Times New Roman" w:cs="Times New Roman"/>
          <w:sz w:val="24"/>
          <w:szCs w:val="24"/>
        </w:rPr>
        <w:t>Chaihirunkarn</w:t>
      </w:r>
      <w:proofErr w:type="spellEnd"/>
      <w:r w:rsidRPr="00FD1EEE">
        <w:rPr>
          <w:rFonts w:ascii="Times New Roman" w:eastAsia="Times New Roman" w:hAnsi="Times New Roman" w:cs="Times New Roman"/>
          <w:sz w:val="24"/>
          <w:szCs w:val="24"/>
        </w:rPr>
        <w:t xml:space="preserve">, C., Filippova, A., Kalyanasundaram, A., Angarita, M.A.M., Trainer, E. and </w:t>
      </w:r>
      <w:proofErr w:type="spellStart"/>
      <w:r w:rsidRPr="00FD1EEE">
        <w:rPr>
          <w:rFonts w:ascii="Times New Roman" w:eastAsia="Times New Roman" w:hAnsi="Times New Roman" w:cs="Times New Roman"/>
          <w:sz w:val="24"/>
          <w:szCs w:val="24"/>
        </w:rPr>
        <w:t>Herbsleb</w:t>
      </w:r>
      <w:proofErr w:type="spellEnd"/>
      <w:r w:rsidRPr="00FD1EEE">
        <w:rPr>
          <w:rFonts w:ascii="Times New Roman" w:eastAsia="Times New Roman" w:hAnsi="Times New Roman" w:cs="Times New Roman"/>
          <w:sz w:val="24"/>
          <w:szCs w:val="24"/>
        </w:rPr>
        <w:t xml:space="preserve">, J.D., </w:t>
      </w:r>
      <w:r>
        <w:rPr>
          <w:rFonts w:ascii="Times New Roman" w:eastAsia="Times New Roman" w:hAnsi="Times New Roman" w:cs="Times New Roman"/>
          <w:sz w:val="24"/>
          <w:szCs w:val="24"/>
        </w:rPr>
        <w:t>(2020).</w:t>
      </w:r>
      <w:r w:rsidRPr="00FD1EEE">
        <w:rPr>
          <w:rFonts w:ascii="Times New Roman" w:eastAsia="Times New Roman" w:hAnsi="Times New Roman" w:cs="Times New Roman"/>
          <w:sz w:val="24"/>
          <w:szCs w:val="24"/>
        </w:rPr>
        <w:t xml:space="preserve"> How to organize a hackathon--A planning kit. </w:t>
      </w:r>
      <w:proofErr w:type="spellStart"/>
      <w:r w:rsidRPr="00FD1EEE">
        <w:rPr>
          <w:rFonts w:ascii="Times New Roman" w:eastAsia="Times New Roman" w:hAnsi="Times New Roman" w:cs="Times New Roman"/>
          <w:i/>
          <w:iCs/>
          <w:sz w:val="24"/>
          <w:szCs w:val="24"/>
        </w:rPr>
        <w:t>arXiv</w:t>
      </w:r>
      <w:proofErr w:type="spellEnd"/>
      <w:r w:rsidRPr="00FD1EEE">
        <w:rPr>
          <w:rFonts w:ascii="Times New Roman" w:eastAsia="Times New Roman" w:hAnsi="Times New Roman" w:cs="Times New Roman"/>
          <w:i/>
          <w:iCs/>
          <w:sz w:val="24"/>
          <w:szCs w:val="24"/>
        </w:rPr>
        <w:t xml:space="preserve"> preprint arXiv:2008.08025</w:t>
      </w:r>
      <w:r w:rsidRPr="00FD1EEE">
        <w:rPr>
          <w:rFonts w:ascii="Times New Roman" w:eastAsia="Times New Roman" w:hAnsi="Times New Roman" w:cs="Times New Roman"/>
          <w:sz w:val="24"/>
          <w:szCs w:val="24"/>
        </w:rPr>
        <w:t>.</w:t>
      </w:r>
    </w:p>
    <w:p w14:paraId="0FDD0A1D" w14:textId="6C3CECB2" w:rsidR="00FD1EEE" w:rsidRDefault="00FD1EEE">
      <w:pPr>
        <w:spacing w:line="360" w:lineRule="auto"/>
        <w:jc w:val="both"/>
        <w:rPr>
          <w:rFonts w:ascii="Times New Roman" w:eastAsia="Times New Roman" w:hAnsi="Times New Roman" w:cs="Times New Roman"/>
          <w:sz w:val="24"/>
          <w:szCs w:val="24"/>
        </w:rPr>
      </w:pPr>
      <w:proofErr w:type="spellStart"/>
      <w:r w:rsidRPr="00FD1EEE">
        <w:rPr>
          <w:rFonts w:ascii="Times New Roman" w:eastAsia="Times New Roman" w:hAnsi="Times New Roman" w:cs="Times New Roman"/>
          <w:sz w:val="24"/>
          <w:szCs w:val="24"/>
        </w:rPr>
        <w:t>Pather</w:t>
      </w:r>
      <w:proofErr w:type="spellEnd"/>
      <w:r w:rsidRPr="00FD1EEE">
        <w:rPr>
          <w:rFonts w:ascii="Times New Roman" w:eastAsia="Times New Roman" w:hAnsi="Times New Roman" w:cs="Times New Roman"/>
          <w:sz w:val="24"/>
          <w:szCs w:val="24"/>
        </w:rPr>
        <w:t xml:space="preserve">, N., Blyth, P., Chapman, J.A., Dayal, M.R., Flack, N.A., Fogg, Q.A., Green, R.A., Hulme, A.K., Johnson, I.P., Meyer, A.J. and Morley, J.W., </w:t>
      </w:r>
      <w:r>
        <w:rPr>
          <w:rFonts w:ascii="Times New Roman" w:eastAsia="Times New Roman" w:hAnsi="Times New Roman" w:cs="Times New Roman"/>
          <w:sz w:val="24"/>
          <w:szCs w:val="24"/>
        </w:rPr>
        <w:t>(2020).</w:t>
      </w:r>
      <w:r w:rsidRPr="00FD1EEE">
        <w:rPr>
          <w:rFonts w:ascii="Times New Roman" w:eastAsia="Times New Roman" w:hAnsi="Times New Roman" w:cs="Times New Roman"/>
          <w:sz w:val="24"/>
          <w:szCs w:val="24"/>
        </w:rPr>
        <w:t xml:space="preserve"> Forced disruption of anatomy education in Australia and New Zealand: An acute response to the Covid‐19 pandemic. </w:t>
      </w:r>
      <w:r w:rsidRPr="00FD1EEE">
        <w:rPr>
          <w:rFonts w:ascii="Times New Roman" w:eastAsia="Times New Roman" w:hAnsi="Times New Roman" w:cs="Times New Roman"/>
          <w:i/>
          <w:iCs/>
          <w:sz w:val="24"/>
          <w:szCs w:val="24"/>
        </w:rPr>
        <w:t>Anatomical sciences education</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13</w:t>
      </w:r>
      <w:r w:rsidRPr="00FD1EEE">
        <w:rPr>
          <w:rFonts w:ascii="Times New Roman" w:eastAsia="Times New Roman" w:hAnsi="Times New Roman" w:cs="Times New Roman"/>
          <w:sz w:val="24"/>
          <w:szCs w:val="24"/>
        </w:rPr>
        <w:t>(3), pp.284-300.</w:t>
      </w:r>
    </w:p>
    <w:p w14:paraId="2DD9B3B5" w14:textId="77777777" w:rsidR="00FD1EEE" w:rsidRDefault="00FD1EEE">
      <w:pPr>
        <w:spacing w:line="360" w:lineRule="auto"/>
        <w:jc w:val="both"/>
        <w:rPr>
          <w:rFonts w:ascii="Times New Roman" w:eastAsia="Times New Roman" w:hAnsi="Times New Roman" w:cs="Times New Roman"/>
          <w:sz w:val="24"/>
          <w:szCs w:val="24"/>
        </w:rPr>
      </w:pPr>
      <w:r w:rsidRPr="00FD1EEE">
        <w:rPr>
          <w:rFonts w:ascii="Times New Roman" w:eastAsia="Times New Roman" w:hAnsi="Times New Roman" w:cs="Times New Roman"/>
          <w:sz w:val="24"/>
          <w:szCs w:val="24"/>
        </w:rPr>
        <w:t xml:space="preserve">Saint, J., </w:t>
      </w:r>
      <w:proofErr w:type="spellStart"/>
      <w:r w:rsidRPr="00FD1EEE">
        <w:rPr>
          <w:rFonts w:ascii="Times New Roman" w:eastAsia="Times New Roman" w:hAnsi="Times New Roman" w:cs="Times New Roman"/>
          <w:sz w:val="24"/>
          <w:szCs w:val="24"/>
        </w:rPr>
        <w:t>Gašević</w:t>
      </w:r>
      <w:proofErr w:type="spellEnd"/>
      <w:r w:rsidRPr="00FD1EEE">
        <w:rPr>
          <w:rFonts w:ascii="Times New Roman" w:eastAsia="Times New Roman" w:hAnsi="Times New Roman" w:cs="Times New Roman"/>
          <w:sz w:val="24"/>
          <w:szCs w:val="24"/>
        </w:rPr>
        <w:t xml:space="preserve">, D., Matcha, W., </w:t>
      </w:r>
      <w:proofErr w:type="spellStart"/>
      <w:r w:rsidRPr="00FD1EEE">
        <w:rPr>
          <w:rFonts w:ascii="Times New Roman" w:eastAsia="Times New Roman" w:hAnsi="Times New Roman" w:cs="Times New Roman"/>
          <w:sz w:val="24"/>
          <w:szCs w:val="24"/>
        </w:rPr>
        <w:t>Uzir</w:t>
      </w:r>
      <w:proofErr w:type="spellEnd"/>
      <w:r w:rsidRPr="00FD1EEE">
        <w:rPr>
          <w:rFonts w:ascii="Times New Roman" w:eastAsia="Times New Roman" w:hAnsi="Times New Roman" w:cs="Times New Roman"/>
          <w:sz w:val="24"/>
          <w:szCs w:val="24"/>
        </w:rPr>
        <w:t>, N.A.A. and Pardo, A., 2020, March. Combining analytic methods to unlock sequential and temporal patterns of self-regulated learning. In </w:t>
      </w:r>
      <w:r w:rsidRPr="00FD1EEE">
        <w:rPr>
          <w:rFonts w:ascii="Times New Roman" w:eastAsia="Times New Roman" w:hAnsi="Times New Roman" w:cs="Times New Roman"/>
          <w:i/>
          <w:iCs/>
          <w:sz w:val="24"/>
          <w:szCs w:val="24"/>
        </w:rPr>
        <w:t>Proceedings of the tenth international conference on learning analytics &amp; knowledge</w:t>
      </w:r>
      <w:r w:rsidRPr="00FD1EEE">
        <w:rPr>
          <w:rFonts w:ascii="Times New Roman" w:eastAsia="Times New Roman" w:hAnsi="Times New Roman" w:cs="Times New Roman"/>
          <w:sz w:val="24"/>
          <w:szCs w:val="24"/>
        </w:rPr>
        <w:t> (pp. 402-411).</w:t>
      </w:r>
    </w:p>
    <w:p w14:paraId="13CFF0F0" w14:textId="7F63726B" w:rsidR="00FD1EEE" w:rsidRDefault="00FD1EEE">
      <w:pPr>
        <w:spacing w:line="360" w:lineRule="auto"/>
        <w:jc w:val="both"/>
        <w:rPr>
          <w:rFonts w:ascii="Times New Roman" w:eastAsia="Times New Roman" w:hAnsi="Times New Roman" w:cs="Times New Roman"/>
          <w:sz w:val="24"/>
          <w:szCs w:val="24"/>
        </w:rPr>
      </w:pPr>
      <w:proofErr w:type="spellStart"/>
      <w:r w:rsidRPr="00FD1EEE">
        <w:rPr>
          <w:rFonts w:ascii="Times New Roman" w:eastAsia="Times New Roman" w:hAnsi="Times New Roman" w:cs="Times New Roman"/>
          <w:sz w:val="24"/>
          <w:szCs w:val="24"/>
        </w:rPr>
        <w:t>Tregear</w:t>
      </w:r>
      <w:proofErr w:type="spellEnd"/>
      <w:r w:rsidRPr="00FD1EEE">
        <w:rPr>
          <w:rFonts w:ascii="Times New Roman" w:eastAsia="Times New Roman" w:hAnsi="Times New Roman" w:cs="Times New Roman"/>
          <w:sz w:val="24"/>
          <w:szCs w:val="24"/>
        </w:rPr>
        <w:t xml:space="preserve">, A., Aničić, Z., </w:t>
      </w:r>
      <w:proofErr w:type="spellStart"/>
      <w:r w:rsidRPr="00FD1EEE">
        <w:rPr>
          <w:rFonts w:ascii="Times New Roman" w:eastAsia="Times New Roman" w:hAnsi="Times New Roman" w:cs="Times New Roman"/>
          <w:sz w:val="24"/>
          <w:szCs w:val="24"/>
        </w:rPr>
        <w:t>Arfini</w:t>
      </w:r>
      <w:proofErr w:type="spellEnd"/>
      <w:r w:rsidRPr="00FD1EEE">
        <w:rPr>
          <w:rFonts w:ascii="Times New Roman" w:eastAsia="Times New Roman" w:hAnsi="Times New Roman" w:cs="Times New Roman"/>
          <w:sz w:val="24"/>
          <w:szCs w:val="24"/>
        </w:rPr>
        <w:t xml:space="preserve">, F., </w:t>
      </w:r>
      <w:proofErr w:type="spellStart"/>
      <w:r w:rsidRPr="00FD1EEE">
        <w:rPr>
          <w:rFonts w:ascii="Times New Roman" w:eastAsia="Times New Roman" w:hAnsi="Times New Roman" w:cs="Times New Roman"/>
          <w:sz w:val="24"/>
          <w:szCs w:val="24"/>
        </w:rPr>
        <w:t>Biasini</w:t>
      </w:r>
      <w:proofErr w:type="spellEnd"/>
      <w:r w:rsidRPr="00FD1EEE">
        <w:rPr>
          <w:rFonts w:ascii="Times New Roman" w:eastAsia="Times New Roman" w:hAnsi="Times New Roman" w:cs="Times New Roman"/>
          <w:sz w:val="24"/>
          <w:szCs w:val="24"/>
        </w:rPr>
        <w:t xml:space="preserve">, B., </w:t>
      </w:r>
      <w:proofErr w:type="spellStart"/>
      <w:r w:rsidRPr="00FD1EEE">
        <w:rPr>
          <w:rFonts w:ascii="Times New Roman" w:eastAsia="Times New Roman" w:hAnsi="Times New Roman" w:cs="Times New Roman"/>
          <w:sz w:val="24"/>
          <w:szCs w:val="24"/>
        </w:rPr>
        <w:t>Bituh</w:t>
      </w:r>
      <w:proofErr w:type="spellEnd"/>
      <w:r w:rsidRPr="00FD1EEE">
        <w:rPr>
          <w:rFonts w:ascii="Times New Roman" w:eastAsia="Times New Roman" w:hAnsi="Times New Roman" w:cs="Times New Roman"/>
          <w:sz w:val="24"/>
          <w:szCs w:val="24"/>
        </w:rPr>
        <w:t xml:space="preserve">, M., Bojović, R., </w:t>
      </w:r>
      <w:proofErr w:type="spellStart"/>
      <w:r w:rsidRPr="00FD1EEE">
        <w:rPr>
          <w:rFonts w:ascii="Times New Roman" w:eastAsia="Times New Roman" w:hAnsi="Times New Roman" w:cs="Times New Roman"/>
          <w:sz w:val="24"/>
          <w:szCs w:val="24"/>
        </w:rPr>
        <w:t>Brečić</w:t>
      </w:r>
      <w:proofErr w:type="spellEnd"/>
      <w:r w:rsidRPr="00FD1EEE">
        <w:rPr>
          <w:rFonts w:ascii="Times New Roman" w:eastAsia="Times New Roman" w:hAnsi="Times New Roman" w:cs="Times New Roman"/>
          <w:sz w:val="24"/>
          <w:szCs w:val="24"/>
        </w:rPr>
        <w:t xml:space="preserve">, R., Brennan, M., Barić, I.C., Del Rio, D. and Donati, M., </w:t>
      </w:r>
      <w:r>
        <w:rPr>
          <w:rFonts w:ascii="Times New Roman" w:eastAsia="Times New Roman" w:hAnsi="Times New Roman" w:cs="Times New Roman"/>
          <w:sz w:val="24"/>
          <w:szCs w:val="24"/>
        </w:rPr>
        <w:t>(2022).</w:t>
      </w:r>
      <w:r w:rsidRPr="00FD1EEE">
        <w:rPr>
          <w:rFonts w:ascii="Times New Roman" w:eastAsia="Times New Roman" w:hAnsi="Times New Roman" w:cs="Times New Roman"/>
          <w:sz w:val="24"/>
          <w:szCs w:val="24"/>
        </w:rPr>
        <w:t xml:space="preserve"> Routes to sustainability in public food procurement: An investigation of different models in primary school catering. </w:t>
      </w:r>
      <w:r w:rsidRPr="00FD1EEE">
        <w:rPr>
          <w:rFonts w:ascii="Times New Roman" w:eastAsia="Times New Roman" w:hAnsi="Times New Roman" w:cs="Times New Roman"/>
          <w:i/>
          <w:iCs/>
          <w:sz w:val="24"/>
          <w:szCs w:val="24"/>
        </w:rPr>
        <w:t>Journal of Cleaner Production</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338</w:t>
      </w:r>
      <w:r w:rsidRPr="00FD1EEE">
        <w:rPr>
          <w:rFonts w:ascii="Times New Roman" w:eastAsia="Times New Roman" w:hAnsi="Times New Roman" w:cs="Times New Roman"/>
          <w:sz w:val="24"/>
          <w:szCs w:val="24"/>
        </w:rPr>
        <w:t>, p.130604.</w:t>
      </w:r>
    </w:p>
    <w:p w14:paraId="2B5AD3EC" w14:textId="3F02F62C" w:rsidR="00FD1EEE" w:rsidRDefault="00FD1EEE">
      <w:pPr>
        <w:spacing w:line="360" w:lineRule="auto"/>
        <w:jc w:val="both"/>
        <w:rPr>
          <w:rFonts w:ascii="Times New Roman" w:eastAsia="Times New Roman" w:hAnsi="Times New Roman" w:cs="Times New Roman"/>
          <w:sz w:val="24"/>
          <w:szCs w:val="24"/>
        </w:rPr>
      </w:pPr>
      <w:proofErr w:type="spellStart"/>
      <w:r w:rsidRPr="00FD1EEE">
        <w:rPr>
          <w:rFonts w:ascii="Times New Roman" w:eastAsia="Times New Roman" w:hAnsi="Times New Roman" w:cs="Times New Roman"/>
          <w:sz w:val="24"/>
          <w:szCs w:val="24"/>
        </w:rPr>
        <w:lastRenderedPageBreak/>
        <w:t>Zizic</w:t>
      </w:r>
      <w:proofErr w:type="spellEnd"/>
      <w:r w:rsidRPr="00FD1EEE">
        <w:rPr>
          <w:rFonts w:ascii="Times New Roman" w:eastAsia="Times New Roman" w:hAnsi="Times New Roman" w:cs="Times New Roman"/>
          <w:sz w:val="24"/>
          <w:szCs w:val="24"/>
        </w:rPr>
        <w:t xml:space="preserve">, M.C., </w:t>
      </w:r>
      <w:proofErr w:type="spellStart"/>
      <w:r w:rsidRPr="00FD1EEE">
        <w:rPr>
          <w:rFonts w:ascii="Times New Roman" w:eastAsia="Times New Roman" w:hAnsi="Times New Roman" w:cs="Times New Roman"/>
          <w:sz w:val="24"/>
          <w:szCs w:val="24"/>
        </w:rPr>
        <w:t>Mladineo</w:t>
      </w:r>
      <w:proofErr w:type="spellEnd"/>
      <w:r w:rsidRPr="00FD1EEE">
        <w:rPr>
          <w:rFonts w:ascii="Times New Roman" w:eastAsia="Times New Roman" w:hAnsi="Times New Roman" w:cs="Times New Roman"/>
          <w:sz w:val="24"/>
          <w:szCs w:val="24"/>
        </w:rPr>
        <w:t xml:space="preserve">, M., </w:t>
      </w:r>
      <w:proofErr w:type="spellStart"/>
      <w:r w:rsidRPr="00FD1EEE">
        <w:rPr>
          <w:rFonts w:ascii="Times New Roman" w:eastAsia="Times New Roman" w:hAnsi="Times New Roman" w:cs="Times New Roman"/>
          <w:sz w:val="24"/>
          <w:szCs w:val="24"/>
        </w:rPr>
        <w:t>Gjeldum</w:t>
      </w:r>
      <w:proofErr w:type="spellEnd"/>
      <w:r w:rsidRPr="00FD1EEE">
        <w:rPr>
          <w:rFonts w:ascii="Times New Roman" w:eastAsia="Times New Roman" w:hAnsi="Times New Roman" w:cs="Times New Roman"/>
          <w:sz w:val="24"/>
          <w:szCs w:val="24"/>
        </w:rPr>
        <w:t xml:space="preserve">, N. and </w:t>
      </w:r>
      <w:proofErr w:type="spellStart"/>
      <w:r w:rsidRPr="00FD1EEE">
        <w:rPr>
          <w:rFonts w:ascii="Times New Roman" w:eastAsia="Times New Roman" w:hAnsi="Times New Roman" w:cs="Times New Roman"/>
          <w:sz w:val="24"/>
          <w:szCs w:val="24"/>
        </w:rPr>
        <w:t>Celent</w:t>
      </w:r>
      <w:proofErr w:type="spellEnd"/>
      <w:r w:rsidRPr="00FD1EEE">
        <w:rPr>
          <w:rFonts w:ascii="Times New Roman" w:eastAsia="Times New Roman" w:hAnsi="Times New Roman" w:cs="Times New Roman"/>
          <w:sz w:val="24"/>
          <w:szCs w:val="24"/>
        </w:rPr>
        <w:t xml:space="preserve">, L., </w:t>
      </w:r>
      <w:r>
        <w:rPr>
          <w:rFonts w:ascii="Times New Roman" w:eastAsia="Times New Roman" w:hAnsi="Times New Roman" w:cs="Times New Roman"/>
          <w:sz w:val="24"/>
          <w:szCs w:val="24"/>
        </w:rPr>
        <w:t>(2022).</w:t>
      </w:r>
      <w:r w:rsidRPr="00FD1EEE">
        <w:rPr>
          <w:rFonts w:ascii="Times New Roman" w:eastAsia="Times New Roman" w:hAnsi="Times New Roman" w:cs="Times New Roman"/>
          <w:sz w:val="24"/>
          <w:szCs w:val="24"/>
        </w:rPr>
        <w:t xml:space="preserve"> From industry 4.0 towards industry 5.0: A review and analysis of paradigm shift for the people, organization and technology. </w:t>
      </w:r>
      <w:r w:rsidRPr="00FD1EEE">
        <w:rPr>
          <w:rFonts w:ascii="Times New Roman" w:eastAsia="Times New Roman" w:hAnsi="Times New Roman" w:cs="Times New Roman"/>
          <w:i/>
          <w:iCs/>
          <w:sz w:val="24"/>
          <w:szCs w:val="24"/>
        </w:rPr>
        <w:t>Energies</w:t>
      </w:r>
      <w:r w:rsidRPr="00FD1EEE">
        <w:rPr>
          <w:rFonts w:ascii="Times New Roman" w:eastAsia="Times New Roman" w:hAnsi="Times New Roman" w:cs="Times New Roman"/>
          <w:sz w:val="24"/>
          <w:szCs w:val="24"/>
        </w:rPr>
        <w:t>, </w:t>
      </w:r>
      <w:r w:rsidRPr="00FD1EEE">
        <w:rPr>
          <w:rFonts w:ascii="Times New Roman" w:eastAsia="Times New Roman" w:hAnsi="Times New Roman" w:cs="Times New Roman"/>
          <w:i/>
          <w:iCs/>
          <w:sz w:val="24"/>
          <w:szCs w:val="24"/>
        </w:rPr>
        <w:t>15</w:t>
      </w:r>
      <w:r w:rsidRPr="00FD1EEE">
        <w:rPr>
          <w:rFonts w:ascii="Times New Roman" w:eastAsia="Times New Roman" w:hAnsi="Times New Roman" w:cs="Times New Roman"/>
          <w:sz w:val="24"/>
          <w:szCs w:val="24"/>
        </w:rPr>
        <w:t>(14), p.5221.</w:t>
      </w:r>
    </w:p>
    <w:p w14:paraId="00000073" w14:textId="77777777" w:rsidR="00D672E9" w:rsidRDefault="00D672E9">
      <w:pPr>
        <w:spacing w:line="360" w:lineRule="auto"/>
        <w:jc w:val="both"/>
        <w:rPr>
          <w:rFonts w:ascii="Times New Roman" w:eastAsia="Times New Roman" w:hAnsi="Times New Roman" w:cs="Times New Roman"/>
          <w:sz w:val="24"/>
          <w:szCs w:val="24"/>
        </w:rPr>
      </w:pPr>
    </w:p>
    <w:p w14:paraId="00000074" w14:textId="77777777" w:rsidR="00D672E9" w:rsidRDefault="00D672E9">
      <w:pPr>
        <w:spacing w:line="360" w:lineRule="auto"/>
        <w:jc w:val="both"/>
        <w:rPr>
          <w:rFonts w:ascii="Times New Roman" w:eastAsia="Times New Roman" w:hAnsi="Times New Roman" w:cs="Times New Roman"/>
          <w:sz w:val="24"/>
          <w:szCs w:val="24"/>
        </w:rPr>
      </w:pPr>
    </w:p>
    <w:sectPr w:rsidR="00D672E9" w:rsidSect="006A55F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6D03F9" w14:textId="77777777" w:rsidR="006B5030" w:rsidRDefault="006B5030" w:rsidP="00283614">
      <w:pPr>
        <w:spacing w:line="240" w:lineRule="auto"/>
      </w:pPr>
      <w:r>
        <w:separator/>
      </w:r>
    </w:p>
  </w:endnote>
  <w:endnote w:type="continuationSeparator" w:id="0">
    <w:p w14:paraId="07732845" w14:textId="77777777" w:rsidR="006B5030" w:rsidRDefault="006B5030" w:rsidP="00283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4742550"/>
      <w:docPartObj>
        <w:docPartGallery w:val="Page Numbers (Bottom of Page)"/>
        <w:docPartUnique/>
      </w:docPartObj>
    </w:sdtPr>
    <w:sdtEndPr>
      <w:rPr>
        <w:noProof/>
      </w:rPr>
    </w:sdtEndPr>
    <w:sdtContent>
      <w:p w14:paraId="0EAC2758" w14:textId="056E9796" w:rsidR="00283614" w:rsidRDefault="00283614">
        <w:pPr>
          <w:pStyle w:val="Footer"/>
          <w:jc w:val="right"/>
        </w:pPr>
        <w:r>
          <w:fldChar w:fldCharType="begin"/>
        </w:r>
        <w:r>
          <w:instrText xml:space="preserve"> PAGE   \* MERGEFORMAT </w:instrText>
        </w:r>
        <w:r>
          <w:fldChar w:fldCharType="separate"/>
        </w:r>
        <w:r w:rsidR="007E0E28">
          <w:rPr>
            <w:noProof/>
          </w:rPr>
          <w:t>1</w:t>
        </w:r>
        <w:r>
          <w:rPr>
            <w:noProof/>
          </w:rPr>
          <w:fldChar w:fldCharType="end"/>
        </w:r>
      </w:p>
    </w:sdtContent>
  </w:sdt>
  <w:p w14:paraId="5DA9DAC0" w14:textId="77777777" w:rsidR="00283614" w:rsidRDefault="002836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4FEAE" w14:textId="77777777" w:rsidR="006B5030" w:rsidRDefault="006B5030" w:rsidP="00283614">
      <w:pPr>
        <w:spacing w:line="240" w:lineRule="auto"/>
      </w:pPr>
      <w:r>
        <w:separator/>
      </w:r>
    </w:p>
  </w:footnote>
  <w:footnote w:type="continuationSeparator" w:id="0">
    <w:p w14:paraId="2E2C7F6D" w14:textId="77777777" w:rsidR="006B5030" w:rsidRDefault="006B5030" w:rsidP="002836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2E9"/>
    <w:rsid w:val="00283614"/>
    <w:rsid w:val="006A55FA"/>
    <w:rsid w:val="006B5030"/>
    <w:rsid w:val="007829E4"/>
    <w:rsid w:val="007E0E28"/>
    <w:rsid w:val="008D336C"/>
    <w:rsid w:val="009216DE"/>
    <w:rsid w:val="00BD0F2A"/>
    <w:rsid w:val="00D672E9"/>
    <w:rsid w:val="00FD1E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FF900"/>
  <w15:docId w15:val="{63AA2A1B-BEAD-4C27-AAFB-4BB39095E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7829E4"/>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7829E4"/>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83614"/>
    <w:pPr>
      <w:tabs>
        <w:tab w:val="center" w:pos="4513"/>
        <w:tab w:val="right" w:pos="9026"/>
      </w:tabs>
      <w:spacing w:line="240" w:lineRule="auto"/>
    </w:pPr>
  </w:style>
  <w:style w:type="character" w:customStyle="1" w:styleId="HeaderChar">
    <w:name w:val="Header Char"/>
    <w:basedOn w:val="DefaultParagraphFont"/>
    <w:link w:val="Header"/>
    <w:uiPriority w:val="99"/>
    <w:rsid w:val="00283614"/>
  </w:style>
  <w:style w:type="paragraph" w:styleId="Footer">
    <w:name w:val="footer"/>
    <w:basedOn w:val="Normal"/>
    <w:link w:val="FooterChar"/>
    <w:uiPriority w:val="99"/>
    <w:unhideWhenUsed/>
    <w:rsid w:val="00283614"/>
    <w:pPr>
      <w:tabs>
        <w:tab w:val="center" w:pos="4513"/>
        <w:tab w:val="right" w:pos="9026"/>
      </w:tabs>
      <w:spacing w:line="240" w:lineRule="auto"/>
    </w:pPr>
  </w:style>
  <w:style w:type="character" w:customStyle="1" w:styleId="FooterChar">
    <w:name w:val="Footer Char"/>
    <w:basedOn w:val="DefaultParagraphFont"/>
    <w:link w:val="Footer"/>
    <w:uiPriority w:val="99"/>
    <w:rsid w:val="00283614"/>
  </w:style>
  <w:style w:type="paragraph" w:styleId="TOCHeading">
    <w:name w:val="TOC Heading"/>
    <w:basedOn w:val="Heading1"/>
    <w:next w:val="Normal"/>
    <w:uiPriority w:val="39"/>
    <w:unhideWhenUsed/>
    <w:qFormat/>
    <w:rsid w:val="009216D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16DE"/>
    <w:pPr>
      <w:spacing w:after="100"/>
    </w:pPr>
  </w:style>
  <w:style w:type="paragraph" w:styleId="TOC2">
    <w:name w:val="toc 2"/>
    <w:basedOn w:val="Normal"/>
    <w:next w:val="Normal"/>
    <w:autoRedefine/>
    <w:uiPriority w:val="39"/>
    <w:unhideWhenUsed/>
    <w:rsid w:val="009216DE"/>
    <w:pPr>
      <w:spacing w:after="100"/>
      <w:ind w:left="220"/>
    </w:pPr>
  </w:style>
  <w:style w:type="character" w:styleId="Hyperlink">
    <w:name w:val="Hyperlink"/>
    <w:basedOn w:val="DefaultParagraphFont"/>
    <w:uiPriority w:val="99"/>
    <w:unhideWhenUsed/>
    <w:rsid w:val="009216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CD387-DC74-4241-89A7-4BB13C68D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3512</Words>
  <Characters>20020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2</cp:revision>
  <dcterms:created xsi:type="dcterms:W3CDTF">2024-01-30T17:58:00Z</dcterms:created>
  <dcterms:modified xsi:type="dcterms:W3CDTF">2024-03-01T21:00:00Z</dcterms:modified>
</cp:coreProperties>
</file>