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B303F" w:rsidP="0207CA03" w:rsidRDefault="004B303F" w14:paraId="1D8E9582" w14:textId="21AB1819">
      <w:pPr>
        <w:jc w:val="center"/>
      </w:pPr>
      <w:r w:rsidRPr="0207CA03" w:rsidR="1C570DC1">
        <w:rPr>
          <w:rFonts w:ascii="Arial" w:hAnsi="Arial" w:eastAsia="Arial" w:cs="Arial"/>
          <w:b w:val="1"/>
          <w:bCs w:val="1"/>
          <w:sz w:val="22"/>
          <w:szCs w:val="22"/>
        </w:rPr>
        <w:t>Student Name:</w:t>
      </w:r>
      <w:r w:rsidRPr="0207CA03" w:rsidR="1C570DC1">
        <w:rPr>
          <w:rFonts w:ascii="Arial" w:hAnsi="Arial" w:eastAsia="Arial" w:cs="Arial"/>
          <w:sz w:val="22"/>
          <w:szCs w:val="22"/>
        </w:rPr>
        <w:t xml:space="preserve"> Ruheb Ahmed</w:t>
      </w:r>
    </w:p>
    <w:p w:rsidR="004B303F" w:rsidP="0207CA03" w:rsidRDefault="004B303F" w14:paraId="00000001" w14:textId="22A83A31">
      <w:pPr>
        <w:jc w:val="center"/>
      </w:pPr>
      <w:r w:rsidRPr="0207CA03" w:rsidR="1C570DC1">
        <w:rPr>
          <w:rFonts w:ascii="Arial" w:hAnsi="Arial" w:eastAsia="Arial" w:cs="Arial"/>
          <w:b w:val="1"/>
          <w:bCs w:val="1"/>
          <w:sz w:val="22"/>
          <w:szCs w:val="22"/>
        </w:rPr>
        <w:t>ID:</w:t>
      </w:r>
      <w:r w:rsidRPr="0207CA03" w:rsidR="1C570DC1">
        <w:rPr>
          <w:rFonts w:ascii="Arial" w:hAnsi="Arial" w:eastAsia="Arial" w:cs="Arial"/>
          <w:sz w:val="22"/>
          <w:szCs w:val="22"/>
        </w:rPr>
        <w:t xml:space="preserve"> 2519552</w:t>
      </w:r>
    </w:p>
    <w:p w:rsidR="004B303F" w:rsidRDefault="00793F9C" w14:paraId="00000002" w14:textId="61BB26CB">
      <w:pPr>
        <w:jc w:val="center"/>
        <w:rPr>
          <w:rFonts w:ascii="Arial" w:hAnsi="Arial" w:eastAsia="Arial" w:cs="Arial"/>
          <w:sz w:val="22"/>
          <w:szCs w:val="22"/>
        </w:rPr>
      </w:pPr>
      <w:r w:rsidRPr="0207CA03" w:rsidR="1C570DC1">
        <w:rPr>
          <w:rFonts w:ascii="Arial" w:hAnsi="Arial" w:eastAsia="Arial" w:cs="Arial"/>
          <w:b w:val="1"/>
          <w:bCs w:val="1"/>
          <w:sz w:val="22"/>
          <w:szCs w:val="22"/>
        </w:rPr>
        <w:t>Programme:</w:t>
      </w:r>
      <w:r w:rsidRPr="0207CA03" w:rsidR="1C570DC1">
        <w:rPr>
          <w:rFonts w:ascii="Arial" w:hAnsi="Arial" w:eastAsia="Arial" w:cs="Arial"/>
          <w:sz w:val="22"/>
          <w:szCs w:val="22"/>
        </w:rPr>
        <w:t xml:space="preserve"> </w:t>
      </w:r>
      <w:r w:rsidRPr="0207CA03" w:rsidR="00793F9C">
        <w:rPr>
          <w:rFonts w:ascii="Arial" w:hAnsi="Arial" w:eastAsia="Arial" w:cs="Arial"/>
          <w:sz w:val="22"/>
          <w:szCs w:val="22"/>
        </w:rPr>
        <w:t>Certificate of Higher Education Skills for the Workplace (Health and Social Care)</w:t>
      </w:r>
    </w:p>
    <w:p w:rsidR="004B303F" w:rsidRDefault="00793F9C" w14:paraId="00000003" w14:textId="0BCFFAD2">
      <w:pPr>
        <w:jc w:val="center"/>
      </w:pPr>
      <w:r w:rsidRPr="0207CA03" w:rsidR="11943BBC">
        <w:rPr>
          <w:rFonts w:ascii="Arial" w:hAnsi="Arial" w:eastAsia="Arial" w:cs="Arial"/>
          <w:b w:val="1"/>
          <w:bCs w:val="1"/>
          <w:sz w:val="22"/>
          <w:szCs w:val="22"/>
        </w:rPr>
        <w:t>Module:</w:t>
      </w:r>
      <w:r w:rsidRPr="0207CA03" w:rsidR="11943BBC">
        <w:rPr>
          <w:rFonts w:ascii="Arial" w:hAnsi="Arial" w:eastAsia="Arial" w:cs="Arial"/>
          <w:sz w:val="22"/>
          <w:szCs w:val="22"/>
        </w:rPr>
        <w:t xml:space="preserve"> </w:t>
      </w:r>
      <w:r w:rsidRPr="0207CA03" w:rsidR="00793F9C">
        <w:rPr>
          <w:rFonts w:ascii="Arial" w:hAnsi="Arial" w:eastAsia="Arial" w:cs="Arial"/>
          <w:sz w:val="22"/>
          <w:szCs w:val="22"/>
        </w:rPr>
        <w:t>Introduction to Public Health</w:t>
      </w:r>
    </w:p>
    <w:p w:rsidR="3568A268" w:rsidP="0207CA03" w:rsidRDefault="3568A268" w14:paraId="776EF365" w14:textId="59A3565B">
      <w:pPr>
        <w:jc w:val="center"/>
      </w:pPr>
      <w:r w:rsidRPr="0207CA03" w:rsidR="3568A268">
        <w:rPr>
          <w:rFonts w:ascii="Arial" w:hAnsi="Arial" w:eastAsia="Arial" w:cs="Arial"/>
          <w:b w:val="1"/>
          <w:bCs w:val="1"/>
          <w:sz w:val="22"/>
          <w:szCs w:val="22"/>
        </w:rPr>
        <w:t>Module Code:</w:t>
      </w:r>
      <w:r w:rsidRPr="0207CA03" w:rsidR="3568A268">
        <w:rPr>
          <w:rFonts w:ascii="Arial" w:hAnsi="Arial" w:eastAsia="Arial" w:cs="Arial"/>
          <w:sz w:val="22"/>
          <w:szCs w:val="22"/>
        </w:rPr>
        <w:t xml:space="preserve"> LCHS 4008</w:t>
      </w:r>
    </w:p>
    <w:p w:rsidR="3568A268" w:rsidP="0207CA03" w:rsidRDefault="3568A268" w14:paraId="0F068239" w14:textId="43E26EA3">
      <w:pPr>
        <w:jc w:val="center"/>
      </w:pPr>
      <w:r w:rsidRPr="0207CA03" w:rsidR="3568A268">
        <w:rPr>
          <w:rFonts w:ascii="Arial" w:hAnsi="Arial" w:eastAsia="Arial" w:cs="Arial"/>
          <w:b w:val="1"/>
          <w:bCs w:val="1"/>
          <w:sz w:val="22"/>
          <w:szCs w:val="22"/>
        </w:rPr>
        <w:t>Lecturer:</w:t>
      </w:r>
      <w:r w:rsidRPr="0207CA03" w:rsidR="3568A268">
        <w:rPr>
          <w:rFonts w:ascii="Arial" w:hAnsi="Arial" w:eastAsia="Arial" w:cs="Arial"/>
          <w:sz w:val="22"/>
          <w:szCs w:val="22"/>
        </w:rPr>
        <w:t xml:space="preserve"> Gillian Weaver (Module Lead)</w:t>
      </w:r>
    </w:p>
    <w:p w:rsidR="004B303F" w:rsidRDefault="00793F9C" w14:paraId="00000004" w14:textId="0EB328EE">
      <w:pPr>
        <w:jc w:val="center"/>
        <w:rPr>
          <w:rFonts w:ascii="Arial" w:hAnsi="Arial" w:eastAsia="Arial" w:cs="Arial"/>
          <w:sz w:val="22"/>
          <w:szCs w:val="22"/>
        </w:rPr>
      </w:pPr>
      <w:r w:rsidRPr="0207CA03" w:rsidR="27308EBF">
        <w:rPr>
          <w:rFonts w:ascii="Arial" w:hAnsi="Arial" w:eastAsia="Arial" w:cs="Arial"/>
          <w:b w:val="1"/>
          <w:bCs w:val="1"/>
          <w:sz w:val="22"/>
          <w:szCs w:val="22"/>
        </w:rPr>
        <w:t>Assignment</w:t>
      </w:r>
      <w:r w:rsidRPr="0207CA03" w:rsidR="27308EBF">
        <w:rPr>
          <w:rFonts w:ascii="Arial" w:hAnsi="Arial" w:eastAsia="Arial" w:cs="Arial"/>
          <w:b w:val="1"/>
          <w:bCs w:val="1"/>
          <w:sz w:val="22"/>
          <w:szCs w:val="22"/>
        </w:rPr>
        <w:t xml:space="preserve"> Title:</w:t>
      </w:r>
      <w:r w:rsidRPr="0207CA03" w:rsidR="27308EBF">
        <w:rPr>
          <w:rFonts w:ascii="Arial" w:hAnsi="Arial" w:eastAsia="Arial" w:cs="Arial"/>
          <w:sz w:val="22"/>
          <w:szCs w:val="22"/>
        </w:rPr>
        <w:t xml:space="preserve"> </w:t>
      </w:r>
      <w:r w:rsidRPr="0207CA03" w:rsidR="00793F9C">
        <w:rPr>
          <w:rFonts w:ascii="Arial" w:hAnsi="Arial" w:eastAsia="Arial" w:cs="Arial"/>
          <w:sz w:val="22"/>
          <w:szCs w:val="22"/>
        </w:rPr>
        <w:t>Assessment 2 - Report on a Health Issue (Type 1 Diabetes)</w:t>
      </w:r>
    </w:p>
    <w:p w:rsidR="004B303F" w:rsidRDefault="00793F9C" w14:paraId="00000006" w14:textId="684998D2">
      <w:pPr>
        <w:jc w:val="center"/>
        <w:rPr>
          <w:rFonts w:ascii="Arial" w:hAnsi="Arial" w:eastAsia="Arial" w:cs="Arial"/>
          <w:color w:val="2F5496"/>
          <w:sz w:val="22"/>
          <w:szCs w:val="22"/>
        </w:rPr>
      </w:pPr>
      <w:r w:rsidRPr="0207CA03">
        <w:rPr>
          <w:rFonts w:ascii="Arial" w:hAnsi="Arial" w:eastAsia="Arial" w:cs="Arial"/>
          <w:sz w:val="22"/>
          <w:szCs w:val="22"/>
        </w:rPr>
        <w:br w:type="page"/>
      </w:r>
    </w:p>
    <w:p w:rsidRPr="00345618" w:rsidR="004B303F" w:rsidRDefault="00793F9C" w14:paraId="00000007" w14:textId="77777777">
      <w:pPr>
        <w:keepNext/>
        <w:keepLines/>
        <w:pBdr>
          <w:top w:val="nil"/>
          <w:left w:val="nil"/>
          <w:bottom w:val="nil"/>
          <w:right w:val="nil"/>
          <w:between w:val="nil"/>
        </w:pBdr>
        <w:spacing w:before="240"/>
        <w:jc w:val="left"/>
        <w:rPr>
          <w:rFonts w:ascii="Arial" w:hAnsi="Arial" w:eastAsia="Arial" w:cs="Arial"/>
          <w:color w:val="2F5496"/>
          <w:sz w:val="22"/>
          <w:szCs w:val="22"/>
        </w:rPr>
      </w:pPr>
      <w:r w:rsidRPr="00345618">
        <w:rPr>
          <w:rFonts w:ascii="Arial" w:hAnsi="Arial" w:eastAsia="Arial" w:cs="Arial"/>
          <w:color w:val="2F5496"/>
          <w:sz w:val="22"/>
          <w:szCs w:val="22"/>
        </w:rPr>
        <w:t>Table of Contents</w:t>
      </w:r>
    </w:p>
    <w:sdt>
      <w:sdtPr>
        <w:rPr>
          <w:sz w:val="22"/>
          <w:szCs w:val="22"/>
        </w:rPr>
        <w:id w:val="-1240886168"/>
        <w:docPartObj>
          <w:docPartGallery w:val="Table of Contents"/>
          <w:docPartUnique/>
        </w:docPartObj>
      </w:sdtPr>
      <w:sdtEndPr>
        <w:rPr>
          <w:sz w:val="22"/>
          <w:szCs w:val="22"/>
        </w:rPr>
      </w:sdtEndPr>
      <w:sdtContent>
        <w:p w:rsidRPr="00345618" w:rsidR="00345618" w:rsidRDefault="00793F9C" w14:paraId="48551E19" w14:textId="01B4E0BF">
          <w:pPr>
            <w:pStyle w:val="TOC1"/>
            <w:tabs>
              <w:tab w:val="right" w:leader="dot" w:pos="9350"/>
            </w:tabs>
            <w:rPr>
              <w:noProof/>
              <w:sz w:val="22"/>
              <w:szCs w:val="22"/>
            </w:rPr>
          </w:pPr>
          <w:r w:rsidRPr="00345618">
            <w:rPr>
              <w:sz w:val="22"/>
              <w:szCs w:val="22"/>
            </w:rPr>
            <w:fldChar w:fldCharType="begin"/>
          </w:r>
          <w:r w:rsidRPr="00345618">
            <w:rPr>
              <w:sz w:val="22"/>
              <w:szCs w:val="22"/>
            </w:rPr>
            <w:instrText xml:space="preserve"> TOC \h \u \z \t "Heading 1,1,Heading 2,2,Heading 3,3,"</w:instrText>
          </w:r>
          <w:r w:rsidRPr="00345618">
            <w:rPr>
              <w:sz w:val="22"/>
              <w:szCs w:val="22"/>
            </w:rPr>
            <w:fldChar w:fldCharType="separate"/>
          </w:r>
          <w:hyperlink w:history="1" w:anchor="_Toc235367183">
            <w:r w:rsidRPr="00345618" w:rsidR="00345618">
              <w:rPr>
                <w:rStyle w:val="Hyperlink"/>
                <w:rFonts w:ascii="Arial" w:hAnsi="Arial" w:eastAsia="Arial" w:cs="Arial"/>
                <w:noProof/>
                <w:sz w:val="22"/>
                <w:szCs w:val="22"/>
              </w:rPr>
              <w:t>Introduction</w:t>
            </w:r>
            <w:r w:rsidRPr="00345618" w:rsidR="00345618">
              <w:rPr>
                <w:noProof/>
                <w:webHidden/>
                <w:sz w:val="22"/>
                <w:szCs w:val="22"/>
              </w:rPr>
              <w:tab/>
            </w:r>
            <w:r w:rsidRPr="00345618" w:rsidR="00345618">
              <w:rPr>
                <w:noProof/>
                <w:webHidden/>
                <w:sz w:val="22"/>
                <w:szCs w:val="22"/>
              </w:rPr>
              <w:fldChar w:fldCharType="begin"/>
            </w:r>
            <w:r w:rsidRPr="00345618" w:rsidR="00345618">
              <w:rPr>
                <w:noProof/>
                <w:webHidden/>
                <w:sz w:val="22"/>
                <w:szCs w:val="22"/>
              </w:rPr>
              <w:instrText xml:space="preserve"> PAGEREF _Toc235367183 \h </w:instrText>
            </w:r>
            <w:r w:rsidRPr="00345618" w:rsidR="00345618">
              <w:rPr>
                <w:noProof/>
                <w:webHidden/>
                <w:sz w:val="22"/>
                <w:szCs w:val="22"/>
              </w:rPr>
            </w:r>
            <w:r w:rsidRPr="00345618" w:rsidR="00345618">
              <w:rPr>
                <w:noProof/>
                <w:webHidden/>
                <w:sz w:val="22"/>
                <w:szCs w:val="22"/>
              </w:rPr>
              <w:fldChar w:fldCharType="separate"/>
            </w:r>
            <w:r w:rsidRPr="00345618" w:rsidR="00345618">
              <w:rPr>
                <w:noProof/>
                <w:webHidden/>
                <w:sz w:val="22"/>
                <w:szCs w:val="22"/>
              </w:rPr>
              <w:t>1</w:t>
            </w:r>
            <w:r w:rsidRPr="00345618" w:rsidR="00345618">
              <w:rPr>
                <w:noProof/>
                <w:webHidden/>
                <w:sz w:val="22"/>
                <w:szCs w:val="22"/>
              </w:rPr>
              <w:fldChar w:fldCharType="end"/>
            </w:r>
          </w:hyperlink>
        </w:p>
        <w:p w:rsidRPr="00345618" w:rsidR="00345618" w:rsidRDefault="00345618" w14:paraId="04707F13" w14:textId="1E361DA4">
          <w:pPr>
            <w:pStyle w:val="TOC1"/>
            <w:tabs>
              <w:tab w:val="right" w:leader="dot" w:pos="9350"/>
            </w:tabs>
            <w:rPr>
              <w:noProof/>
              <w:sz w:val="22"/>
              <w:szCs w:val="22"/>
            </w:rPr>
          </w:pPr>
          <w:hyperlink w:history="1" w:anchor="_Toc235367184">
            <w:r w:rsidRPr="00345618">
              <w:rPr>
                <w:rStyle w:val="Hyperlink"/>
                <w:rFonts w:ascii="Arial" w:hAnsi="Arial" w:eastAsia="Arial" w:cs="Arial"/>
                <w:noProof/>
                <w:sz w:val="22"/>
                <w:szCs w:val="22"/>
              </w:rPr>
              <w:t>Different approaches used to measure and monitor</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_Toc235367184 \h </w:instrText>
            </w:r>
            <w:r w:rsidRPr="00345618">
              <w:rPr>
                <w:noProof/>
                <w:webHidden/>
                <w:sz w:val="22"/>
                <w:szCs w:val="22"/>
              </w:rPr>
            </w:r>
            <w:r w:rsidRPr="00345618">
              <w:rPr>
                <w:noProof/>
                <w:webHidden/>
                <w:sz w:val="22"/>
                <w:szCs w:val="22"/>
              </w:rPr>
              <w:fldChar w:fldCharType="separate"/>
            </w:r>
            <w:r w:rsidRPr="00345618">
              <w:rPr>
                <w:noProof/>
                <w:webHidden/>
                <w:sz w:val="22"/>
                <w:szCs w:val="22"/>
              </w:rPr>
              <w:t>1</w:t>
            </w:r>
            <w:r w:rsidRPr="00345618">
              <w:rPr>
                <w:noProof/>
                <w:webHidden/>
                <w:sz w:val="22"/>
                <w:szCs w:val="22"/>
              </w:rPr>
              <w:fldChar w:fldCharType="end"/>
            </w:r>
          </w:hyperlink>
        </w:p>
        <w:p w:rsidRPr="00345618" w:rsidR="00345618" w:rsidRDefault="00345618" w14:paraId="6AC7B525" w14:textId="4F65769E">
          <w:pPr>
            <w:pStyle w:val="TOC1"/>
            <w:tabs>
              <w:tab w:val="right" w:leader="dot" w:pos="9350"/>
            </w:tabs>
            <w:rPr>
              <w:noProof/>
              <w:sz w:val="22"/>
              <w:szCs w:val="22"/>
            </w:rPr>
          </w:pPr>
          <w:hyperlink w:history="1" w:anchor="_Toc235367185">
            <w:r w:rsidRPr="00345618">
              <w:rPr>
                <w:rStyle w:val="Hyperlink"/>
                <w:rFonts w:ascii="Arial" w:hAnsi="Arial" w:eastAsia="Arial" w:cs="Arial"/>
                <w:noProof/>
                <w:sz w:val="22"/>
                <w:szCs w:val="22"/>
              </w:rPr>
              <w:t>How this disease is controlled</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_Toc235367185 \h </w:instrText>
            </w:r>
            <w:r w:rsidRPr="00345618">
              <w:rPr>
                <w:noProof/>
                <w:webHidden/>
                <w:sz w:val="22"/>
                <w:szCs w:val="22"/>
              </w:rPr>
            </w:r>
            <w:r w:rsidRPr="00345618">
              <w:rPr>
                <w:noProof/>
                <w:webHidden/>
                <w:sz w:val="22"/>
                <w:szCs w:val="22"/>
              </w:rPr>
              <w:fldChar w:fldCharType="separate"/>
            </w:r>
            <w:r w:rsidRPr="00345618">
              <w:rPr>
                <w:noProof/>
                <w:webHidden/>
                <w:sz w:val="22"/>
                <w:szCs w:val="22"/>
              </w:rPr>
              <w:t>2</w:t>
            </w:r>
            <w:r w:rsidRPr="00345618">
              <w:rPr>
                <w:noProof/>
                <w:webHidden/>
                <w:sz w:val="22"/>
                <w:szCs w:val="22"/>
              </w:rPr>
              <w:fldChar w:fldCharType="end"/>
            </w:r>
          </w:hyperlink>
        </w:p>
        <w:p w:rsidRPr="00345618" w:rsidR="00345618" w:rsidRDefault="00345618" w14:paraId="0A7D43F5" w14:textId="2F57425D">
          <w:pPr>
            <w:pStyle w:val="TOC1"/>
            <w:tabs>
              <w:tab w:val="right" w:leader="dot" w:pos="9350"/>
            </w:tabs>
            <w:rPr>
              <w:noProof/>
              <w:sz w:val="22"/>
              <w:szCs w:val="22"/>
            </w:rPr>
          </w:pPr>
          <w:hyperlink w:history="1" w:anchor="_Toc235367186">
            <w:r w:rsidRPr="00345618">
              <w:rPr>
                <w:rStyle w:val="Hyperlink"/>
                <w:rFonts w:ascii="Arial" w:hAnsi="Arial" w:eastAsia="Arial" w:cs="Arial"/>
                <w:noProof/>
                <w:sz w:val="22"/>
                <w:szCs w:val="22"/>
              </w:rPr>
              <w:t>The consequences of this illness on people</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_Toc235367186 \h </w:instrText>
            </w:r>
            <w:r w:rsidRPr="00345618">
              <w:rPr>
                <w:noProof/>
                <w:webHidden/>
                <w:sz w:val="22"/>
                <w:szCs w:val="22"/>
              </w:rPr>
            </w:r>
            <w:r w:rsidRPr="00345618">
              <w:rPr>
                <w:noProof/>
                <w:webHidden/>
                <w:sz w:val="22"/>
                <w:szCs w:val="22"/>
              </w:rPr>
              <w:fldChar w:fldCharType="separate"/>
            </w:r>
            <w:r w:rsidRPr="00345618">
              <w:rPr>
                <w:noProof/>
                <w:webHidden/>
                <w:sz w:val="22"/>
                <w:szCs w:val="22"/>
              </w:rPr>
              <w:t>3</w:t>
            </w:r>
            <w:r w:rsidRPr="00345618">
              <w:rPr>
                <w:noProof/>
                <w:webHidden/>
                <w:sz w:val="22"/>
                <w:szCs w:val="22"/>
              </w:rPr>
              <w:fldChar w:fldCharType="end"/>
            </w:r>
          </w:hyperlink>
        </w:p>
        <w:p w:rsidRPr="00345618" w:rsidR="00345618" w:rsidRDefault="00345618" w14:paraId="02A4B6B2" w14:textId="41324DFA">
          <w:pPr>
            <w:pStyle w:val="TOC1"/>
            <w:tabs>
              <w:tab w:val="right" w:leader="dot" w:pos="9350"/>
            </w:tabs>
            <w:rPr>
              <w:noProof/>
              <w:sz w:val="22"/>
              <w:szCs w:val="22"/>
            </w:rPr>
          </w:pPr>
          <w:hyperlink w:history="1" w:anchor="_Toc235367187">
            <w:r w:rsidRPr="00345618">
              <w:rPr>
                <w:rStyle w:val="Hyperlink"/>
                <w:rFonts w:ascii="Arial" w:hAnsi="Arial" w:eastAsia="Arial" w:cs="Arial"/>
                <w:noProof/>
                <w:sz w:val="22"/>
                <w:szCs w:val="22"/>
              </w:rPr>
              <w:t>Health and social care support services</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_Toc235367187 \h </w:instrText>
            </w:r>
            <w:r w:rsidRPr="00345618">
              <w:rPr>
                <w:noProof/>
                <w:webHidden/>
                <w:sz w:val="22"/>
                <w:szCs w:val="22"/>
              </w:rPr>
            </w:r>
            <w:r w:rsidRPr="00345618">
              <w:rPr>
                <w:noProof/>
                <w:webHidden/>
                <w:sz w:val="22"/>
                <w:szCs w:val="22"/>
              </w:rPr>
              <w:fldChar w:fldCharType="separate"/>
            </w:r>
            <w:r w:rsidRPr="00345618">
              <w:rPr>
                <w:noProof/>
                <w:webHidden/>
                <w:sz w:val="22"/>
                <w:szCs w:val="22"/>
              </w:rPr>
              <w:t>3</w:t>
            </w:r>
            <w:r w:rsidRPr="00345618">
              <w:rPr>
                <w:noProof/>
                <w:webHidden/>
                <w:sz w:val="22"/>
                <w:szCs w:val="22"/>
              </w:rPr>
              <w:fldChar w:fldCharType="end"/>
            </w:r>
          </w:hyperlink>
        </w:p>
        <w:p w:rsidRPr="00345618" w:rsidR="00345618" w:rsidRDefault="00345618" w14:paraId="04016FFB" w14:textId="37D32A87">
          <w:pPr>
            <w:pStyle w:val="TOC1"/>
            <w:tabs>
              <w:tab w:val="right" w:leader="dot" w:pos="9350"/>
            </w:tabs>
            <w:rPr>
              <w:noProof/>
              <w:sz w:val="22"/>
              <w:szCs w:val="22"/>
            </w:rPr>
          </w:pPr>
          <w:hyperlink w:history="1" w:anchor="_Toc235367188">
            <w:r w:rsidRPr="00345618">
              <w:rPr>
                <w:rStyle w:val="Hyperlink"/>
                <w:rFonts w:ascii="Arial" w:hAnsi="Arial" w:eastAsia="Arial" w:cs="Arial"/>
                <w:noProof/>
                <w:sz w:val="22"/>
                <w:szCs w:val="22"/>
              </w:rPr>
              <w:t>Conclusion</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_Toc235367188 \h </w:instrText>
            </w:r>
            <w:r w:rsidRPr="00345618">
              <w:rPr>
                <w:noProof/>
                <w:webHidden/>
                <w:sz w:val="22"/>
                <w:szCs w:val="22"/>
              </w:rPr>
            </w:r>
            <w:r w:rsidRPr="00345618">
              <w:rPr>
                <w:noProof/>
                <w:webHidden/>
                <w:sz w:val="22"/>
                <w:szCs w:val="22"/>
              </w:rPr>
              <w:fldChar w:fldCharType="separate"/>
            </w:r>
            <w:r w:rsidRPr="00345618">
              <w:rPr>
                <w:noProof/>
                <w:webHidden/>
                <w:sz w:val="22"/>
                <w:szCs w:val="22"/>
              </w:rPr>
              <w:t>4</w:t>
            </w:r>
            <w:r w:rsidRPr="00345618">
              <w:rPr>
                <w:noProof/>
                <w:webHidden/>
                <w:sz w:val="22"/>
                <w:szCs w:val="22"/>
              </w:rPr>
              <w:fldChar w:fldCharType="end"/>
            </w:r>
          </w:hyperlink>
        </w:p>
        <w:p w:rsidRPr="00345618" w:rsidR="00345618" w:rsidRDefault="00345618" w14:paraId="4631B532" w14:textId="6FB11101">
          <w:pPr>
            <w:pStyle w:val="TOC1"/>
            <w:tabs>
              <w:tab w:val="right" w:leader="dot" w:pos="9350"/>
            </w:tabs>
            <w:rPr>
              <w:noProof/>
              <w:sz w:val="22"/>
              <w:szCs w:val="22"/>
            </w:rPr>
          </w:pPr>
          <w:hyperlink w:history="1" w:anchor="_Toc235367189">
            <w:r w:rsidRPr="00345618">
              <w:rPr>
                <w:rStyle w:val="Hyperlink"/>
                <w:rFonts w:ascii="Arial" w:hAnsi="Arial" w:eastAsia="Arial" w:cs="Arial"/>
                <w:noProof/>
                <w:sz w:val="22"/>
                <w:szCs w:val="22"/>
              </w:rPr>
              <w:t>References</w:t>
            </w:r>
            <w:r w:rsidRPr="00345618">
              <w:rPr>
                <w:noProof/>
                <w:webHidden/>
                <w:sz w:val="22"/>
                <w:szCs w:val="22"/>
              </w:rPr>
              <w:tab/>
            </w:r>
            <w:r w:rsidRPr="00345618">
              <w:rPr>
                <w:noProof/>
                <w:webHidden/>
                <w:sz w:val="22"/>
                <w:szCs w:val="22"/>
              </w:rPr>
              <w:fldChar w:fldCharType="begin"/>
            </w:r>
            <w:r w:rsidRPr="00345618">
              <w:rPr>
                <w:noProof/>
                <w:webHidden/>
                <w:sz w:val="22"/>
                <w:szCs w:val="22"/>
              </w:rPr>
              <w:instrText xml:space="preserve"> PAGEREF _Toc235367189 \h </w:instrText>
            </w:r>
            <w:r w:rsidRPr="00345618">
              <w:rPr>
                <w:noProof/>
                <w:webHidden/>
                <w:sz w:val="22"/>
                <w:szCs w:val="22"/>
              </w:rPr>
            </w:r>
            <w:r w:rsidRPr="00345618">
              <w:rPr>
                <w:noProof/>
                <w:webHidden/>
                <w:sz w:val="22"/>
                <w:szCs w:val="22"/>
              </w:rPr>
              <w:fldChar w:fldCharType="separate"/>
            </w:r>
            <w:r w:rsidRPr="00345618">
              <w:rPr>
                <w:noProof/>
                <w:webHidden/>
                <w:sz w:val="22"/>
                <w:szCs w:val="22"/>
              </w:rPr>
              <w:t>5</w:t>
            </w:r>
            <w:r w:rsidRPr="00345618">
              <w:rPr>
                <w:noProof/>
                <w:webHidden/>
                <w:sz w:val="22"/>
                <w:szCs w:val="22"/>
              </w:rPr>
              <w:fldChar w:fldCharType="end"/>
            </w:r>
          </w:hyperlink>
        </w:p>
        <w:p w:rsidRPr="00345618" w:rsidR="004B303F" w:rsidRDefault="00793F9C" w14:paraId="0000000F" w14:textId="7C0114CB">
          <w:pPr>
            <w:rPr>
              <w:rFonts w:ascii="Arial" w:hAnsi="Arial" w:eastAsia="Arial" w:cs="Arial"/>
              <w:sz w:val="22"/>
              <w:szCs w:val="22"/>
            </w:rPr>
          </w:pPr>
          <w:r w:rsidRPr="00345618">
            <w:rPr>
              <w:sz w:val="22"/>
              <w:szCs w:val="22"/>
            </w:rPr>
            <w:fldChar w:fldCharType="end"/>
          </w:r>
        </w:p>
      </w:sdtContent>
    </w:sdt>
    <w:p w:rsidR="004B303F" w:rsidRDefault="004B303F" w14:paraId="00000010" w14:textId="77777777">
      <w:pPr>
        <w:pStyle w:val="Heading1"/>
        <w:rPr>
          <w:rFonts w:ascii="Arial" w:hAnsi="Arial" w:eastAsia="Arial" w:cs="Arial"/>
          <w:sz w:val="22"/>
          <w:szCs w:val="22"/>
        </w:rPr>
        <w:sectPr w:rsidR="004B303F">
          <w:footerReference w:type="default" r:id="rId7"/>
          <w:pgSz w:w="12240" w:h="15840" w:orient="portrait"/>
          <w:pgMar w:top="1440" w:right="1440" w:bottom="1440" w:left="1440" w:header="720" w:footer="720" w:gutter="0"/>
          <w:pgNumType w:start="0"/>
          <w:cols w:space="720"/>
          <w:titlePg/>
        </w:sectPr>
      </w:pPr>
    </w:p>
    <w:p w:rsidR="004B303F" w:rsidRDefault="00793F9C" w14:paraId="00000011" w14:textId="77777777">
      <w:pPr>
        <w:pStyle w:val="Heading1"/>
        <w:rPr>
          <w:rFonts w:ascii="Arial" w:hAnsi="Arial" w:eastAsia="Arial" w:cs="Arial"/>
          <w:sz w:val="22"/>
          <w:szCs w:val="22"/>
        </w:rPr>
      </w:pPr>
      <w:bookmarkStart w:name="_Toc235367183" w:id="0"/>
      <w:r>
        <w:rPr>
          <w:rFonts w:ascii="Arial" w:hAnsi="Arial" w:eastAsia="Arial" w:cs="Arial"/>
          <w:sz w:val="22"/>
          <w:szCs w:val="22"/>
        </w:rPr>
        <w:t>Introduction</w:t>
      </w:r>
      <w:bookmarkEnd w:id="0"/>
    </w:p>
    <w:p w:rsidR="004B303F" w:rsidRDefault="00793F9C" w14:paraId="00000012" w14:textId="77777777">
      <w:pPr>
        <w:rPr>
          <w:rFonts w:ascii="Arial" w:hAnsi="Arial" w:eastAsia="Arial" w:cs="Arial"/>
          <w:sz w:val="22"/>
          <w:szCs w:val="22"/>
        </w:rPr>
      </w:pPr>
      <w:r>
        <w:rPr>
          <w:rFonts w:ascii="Arial" w:hAnsi="Arial" w:eastAsia="Arial" w:cs="Arial"/>
          <w:sz w:val="22"/>
          <w:szCs w:val="22"/>
        </w:rPr>
        <w:t>In health and social care, type 1 diabetes is a chronic autoimmune disease in which the pancreas produces little to no insulin (Mathew, 2021). In this case, the body’s immune system mistakenly attacks and destroys insulin-producing beta cells in the pancreas. Insulin is an important hormone needed to let glucose (sugar) leave the bloodstream and enter cells to create energy. In this case, without insulin, glucose builds up dangerously in the blood while the body’s cells starve for energy. The condition need</w:t>
      </w:r>
      <w:r>
        <w:rPr>
          <w:rFonts w:ascii="Arial" w:hAnsi="Arial" w:eastAsia="Arial" w:cs="Arial"/>
          <w:sz w:val="22"/>
          <w:szCs w:val="22"/>
        </w:rPr>
        <w:t>s lifelong daily insulin therapy to sustain life and cannot be prevented or cured through lifestyle changes. It is one of the most common issues witnessed in the UK.</w:t>
      </w:r>
    </w:p>
    <w:p w:rsidR="004B303F" w:rsidRDefault="00793F9C" w14:paraId="00000013" w14:textId="77777777">
      <w:pPr>
        <w:rPr>
          <w:rFonts w:ascii="Arial" w:hAnsi="Arial" w:eastAsia="Arial" w:cs="Arial"/>
          <w:sz w:val="22"/>
          <w:szCs w:val="22"/>
        </w:rPr>
      </w:pPr>
      <w:r>
        <w:rPr>
          <w:rFonts w:ascii="Arial" w:hAnsi="Arial" w:eastAsia="Arial" w:cs="Arial"/>
          <w:sz w:val="22"/>
          <w:szCs w:val="22"/>
        </w:rPr>
        <w:t xml:space="preserve">In Type 1 diabetes, the symptoms appear quickly, over a few days or weeks, and are often severe.  The easiest way to remember the main early warning signs is by utilising the 4Ts framework. In that framework, Toilet is the basic stage, which involves needing to urinate much more frequently than usual, including waking up multiple times at night or sudden bedwetting in toilet-trained children. Then, there is an unquenchable, extreme thirst because the body is constantly pulling fluid out of tissues to flush </w:t>
      </w:r>
      <w:r>
        <w:rPr>
          <w:rFonts w:ascii="Arial" w:hAnsi="Arial" w:eastAsia="Arial" w:cs="Arial"/>
          <w:sz w:val="22"/>
          <w:szCs w:val="22"/>
        </w:rPr>
        <w:t>out excess sugar through urine. The person feels an extreme level of physical weakness because cells cannot absorb the glucose they need for energy.  Then, the high blood sugar draws fluid out of the lenses of the eyes, which makes it temporarily difficult to focus. The sudden irritability, crankiness, or anxiety caused by fluctuating blood sugar levels is considered a sign of type 1 diabetes. Then, slow healing of cuts, scrapes, or sores that take an unusually long time to heal is another sign of type 1 di</w:t>
      </w:r>
      <w:r>
        <w:rPr>
          <w:rFonts w:ascii="Arial" w:hAnsi="Arial" w:eastAsia="Arial" w:cs="Arial"/>
          <w:sz w:val="22"/>
          <w:szCs w:val="22"/>
        </w:rPr>
        <w:t>abetes. Then, in global statistics, there are an estimated 513,000 newly diagnosed cases of type 1 diabetes globally each year (Ogle et al., 2025). The UK experiences some of the highest rates of type 1 diabetes in the world, ranking in the top 5 countries globally for total T1D population size (Kack, 2025).</w:t>
      </w:r>
    </w:p>
    <w:p w:rsidR="004B303F" w:rsidRDefault="00793F9C" w14:paraId="00000014" w14:textId="07934902">
      <w:pPr>
        <w:pStyle w:val="Heading1"/>
        <w:rPr>
          <w:rFonts w:ascii="Arial" w:hAnsi="Arial" w:eastAsia="Arial" w:cs="Arial"/>
          <w:sz w:val="22"/>
          <w:szCs w:val="22"/>
        </w:rPr>
      </w:pPr>
      <w:bookmarkStart w:name="_Toc235367184" w:id="1"/>
      <w:r>
        <w:rPr>
          <w:rFonts w:ascii="Arial" w:hAnsi="Arial" w:eastAsia="Arial" w:cs="Arial"/>
          <w:sz w:val="22"/>
          <w:szCs w:val="22"/>
        </w:rPr>
        <w:t>Different approaches used to measure and monitor</w:t>
      </w:r>
      <w:bookmarkEnd w:id="1"/>
      <w:r>
        <w:rPr>
          <w:rFonts w:ascii="Arial" w:hAnsi="Arial" w:eastAsia="Arial" w:cs="Arial"/>
          <w:sz w:val="22"/>
          <w:szCs w:val="22"/>
        </w:rPr>
        <w:t xml:space="preserve"> </w:t>
      </w:r>
    </w:p>
    <w:p w:rsidR="004B303F" w:rsidRDefault="00793F9C" w14:paraId="00000015" w14:textId="0C9E73F3">
      <w:pPr>
        <w:rPr>
          <w:rFonts w:ascii="Arial" w:hAnsi="Arial" w:eastAsia="Arial" w:cs="Arial"/>
          <w:sz w:val="22"/>
          <w:szCs w:val="22"/>
        </w:rPr>
      </w:pPr>
      <w:r w:rsidRPr="0207CA03" w:rsidR="00793F9C">
        <w:rPr>
          <w:rFonts w:ascii="Arial" w:hAnsi="Arial" w:eastAsia="Arial" w:cs="Arial"/>
          <w:sz w:val="22"/>
          <w:szCs w:val="22"/>
        </w:rPr>
        <w:t xml:space="preserve">In this area, the person has </w:t>
      </w:r>
      <w:r w:rsidRPr="0207CA03" w:rsidR="00793F9C">
        <w:rPr>
          <w:rFonts w:ascii="Arial" w:hAnsi="Arial" w:eastAsia="Arial" w:cs="Arial"/>
          <w:sz w:val="22"/>
          <w:szCs w:val="22"/>
        </w:rPr>
        <w:t>witnessed</w:t>
      </w:r>
      <w:r w:rsidRPr="0207CA03" w:rsidR="00793F9C">
        <w:rPr>
          <w:rFonts w:ascii="Arial" w:hAnsi="Arial" w:eastAsia="Arial" w:cs="Arial"/>
          <w:sz w:val="22"/>
          <w:szCs w:val="22"/>
        </w:rPr>
        <w:t xml:space="preserve"> a rapid and unexplained weight loss despite eating the same amount or even eating more. In this case, the person constantly feels hungry because the starved body is craving fuel. Based on those and other signs and symptoms, different approaches are used to measure and </w:t>
      </w:r>
      <w:r w:rsidRPr="0207CA03" w:rsidR="00793F9C">
        <w:rPr>
          <w:rFonts w:ascii="Arial" w:hAnsi="Arial" w:eastAsia="Arial" w:cs="Arial"/>
          <w:sz w:val="22"/>
          <w:szCs w:val="22"/>
        </w:rPr>
        <w:t>monitor</w:t>
      </w:r>
      <w:r w:rsidRPr="0207CA03" w:rsidR="00793F9C">
        <w:rPr>
          <w:rFonts w:ascii="Arial" w:hAnsi="Arial" w:eastAsia="Arial" w:cs="Arial"/>
          <w:sz w:val="22"/>
          <w:szCs w:val="22"/>
        </w:rPr>
        <w:t xml:space="preserve"> type 1 diabetes. Doctors </w:t>
      </w:r>
      <w:r w:rsidRPr="0207CA03" w:rsidR="00793F9C">
        <w:rPr>
          <w:rFonts w:ascii="Arial" w:hAnsi="Arial" w:eastAsia="Arial" w:cs="Arial"/>
          <w:sz w:val="22"/>
          <w:szCs w:val="22"/>
        </w:rPr>
        <w:t>basically utilise</w:t>
      </w:r>
      <w:r w:rsidRPr="0207CA03" w:rsidR="00793F9C">
        <w:rPr>
          <w:rFonts w:ascii="Arial" w:hAnsi="Arial" w:eastAsia="Arial" w:cs="Arial"/>
          <w:sz w:val="22"/>
          <w:szCs w:val="22"/>
        </w:rPr>
        <w:t xml:space="preserve"> specific laboratory blood tests to confirm a diagnosis of Type 1 Diabetes and distinguish it from Type 2 (Mathew, 2021).</w:t>
      </w:r>
      <w:r>
        <w:br/>
      </w:r>
    </w:p>
    <w:p w:rsidR="004B303F" w:rsidRDefault="00793F9C" w14:paraId="00000016" w14:textId="77777777">
      <w:pPr>
        <w:rPr>
          <w:rFonts w:ascii="Arial" w:hAnsi="Arial" w:eastAsia="Arial" w:cs="Arial"/>
          <w:b/>
          <w:bCs/>
          <w:i/>
          <w:iCs/>
          <w:sz w:val="22"/>
          <w:szCs w:val="22"/>
        </w:rPr>
      </w:pPr>
      <w:r>
        <w:rPr>
          <w:rFonts w:ascii="Arial" w:hAnsi="Arial" w:eastAsia="Arial" w:cs="Arial"/>
          <w:b/>
          <w:bCs/>
          <w:i/>
          <w:iCs/>
          <w:sz w:val="22"/>
          <w:szCs w:val="22"/>
        </w:rPr>
        <w:t xml:space="preserve">Measurement approaches </w:t>
      </w:r>
    </w:p>
    <w:p w:rsidR="004B303F" w:rsidRDefault="00793F9C" w14:paraId="00000017" w14:textId="77777777">
      <w:pPr>
        <w:rPr>
          <w:rFonts w:ascii="Arial" w:hAnsi="Arial" w:eastAsia="Arial" w:cs="Arial"/>
          <w:sz w:val="22"/>
          <w:szCs w:val="22"/>
        </w:rPr>
      </w:pPr>
      <w:r>
        <w:rPr>
          <w:rFonts w:ascii="Arial" w:hAnsi="Arial" w:eastAsia="Arial" w:cs="Arial"/>
          <w:b/>
          <w:bCs/>
          <w:sz w:val="22"/>
          <w:szCs w:val="22"/>
        </w:rPr>
        <w:t>Glycosylated Haemoglobin (A1c) Test:</w:t>
      </w:r>
      <w:r>
        <w:rPr>
          <w:rFonts w:ascii="Arial" w:hAnsi="Arial" w:eastAsia="Arial" w:cs="Arial"/>
          <w:sz w:val="22"/>
          <w:szCs w:val="22"/>
        </w:rPr>
        <w:t xml:space="preserve">  It works to measure the percentage of haemoglobin coated with glucose. It tells about the average blood sugar levels over the past 2 to 3 months. The A1c level of 6.5% is the basic indicator of diabetes (Visram et al., 2020).</w:t>
      </w:r>
    </w:p>
    <w:p w:rsidR="004B303F" w:rsidRDefault="00793F9C" w14:paraId="00000018" w14:textId="6AC6F971">
      <w:pPr>
        <w:rPr>
          <w:rFonts w:ascii="Arial" w:hAnsi="Arial" w:eastAsia="Arial" w:cs="Arial"/>
          <w:sz w:val="22"/>
          <w:szCs w:val="22"/>
        </w:rPr>
      </w:pPr>
      <w:r w:rsidRPr="0207CA03" w:rsidR="00793F9C">
        <w:rPr>
          <w:rFonts w:ascii="Arial" w:hAnsi="Arial" w:eastAsia="Arial" w:cs="Arial"/>
          <w:b w:val="1"/>
          <w:bCs w:val="1"/>
          <w:sz w:val="22"/>
          <w:szCs w:val="22"/>
        </w:rPr>
        <w:t>Autoantibody Testing:</w:t>
      </w:r>
      <w:r w:rsidRPr="0207CA03" w:rsidR="00793F9C">
        <w:rPr>
          <w:rFonts w:ascii="Arial" w:hAnsi="Arial" w:eastAsia="Arial" w:cs="Arial"/>
          <w:sz w:val="22"/>
          <w:szCs w:val="22"/>
        </w:rPr>
        <w:t xml:space="preserve"> It checks the blood for specific immune proteins that attack pancreatic cells, such as GAD65, IA-2, and ZnT8 antibodies. In that area, the presence of these antibodies ensures that the disease is an autoimmune condition (Type 1) instead of metabolic (Type 2).</w:t>
      </w:r>
      <w:r>
        <w:br/>
      </w:r>
    </w:p>
    <w:p w:rsidR="004B303F" w:rsidRDefault="00793F9C" w14:paraId="00000019" w14:textId="77777777">
      <w:pPr>
        <w:rPr>
          <w:rFonts w:ascii="Arial" w:hAnsi="Arial" w:eastAsia="Arial" w:cs="Arial"/>
          <w:b/>
          <w:bCs/>
          <w:i/>
          <w:iCs/>
          <w:sz w:val="22"/>
          <w:szCs w:val="22"/>
        </w:rPr>
      </w:pPr>
      <w:r>
        <w:rPr>
          <w:rFonts w:ascii="Arial" w:hAnsi="Arial" w:eastAsia="Arial" w:cs="Arial"/>
          <w:b/>
          <w:bCs/>
          <w:i/>
          <w:iCs/>
          <w:sz w:val="22"/>
          <w:szCs w:val="22"/>
        </w:rPr>
        <w:t>Monitoring Approaches</w:t>
      </w:r>
    </w:p>
    <w:p w:rsidR="004B303F" w:rsidRDefault="00793F9C" w14:paraId="0000001A" w14:textId="77777777">
      <w:pPr>
        <w:rPr>
          <w:rFonts w:ascii="Arial" w:hAnsi="Arial" w:eastAsia="Arial" w:cs="Arial"/>
          <w:sz w:val="22"/>
          <w:szCs w:val="22"/>
        </w:rPr>
      </w:pPr>
      <w:r>
        <w:rPr>
          <w:rFonts w:ascii="Arial" w:hAnsi="Arial" w:eastAsia="Arial" w:cs="Arial"/>
          <w:b/>
          <w:bCs/>
          <w:sz w:val="22"/>
          <w:szCs w:val="22"/>
        </w:rPr>
        <w:t>Continuous Glucose Monitors (CGMs):</w:t>
      </w:r>
      <w:r>
        <w:rPr>
          <w:rFonts w:ascii="Arial" w:hAnsi="Arial" w:eastAsia="Arial" w:cs="Arial"/>
          <w:sz w:val="22"/>
          <w:szCs w:val="22"/>
        </w:rPr>
        <w:t xml:space="preserve"> The small and wearable sensors inserted under the skin that automatically measure sugar levels in the interstitial fluid every few minutes. They work with and give real-time information to a smartphone or insulin pump, which sounds an alarm for dangerous highs or lows (Moonie, 2020).</w:t>
      </w:r>
    </w:p>
    <w:p w:rsidR="004B303F" w:rsidRDefault="00793F9C" w14:paraId="0000001B" w14:textId="77777777">
      <w:pPr>
        <w:rPr>
          <w:rFonts w:ascii="Arial" w:hAnsi="Arial" w:eastAsia="Arial" w:cs="Arial"/>
          <w:sz w:val="22"/>
          <w:szCs w:val="22"/>
        </w:rPr>
      </w:pPr>
      <w:r>
        <w:rPr>
          <w:rFonts w:ascii="Arial" w:hAnsi="Arial" w:eastAsia="Arial" w:cs="Arial"/>
          <w:b/>
          <w:bCs/>
          <w:sz w:val="22"/>
          <w:szCs w:val="22"/>
        </w:rPr>
        <w:t>Blood Glucose Meters (Finger-Prick Testing):</w:t>
      </w:r>
      <w:r>
        <w:rPr>
          <w:rFonts w:ascii="Arial" w:hAnsi="Arial" w:eastAsia="Arial" w:cs="Arial"/>
          <w:sz w:val="22"/>
          <w:szCs w:val="22"/>
        </w:rPr>
        <w:t xml:space="preserve"> It is a manual method in which a patient pricks their finger to place a drop of blood on a test strip. It calculates the exact blood glucose level at that specific moment, which is utilised to calibrate CGMs or calculate insulin doses before meals.</w:t>
      </w:r>
    </w:p>
    <w:p w:rsidR="004B303F" w:rsidRDefault="00793F9C" w14:paraId="0000001C" w14:textId="77777777">
      <w:pPr>
        <w:pStyle w:val="Heading1"/>
        <w:rPr>
          <w:rFonts w:ascii="Arial" w:hAnsi="Arial" w:eastAsia="Arial" w:cs="Arial"/>
          <w:sz w:val="22"/>
          <w:szCs w:val="22"/>
        </w:rPr>
      </w:pPr>
      <w:bookmarkStart w:name="_Toc235367185" w:id="2"/>
      <w:r>
        <w:rPr>
          <w:rFonts w:ascii="Arial" w:hAnsi="Arial" w:eastAsia="Arial" w:cs="Arial"/>
          <w:sz w:val="22"/>
          <w:szCs w:val="22"/>
        </w:rPr>
        <w:t>How this disease is controlled</w:t>
      </w:r>
      <w:bookmarkEnd w:id="2"/>
      <w:r>
        <w:rPr>
          <w:rFonts w:ascii="Arial" w:hAnsi="Arial" w:eastAsia="Arial" w:cs="Arial"/>
          <w:sz w:val="22"/>
          <w:szCs w:val="22"/>
        </w:rPr>
        <w:t xml:space="preserve"> </w:t>
      </w:r>
    </w:p>
    <w:p w:rsidR="004B303F" w:rsidRDefault="00793F9C" w14:paraId="0000001D" w14:textId="77777777">
      <w:pPr/>
      <w:r w:rsidRPr="0207CA03" w:rsidR="00793F9C">
        <w:rPr>
          <w:rFonts w:ascii="Arial" w:hAnsi="Arial" w:eastAsia="Arial" w:cs="Arial"/>
          <w:sz w:val="22"/>
          <w:szCs w:val="22"/>
        </w:rPr>
        <w:t>Type 1 diabetes is controlled by replacing the insulin the body can no longer make and keeping blood sugar levels as close to a target range as possible. There needs to be a 24/7 balancing act between medication, technology, food, and physical activity (Visram et al., 2020).</w:t>
      </w:r>
    </w:p>
    <w:p w:rsidR="0207CA03" w:rsidP="0207CA03" w:rsidRDefault="0207CA03" w14:paraId="2FA15E67" w14:textId="00937B3B">
      <w:pPr>
        <w:rPr>
          <w:rFonts w:ascii="Arial" w:hAnsi="Arial" w:eastAsia="Arial" w:cs="Arial"/>
          <w:sz w:val="22"/>
          <w:szCs w:val="22"/>
        </w:rPr>
      </w:pPr>
    </w:p>
    <w:p w:rsidR="004B303F" w:rsidRDefault="00793F9C" w14:paraId="0000001E" w14:textId="77777777">
      <w:pPr>
        <w:rPr>
          <w:rFonts w:ascii="Arial" w:hAnsi="Arial" w:eastAsia="Arial" w:cs="Arial"/>
          <w:b/>
          <w:bCs/>
          <w:i/>
          <w:iCs/>
          <w:sz w:val="22"/>
          <w:szCs w:val="22"/>
        </w:rPr>
      </w:pPr>
      <w:r>
        <w:rPr>
          <w:rFonts w:ascii="Arial" w:hAnsi="Arial" w:eastAsia="Arial" w:cs="Arial"/>
          <w:b/>
          <w:bCs/>
          <w:i/>
          <w:iCs/>
          <w:sz w:val="22"/>
          <w:szCs w:val="22"/>
        </w:rPr>
        <w:t xml:space="preserve">Insulin therapy </w:t>
      </w:r>
    </w:p>
    <w:p w:rsidR="004B303F" w:rsidRDefault="00793F9C" w14:paraId="0000001F" w14:textId="02C62C04">
      <w:pPr/>
      <w:r w:rsidRPr="0207CA03" w:rsidR="00793F9C">
        <w:rPr>
          <w:rFonts w:ascii="Arial" w:hAnsi="Arial" w:eastAsia="Arial" w:cs="Arial"/>
          <w:sz w:val="22"/>
          <w:szCs w:val="22"/>
        </w:rPr>
        <w:t xml:space="preserve">Every person with type 1 diabetes has to take insulin daily to survive. There </w:t>
      </w:r>
      <w:r w:rsidRPr="0207CA03" w:rsidR="00345618">
        <w:rPr>
          <w:rFonts w:ascii="Arial" w:hAnsi="Arial" w:eastAsia="Arial" w:cs="Arial"/>
          <w:sz w:val="22"/>
          <w:szCs w:val="22"/>
        </w:rPr>
        <w:t>must</w:t>
      </w:r>
      <w:r w:rsidRPr="0207CA03" w:rsidR="00793F9C">
        <w:rPr>
          <w:rFonts w:ascii="Arial" w:hAnsi="Arial" w:eastAsia="Arial" w:cs="Arial"/>
          <w:sz w:val="22"/>
          <w:szCs w:val="22"/>
        </w:rPr>
        <w:t xml:space="preserve"> be insulin pens or syringes. Patients inject long-acting insulin once or twice a day to keep background blood sugars stable. They also inject rapid-acting (bolus) insulin before every meal or snack to handle food sugars. Small, computerised devices worn on the body that deliver a continuous, programmable stream of rapid-acting insulin through a tiny tube inserted under the skin. It is closer than injections (Coad et al., 2019).</w:t>
      </w:r>
    </w:p>
    <w:p w:rsidR="0207CA03" w:rsidP="0207CA03" w:rsidRDefault="0207CA03" w14:paraId="736AB030" w14:textId="43AEF245">
      <w:pPr>
        <w:rPr>
          <w:rFonts w:ascii="Arial" w:hAnsi="Arial" w:eastAsia="Arial" w:cs="Arial"/>
          <w:sz w:val="22"/>
          <w:szCs w:val="22"/>
        </w:rPr>
      </w:pPr>
    </w:p>
    <w:p w:rsidR="004B303F" w:rsidRDefault="00793F9C" w14:paraId="00000020" w14:textId="77777777">
      <w:pPr>
        <w:rPr>
          <w:rFonts w:ascii="Arial" w:hAnsi="Arial" w:eastAsia="Arial" w:cs="Arial"/>
          <w:b/>
          <w:bCs/>
          <w:i/>
          <w:iCs/>
          <w:sz w:val="22"/>
          <w:szCs w:val="22"/>
        </w:rPr>
      </w:pPr>
      <w:r>
        <w:rPr>
          <w:rFonts w:ascii="Arial" w:hAnsi="Arial" w:eastAsia="Arial" w:cs="Arial"/>
          <w:b/>
          <w:bCs/>
          <w:i/>
          <w:iCs/>
          <w:sz w:val="22"/>
          <w:szCs w:val="22"/>
        </w:rPr>
        <w:t xml:space="preserve">Precision nutrition </w:t>
      </w:r>
    </w:p>
    <w:p w:rsidR="004B303F" w:rsidRDefault="00793F9C" w14:paraId="00000021" w14:textId="77777777">
      <w:pPr/>
      <w:r w:rsidRPr="0207CA03" w:rsidR="00793F9C">
        <w:rPr>
          <w:rFonts w:ascii="Arial" w:hAnsi="Arial" w:eastAsia="Arial" w:cs="Arial"/>
          <w:sz w:val="22"/>
          <w:szCs w:val="22"/>
        </w:rPr>
        <w:t>In this case, dietary control does not mean cutting out all sugar or carbs; it needs effective balancing in daily food habits. In this process, patients have to calculate the exact grams of carbohydrates in their food. They utilise a personalised formula to inject a matching dose of rapid-acting insulin for that specific amount of food (Visram et al., 2020).</w:t>
      </w:r>
    </w:p>
    <w:p w:rsidR="0207CA03" w:rsidP="0207CA03" w:rsidRDefault="0207CA03" w14:paraId="6AE31E59" w14:textId="0EA26E30">
      <w:pPr>
        <w:rPr>
          <w:rFonts w:ascii="Arial" w:hAnsi="Arial" w:eastAsia="Arial" w:cs="Arial"/>
          <w:sz w:val="22"/>
          <w:szCs w:val="22"/>
        </w:rPr>
      </w:pPr>
    </w:p>
    <w:p w:rsidR="004B303F" w:rsidRDefault="00793F9C" w14:paraId="00000022" w14:textId="77777777">
      <w:pPr>
        <w:rPr>
          <w:rFonts w:ascii="Arial" w:hAnsi="Arial" w:eastAsia="Arial" w:cs="Arial"/>
          <w:b/>
          <w:bCs/>
          <w:i/>
          <w:iCs/>
          <w:sz w:val="22"/>
          <w:szCs w:val="22"/>
        </w:rPr>
      </w:pPr>
      <w:r>
        <w:rPr>
          <w:rFonts w:ascii="Arial" w:hAnsi="Arial" w:eastAsia="Arial" w:cs="Arial"/>
          <w:b/>
          <w:bCs/>
          <w:i/>
          <w:iCs/>
          <w:sz w:val="22"/>
          <w:szCs w:val="22"/>
        </w:rPr>
        <w:t xml:space="preserve">Lifestyle adjustments </w:t>
      </w:r>
    </w:p>
    <w:p w:rsidR="004B303F" w:rsidRDefault="00793F9C" w14:paraId="00000023" w14:textId="77777777">
      <w:pPr>
        <w:rPr>
          <w:rFonts w:ascii="Arial" w:hAnsi="Arial" w:eastAsia="Arial" w:cs="Arial"/>
          <w:sz w:val="22"/>
          <w:szCs w:val="22"/>
        </w:rPr>
      </w:pPr>
      <w:r>
        <w:rPr>
          <w:rFonts w:ascii="Arial" w:hAnsi="Arial" w:eastAsia="Arial" w:cs="Arial"/>
          <w:sz w:val="22"/>
          <w:szCs w:val="22"/>
        </w:rPr>
        <w:t>In daily life, exercise increases insulin sensitivity, which makes the body utilise glucose more efficiently. However, activity can also cause sudden blood sugar drops, which need careful planning or reduced insulin doses before working out. Physical illness, infections, and mental stress release hormones like cortisol, which basically spike blood sugar levels. Patients need to check for toxic ketones and increase insulin doses when they look unwell (Housby et al., 2026).</w:t>
      </w:r>
    </w:p>
    <w:p w:rsidR="004B303F" w:rsidRDefault="00793F9C" w14:paraId="00000024" w14:textId="38648402">
      <w:pPr>
        <w:pStyle w:val="Heading1"/>
        <w:rPr>
          <w:rFonts w:ascii="Arial" w:hAnsi="Arial" w:eastAsia="Arial" w:cs="Arial"/>
          <w:sz w:val="22"/>
          <w:szCs w:val="22"/>
        </w:rPr>
      </w:pPr>
      <w:bookmarkStart w:name="_Toc235367186" w:id="3"/>
      <w:r>
        <w:rPr>
          <w:rFonts w:ascii="Arial" w:hAnsi="Arial" w:eastAsia="Arial" w:cs="Arial"/>
          <w:sz w:val="22"/>
          <w:szCs w:val="22"/>
        </w:rPr>
        <w:t>The consequences of this illness on people</w:t>
      </w:r>
      <w:bookmarkEnd w:id="3"/>
      <w:r>
        <w:rPr>
          <w:rFonts w:ascii="Arial" w:hAnsi="Arial" w:eastAsia="Arial" w:cs="Arial"/>
          <w:sz w:val="22"/>
          <w:szCs w:val="22"/>
        </w:rPr>
        <w:t xml:space="preserve"> </w:t>
      </w:r>
    </w:p>
    <w:p w:rsidR="004B303F" w:rsidRDefault="00793F9C" w14:paraId="00000025" w14:textId="77777777">
      <w:pPr>
        <w:rPr>
          <w:rFonts w:ascii="Arial" w:hAnsi="Arial" w:eastAsia="Arial" w:cs="Arial"/>
          <w:sz w:val="22"/>
          <w:szCs w:val="22"/>
        </w:rPr>
      </w:pPr>
      <w:r>
        <w:rPr>
          <w:rFonts w:ascii="Arial" w:hAnsi="Arial" w:eastAsia="Arial" w:cs="Arial"/>
          <w:sz w:val="22"/>
          <w:szCs w:val="22"/>
        </w:rPr>
        <w:t>The consequences of type 1 diabetes not only hamper physical health, but also impact the financial, psychological, social, and professional structures of people and communities.</w:t>
      </w:r>
    </w:p>
    <w:p w:rsidR="004B303F" w:rsidRDefault="00793F9C" w14:paraId="00000026" w14:textId="77777777">
      <w:pPr>
        <w:rPr>
          <w:rFonts w:ascii="Arial" w:hAnsi="Arial" w:eastAsia="Arial" w:cs="Arial"/>
          <w:b/>
          <w:bCs/>
          <w:i/>
          <w:iCs/>
          <w:sz w:val="22"/>
          <w:szCs w:val="22"/>
        </w:rPr>
      </w:pPr>
      <w:r>
        <w:rPr>
          <w:rFonts w:ascii="Arial" w:hAnsi="Arial" w:eastAsia="Arial" w:cs="Arial"/>
          <w:b/>
          <w:bCs/>
          <w:i/>
          <w:iCs/>
          <w:sz w:val="22"/>
          <w:szCs w:val="22"/>
        </w:rPr>
        <w:t xml:space="preserve">Financial and economic consequences </w:t>
      </w:r>
    </w:p>
    <w:p w:rsidR="004B303F" w:rsidRDefault="00793F9C" w14:paraId="00000027" w14:textId="77777777">
      <w:pPr>
        <w:rPr>
          <w:rFonts w:ascii="Arial" w:hAnsi="Arial" w:eastAsia="Arial" w:cs="Arial"/>
          <w:sz w:val="22"/>
          <w:szCs w:val="22"/>
        </w:rPr>
      </w:pPr>
      <w:r>
        <w:rPr>
          <w:rFonts w:ascii="Arial" w:hAnsi="Arial" w:eastAsia="Arial" w:cs="Arial"/>
          <w:sz w:val="22"/>
          <w:szCs w:val="22"/>
        </w:rPr>
        <w:t>Families face financial costs for insulin, needles, glucose test strips, and wearable sensors. Often, out-of-pocket costs for nations without universal healthcare can lead to catastrophic medical debt or dangerous insulin rationing. In the UK, diabetes care consumes 10% of the entire National Health Service (NHS) budget (Housby</w:t>
      </w:r>
      <w:r>
        <w:rPr>
          <w:rFonts w:ascii="Arial" w:hAnsi="Arial" w:eastAsia="Arial" w:cs="Arial"/>
          <w:sz w:val="22"/>
          <w:szCs w:val="22"/>
        </w:rPr>
        <w:t xml:space="preserve"> et al., 2026). The vast majority of this funding goes toward treating preventable long-term complications rather than daily management. Then, low blood sugar cases and medical appointments lead to increased absenteeism. It results in a loss of productivity for local businesses and the national economy (Mathew, 2021).</w:t>
      </w:r>
    </w:p>
    <w:p w:rsidR="004B303F" w:rsidRDefault="00793F9C" w14:paraId="00000028" w14:textId="77777777">
      <w:pPr>
        <w:rPr>
          <w:rFonts w:ascii="Arial" w:hAnsi="Arial" w:eastAsia="Arial" w:cs="Arial"/>
          <w:b/>
          <w:bCs/>
          <w:i/>
          <w:iCs/>
          <w:sz w:val="22"/>
          <w:szCs w:val="22"/>
        </w:rPr>
      </w:pPr>
      <w:r>
        <w:rPr>
          <w:rFonts w:ascii="Arial" w:hAnsi="Arial" w:eastAsia="Arial" w:cs="Arial"/>
          <w:b/>
          <w:bCs/>
          <w:i/>
          <w:iCs/>
          <w:sz w:val="22"/>
          <w:szCs w:val="22"/>
        </w:rPr>
        <w:t>Psychological and emotional impacts</w:t>
      </w:r>
    </w:p>
    <w:p w:rsidR="004B303F" w:rsidRDefault="00793F9C" w14:paraId="00000029" w14:textId="77777777">
      <w:pPr>
        <w:rPr>
          <w:rFonts w:ascii="Arial" w:hAnsi="Arial" w:eastAsia="Arial" w:cs="Arial"/>
          <w:sz w:val="22"/>
          <w:szCs w:val="22"/>
        </w:rPr>
      </w:pPr>
      <w:r>
        <w:rPr>
          <w:rFonts w:ascii="Arial" w:hAnsi="Arial" w:eastAsia="Arial" w:cs="Arial"/>
          <w:sz w:val="22"/>
          <w:szCs w:val="22"/>
        </w:rPr>
        <w:t>In this case, patients experience severe mental exhaustion from the relentless daily demand of tracking food, calculating doses, and monitoring blood sugar, sometimes leading to total self-care neglect. Then, individuals are twice as likely to suffer from depression compared to the general public. The thought of various nighttime low blood sugar drives chronic anxiety and sleep deprivation in people with that (Clarke, 2022).</w:t>
      </w:r>
    </w:p>
    <w:p w:rsidR="004B303F" w:rsidRDefault="00793F9C" w14:paraId="0000002A" w14:textId="032906A1">
      <w:pPr>
        <w:pStyle w:val="Heading1"/>
        <w:rPr>
          <w:rFonts w:ascii="Arial" w:hAnsi="Arial" w:eastAsia="Arial" w:cs="Arial"/>
          <w:sz w:val="22"/>
          <w:szCs w:val="22"/>
        </w:rPr>
      </w:pPr>
      <w:bookmarkStart w:name="_Toc235367187" w:id="4"/>
      <w:r>
        <w:rPr>
          <w:rFonts w:ascii="Arial" w:hAnsi="Arial" w:eastAsia="Arial" w:cs="Arial"/>
          <w:sz w:val="22"/>
          <w:szCs w:val="22"/>
        </w:rPr>
        <w:t>Health and social care support services</w:t>
      </w:r>
      <w:bookmarkEnd w:id="4"/>
      <w:r>
        <w:rPr>
          <w:rFonts w:ascii="Arial" w:hAnsi="Arial" w:eastAsia="Arial" w:cs="Arial"/>
          <w:sz w:val="22"/>
          <w:szCs w:val="22"/>
        </w:rPr>
        <w:t xml:space="preserve"> </w:t>
      </w:r>
    </w:p>
    <w:p w:rsidR="004B303F" w:rsidRDefault="00793F9C" w14:paraId="0000002B" w14:textId="77777777">
      <w:pPr>
        <w:rPr>
          <w:rFonts w:ascii="Arial" w:hAnsi="Arial" w:eastAsia="Arial" w:cs="Arial"/>
          <w:b/>
          <w:bCs/>
          <w:i/>
          <w:iCs/>
          <w:sz w:val="22"/>
          <w:szCs w:val="22"/>
        </w:rPr>
      </w:pPr>
      <w:r>
        <w:rPr>
          <w:rFonts w:ascii="Arial" w:hAnsi="Arial" w:eastAsia="Arial" w:cs="Arial"/>
          <w:b/>
          <w:bCs/>
          <w:i/>
          <w:iCs/>
          <w:sz w:val="22"/>
          <w:szCs w:val="22"/>
        </w:rPr>
        <w:t xml:space="preserve">Medical and clinic services (Preserving physical health) </w:t>
      </w:r>
    </w:p>
    <w:p w:rsidR="004B303F" w:rsidRDefault="00793F9C" w14:paraId="0000002C" w14:textId="77777777">
      <w:pPr>
        <w:rPr>
          <w:rFonts w:ascii="Arial" w:hAnsi="Arial" w:eastAsia="Arial" w:cs="Arial"/>
          <w:sz w:val="22"/>
          <w:szCs w:val="22"/>
        </w:rPr>
      </w:pPr>
      <w:r>
        <w:rPr>
          <w:rFonts w:ascii="Arial" w:hAnsi="Arial" w:eastAsia="Arial" w:cs="Arial"/>
          <w:sz w:val="22"/>
          <w:szCs w:val="22"/>
        </w:rPr>
        <w:t>There are specialist endocrinology clinics which are led by Consultant Endocrinologists who provide high-level medical oversight, review difficult glucose tests, and screen for long-term complications. The front-line support in the community. They teach patients how to inject insulin, adjust doses, control sick-day rules during illnesses, and provide phone-line support in emergencies (Mathew, 2021). Local community clinics that coordinate continuous repeat prescriptions, conduct routine health checks, and a</w:t>
      </w:r>
      <w:r>
        <w:rPr>
          <w:rFonts w:ascii="Arial" w:hAnsi="Arial" w:eastAsia="Arial" w:cs="Arial"/>
          <w:sz w:val="22"/>
          <w:szCs w:val="22"/>
        </w:rPr>
        <w:t>dminister annual vaccines.</w:t>
      </w:r>
    </w:p>
    <w:p w:rsidR="004B303F" w:rsidRDefault="00793F9C" w14:paraId="0000002D" w14:textId="77777777">
      <w:pPr>
        <w:rPr>
          <w:rFonts w:ascii="Arial" w:hAnsi="Arial" w:eastAsia="Arial" w:cs="Arial"/>
          <w:b/>
          <w:bCs/>
          <w:i/>
          <w:iCs/>
          <w:sz w:val="22"/>
          <w:szCs w:val="22"/>
        </w:rPr>
      </w:pPr>
      <w:r>
        <w:rPr>
          <w:rFonts w:ascii="Arial" w:hAnsi="Arial" w:eastAsia="Arial" w:cs="Arial"/>
          <w:b/>
          <w:bCs/>
          <w:i/>
          <w:iCs/>
          <w:sz w:val="22"/>
          <w:szCs w:val="22"/>
        </w:rPr>
        <w:t>Psychological and mental health services (Preventing burnout)</w:t>
      </w:r>
    </w:p>
    <w:p w:rsidR="004B303F" w:rsidRDefault="00793F9C" w14:paraId="0000002E" w14:textId="77777777">
      <w:pPr>
        <w:rPr>
          <w:rFonts w:ascii="Arial" w:hAnsi="Arial" w:eastAsia="Arial" w:cs="Arial"/>
          <w:sz w:val="22"/>
          <w:szCs w:val="22"/>
        </w:rPr>
      </w:pPr>
      <w:r>
        <w:rPr>
          <w:rFonts w:ascii="Arial" w:hAnsi="Arial" w:eastAsia="Arial" w:cs="Arial"/>
          <w:sz w:val="22"/>
          <w:szCs w:val="22"/>
        </w:rPr>
        <w:t>Counsellors and psychologists are embedded in the care and are located within the diabetes clinic (Rasheed, 2020). They specialise in treating diabetes burnout, needle phobias, and severe anxiety surrounding night-time low blood sugar.  In this care, intensive psychiatric and metabolic services are designed to treat Diabulimia, which is a dangerous condition where an individual deliberately restricts insulin intake to force rapid weight loss (Butler, 2023).</w:t>
      </w:r>
    </w:p>
    <w:p w:rsidR="004B303F" w:rsidRDefault="00793F9C" w14:paraId="0000002F" w14:textId="77777777">
      <w:pPr>
        <w:rPr>
          <w:rFonts w:ascii="Arial" w:hAnsi="Arial" w:eastAsia="Arial" w:cs="Arial"/>
          <w:b/>
          <w:bCs/>
          <w:i/>
          <w:iCs/>
          <w:sz w:val="22"/>
          <w:szCs w:val="22"/>
        </w:rPr>
      </w:pPr>
      <w:r>
        <w:rPr>
          <w:rFonts w:ascii="Arial" w:hAnsi="Arial" w:eastAsia="Arial" w:cs="Arial"/>
          <w:b/>
          <w:bCs/>
          <w:i/>
          <w:iCs/>
          <w:sz w:val="22"/>
          <w:szCs w:val="22"/>
        </w:rPr>
        <w:t xml:space="preserve">Social care and environmental services </w:t>
      </w:r>
    </w:p>
    <w:p w:rsidR="004B303F" w:rsidRDefault="00793F9C" w14:paraId="00000030" w14:textId="77777777">
      <w:pPr>
        <w:rPr>
          <w:rFonts w:ascii="Arial" w:hAnsi="Arial" w:eastAsia="Arial" w:cs="Arial"/>
          <w:sz w:val="22"/>
          <w:szCs w:val="22"/>
        </w:rPr>
      </w:pPr>
      <w:r>
        <w:rPr>
          <w:rFonts w:ascii="Arial" w:hAnsi="Arial" w:eastAsia="Arial" w:cs="Arial"/>
          <w:sz w:val="22"/>
          <w:szCs w:val="22"/>
        </w:rPr>
        <w:t>Various community pediatric</w:t>
      </w:r>
      <w:r>
        <w:rPr>
          <w:rFonts w:ascii="Arial" w:hAnsi="Arial" w:eastAsia="Arial" w:cs="Arial"/>
          <w:sz w:val="22"/>
          <w:szCs w:val="22"/>
        </w:rPr>
        <w:t xml:space="preserve"> teams who work with schools to write an individual’s healthcare plan.  They legally train teachers to count carbs, supervise injections, and administer emergency glucagon.  Community assessments that guide workplaces on making legally mandated adjustments, ensuring employees are given private rooms to inject and flexible breaks to treat low blood sugars. Community assessments that guide workplaces on making legally mandated adjustments, ensuring employees are given private rooms to inject and flexible brea</w:t>
      </w:r>
      <w:r>
        <w:rPr>
          <w:rFonts w:ascii="Arial" w:hAnsi="Arial" w:eastAsia="Arial" w:cs="Arial"/>
          <w:sz w:val="22"/>
          <w:szCs w:val="22"/>
        </w:rPr>
        <w:t>ks to treat low blood sugars. In the UK, there is a medical exemption certificate for all patients, which ensures that all diabetes medications and technologies are free (Mathew, 2021). Community-led groups and charities (Diabetes UK or Breakthrough T1D) organise youth camps, local meetups, and online forums to combat the isolation that can accompany the disease. Those care plans support Type 1 diabetes patients to lead a healthy life.</w:t>
      </w:r>
    </w:p>
    <w:p w:rsidR="004B303F" w:rsidRDefault="00793F9C" w14:paraId="00000031" w14:textId="77777777">
      <w:pPr>
        <w:pStyle w:val="Heading1"/>
        <w:rPr>
          <w:rFonts w:ascii="Arial" w:hAnsi="Arial" w:eastAsia="Arial" w:cs="Arial"/>
          <w:sz w:val="22"/>
          <w:szCs w:val="22"/>
        </w:rPr>
      </w:pPr>
      <w:bookmarkStart w:name="_Toc235367188" w:id="5"/>
      <w:r>
        <w:rPr>
          <w:rFonts w:ascii="Arial" w:hAnsi="Arial" w:eastAsia="Arial" w:cs="Arial"/>
          <w:sz w:val="22"/>
          <w:szCs w:val="22"/>
        </w:rPr>
        <w:t>Conclusion</w:t>
      </w:r>
      <w:bookmarkEnd w:id="5"/>
      <w:r>
        <w:rPr>
          <w:rFonts w:ascii="Arial" w:hAnsi="Arial" w:eastAsia="Arial" w:cs="Arial"/>
          <w:sz w:val="22"/>
          <w:szCs w:val="22"/>
        </w:rPr>
        <w:t xml:space="preserve"> </w:t>
      </w:r>
    </w:p>
    <w:p w:rsidR="004B303F" w:rsidRDefault="00793F9C" w14:paraId="00000032" w14:textId="2DF28D9F">
      <w:pPr>
        <w:rPr>
          <w:rFonts w:ascii="Arial" w:hAnsi="Arial" w:eastAsia="Arial" w:cs="Arial"/>
          <w:sz w:val="22"/>
          <w:szCs w:val="22"/>
        </w:rPr>
        <w:sectPr w:rsidR="004B303F">
          <w:footerReference w:type="default" r:id="rId8"/>
          <w:pgSz w:w="12240" w:h="15840" w:orient="portrait"/>
          <w:pgMar w:top="1440" w:right="1440" w:bottom="1440" w:left="1440" w:header="720" w:footer="720" w:gutter="0"/>
          <w:pgNumType w:start="1"/>
          <w:cols w:space="720"/>
        </w:sectPr>
      </w:pPr>
      <w:r>
        <w:rPr>
          <w:rFonts w:ascii="Arial" w:hAnsi="Arial" w:eastAsia="Arial" w:cs="Arial"/>
          <w:sz w:val="22"/>
          <w:szCs w:val="22"/>
        </w:rPr>
        <w:t>This task is based on health and social care by evaluating Type 1 Diabetes. Type 1 diabetes is a chronic autoimmune disease in which the pancreas produces little to no insulin. The UK experiences some of the highest rates of type 1 diabetes in the world, ranking in the top 5 countries globally for total T1D population size. While measuring it, Glycosylated Haemoglobin (A1c) Test and Autoantibody Testing are included. Continuous Glucose Monitors (CGMs) and Blood Glucose Meters (Finger-Prick Testing) are cons</w:t>
      </w:r>
      <w:r>
        <w:rPr>
          <w:rFonts w:ascii="Arial" w:hAnsi="Arial" w:eastAsia="Arial" w:cs="Arial"/>
          <w:sz w:val="22"/>
          <w:szCs w:val="22"/>
        </w:rPr>
        <w:t>idered. In the case of health and social care support services, Medical and clinic services (Preserving physical health),</w:t>
      </w:r>
      <w:r>
        <w:rPr>
          <w:rFonts w:ascii="Arial" w:hAnsi="Arial" w:eastAsia="Arial" w:cs="Arial"/>
          <w:b/>
          <w:bCs/>
          <w:i/>
          <w:iCs/>
          <w:sz w:val="22"/>
          <w:szCs w:val="22"/>
        </w:rPr>
        <w:t xml:space="preserve"> </w:t>
      </w:r>
      <w:r>
        <w:rPr>
          <w:rFonts w:ascii="Arial" w:hAnsi="Arial" w:eastAsia="Arial" w:cs="Arial"/>
          <w:sz w:val="22"/>
          <w:szCs w:val="22"/>
        </w:rPr>
        <w:t xml:space="preserve">Psychological and mental health services (Preventing burnout), and </w:t>
      </w:r>
      <w:r w:rsidR="00345618">
        <w:rPr>
          <w:rFonts w:ascii="Arial" w:hAnsi="Arial" w:eastAsia="Arial" w:cs="Arial"/>
          <w:sz w:val="22"/>
          <w:szCs w:val="22"/>
        </w:rPr>
        <w:t>social</w:t>
      </w:r>
      <w:r>
        <w:rPr>
          <w:rFonts w:ascii="Arial" w:hAnsi="Arial" w:eastAsia="Arial" w:cs="Arial"/>
          <w:sz w:val="22"/>
          <w:szCs w:val="22"/>
        </w:rPr>
        <w:t xml:space="preserve"> care and environmental services (Diabetes UK or Breakthrough T1D) are considered.</w:t>
      </w:r>
    </w:p>
    <w:p w:rsidR="004B303F" w:rsidRDefault="00793F9C" w14:paraId="00000033" w14:textId="77777777">
      <w:pPr>
        <w:pStyle w:val="Heading1"/>
        <w:rPr>
          <w:rFonts w:ascii="Arial" w:hAnsi="Arial" w:eastAsia="Arial" w:cs="Arial"/>
          <w:sz w:val="22"/>
          <w:szCs w:val="22"/>
        </w:rPr>
      </w:pPr>
      <w:bookmarkStart w:name="_Toc235367189" w:id="6"/>
      <w:r>
        <w:rPr>
          <w:rFonts w:ascii="Arial" w:hAnsi="Arial" w:eastAsia="Arial" w:cs="Arial"/>
          <w:sz w:val="22"/>
          <w:szCs w:val="22"/>
        </w:rPr>
        <w:t>References</w:t>
      </w:r>
      <w:bookmarkEnd w:id="6"/>
    </w:p>
    <w:p w:rsidR="004B303F" w:rsidRDefault="00793F9C" w14:paraId="00000034"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Butler, S.M. (2023). How health care organizations should support social services. </w:t>
      </w:r>
      <w:r>
        <w:rPr>
          <w:rFonts w:ascii="Arial" w:hAnsi="Arial" w:eastAsia="Arial" w:cs="Arial"/>
          <w:i/>
          <w:iCs/>
          <w:color w:val="000000"/>
          <w:sz w:val="22"/>
          <w:szCs w:val="22"/>
        </w:rPr>
        <w:t>JAMA health forum</w:t>
      </w:r>
      <w:r>
        <w:rPr>
          <w:rFonts w:ascii="Arial" w:hAnsi="Arial" w:eastAsia="Arial" w:cs="Arial"/>
          <w:color w:val="000000"/>
          <w:sz w:val="22"/>
          <w:szCs w:val="22"/>
        </w:rPr>
        <w:t>, 4(11), p.e234569.</w:t>
      </w:r>
    </w:p>
    <w:p w:rsidR="004B303F" w:rsidRDefault="00793F9C" w14:paraId="00000035"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Clarke, L. (2022). </w:t>
      </w:r>
      <w:r>
        <w:rPr>
          <w:rFonts w:ascii="Arial" w:hAnsi="Arial" w:eastAsia="Arial" w:cs="Arial"/>
          <w:i/>
          <w:iCs/>
          <w:color w:val="000000"/>
          <w:sz w:val="22"/>
          <w:szCs w:val="22"/>
        </w:rPr>
        <w:t>Health and social care</w:t>
      </w:r>
      <w:r>
        <w:rPr>
          <w:rFonts w:ascii="Arial" w:hAnsi="Arial" w:eastAsia="Arial" w:cs="Arial"/>
          <w:color w:val="000000"/>
          <w:sz w:val="22"/>
          <w:szCs w:val="22"/>
        </w:rPr>
        <w:t>. Cheltenham: Nelson Thornes.</w:t>
      </w:r>
    </w:p>
    <w:p w:rsidR="004B303F" w:rsidRDefault="00793F9C" w14:paraId="00000036"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Coad, J., Manning, J., Mills, E., Semple, C., Johnston, B. and McMahon, A. (2019). Capturing the real impact of clinical academics in Practice. </w:t>
      </w:r>
      <w:r>
        <w:rPr>
          <w:rFonts w:ascii="Arial" w:hAnsi="Arial" w:eastAsia="Arial" w:cs="Arial"/>
          <w:i/>
          <w:iCs/>
          <w:color w:val="000000"/>
          <w:sz w:val="22"/>
          <w:szCs w:val="22"/>
        </w:rPr>
        <w:t>International journal of practice-based learning in Health and social care</w:t>
      </w:r>
      <w:r>
        <w:rPr>
          <w:rFonts w:ascii="Arial" w:hAnsi="Arial" w:eastAsia="Arial" w:cs="Arial"/>
          <w:color w:val="000000"/>
          <w:sz w:val="22"/>
          <w:szCs w:val="22"/>
        </w:rPr>
        <w:t>, 7(2), pp.47–56.</w:t>
      </w:r>
    </w:p>
    <w:p w:rsidR="004B303F" w:rsidRDefault="00793F9C" w14:paraId="00000037"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Housby, H., Kaur, A., Godsland, I., Wylie, T., Oliver, N., Scior, K. and McKechnie, V. (2026). Type 1 diabetes stigma: A &lt;scp&gt;UK&lt;/scp&gt; survey of adults living with type 1 diabetes. </w:t>
      </w:r>
      <w:r>
        <w:rPr>
          <w:rFonts w:ascii="Arial" w:hAnsi="Arial" w:eastAsia="Arial" w:cs="Arial"/>
          <w:i/>
          <w:iCs/>
          <w:color w:val="000000"/>
          <w:sz w:val="22"/>
          <w:szCs w:val="22"/>
        </w:rPr>
        <w:t>Diabetic medicine</w:t>
      </w:r>
      <w:r>
        <w:rPr>
          <w:rFonts w:ascii="Arial" w:hAnsi="Arial" w:eastAsia="Arial" w:cs="Arial"/>
          <w:color w:val="000000"/>
          <w:sz w:val="22"/>
          <w:szCs w:val="22"/>
        </w:rPr>
        <w:t>, 43(8).</w:t>
      </w:r>
    </w:p>
    <w:p w:rsidR="004B303F" w:rsidRDefault="00793F9C" w14:paraId="00000038"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Käck, M. (2025). </w:t>
      </w:r>
      <w:r>
        <w:rPr>
          <w:rFonts w:ascii="Arial" w:hAnsi="Arial" w:eastAsia="Arial" w:cs="Arial"/>
          <w:i/>
          <w:iCs/>
          <w:color w:val="000000"/>
          <w:sz w:val="22"/>
          <w:szCs w:val="22"/>
        </w:rPr>
        <w:t>Global type 1 diabetes prevalence, incidence, and mortality estimates 2025</w:t>
      </w:r>
      <w:r>
        <w:rPr>
          <w:rFonts w:ascii="Arial" w:hAnsi="Arial" w:eastAsia="Arial" w:cs="Arial"/>
          <w:color w:val="000000"/>
          <w:sz w:val="22"/>
          <w:szCs w:val="22"/>
        </w:rPr>
        <w:t>. [online] Hemocue.com. Available at: https://hemocue.com/en/global-type-1-diabetes-prevalence/ [Accessed 19 July 2026].</w:t>
      </w:r>
    </w:p>
    <w:p w:rsidR="004B303F" w:rsidRDefault="00793F9C" w14:paraId="00000039"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Long, A.E., George, G. and Williams, C.L. (2021). Persistence of islet autoantibodies after diagnosis in type 1 diabetes. </w:t>
      </w:r>
      <w:r>
        <w:rPr>
          <w:rFonts w:ascii="Arial" w:hAnsi="Arial" w:eastAsia="Arial" w:cs="Arial"/>
          <w:i/>
          <w:iCs/>
          <w:color w:val="000000"/>
          <w:sz w:val="22"/>
          <w:szCs w:val="22"/>
        </w:rPr>
        <w:t>Diabetic medicine</w:t>
      </w:r>
      <w:r>
        <w:rPr>
          <w:rFonts w:ascii="Arial" w:hAnsi="Arial" w:eastAsia="Arial" w:cs="Arial"/>
          <w:color w:val="000000"/>
          <w:sz w:val="22"/>
          <w:szCs w:val="22"/>
        </w:rPr>
        <w:t>, 38(12).</w:t>
      </w:r>
    </w:p>
    <w:p w:rsidR="004B303F" w:rsidRDefault="00793F9C" w14:paraId="0000003A" w14:textId="3F754D39">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Mathew, B. (2021). A scoping review </w:t>
      </w:r>
      <w:r w:rsidR="00345618">
        <w:rPr>
          <w:rFonts w:ascii="Arial" w:hAnsi="Arial" w:eastAsia="Arial" w:cs="Arial"/>
          <w:color w:val="000000"/>
          <w:sz w:val="22"/>
          <w:szCs w:val="22"/>
        </w:rPr>
        <w:t>of the</w:t>
      </w:r>
      <w:r>
        <w:rPr>
          <w:rFonts w:ascii="Arial" w:hAnsi="Arial" w:eastAsia="Arial" w:cs="Arial"/>
          <w:color w:val="000000"/>
          <w:sz w:val="22"/>
          <w:szCs w:val="22"/>
        </w:rPr>
        <w:t xml:space="preserve"> benefits of integrated care at Service user level in UK health and social care system. </w:t>
      </w:r>
      <w:r>
        <w:rPr>
          <w:rFonts w:ascii="Arial" w:hAnsi="Arial" w:eastAsia="Arial" w:cs="Arial"/>
          <w:i/>
          <w:iCs/>
          <w:color w:val="000000"/>
          <w:sz w:val="22"/>
          <w:szCs w:val="22"/>
        </w:rPr>
        <w:t>Journal of Technology management for Growing economies</w:t>
      </w:r>
      <w:r>
        <w:rPr>
          <w:rFonts w:ascii="Arial" w:hAnsi="Arial" w:eastAsia="Arial" w:cs="Arial"/>
          <w:color w:val="000000"/>
          <w:sz w:val="22"/>
          <w:szCs w:val="22"/>
        </w:rPr>
        <w:t>, 12(2), pp.33–38.</w:t>
      </w:r>
    </w:p>
    <w:p w:rsidR="004B303F" w:rsidRDefault="00793F9C" w14:paraId="0000003B"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Moonie, N. (2020). </w:t>
      </w:r>
      <w:r>
        <w:rPr>
          <w:rFonts w:ascii="Arial" w:hAnsi="Arial" w:eastAsia="Arial" w:cs="Arial"/>
          <w:i/>
          <w:iCs/>
          <w:color w:val="000000"/>
          <w:sz w:val="22"/>
          <w:szCs w:val="22"/>
        </w:rPr>
        <w:t>Advanced health and social care</w:t>
      </w:r>
      <w:r>
        <w:rPr>
          <w:rFonts w:ascii="Arial" w:hAnsi="Arial" w:eastAsia="Arial" w:cs="Arial"/>
          <w:color w:val="000000"/>
          <w:sz w:val="22"/>
          <w:szCs w:val="22"/>
        </w:rPr>
        <w:t>. Oxford: Heinemann Educational.</w:t>
      </w:r>
    </w:p>
    <w:p w:rsidR="004B303F" w:rsidRDefault="00793F9C" w14:paraId="0000003C"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Ogle, G. D, Wang, F., Haynes, A., Gregory, G.A., King, T.W., Deng, K., </w:t>
      </w:r>
      <w:r>
        <w:rPr>
          <w:rFonts w:ascii="Arial" w:hAnsi="Arial" w:eastAsia="Arial" w:cs="Arial"/>
          <w:color w:val="000000"/>
          <w:sz w:val="22"/>
          <w:szCs w:val="22"/>
        </w:rPr>
        <w:t xml:space="preserve">Dabelea, D., James, S., Jenkins, A.J., Li, X., Ma, R.C.W., Maahs, D.M., Oram, R.A., Pihoker, C., Svensson, J., Zhou, Z., Magliano, D.J. and Jayanthi Maniam (2025). Global type 1 diabetes prevalence, incidence, and mortality estimates 2025: Results from the international diabetes federation atlas, 11th edition, and the T1D index version 3.0. </w:t>
      </w:r>
      <w:r>
        <w:rPr>
          <w:rFonts w:ascii="Arial" w:hAnsi="Arial" w:eastAsia="Arial" w:cs="Arial"/>
          <w:i/>
          <w:iCs/>
          <w:color w:val="000000"/>
          <w:sz w:val="22"/>
          <w:szCs w:val="22"/>
        </w:rPr>
        <w:t>Diabetes research and clinical practice</w:t>
      </w:r>
      <w:r>
        <w:rPr>
          <w:rFonts w:ascii="Arial" w:hAnsi="Arial" w:eastAsia="Arial" w:cs="Arial"/>
          <w:color w:val="000000"/>
          <w:sz w:val="22"/>
          <w:szCs w:val="22"/>
        </w:rPr>
        <w:t>, 225(112277), pp.112277–112277.</w:t>
      </w:r>
    </w:p>
    <w:p w:rsidR="004B303F" w:rsidRDefault="00793F9C" w14:paraId="0000003D"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Rasheed, E. (2020). </w:t>
      </w:r>
      <w:r>
        <w:rPr>
          <w:rFonts w:ascii="Arial" w:hAnsi="Arial" w:eastAsia="Arial" w:cs="Arial"/>
          <w:i/>
          <w:iCs/>
          <w:color w:val="000000"/>
          <w:sz w:val="22"/>
          <w:szCs w:val="22"/>
        </w:rPr>
        <w:t>Health and social care</w:t>
      </w:r>
      <w:r>
        <w:rPr>
          <w:rFonts w:ascii="Arial" w:hAnsi="Arial" w:eastAsia="Arial" w:cs="Arial"/>
          <w:color w:val="000000"/>
          <w:sz w:val="22"/>
          <w:szCs w:val="22"/>
        </w:rPr>
        <w:t>. London: Hodder Education.</w:t>
      </w:r>
    </w:p>
    <w:p w:rsidR="004B303F" w:rsidRDefault="00793F9C" w14:paraId="0000003E" w14:textId="77777777">
      <w:pPr>
        <w:pBdr>
          <w:top w:val="nil"/>
          <w:left w:val="nil"/>
          <w:bottom w:val="nil"/>
          <w:right w:val="nil"/>
          <w:between w:val="nil"/>
        </w:pBdr>
        <w:ind w:left="720" w:hanging="720"/>
        <w:rPr>
          <w:rFonts w:ascii="Arial" w:hAnsi="Arial" w:eastAsia="Arial" w:cs="Arial"/>
          <w:color w:val="000000"/>
          <w:sz w:val="22"/>
          <w:szCs w:val="22"/>
        </w:rPr>
      </w:pPr>
      <w:r>
        <w:rPr>
          <w:rFonts w:ascii="Arial" w:hAnsi="Arial" w:eastAsia="Arial" w:cs="Arial"/>
          <w:color w:val="000000"/>
          <w:sz w:val="22"/>
          <w:szCs w:val="22"/>
        </w:rPr>
        <w:t xml:space="preserve">Visram, S., Walton, N., Akhter, N., Lewis, S. and Lister, G. (2020). Assessing the value for money of an integrated health and wellbeing service in the UK. </w:t>
      </w:r>
      <w:r>
        <w:rPr>
          <w:rFonts w:ascii="Arial" w:hAnsi="Arial" w:eastAsia="Arial" w:cs="Arial"/>
          <w:i/>
          <w:iCs/>
          <w:color w:val="000000"/>
          <w:sz w:val="22"/>
          <w:szCs w:val="22"/>
        </w:rPr>
        <w:t>Social science &amp; medicine</w:t>
      </w:r>
      <w:r>
        <w:rPr>
          <w:rFonts w:ascii="Arial" w:hAnsi="Arial" w:eastAsia="Arial" w:cs="Arial"/>
          <w:color w:val="000000"/>
          <w:sz w:val="22"/>
          <w:szCs w:val="22"/>
        </w:rPr>
        <w:t>, 245, p.112661.</w:t>
      </w:r>
    </w:p>
    <w:p w:rsidR="004B303F" w:rsidRDefault="004B303F" w14:paraId="0000003F" w14:textId="77777777">
      <w:pPr>
        <w:rPr>
          <w:rFonts w:ascii="Arial" w:hAnsi="Arial" w:eastAsia="Arial" w:cs="Arial"/>
          <w:sz w:val="22"/>
          <w:szCs w:val="22"/>
        </w:rPr>
      </w:pPr>
    </w:p>
    <w:p w:rsidR="004B303F" w:rsidRDefault="004B303F" w14:paraId="00000040" w14:textId="77777777">
      <w:pPr>
        <w:rPr>
          <w:rFonts w:ascii="Arial" w:hAnsi="Arial" w:eastAsia="Arial" w:cs="Arial"/>
          <w:sz w:val="22"/>
          <w:szCs w:val="22"/>
        </w:rPr>
      </w:pPr>
    </w:p>
    <w:p w:rsidR="004B303F" w:rsidRDefault="004B303F" w14:paraId="00000041" w14:textId="77777777">
      <w:pPr>
        <w:rPr>
          <w:rFonts w:ascii="Arial" w:hAnsi="Arial" w:eastAsia="Arial" w:cs="Arial"/>
          <w:sz w:val="22"/>
          <w:szCs w:val="22"/>
        </w:rPr>
      </w:pPr>
    </w:p>
    <w:sectPr w:rsidR="004B303F">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12B6E" w:rsidRDefault="00212B6E" w14:paraId="4EAD10CD" w14:textId="77777777">
      <w:pPr>
        <w:spacing w:line="240" w:lineRule="auto"/>
      </w:pPr>
      <w:r>
        <w:separator/>
      </w:r>
    </w:p>
  </w:endnote>
  <w:endnote w:type="continuationSeparator" w:id="0">
    <w:p w:rsidR="00212B6E" w:rsidRDefault="00212B6E" w14:paraId="6D419D9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w:fontKey="{6CBE801A-2C05-4ADC-841D-B3BF6FA4C20C}" r:id="rId2"/>
  </w:font>
  <w:font w:name="Cambria">
    <w:panose1 w:val="02040503050406030204"/>
    <w:charset w:val="00"/>
    <w:family w:val="roman"/>
    <w:pitch w:val="variable"/>
    <w:sig w:usb0="E00006FF" w:usb1="420024FF" w:usb2="02000000" w:usb3="00000000" w:csb0="0000019F" w:csb1="00000000"/>
    <w:embedRegular w:fontKey="{DA63EAE1-D585-4E8E-82B4-F5EBF5741C3B}"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B303F" w:rsidRDefault="004B303F" w14:paraId="00000043" w14:textId="77777777">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B303F" w:rsidRDefault="00793F9C" w14:paraId="00000044" w14:textId="3ACBB1A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45618">
      <w:rPr>
        <w:noProof/>
        <w:color w:val="000000"/>
      </w:rPr>
      <w:t>1</w:t>
    </w:r>
    <w:r>
      <w:rPr>
        <w:color w:val="000000"/>
      </w:rPr>
      <w:fldChar w:fldCharType="end"/>
    </w:r>
  </w:p>
  <w:p w:rsidR="004B303F" w:rsidRDefault="004B303F" w14:paraId="00000045"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12B6E" w:rsidRDefault="00212B6E" w14:paraId="443E20CB" w14:textId="77777777">
      <w:pPr>
        <w:spacing w:line="240" w:lineRule="auto"/>
      </w:pPr>
      <w:r>
        <w:separator/>
      </w:r>
    </w:p>
  </w:footnote>
  <w:footnote w:type="continuationSeparator" w:id="0">
    <w:p w:rsidR="00212B6E" w:rsidRDefault="00212B6E" w14:paraId="365B75DE"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8"/>
  <w:removePersonalInformation/>
  <w:removeDateAndTime/>
  <w:embedTrueTypeFonts/>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rA0MjMzMzQzMDEyMzZV0lEKTi0uzszPAykwrAUAGbR1tiwAAAA="/>
  </w:docVars>
  <w:rsids>
    <w:rsidRoot w:val="004B303F"/>
    <w:rsid w:val="0014739C"/>
    <w:rsid w:val="00212B6E"/>
    <w:rsid w:val="00345618"/>
    <w:rsid w:val="004B303F"/>
    <w:rsid w:val="00793F9C"/>
    <w:rsid w:val="008D2BB6"/>
    <w:rsid w:val="00DF1B6D"/>
    <w:rsid w:val="00DF28FE"/>
    <w:rsid w:val="00EC65EE"/>
    <w:rsid w:val="0105CFA6"/>
    <w:rsid w:val="017C4FDC"/>
    <w:rsid w:val="0207CA03"/>
    <w:rsid w:val="082F7127"/>
    <w:rsid w:val="11943BBC"/>
    <w:rsid w:val="1C570DC1"/>
    <w:rsid w:val="27308EBF"/>
    <w:rsid w:val="2912A173"/>
    <w:rsid w:val="3568A268"/>
    <w:rsid w:val="3A02FF5D"/>
    <w:rsid w:val="425C36FA"/>
    <w:rsid w:val="44E29901"/>
    <w:rsid w:val="58705619"/>
    <w:rsid w:val="662443BE"/>
    <w:rsid w:val="7D72DB96"/>
    <w:rsid w:val="7EE08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B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outlineLvl w:val="0"/>
    </w:pPr>
    <w:rPr>
      <w:color w:val="2F5496"/>
    </w:rPr>
  </w:style>
  <w:style w:type="paragraph" w:styleId="Heading2">
    <w:name w:val="heading 2"/>
    <w:basedOn w:val="Normal"/>
    <w:next w:val="Normal"/>
    <w:uiPriority w:val="9"/>
    <w:semiHidden/>
    <w:unhideWhenUsed/>
    <w:qFormat/>
    <w:pPr>
      <w:keepNext/>
      <w:keepLines/>
      <w:spacing w:before="40"/>
      <w:outlineLvl w:val="1"/>
    </w:pPr>
    <w:rPr>
      <w:color w:val="2F549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TOC1">
    <w:name w:val="toc 1"/>
    <w:basedOn w:val="Normal"/>
    <w:next w:val="Normal"/>
    <w:autoRedefine/>
    <w:uiPriority w:val="39"/>
    <w:unhideWhenUsed/>
    <w:rsid w:val="00345618"/>
    <w:pPr>
      <w:spacing w:after="100"/>
    </w:pPr>
  </w:style>
  <w:style w:type="character" w:styleId="Hyperlink">
    <w:name w:val="Hyperlink"/>
    <w:basedOn w:val="DefaultParagraphFont"/>
    <w:uiPriority w:val="99"/>
    <w:unhideWhenUsed/>
    <w:rsid w:val="00345618"/>
    <w:rPr>
      <w:color w:val="0000FF" w:themeColor="hyperlink"/>
      <w:u w:val="single"/>
    </w:rPr>
  </w:style>
  <w:style w:type="paragraph" w:styleId="Header">
    <w:name w:val="header"/>
    <w:basedOn w:val="Normal"/>
    <w:link w:val="HeaderChar"/>
    <w:uiPriority w:val="99"/>
    <w:unhideWhenUsed/>
    <w:rsid w:val="0014739C"/>
    <w:pPr>
      <w:tabs>
        <w:tab w:val="center" w:pos="4513"/>
        <w:tab w:val="right" w:pos="9026"/>
      </w:tabs>
      <w:spacing w:line="240" w:lineRule="auto"/>
    </w:pPr>
  </w:style>
  <w:style w:type="character" w:styleId="HeaderChar" w:customStyle="1">
    <w:name w:val="Header Char"/>
    <w:basedOn w:val="DefaultParagraphFont"/>
    <w:link w:val="Header"/>
    <w:uiPriority w:val="99"/>
    <w:rsid w:val="0014739C"/>
  </w:style>
  <w:style w:type="paragraph" w:styleId="Footer">
    <w:name w:val="footer"/>
    <w:basedOn w:val="Normal"/>
    <w:link w:val="FooterChar"/>
    <w:uiPriority w:val="99"/>
    <w:unhideWhenUsed/>
    <w:rsid w:val="0014739C"/>
    <w:pPr>
      <w:tabs>
        <w:tab w:val="center" w:pos="4513"/>
        <w:tab w:val="right" w:pos="9026"/>
      </w:tabs>
      <w:spacing w:line="240" w:lineRule="auto"/>
    </w:pPr>
  </w:style>
  <w:style w:type="character" w:styleId="FooterChar" w:customStyle="1">
    <w:name w:val="Footer Char"/>
    <w:basedOn w:val="DefaultParagraphFont"/>
    <w:link w:val="Footer"/>
    <w:uiPriority w:val="99"/>
    <w:rsid w:val="001473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Of8rJJj7c5YhVaFrzQhDCy+doQ==">CgMxLjAyDmguaDhtYzJjcm42YnhnMg5oLnU0Z2JwMXFhYmJ4ajIOaC4za2NlMDY5a3RweGoyDmguemZ1NGw0bTNqNmhuMg5oLnV3am5pZ2w0Z25rNzIOaC50M21pdnh4ZDNldnkyDmguZDI3M2s4NzE5bzl1OAByITFMbDZ2WDg2VXlpcWxYNEVaZHRfQzNlOUpmM1h6RXRZeA==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Moshahid Hussain</lastModifiedBy>
  <revision>2</revision>
  <dcterms:created xsi:type="dcterms:W3CDTF">2026-07-19T13:00:00.0000000Z</dcterms:created>
  <dcterms:modified xsi:type="dcterms:W3CDTF">2026-07-19T20:39:58.4809118Z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219c21df-b703-427c-b032-298dd4689145</vt:lpwstr>
  </property>
</Properties>
</file>