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069F0" w14:textId="77777777" w:rsidR="00933C1F" w:rsidRDefault="00933C1F" w:rsidP="00933C1F">
      <w:pPr>
        <w:jc w:val="center"/>
        <w:rPr>
          <w:lang w:val="en-US"/>
        </w:rPr>
      </w:pPr>
    </w:p>
    <w:p w14:paraId="0E82ED5D" w14:textId="77777777" w:rsidR="00933C1F" w:rsidRDefault="00933C1F" w:rsidP="00933C1F">
      <w:pPr>
        <w:jc w:val="center"/>
        <w:rPr>
          <w:lang w:val="en-US"/>
        </w:rPr>
      </w:pPr>
    </w:p>
    <w:p w14:paraId="47A174AF" w14:textId="77777777" w:rsidR="00933C1F" w:rsidRDefault="00933C1F" w:rsidP="00933C1F">
      <w:pPr>
        <w:jc w:val="center"/>
        <w:rPr>
          <w:lang w:val="en-US"/>
        </w:rPr>
      </w:pPr>
    </w:p>
    <w:p w14:paraId="447F8D0A" w14:textId="77777777" w:rsidR="00933C1F" w:rsidRDefault="00933C1F" w:rsidP="00933C1F">
      <w:pPr>
        <w:jc w:val="center"/>
        <w:rPr>
          <w:lang w:val="en-US"/>
        </w:rPr>
      </w:pPr>
    </w:p>
    <w:p w14:paraId="34A7D634" w14:textId="77777777" w:rsidR="00933C1F" w:rsidRDefault="00933C1F" w:rsidP="007E569E">
      <w:pPr>
        <w:rPr>
          <w:lang w:val="en-US"/>
        </w:rPr>
      </w:pPr>
    </w:p>
    <w:p w14:paraId="69501970" w14:textId="77777777" w:rsidR="00933C1F" w:rsidRDefault="00933C1F" w:rsidP="00933C1F">
      <w:pPr>
        <w:jc w:val="center"/>
        <w:rPr>
          <w:lang w:val="en-US"/>
        </w:rPr>
      </w:pPr>
    </w:p>
    <w:p w14:paraId="548FFBCF" w14:textId="25D14BA7" w:rsidR="00933C1F" w:rsidRPr="00933C1F" w:rsidRDefault="00933C1F" w:rsidP="00933C1F">
      <w:pPr>
        <w:jc w:val="center"/>
        <w:rPr>
          <w:lang w:val="en-US"/>
        </w:rPr>
      </w:pPr>
      <w:r w:rsidRPr="00933C1F">
        <w:rPr>
          <w:noProof/>
          <w:lang w:val="en-US"/>
        </w:rPr>
        <w:drawing>
          <wp:inline distT="0" distB="0" distL="0" distR="0" wp14:anchorId="626B9715" wp14:editId="22734911">
            <wp:extent cx="3209925" cy="1428750"/>
            <wp:effectExtent l="0" t="0" r="9525" b="0"/>
            <wp:docPr id="1294643477"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43477" name="Picture 2"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2BC25B7" w14:textId="77777777" w:rsidR="00933C1F" w:rsidRPr="00933C1F" w:rsidRDefault="00933C1F" w:rsidP="00933C1F">
      <w:pPr>
        <w:jc w:val="center"/>
        <w:rPr>
          <w:lang w:val="en-US"/>
        </w:rPr>
      </w:pPr>
    </w:p>
    <w:p w14:paraId="76FFBE6F" w14:textId="3BC6E7A5" w:rsidR="00933C1F" w:rsidRPr="00933C1F" w:rsidRDefault="00933C1F" w:rsidP="00933C1F">
      <w:pPr>
        <w:jc w:val="center"/>
        <w:rPr>
          <w:lang w:val="en-US"/>
        </w:rPr>
      </w:pPr>
    </w:p>
    <w:p w14:paraId="4C39AA2D" w14:textId="77777777" w:rsidR="00933C1F" w:rsidRPr="00C564F7" w:rsidRDefault="00933C1F" w:rsidP="00933C1F">
      <w:pPr>
        <w:jc w:val="center"/>
        <w:rPr>
          <w:rFonts w:ascii="Arial" w:hAnsi="Arial" w:cs="Arial"/>
          <w:sz w:val="44"/>
          <w:szCs w:val="44"/>
          <w:lang w:val="en-US"/>
        </w:rPr>
      </w:pPr>
      <w:r w:rsidRPr="00C564F7">
        <w:rPr>
          <w:rFonts w:ascii="Arial" w:hAnsi="Arial" w:cs="Arial"/>
          <w:sz w:val="44"/>
          <w:szCs w:val="44"/>
          <w:lang w:val="en-US"/>
        </w:rPr>
        <w:t>Introduction to Independent Research Skills</w:t>
      </w:r>
    </w:p>
    <w:p w14:paraId="5B4251F1" w14:textId="77777777" w:rsidR="00933C1F" w:rsidRPr="00C564F7" w:rsidRDefault="00933C1F" w:rsidP="00933C1F">
      <w:pPr>
        <w:jc w:val="center"/>
        <w:rPr>
          <w:rFonts w:ascii="Arial" w:hAnsi="Arial" w:cs="Arial"/>
          <w:sz w:val="44"/>
          <w:szCs w:val="44"/>
          <w:lang w:val="en-US"/>
        </w:rPr>
      </w:pPr>
      <w:r w:rsidRPr="00C564F7">
        <w:rPr>
          <w:rFonts w:ascii="Arial" w:hAnsi="Arial" w:cs="Arial"/>
          <w:sz w:val="44"/>
          <w:szCs w:val="44"/>
          <w:lang w:val="en-US"/>
        </w:rPr>
        <w:t>BMHP5019</w:t>
      </w:r>
    </w:p>
    <w:p w14:paraId="1A4E8356" w14:textId="77777777" w:rsidR="00933C1F" w:rsidRPr="00C564F7" w:rsidRDefault="00933C1F" w:rsidP="00933C1F">
      <w:pPr>
        <w:jc w:val="center"/>
        <w:rPr>
          <w:rFonts w:ascii="Arial" w:hAnsi="Arial" w:cs="Arial"/>
          <w:sz w:val="44"/>
          <w:szCs w:val="44"/>
          <w:lang w:val="en-US"/>
        </w:rPr>
      </w:pPr>
    </w:p>
    <w:p w14:paraId="51114C96" w14:textId="77777777" w:rsidR="00933C1F" w:rsidRPr="00C564F7" w:rsidRDefault="00933C1F" w:rsidP="00933C1F">
      <w:pPr>
        <w:jc w:val="center"/>
        <w:rPr>
          <w:rFonts w:ascii="Arial" w:hAnsi="Arial" w:cs="Arial"/>
          <w:sz w:val="44"/>
          <w:szCs w:val="44"/>
          <w:lang w:val="en-US"/>
        </w:rPr>
      </w:pPr>
      <w:r w:rsidRPr="00C564F7">
        <w:rPr>
          <w:rFonts w:ascii="Arial" w:hAnsi="Arial" w:cs="Arial"/>
          <w:sz w:val="44"/>
          <w:szCs w:val="44"/>
          <w:lang w:val="en-US"/>
        </w:rPr>
        <w:t>Students Name: Farzia Saddique</w:t>
      </w:r>
    </w:p>
    <w:p w14:paraId="1FB4083C" w14:textId="77777777" w:rsidR="00933C1F" w:rsidRPr="00C564F7" w:rsidRDefault="00933C1F" w:rsidP="00933C1F">
      <w:pPr>
        <w:jc w:val="center"/>
        <w:rPr>
          <w:rFonts w:ascii="Arial" w:hAnsi="Arial" w:cs="Arial"/>
          <w:sz w:val="44"/>
          <w:szCs w:val="44"/>
          <w:lang w:val="en-US"/>
        </w:rPr>
      </w:pPr>
      <w:r w:rsidRPr="00C564F7">
        <w:rPr>
          <w:rFonts w:ascii="Arial" w:hAnsi="Arial" w:cs="Arial"/>
          <w:sz w:val="44"/>
          <w:szCs w:val="44"/>
          <w:lang w:val="en-US"/>
        </w:rPr>
        <w:t>Student Number: 2329009</w:t>
      </w:r>
    </w:p>
    <w:p w14:paraId="58ACB54B" w14:textId="77777777" w:rsidR="00933C1F" w:rsidRPr="00C564F7" w:rsidRDefault="00933C1F" w:rsidP="00933C1F">
      <w:pPr>
        <w:jc w:val="center"/>
        <w:rPr>
          <w:rFonts w:ascii="Arial" w:hAnsi="Arial" w:cs="Arial"/>
          <w:sz w:val="44"/>
          <w:szCs w:val="44"/>
          <w:lang w:val="en-US"/>
        </w:rPr>
      </w:pPr>
      <w:r w:rsidRPr="00C564F7">
        <w:rPr>
          <w:rFonts w:ascii="Arial" w:hAnsi="Arial" w:cs="Arial"/>
          <w:sz w:val="44"/>
          <w:szCs w:val="44"/>
          <w:lang w:val="en-US"/>
        </w:rPr>
        <w:t>Lecturer’s Name: Phillip Jones</w:t>
      </w:r>
    </w:p>
    <w:p w14:paraId="74B3F3BB" w14:textId="77777777" w:rsidR="00933C1F" w:rsidRPr="00C564F7" w:rsidRDefault="00933C1F" w:rsidP="00933C1F">
      <w:pPr>
        <w:jc w:val="center"/>
        <w:rPr>
          <w:rFonts w:ascii="Arial" w:hAnsi="Arial" w:cs="Arial"/>
          <w:sz w:val="44"/>
          <w:szCs w:val="44"/>
          <w:lang w:val="en-US"/>
        </w:rPr>
      </w:pPr>
      <w:r w:rsidRPr="00C564F7">
        <w:rPr>
          <w:rFonts w:ascii="Arial" w:hAnsi="Arial" w:cs="Arial"/>
          <w:sz w:val="44"/>
          <w:szCs w:val="44"/>
          <w:lang w:val="en-US"/>
        </w:rPr>
        <w:t>Module Lead: Phillip Jones</w:t>
      </w:r>
    </w:p>
    <w:p w14:paraId="369A45F2" w14:textId="77777777" w:rsidR="00933C1F" w:rsidRPr="00C564F7" w:rsidRDefault="00933C1F" w:rsidP="00933C1F">
      <w:pPr>
        <w:rPr>
          <w:rFonts w:ascii="Arial" w:hAnsi="Arial" w:cs="Arial"/>
          <w:sz w:val="44"/>
          <w:szCs w:val="44"/>
          <w:lang w:val="en-US"/>
        </w:rPr>
      </w:pPr>
      <w:r w:rsidRPr="00C564F7">
        <w:rPr>
          <w:rFonts w:ascii="Arial" w:hAnsi="Arial" w:cs="Arial"/>
          <w:sz w:val="44"/>
          <w:szCs w:val="44"/>
          <w:lang w:val="en-US"/>
        </w:rPr>
        <w:t xml:space="preserve"> </w:t>
      </w:r>
    </w:p>
    <w:p w14:paraId="577A15E0" w14:textId="77777777" w:rsidR="00933C1F" w:rsidRPr="00933C1F" w:rsidRDefault="00933C1F" w:rsidP="00933C1F">
      <w:pPr>
        <w:rPr>
          <w:lang w:val="en-US"/>
        </w:rPr>
      </w:pPr>
    </w:p>
    <w:p w14:paraId="01A61EBA" w14:textId="77777777" w:rsidR="00933C1F" w:rsidRPr="00933C1F" w:rsidRDefault="00933C1F" w:rsidP="00933C1F">
      <w:pPr>
        <w:rPr>
          <w:lang w:val="en-US"/>
        </w:rPr>
      </w:pPr>
    </w:p>
    <w:p w14:paraId="0A5A698D" w14:textId="77777777" w:rsidR="007677E2" w:rsidRDefault="007677E2"/>
    <w:p w14:paraId="32E72F05" w14:textId="461D8A2F" w:rsidR="00FD1101" w:rsidRPr="0079360D" w:rsidRDefault="00FD1101">
      <w:pPr>
        <w:rPr>
          <w:rFonts w:ascii="Arial" w:hAnsi="Arial" w:cs="Arial"/>
          <w:b/>
          <w:bCs/>
          <w:u w:val="single"/>
        </w:rPr>
      </w:pPr>
      <w:r w:rsidRPr="0079360D">
        <w:rPr>
          <w:rFonts w:ascii="Arial" w:hAnsi="Arial" w:cs="Arial"/>
          <w:b/>
          <w:bCs/>
          <w:u w:val="single"/>
        </w:rPr>
        <w:lastRenderedPageBreak/>
        <w:t>Contents page</w:t>
      </w:r>
    </w:p>
    <w:p w14:paraId="26BC2078" w14:textId="77777777" w:rsidR="00FD1101" w:rsidRDefault="00FD1101"/>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37"/>
        <w:gridCol w:w="686"/>
      </w:tblGrid>
      <w:tr w:rsidR="00A1788E" w:rsidRPr="00A1788E" w14:paraId="502EAB2D" w14:textId="77777777" w:rsidTr="002B2CB5">
        <w:trPr>
          <w:tblHeader/>
          <w:tblCellSpacing w:w="15" w:type="dxa"/>
        </w:trPr>
        <w:tc>
          <w:tcPr>
            <w:tcW w:w="7561" w:type="dxa"/>
            <w:vAlign w:val="center"/>
            <w:hideMark/>
          </w:tcPr>
          <w:p w14:paraId="4C11DA82" w14:textId="77777777" w:rsidR="00A1788E" w:rsidRPr="00A1788E" w:rsidRDefault="00A1788E" w:rsidP="00A1788E">
            <w:pPr>
              <w:rPr>
                <w:rFonts w:ascii="Arial" w:hAnsi="Arial" w:cs="Arial"/>
                <w:b/>
                <w:bCs/>
                <w:sz w:val="22"/>
                <w:szCs w:val="22"/>
              </w:rPr>
            </w:pPr>
            <w:r w:rsidRPr="00A1788E">
              <w:rPr>
                <w:rFonts w:ascii="Arial" w:hAnsi="Arial" w:cs="Arial"/>
                <w:b/>
                <w:bCs/>
                <w:sz w:val="22"/>
                <w:szCs w:val="22"/>
              </w:rPr>
              <w:t>Section</w:t>
            </w:r>
          </w:p>
        </w:tc>
        <w:tc>
          <w:tcPr>
            <w:tcW w:w="641" w:type="dxa"/>
            <w:vAlign w:val="center"/>
            <w:hideMark/>
          </w:tcPr>
          <w:p w14:paraId="63F885B7" w14:textId="77777777" w:rsidR="00A1788E" w:rsidRPr="00A1788E" w:rsidRDefault="00A1788E" w:rsidP="00A1788E">
            <w:pPr>
              <w:rPr>
                <w:rFonts w:ascii="Arial" w:hAnsi="Arial" w:cs="Arial"/>
                <w:b/>
                <w:bCs/>
                <w:sz w:val="22"/>
                <w:szCs w:val="22"/>
              </w:rPr>
            </w:pPr>
            <w:r w:rsidRPr="00A1788E">
              <w:rPr>
                <w:rFonts w:ascii="Arial" w:hAnsi="Arial" w:cs="Arial"/>
                <w:b/>
                <w:bCs/>
                <w:sz w:val="22"/>
                <w:szCs w:val="22"/>
              </w:rPr>
              <w:t>Page</w:t>
            </w:r>
          </w:p>
        </w:tc>
      </w:tr>
      <w:tr w:rsidR="00A1788E" w:rsidRPr="00A1788E" w14:paraId="47E345EF" w14:textId="77777777" w:rsidTr="002B2CB5">
        <w:trPr>
          <w:tblCellSpacing w:w="15" w:type="dxa"/>
        </w:trPr>
        <w:tc>
          <w:tcPr>
            <w:tcW w:w="7561" w:type="dxa"/>
            <w:vAlign w:val="center"/>
            <w:hideMark/>
          </w:tcPr>
          <w:p w14:paraId="2969B431" w14:textId="08A956A1" w:rsidR="00A1788E" w:rsidRPr="00A1788E" w:rsidRDefault="00A1788E" w:rsidP="00A1788E">
            <w:pPr>
              <w:rPr>
                <w:rFonts w:ascii="Arial" w:hAnsi="Arial" w:cs="Arial"/>
                <w:sz w:val="22"/>
                <w:szCs w:val="22"/>
              </w:rPr>
            </w:pPr>
          </w:p>
        </w:tc>
        <w:tc>
          <w:tcPr>
            <w:tcW w:w="641" w:type="dxa"/>
            <w:vAlign w:val="center"/>
            <w:hideMark/>
          </w:tcPr>
          <w:p w14:paraId="57328348" w14:textId="77777777" w:rsidR="00A1788E" w:rsidRPr="00A1788E" w:rsidRDefault="00A1788E" w:rsidP="00A1788E">
            <w:pPr>
              <w:rPr>
                <w:rFonts w:ascii="Arial" w:hAnsi="Arial" w:cs="Arial"/>
                <w:sz w:val="22"/>
                <w:szCs w:val="22"/>
              </w:rPr>
            </w:pPr>
          </w:p>
        </w:tc>
      </w:tr>
      <w:tr w:rsidR="00A1788E" w:rsidRPr="00A1788E" w14:paraId="39675843" w14:textId="77777777" w:rsidTr="002B2CB5">
        <w:trPr>
          <w:tblCellSpacing w:w="15" w:type="dxa"/>
        </w:trPr>
        <w:tc>
          <w:tcPr>
            <w:tcW w:w="7561" w:type="dxa"/>
            <w:vAlign w:val="center"/>
            <w:hideMark/>
          </w:tcPr>
          <w:p w14:paraId="74FEC76D" w14:textId="721D4D67" w:rsidR="00A1788E" w:rsidRPr="00A1788E" w:rsidRDefault="00A1788E" w:rsidP="00A1788E">
            <w:pPr>
              <w:rPr>
                <w:rFonts w:ascii="Arial" w:hAnsi="Arial" w:cs="Arial"/>
                <w:sz w:val="22"/>
                <w:szCs w:val="22"/>
              </w:rPr>
            </w:pPr>
            <w:r w:rsidRPr="00A1788E">
              <w:rPr>
                <w:rFonts w:ascii="Arial" w:hAnsi="Arial" w:cs="Arial"/>
                <w:sz w:val="22"/>
                <w:szCs w:val="22"/>
              </w:rPr>
              <w:t>Introduction</w:t>
            </w:r>
            <w:r w:rsidR="00627584">
              <w:rPr>
                <w:rFonts w:ascii="Arial" w:hAnsi="Arial" w:cs="Arial"/>
                <w:sz w:val="22"/>
                <w:szCs w:val="22"/>
              </w:rPr>
              <w:t>………………………………………………………………</w:t>
            </w:r>
            <w:r w:rsidR="002B2CB5">
              <w:rPr>
                <w:rFonts w:ascii="Arial" w:hAnsi="Arial" w:cs="Arial"/>
                <w:sz w:val="22"/>
                <w:szCs w:val="22"/>
              </w:rPr>
              <w:t>……</w:t>
            </w:r>
            <w:r w:rsidR="00627584">
              <w:rPr>
                <w:rFonts w:ascii="Arial" w:hAnsi="Arial" w:cs="Arial"/>
                <w:sz w:val="22"/>
                <w:szCs w:val="22"/>
              </w:rPr>
              <w:t>…. 3</w:t>
            </w:r>
          </w:p>
        </w:tc>
        <w:tc>
          <w:tcPr>
            <w:tcW w:w="641" w:type="dxa"/>
            <w:vAlign w:val="center"/>
            <w:hideMark/>
          </w:tcPr>
          <w:p w14:paraId="6D358620" w14:textId="77777777" w:rsidR="00A1788E" w:rsidRPr="00A1788E" w:rsidRDefault="00A1788E" w:rsidP="00A1788E">
            <w:pPr>
              <w:rPr>
                <w:rFonts w:ascii="Arial" w:hAnsi="Arial" w:cs="Arial"/>
                <w:sz w:val="22"/>
                <w:szCs w:val="22"/>
              </w:rPr>
            </w:pPr>
          </w:p>
        </w:tc>
      </w:tr>
      <w:tr w:rsidR="00A1788E" w:rsidRPr="00A1788E" w14:paraId="4ED64BCB" w14:textId="77777777" w:rsidTr="002B2CB5">
        <w:trPr>
          <w:tblCellSpacing w:w="15" w:type="dxa"/>
        </w:trPr>
        <w:tc>
          <w:tcPr>
            <w:tcW w:w="7561" w:type="dxa"/>
            <w:vAlign w:val="center"/>
            <w:hideMark/>
          </w:tcPr>
          <w:p w14:paraId="4CB1C5B3" w14:textId="754DED9C" w:rsidR="00A1788E" w:rsidRPr="00A1788E" w:rsidRDefault="00A1788E" w:rsidP="00A1788E">
            <w:pPr>
              <w:rPr>
                <w:rFonts w:ascii="Arial" w:hAnsi="Arial" w:cs="Arial"/>
                <w:sz w:val="22"/>
                <w:szCs w:val="22"/>
              </w:rPr>
            </w:pPr>
            <w:r w:rsidRPr="00A1788E">
              <w:rPr>
                <w:rFonts w:ascii="Arial" w:hAnsi="Arial" w:cs="Arial"/>
                <w:sz w:val="22"/>
                <w:szCs w:val="22"/>
              </w:rPr>
              <w:t>Background</w:t>
            </w:r>
            <w:r w:rsidR="00627584">
              <w:rPr>
                <w:rFonts w:ascii="Arial" w:hAnsi="Arial" w:cs="Arial"/>
                <w:sz w:val="22"/>
                <w:szCs w:val="22"/>
              </w:rPr>
              <w:t>……………………………………………………………………….4</w:t>
            </w:r>
          </w:p>
        </w:tc>
        <w:tc>
          <w:tcPr>
            <w:tcW w:w="641" w:type="dxa"/>
            <w:vAlign w:val="center"/>
            <w:hideMark/>
          </w:tcPr>
          <w:p w14:paraId="5AFA492E" w14:textId="77777777" w:rsidR="00A1788E" w:rsidRPr="00A1788E" w:rsidRDefault="00A1788E" w:rsidP="00A1788E">
            <w:pPr>
              <w:rPr>
                <w:rFonts w:ascii="Arial" w:hAnsi="Arial" w:cs="Arial"/>
                <w:sz w:val="22"/>
                <w:szCs w:val="22"/>
              </w:rPr>
            </w:pPr>
          </w:p>
        </w:tc>
      </w:tr>
      <w:tr w:rsidR="00A1788E" w:rsidRPr="00A1788E" w14:paraId="79242BA8" w14:textId="77777777" w:rsidTr="002B2CB5">
        <w:trPr>
          <w:tblCellSpacing w:w="15" w:type="dxa"/>
        </w:trPr>
        <w:tc>
          <w:tcPr>
            <w:tcW w:w="7561" w:type="dxa"/>
            <w:vAlign w:val="center"/>
            <w:hideMark/>
          </w:tcPr>
          <w:p w14:paraId="0E267BAC" w14:textId="593A9A67" w:rsidR="00A1788E" w:rsidRPr="00A1788E" w:rsidRDefault="00A1788E" w:rsidP="00A1788E">
            <w:pPr>
              <w:rPr>
                <w:rFonts w:ascii="Arial" w:hAnsi="Arial" w:cs="Arial"/>
                <w:sz w:val="22"/>
                <w:szCs w:val="22"/>
              </w:rPr>
            </w:pPr>
            <w:r w:rsidRPr="00A1788E">
              <w:rPr>
                <w:rFonts w:ascii="Arial" w:hAnsi="Arial" w:cs="Arial"/>
                <w:sz w:val="22"/>
                <w:szCs w:val="22"/>
              </w:rPr>
              <w:t>Methods</w:t>
            </w:r>
            <w:r w:rsidR="00627584">
              <w:rPr>
                <w:rFonts w:ascii="Arial" w:hAnsi="Arial" w:cs="Arial"/>
                <w:sz w:val="22"/>
                <w:szCs w:val="22"/>
              </w:rPr>
              <w:t>…………………………………………………………………………...7</w:t>
            </w:r>
          </w:p>
        </w:tc>
        <w:tc>
          <w:tcPr>
            <w:tcW w:w="641" w:type="dxa"/>
            <w:vAlign w:val="center"/>
            <w:hideMark/>
          </w:tcPr>
          <w:p w14:paraId="75632F8D" w14:textId="77777777" w:rsidR="00A1788E" w:rsidRPr="00A1788E" w:rsidRDefault="00A1788E" w:rsidP="00A1788E">
            <w:pPr>
              <w:rPr>
                <w:rFonts w:ascii="Arial" w:hAnsi="Arial" w:cs="Arial"/>
                <w:sz w:val="22"/>
                <w:szCs w:val="22"/>
              </w:rPr>
            </w:pPr>
          </w:p>
        </w:tc>
      </w:tr>
      <w:tr w:rsidR="00A1788E" w:rsidRPr="00A1788E" w14:paraId="295D75BC" w14:textId="77777777" w:rsidTr="002B2CB5">
        <w:trPr>
          <w:tblCellSpacing w:w="15" w:type="dxa"/>
        </w:trPr>
        <w:tc>
          <w:tcPr>
            <w:tcW w:w="7561" w:type="dxa"/>
            <w:vAlign w:val="center"/>
            <w:hideMark/>
          </w:tcPr>
          <w:p w14:paraId="7BABBA8C" w14:textId="22D47FB3" w:rsidR="00A1788E" w:rsidRPr="00A1788E" w:rsidRDefault="00A1788E" w:rsidP="00A1788E">
            <w:pPr>
              <w:rPr>
                <w:rFonts w:ascii="Arial" w:hAnsi="Arial" w:cs="Arial"/>
                <w:sz w:val="22"/>
                <w:szCs w:val="22"/>
              </w:rPr>
            </w:pPr>
            <w:r w:rsidRPr="00A1788E">
              <w:rPr>
                <w:rFonts w:ascii="Arial" w:hAnsi="Arial" w:cs="Arial"/>
                <w:sz w:val="22"/>
                <w:szCs w:val="22"/>
              </w:rPr>
              <w:t>Study Design</w:t>
            </w:r>
            <w:r w:rsidR="00627584">
              <w:rPr>
                <w:rFonts w:ascii="Arial" w:hAnsi="Arial" w:cs="Arial"/>
                <w:sz w:val="22"/>
                <w:szCs w:val="22"/>
              </w:rPr>
              <w:t>………………………………………………………………………7</w:t>
            </w:r>
          </w:p>
        </w:tc>
        <w:tc>
          <w:tcPr>
            <w:tcW w:w="641" w:type="dxa"/>
            <w:vAlign w:val="center"/>
            <w:hideMark/>
          </w:tcPr>
          <w:p w14:paraId="06208A12" w14:textId="77777777" w:rsidR="00A1788E" w:rsidRPr="00A1788E" w:rsidRDefault="00A1788E" w:rsidP="00A1788E">
            <w:pPr>
              <w:rPr>
                <w:rFonts w:ascii="Arial" w:hAnsi="Arial" w:cs="Arial"/>
                <w:sz w:val="22"/>
                <w:szCs w:val="22"/>
              </w:rPr>
            </w:pPr>
          </w:p>
        </w:tc>
      </w:tr>
      <w:tr w:rsidR="00A1788E" w:rsidRPr="00A1788E" w14:paraId="5DD39234" w14:textId="77777777" w:rsidTr="002B2CB5">
        <w:trPr>
          <w:tblCellSpacing w:w="15" w:type="dxa"/>
        </w:trPr>
        <w:tc>
          <w:tcPr>
            <w:tcW w:w="7561" w:type="dxa"/>
            <w:vAlign w:val="center"/>
            <w:hideMark/>
          </w:tcPr>
          <w:p w14:paraId="017A72AF" w14:textId="445AD968" w:rsidR="00A1788E" w:rsidRPr="00A1788E" w:rsidRDefault="00A1788E" w:rsidP="00A1788E">
            <w:pPr>
              <w:rPr>
                <w:rFonts w:ascii="Arial" w:hAnsi="Arial" w:cs="Arial"/>
                <w:sz w:val="22"/>
                <w:szCs w:val="22"/>
              </w:rPr>
            </w:pPr>
            <w:r w:rsidRPr="00A1788E">
              <w:rPr>
                <w:rFonts w:ascii="Arial" w:hAnsi="Arial" w:cs="Arial"/>
                <w:sz w:val="22"/>
                <w:szCs w:val="22"/>
              </w:rPr>
              <w:t>Data Collection and Search Strategy</w:t>
            </w:r>
            <w:r w:rsidR="00627584">
              <w:rPr>
                <w:rFonts w:ascii="Arial" w:hAnsi="Arial" w:cs="Arial"/>
                <w:sz w:val="22"/>
                <w:szCs w:val="22"/>
              </w:rPr>
              <w:t>……………………………………………8</w:t>
            </w:r>
          </w:p>
        </w:tc>
        <w:tc>
          <w:tcPr>
            <w:tcW w:w="641" w:type="dxa"/>
            <w:vAlign w:val="center"/>
            <w:hideMark/>
          </w:tcPr>
          <w:p w14:paraId="518E5EB1" w14:textId="77777777" w:rsidR="00A1788E" w:rsidRPr="00A1788E" w:rsidRDefault="00A1788E" w:rsidP="00A1788E">
            <w:pPr>
              <w:rPr>
                <w:rFonts w:ascii="Arial" w:hAnsi="Arial" w:cs="Arial"/>
                <w:sz w:val="22"/>
                <w:szCs w:val="22"/>
              </w:rPr>
            </w:pPr>
          </w:p>
        </w:tc>
      </w:tr>
      <w:tr w:rsidR="00A1788E" w:rsidRPr="00A1788E" w14:paraId="26DAB439" w14:textId="77777777" w:rsidTr="002B2CB5">
        <w:trPr>
          <w:tblCellSpacing w:w="15" w:type="dxa"/>
        </w:trPr>
        <w:tc>
          <w:tcPr>
            <w:tcW w:w="7561" w:type="dxa"/>
            <w:vAlign w:val="center"/>
            <w:hideMark/>
          </w:tcPr>
          <w:p w14:paraId="189CBB65" w14:textId="48003188" w:rsidR="00A1788E" w:rsidRPr="00A1788E" w:rsidRDefault="00A1788E" w:rsidP="00A1788E">
            <w:pPr>
              <w:rPr>
                <w:rFonts w:ascii="Arial" w:hAnsi="Arial" w:cs="Arial"/>
                <w:sz w:val="22"/>
                <w:szCs w:val="22"/>
              </w:rPr>
            </w:pPr>
            <w:r w:rsidRPr="00A1788E">
              <w:rPr>
                <w:rFonts w:ascii="Arial" w:hAnsi="Arial" w:cs="Arial"/>
                <w:sz w:val="22"/>
                <w:szCs w:val="22"/>
              </w:rPr>
              <w:t>Inclusion and Exclusion Criteria</w:t>
            </w:r>
            <w:r w:rsidR="00627584">
              <w:rPr>
                <w:rFonts w:ascii="Arial" w:hAnsi="Arial" w:cs="Arial"/>
                <w:sz w:val="22"/>
                <w:szCs w:val="22"/>
              </w:rPr>
              <w:t>………………………………………………….8</w:t>
            </w:r>
          </w:p>
        </w:tc>
        <w:tc>
          <w:tcPr>
            <w:tcW w:w="641" w:type="dxa"/>
            <w:vAlign w:val="center"/>
            <w:hideMark/>
          </w:tcPr>
          <w:p w14:paraId="4FCDD7C0" w14:textId="77777777" w:rsidR="00A1788E" w:rsidRPr="00A1788E" w:rsidRDefault="00A1788E" w:rsidP="00A1788E">
            <w:pPr>
              <w:rPr>
                <w:rFonts w:ascii="Arial" w:hAnsi="Arial" w:cs="Arial"/>
                <w:sz w:val="22"/>
                <w:szCs w:val="22"/>
              </w:rPr>
            </w:pPr>
          </w:p>
        </w:tc>
      </w:tr>
      <w:tr w:rsidR="00A1788E" w:rsidRPr="00A1788E" w14:paraId="40573751" w14:textId="77777777" w:rsidTr="002B2CB5">
        <w:trPr>
          <w:tblCellSpacing w:w="15" w:type="dxa"/>
        </w:trPr>
        <w:tc>
          <w:tcPr>
            <w:tcW w:w="7561" w:type="dxa"/>
            <w:vAlign w:val="center"/>
            <w:hideMark/>
          </w:tcPr>
          <w:p w14:paraId="2F40AF85" w14:textId="5A29634A" w:rsidR="00A1788E" w:rsidRPr="00A1788E" w:rsidRDefault="00A1788E" w:rsidP="00A1788E">
            <w:pPr>
              <w:rPr>
                <w:rFonts w:ascii="Arial" w:hAnsi="Arial" w:cs="Arial"/>
                <w:sz w:val="22"/>
                <w:szCs w:val="22"/>
              </w:rPr>
            </w:pPr>
            <w:r w:rsidRPr="00A1788E">
              <w:rPr>
                <w:rFonts w:ascii="Arial" w:hAnsi="Arial" w:cs="Arial"/>
                <w:sz w:val="22"/>
                <w:szCs w:val="22"/>
              </w:rPr>
              <w:t>Study Selection</w:t>
            </w:r>
            <w:r w:rsidR="00627584">
              <w:rPr>
                <w:rFonts w:ascii="Arial" w:hAnsi="Arial" w:cs="Arial"/>
                <w:sz w:val="22"/>
                <w:szCs w:val="22"/>
              </w:rPr>
              <w:t>…………………………………………………………………….9</w:t>
            </w:r>
          </w:p>
        </w:tc>
        <w:tc>
          <w:tcPr>
            <w:tcW w:w="641" w:type="dxa"/>
            <w:vAlign w:val="center"/>
            <w:hideMark/>
          </w:tcPr>
          <w:p w14:paraId="5F9A5FB9" w14:textId="77777777" w:rsidR="00A1788E" w:rsidRPr="00A1788E" w:rsidRDefault="00A1788E" w:rsidP="00A1788E">
            <w:pPr>
              <w:rPr>
                <w:rFonts w:ascii="Arial" w:hAnsi="Arial" w:cs="Arial"/>
                <w:sz w:val="22"/>
                <w:szCs w:val="22"/>
              </w:rPr>
            </w:pPr>
          </w:p>
        </w:tc>
      </w:tr>
      <w:tr w:rsidR="00A1788E" w:rsidRPr="00A1788E" w14:paraId="155923F1" w14:textId="77777777" w:rsidTr="002B2CB5">
        <w:trPr>
          <w:tblCellSpacing w:w="15" w:type="dxa"/>
        </w:trPr>
        <w:tc>
          <w:tcPr>
            <w:tcW w:w="7561" w:type="dxa"/>
            <w:vAlign w:val="center"/>
            <w:hideMark/>
          </w:tcPr>
          <w:p w14:paraId="6CF1E29C" w14:textId="456DEFE5" w:rsidR="00A1788E" w:rsidRPr="00A1788E" w:rsidRDefault="00A1788E" w:rsidP="00A1788E">
            <w:pPr>
              <w:rPr>
                <w:rFonts w:ascii="Arial" w:hAnsi="Arial" w:cs="Arial"/>
                <w:sz w:val="22"/>
                <w:szCs w:val="22"/>
              </w:rPr>
            </w:pPr>
            <w:r w:rsidRPr="00A1788E">
              <w:rPr>
                <w:rFonts w:ascii="Arial" w:hAnsi="Arial" w:cs="Arial"/>
                <w:sz w:val="22"/>
                <w:szCs w:val="22"/>
              </w:rPr>
              <w:t>Data Analysis</w:t>
            </w:r>
            <w:r w:rsidR="00627584">
              <w:rPr>
                <w:rFonts w:ascii="Arial" w:hAnsi="Arial" w:cs="Arial"/>
                <w:sz w:val="22"/>
                <w:szCs w:val="22"/>
              </w:rPr>
              <w:t>……………………………………………………………………….9</w:t>
            </w:r>
          </w:p>
        </w:tc>
        <w:tc>
          <w:tcPr>
            <w:tcW w:w="641" w:type="dxa"/>
            <w:vAlign w:val="center"/>
            <w:hideMark/>
          </w:tcPr>
          <w:p w14:paraId="168F5FC1" w14:textId="77777777" w:rsidR="00A1788E" w:rsidRPr="00A1788E" w:rsidRDefault="00A1788E" w:rsidP="00A1788E">
            <w:pPr>
              <w:rPr>
                <w:rFonts w:ascii="Arial" w:hAnsi="Arial" w:cs="Arial"/>
                <w:sz w:val="22"/>
                <w:szCs w:val="22"/>
              </w:rPr>
            </w:pPr>
          </w:p>
        </w:tc>
      </w:tr>
      <w:tr w:rsidR="00A1788E" w:rsidRPr="00A1788E" w14:paraId="35C38433" w14:textId="77777777" w:rsidTr="002B2CB5">
        <w:trPr>
          <w:tblCellSpacing w:w="15" w:type="dxa"/>
        </w:trPr>
        <w:tc>
          <w:tcPr>
            <w:tcW w:w="7561" w:type="dxa"/>
            <w:vAlign w:val="center"/>
            <w:hideMark/>
          </w:tcPr>
          <w:p w14:paraId="17C48A34" w14:textId="483F2BB8" w:rsidR="00A1788E" w:rsidRPr="00A1788E" w:rsidRDefault="00A1788E" w:rsidP="00A1788E">
            <w:pPr>
              <w:rPr>
                <w:rFonts w:ascii="Arial" w:hAnsi="Arial" w:cs="Arial"/>
                <w:sz w:val="22"/>
                <w:szCs w:val="22"/>
              </w:rPr>
            </w:pPr>
            <w:r w:rsidRPr="00A1788E">
              <w:rPr>
                <w:rFonts w:ascii="Arial" w:hAnsi="Arial" w:cs="Arial"/>
                <w:sz w:val="22"/>
                <w:szCs w:val="22"/>
              </w:rPr>
              <w:t>Ethical Considerations</w:t>
            </w:r>
            <w:r w:rsidR="00627584">
              <w:rPr>
                <w:rFonts w:ascii="Arial" w:hAnsi="Arial" w:cs="Arial"/>
                <w:sz w:val="22"/>
                <w:szCs w:val="22"/>
              </w:rPr>
              <w:t>…………………………………………………………….</w:t>
            </w:r>
            <w:r w:rsidR="00B83D67">
              <w:rPr>
                <w:rFonts w:ascii="Arial" w:hAnsi="Arial" w:cs="Arial"/>
                <w:sz w:val="22"/>
                <w:szCs w:val="22"/>
              </w:rPr>
              <w:t>10</w:t>
            </w:r>
          </w:p>
        </w:tc>
        <w:tc>
          <w:tcPr>
            <w:tcW w:w="641" w:type="dxa"/>
            <w:vAlign w:val="center"/>
            <w:hideMark/>
          </w:tcPr>
          <w:p w14:paraId="69F6A276" w14:textId="77777777" w:rsidR="00A1788E" w:rsidRPr="00A1788E" w:rsidRDefault="00A1788E" w:rsidP="00A1788E">
            <w:pPr>
              <w:rPr>
                <w:rFonts w:ascii="Arial" w:hAnsi="Arial" w:cs="Arial"/>
                <w:sz w:val="22"/>
                <w:szCs w:val="22"/>
              </w:rPr>
            </w:pPr>
          </w:p>
        </w:tc>
      </w:tr>
      <w:tr w:rsidR="00A1788E" w:rsidRPr="00A1788E" w14:paraId="218A9BC6" w14:textId="77777777" w:rsidTr="002B2CB5">
        <w:trPr>
          <w:tblCellSpacing w:w="15" w:type="dxa"/>
        </w:trPr>
        <w:tc>
          <w:tcPr>
            <w:tcW w:w="7561" w:type="dxa"/>
            <w:vAlign w:val="center"/>
            <w:hideMark/>
          </w:tcPr>
          <w:p w14:paraId="28B3719E" w14:textId="6AC2E3E8" w:rsidR="00A1788E" w:rsidRPr="00A1788E" w:rsidRDefault="00A1788E" w:rsidP="00A1788E">
            <w:pPr>
              <w:rPr>
                <w:rFonts w:ascii="Arial" w:hAnsi="Arial" w:cs="Arial"/>
                <w:sz w:val="22"/>
                <w:szCs w:val="22"/>
              </w:rPr>
            </w:pPr>
            <w:r w:rsidRPr="00A1788E">
              <w:rPr>
                <w:rFonts w:ascii="Arial" w:hAnsi="Arial" w:cs="Arial"/>
                <w:sz w:val="22"/>
                <w:szCs w:val="22"/>
              </w:rPr>
              <w:t>Results</w:t>
            </w:r>
            <w:r w:rsidR="00627584">
              <w:rPr>
                <w:rFonts w:ascii="Arial" w:hAnsi="Arial" w:cs="Arial"/>
                <w:sz w:val="22"/>
                <w:szCs w:val="22"/>
              </w:rPr>
              <w:t>………………………………………………………………………………</w:t>
            </w:r>
            <w:r w:rsidR="00B83D67">
              <w:rPr>
                <w:rFonts w:ascii="Arial" w:hAnsi="Arial" w:cs="Arial"/>
                <w:sz w:val="22"/>
                <w:szCs w:val="22"/>
              </w:rPr>
              <w:t>11</w:t>
            </w:r>
          </w:p>
        </w:tc>
        <w:tc>
          <w:tcPr>
            <w:tcW w:w="641" w:type="dxa"/>
            <w:vAlign w:val="center"/>
            <w:hideMark/>
          </w:tcPr>
          <w:p w14:paraId="071A931E" w14:textId="77777777" w:rsidR="00A1788E" w:rsidRPr="00A1788E" w:rsidRDefault="00A1788E" w:rsidP="00A1788E">
            <w:pPr>
              <w:rPr>
                <w:rFonts w:ascii="Arial" w:hAnsi="Arial" w:cs="Arial"/>
                <w:sz w:val="22"/>
                <w:szCs w:val="22"/>
              </w:rPr>
            </w:pPr>
          </w:p>
        </w:tc>
      </w:tr>
      <w:tr w:rsidR="00A1788E" w:rsidRPr="00A1788E" w14:paraId="195F40F7" w14:textId="77777777" w:rsidTr="002B2CB5">
        <w:trPr>
          <w:tblCellSpacing w:w="15" w:type="dxa"/>
        </w:trPr>
        <w:tc>
          <w:tcPr>
            <w:tcW w:w="7561" w:type="dxa"/>
            <w:vAlign w:val="center"/>
            <w:hideMark/>
          </w:tcPr>
          <w:p w14:paraId="5D86C568" w14:textId="229787F5" w:rsidR="00A1788E" w:rsidRPr="00A1788E" w:rsidRDefault="00A1788E" w:rsidP="00A1788E">
            <w:pPr>
              <w:rPr>
                <w:rFonts w:ascii="Arial" w:hAnsi="Arial" w:cs="Arial"/>
                <w:sz w:val="22"/>
                <w:szCs w:val="22"/>
              </w:rPr>
            </w:pPr>
            <w:r w:rsidRPr="00A1788E">
              <w:rPr>
                <w:rFonts w:ascii="Arial" w:hAnsi="Arial" w:cs="Arial"/>
                <w:sz w:val="22"/>
                <w:szCs w:val="22"/>
              </w:rPr>
              <w:t>Discussion</w:t>
            </w:r>
            <w:r w:rsidR="00627584">
              <w:rPr>
                <w:rFonts w:ascii="Arial" w:hAnsi="Arial" w:cs="Arial"/>
                <w:sz w:val="22"/>
                <w:szCs w:val="22"/>
              </w:rPr>
              <w:t>………………………………………………………………………….</w:t>
            </w:r>
            <w:r w:rsidR="00B83D67">
              <w:rPr>
                <w:rFonts w:ascii="Arial" w:hAnsi="Arial" w:cs="Arial"/>
                <w:sz w:val="22"/>
                <w:szCs w:val="22"/>
              </w:rPr>
              <w:t>12</w:t>
            </w:r>
          </w:p>
        </w:tc>
        <w:tc>
          <w:tcPr>
            <w:tcW w:w="641" w:type="dxa"/>
            <w:vAlign w:val="center"/>
            <w:hideMark/>
          </w:tcPr>
          <w:p w14:paraId="165015C1" w14:textId="77777777" w:rsidR="00A1788E" w:rsidRPr="00A1788E" w:rsidRDefault="00A1788E" w:rsidP="00A1788E">
            <w:pPr>
              <w:rPr>
                <w:rFonts w:ascii="Arial" w:hAnsi="Arial" w:cs="Arial"/>
                <w:sz w:val="22"/>
                <w:szCs w:val="22"/>
              </w:rPr>
            </w:pPr>
          </w:p>
        </w:tc>
      </w:tr>
      <w:tr w:rsidR="00A1788E" w:rsidRPr="00A1788E" w14:paraId="207207B7" w14:textId="77777777" w:rsidTr="002B2CB5">
        <w:trPr>
          <w:tblCellSpacing w:w="15" w:type="dxa"/>
        </w:trPr>
        <w:tc>
          <w:tcPr>
            <w:tcW w:w="7561" w:type="dxa"/>
            <w:vAlign w:val="center"/>
            <w:hideMark/>
          </w:tcPr>
          <w:p w14:paraId="764C11E1" w14:textId="77777777" w:rsidR="00A1788E" w:rsidRPr="00A1788E" w:rsidRDefault="00A1788E" w:rsidP="00A1788E">
            <w:pPr>
              <w:rPr>
                <w:rFonts w:ascii="Arial" w:hAnsi="Arial" w:cs="Arial"/>
                <w:sz w:val="22"/>
                <w:szCs w:val="22"/>
              </w:rPr>
            </w:pPr>
            <w:r w:rsidRPr="00A1788E">
              <w:rPr>
                <w:rFonts w:ascii="Arial" w:hAnsi="Arial" w:cs="Arial"/>
                <w:sz w:val="22"/>
                <w:szCs w:val="22"/>
              </w:rPr>
              <w:t>Theme 1: Clinical Decision-Making in End-of-Life Diabetes Management</w:t>
            </w:r>
          </w:p>
        </w:tc>
        <w:tc>
          <w:tcPr>
            <w:tcW w:w="641" w:type="dxa"/>
            <w:vAlign w:val="center"/>
            <w:hideMark/>
          </w:tcPr>
          <w:p w14:paraId="5F56CFE2" w14:textId="77777777" w:rsidR="00A1788E" w:rsidRPr="00A1788E" w:rsidRDefault="00A1788E" w:rsidP="00A1788E">
            <w:pPr>
              <w:rPr>
                <w:rFonts w:ascii="Arial" w:hAnsi="Arial" w:cs="Arial"/>
                <w:sz w:val="22"/>
                <w:szCs w:val="22"/>
              </w:rPr>
            </w:pPr>
          </w:p>
        </w:tc>
      </w:tr>
      <w:tr w:rsidR="00A1788E" w:rsidRPr="00A1788E" w14:paraId="5B0E682B" w14:textId="77777777" w:rsidTr="002B2CB5">
        <w:trPr>
          <w:tblCellSpacing w:w="15" w:type="dxa"/>
        </w:trPr>
        <w:tc>
          <w:tcPr>
            <w:tcW w:w="7561" w:type="dxa"/>
            <w:vAlign w:val="center"/>
            <w:hideMark/>
          </w:tcPr>
          <w:p w14:paraId="519EBF90" w14:textId="77777777" w:rsidR="00A1788E" w:rsidRPr="00A1788E" w:rsidRDefault="00A1788E" w:rsidP="00A1788E">
            <w:pPr>
              <w:rPr>
                <w:rFonts w:ascii="Arial" w:hAnsi="Arial" w:cs="Arial"/>
                <w:sz w:val="22"/>
                <w:szCs w:val="22"/>
              </w:rPr>
            </w:pPr>
            <w:r w:rsidRPr="00A1788E">
              <w:rPr>
                <w:rFonts w:ascii="Arial" w:hAnsi="Arial" w:cs="Arial"/>
                <w:sz w:val="22"/>
                <w:szCs w:val="22"/>
              </w:rPr>
              <w:t>Theme 2: Communication and Relational Care</w:t>
            </w:r>
          </w:p>
        </w:tc>
        <w:tc>
          <w:tcPr>
            <w:tcW w:w="641" w:type="dxa"/>
            <w:vAlign w:val="center"/>
            <w:hideMark/>
          </w:tcPr>
          <w:p w14:paraId="5227C71C" w14:textId="77777777" w:rsidR="00A1788E" w:rsidRPr="00A1788E" w:rsidRDefault="00A1788E" w:rsidP="00A1788E">
            <w:pPr>
              <w:rPr>
                <w:rFonts w:ascii="Arial" w:hAnsi="Arial" w:cs="Arial"/>
                <w:sz w:val="22"/>
                <w:szCs w:val="22"/>
              </w:rPr>
            </w:pPr>
          </w:p>
        </w:tc>
      </w:tr>
      <w:tr w:rsidR="00A1788E" w:rsidRPr="00A1788E" w14:paraId="202C0518" w14:textId="77777777" w:rsidTr="002B2CB5">
        <w:trPr>
          <w:tblCellSpacing w:w="15" w:type="dxa"/>
        </w:trPr>
        <w:tc>
          <w:tcPr>
            <w:tcW w:w="7561" w:type="dxa"/>
            <w:vAlign w:val="center"/>
            <w:hideMark/>
          </w:tcPr>
          <w:p w14:paraId="52BF2225" w14:textId="77777777" w:rsidR="00A1788E" w:rsidRPr="00A1788E" w:rsidRDefault="00A1788E" w:rsidP="00A1788E">
            <w:pPr>
              <w:rPr>
                <w:rFonts w:ascii="Arial" w:hAnsi="Arial" w:cs="Arial"/>
                <w:sz w:val="22"/>
                <w:szCs w:val="22"/>
              </w:rPr>
            </w:pPr>
            <w:r w:rsidRPr="00A1788E">
              <w:rPr>
                <w:rFonts w:ascii="Arial" w:hAnsi="Arial" w:cs="Arial"/>
                <w:sz w:val="22"/>
                <w:szCs w:val="22"/>
              </w:rPr>
              <w:t>Theme 3: Education and Workforce Development</w:t>
            </w:r>
          </w:p>
        </w:tc>
        <w:tc>
          <w:tcPr>
            <w:tcW w:w="641" w:type="dxa"/>
            <w:vAlign w:val="center"/>
            <w:hideMark/>
          </w:tcPr>
          <w:p w14:paraId="098DCE32" w14:textId="77777777" w:rsidR="00A1788E" w:rsidRPr="00A1788E" w:rsidRDefault="00A1788E" w:rsidP="00A1788E">
            <w:pPr>
              <w:rPr>
                <w:rFonts w:ascii="Arial" w:hAnsi="Arial" w:cs="Arial"/>
                <w:sz w:val="22"/>
                <w:szCs w:val="22"/>
              </w:rPr>
            </w:pPr>
          </w:p>
        </w:tc>
      </w:tr>
      <w:tr w:rsidR="00A1788E" w:rsidRPr="00A1788E" w14:paraId="690ADAE8" w14:textId="77777777" w:rsidTr="002B2CB5">
        <w:trPr>
          <w:tblCellSpacing w:w="15" w:type="dxa"/>
        </w:trPr>
        <w:tc>
          <w:tcPr>
            <w:tcW w:w="7561" w:type="dxa"/>
            <w:vAlign w:val="center"/>
            <w:hideMark/>
          </w:tcPr>
          <w:p w14:paraId="53CC34A5" w14:textId="77777777" w:rsidR="00A1788E" w:rsidRPr="00A1788E" w:rsidRDefault="00A1788E" w:rsidP="00A1788E">
            <w:pPr>
              <w:rPr>
                <w:rFonts w:ascii="Arial" w:hAnsi="Arial" w:cs="Arial"/>
                <w:sz w:val="22"/>
                <w:szCs w:val="22"/>
              </w:rPr>
            </w:pPr>
            <w:r w:rsidRPr="00A1788E">
              <w:rPr>
                <w:rFonts w:ascii="Arial" w:hAnsi="Arial" w:cs="Arial"/>
                <w:sz w:val="22"/>
                <w:szCs w:val="22"/>
              </w:rPr>
              <w:t>Theme 4: Organisational and System-Level Barriers</w:t>
            </w:r>
          </w:p>
        </w:tc>
        <w:tc>
          <w:tcPr>
            <w:tcW w:w="641" w:type="dxa"/>
            <w:vAlign w:val="center"/>
            <w:hideMark/>
          </w:tcPr>
          <w:p w14:paraId="5C0C905B" w14:textId="77777777" w:rsidR="00A1788E" w:rsidRPr="00A1788E" w:rsidRDefault="00A1788E" w:rsidP="00A1788E">
            <w:pPr>
              <w:rPr>
                <w:rFonts w:ascii="Arial" w:hAnsi="Arial" w:cs="Arial"/>
                <w:sz w:val="22"/>
                <w:szCs w:val="22"/>
              </w:rPr>
            </w:pPr>
          </w:p>
        </w:tc>
      </w:tr>
      <w:tr w:rsidR="00A1788E" w:rsidRPr="00A1788E" w14:paraId="65C78202" w14:textId="77777777" w:rsidTr="002B2CB5">
        <w:trPr>
          <w:tblCellSpacing w:w="15" w:type="dxa"/>
        </w:trPr>
        <w:tc>
          <w:tcPr>
            <w:tcW w:w="7561" w:type="dxa"/>
            <w:vAlign w:val="center"/>
            <w:hideMark/>
          </w:tcPr>
          <w:p w14:paraId="607CED0A" w14:textId="77777777" w:rsidR="00A1788E" w:rsidRPr="00A1788E" w:rsidRDefault="00A1788E" w:rsidP="00A1788E">
            <w:pPr>
              <w:rPr>
                <w:rFonts w:ascii="Arial" w:hAnsi="Arial" w:cs="Arial"/>
                <w:sz w:val="22"/>
                <w:szCs w:val="22"/>
              </w:rPr>
            </w:pPr>
            <w:r w:rsidRPr="00A1788E">
              <w:rPr>
                <w:rFonts w:ascii="Arial" w:hAnsi="Arial" w:cs="Arial"/>
                <w:sz w:val="22"/>
                <w:szCs w:val="22"/>
              </w:rPr>
              <w:t>Theme 5: Psychological and Emotional Impact on Nursing Staff</w:t>
            </w:r>
          </w:p>
        </w:tc>
        <w:tc>
          <w:tcPr>
            <w:tcW w:w="641" w:type="dxa"/>
            <w:vAlign w:val="center"/>
            <w:hideMark/>
          </w:tcPr>
          <w:p w14:paraId="339E9504" w14:textId="77777777" w:rsidR="00A1788E" w:rsidRPr="00A1788E" w:rsidRDefault="00A1788E" w:rsidP="00A1788E">
            <w:pPr>
              <w:rPr>
                <w:rFonts w:ascii="Arial" w:hAnsi="Arial" w:cs="Arial"/>
                <w:sz w:val="22"/>
                <w:szCs w:val="22"/>
              </w:rPr>
            </w:pPr>
          </w:p>
        </w:tc>
      </w:tr>
      <w:tr w:rsidR="00A1788E" w:rsidRPr="00A1788E" w14:paraId="58024797" w14:textId="77777777" w:rsidTr="002B2CB5">
        <w:trPr>
          <w:tblCellSpacing w:w="15" w:type="dxa"/>
        </w:trPr>
        <w:tc>
          <w:tcPr>
            <w:tcW w:w="7561" w:type="dxa"/>
            <w:vAlign w:val="center"/>
            <w:hideMark/>
          </w:tcPr>
          <w:p w14:paraId="31D3727A" w14:textId="041EA150" w:rsidR="00A1788E" w:rsidRPr="00A1788E" w:rsidRDefault="00A1788E" w:rsidP="00A1788E">
            <w:pPr>
              <w:rPr>
                <w:rFonts w:ascii="Arial" w:hAnsi="Arial" w:cs="Arial"/>
                <w:sz w:val="22"/>
                <w:szCs w:val="22"/>
              </w:rPr>
            </w:pPr>
          </w:p>
        </w:tc>
        <w:tc>
          <w:tcPr>
            <w:tcW w:w="641" w:type="dxa"/>
            <w:vAlign w:val="center"/>
            <w:hideMark/>
          </w:tcPr>
          <w:p w14:paraId="17DB6D71" w14:textId="77777777" w:rsidR="00A1788E" w:rsidRPr="00A1788E" w:rsidRDefault="00A1788E" w:rsidP="00A1788E">
            <w:pPr>
              <w:rPr>
                <w:rFonts w:ascii="Arial" w:hAnsi="Arial" w:cs="Arial"/>
                <w:sz w:val="22"/>
                <w:szCs w:val="22"/>
              </w:rPr>
            </w:pPr>
          </w:p>
        </w:tc>
      </w:tr>
      <w:tr w:rsidR="00A1788E" w:rsidRPr="00A1788E" w14:paraId="43FD4DE2" w14:textId="77777777" w:rsidTr="002B2CB5">
        <w:trPr>
          <w:tblCellSpacing w:w="15" w:type="dxa"/>
        </w:trPr>
        <w:tc>
          <w:tcPr>
            <w:tcW w:w="7561" w:type="dxa"/>
            <w:vAlign w:val="center"/>
            <w:hideMark/>
          </w:tcPr>
          <w:p w14:paraId="6A8146E4" w14:textId="1705C315" w:rsidR="00A1788E" w:rsidRPr="00A1788E" w:rsidRDefault="00A1788E" w:rsidP="00A1788E">
            <w:pPr>
              <w:rPr>
                <w:rFonts w:ascii="Arial" w:hAnsi="Arial" w:cs="Arial"/>
                <w:sz w:val="22"/>
                <w:szCs w:val="22"/>
              </w:rPr>
            </w:pPr>
            <w:r w:rsidRPr="00A1788E">
              <w:rPr>
                <w:rFonts w:ascii="Arial" w:hAnsi="Arial" w:cs="Arial"/>
                <w:sz w:val="22"/>
                <w:szCs w:val="22"/>
              </w:rPr>
              <w:t>Critical Analysis of the Evidence Base</w:t>
            </w:r>
            <w:r w:rsidR="00B83D67">
              <w:rPr>
                <w:rFonts w:ascii="Arial" w:hAnsi="Arial" w:cs="Arial"/>
                <w:sz w:val="22"/>
                <w:szCs w:val="22"/>
              </w:rPr>
              <w:t>…………………………………………15</w:t>
            </w:r>
          </w:p>
        </w:tc>
        <w:tc>
          <w:tcPr>
            <w:tcW w:w="641" w:type="dxa"/>
            <w:vAlign w:val="center"/>
            <w:hideMark/>
          </w:tcPr>
          <w:p w14:paraId="7C898D43" w14:textId="77777777" w:rsidR="00A1788E" w:rsidRPr="00A1788E" w:rsidRDefault="00A1788E" w:rsidP="00A1788E">
            <w:pPr>
              <w:rPr>
                <w:rFonts w:ascii="Arial" w:hAnsi="Arial" w:cs="Arial"/>
                <w:sz w:val="22"/>
                <w:szCs w:val="22"/>
              </w:rPr>
            </w:pPr>
          </w:p>
        </w:tc>
      </w:tr>
      <w:tr w:rsidR="00A1788E" w:rsidRPr="00A1788E" w14:paraId="6BDECB2F" w14:textId="77777777" w:rsidTr="002B2CB5">
        <w:trPr>
          <w:tblCellSpacing w:w="15" w:type="dxa"/>
        </w:trPr>
        <w:tc>
          <w:tcPr>
            <w:tcW w:w="7561" w:type="dxa"/>
            <w:vAlign w:val="center"/>
            <w:hideMark/>
          </w:tcPr>
          <w:p w14:paraId="67A1AB65" w14:textId="1B2F915D" w:rsidR="00A1788E" w:rsidRPr="00A1788E" w:rsidRDefault="00A1788E" w:rsidP="00A1788E">
            <w:pPr>
              <w:rPr>
                <w:rFonts w:ascii="Arial" w:hAnsi="Arial" w:cs="Arial"/>
                <w:sz w:val="22"/>
                <w:szCs w:val="22"/>
              </w:rPr>
            </w:pPr>
            <w:r w:rsidRPr="00A1788E">
              <w:rPr>
                <w:rFonts w:ascii="Arial" w:hAnsi="Arial" w:cs="Arial"/>
                <w:sz w:val="22"/>
                <w:szCs w:val="22"/>
              </w:rPr>
              <w:t>Limitations</w:t>
            </w:r>
            <w:r w:rsidR="00B83D67">
              <w:rPr>
                <w:rFonts w:ascii="Arial" w:hAnsi="Arial" w:cs="Arial"/>
                <w:sz w:val="22"/>
                <w:szCs w:val="22"/>
              </w:rPr>
              <w:t>…………………………………………………………………………15</w:t>
            </w:r>
          </w:p>
        </w:tc>
        <w:tc>
          <w:tcPr>
            <w:tcW w:w="641" w:type="dxa"/>
            <w:vAlign w:val="center"/>
            <w:hideMark/>
          </w:tcPr>
          <w:p w14:paraId="403928CB" w14:textId="77777777" w:rsidR="00A1788E" w:rsidRPr="00A1788E" w:rsidRDefault="00A1788E" w:rsidP="00A1788E">
            <w:pPr>
              <w:rPr>
                <w:rFonts w:ascii="Arial" w:hAnsi="Arial" w:cs="Arial"/>
                <w:sz w:val="22"/>
                <w:szCs w:val="22"/>
              </w:rPr>
            </w:pPr>
          </w:p>
        </w:tc>
      </w:tr>
      <w:tr w:rsidR="00A1788E" w:rsidRPr="00A1788E" w14:paraId="134228C9" w14:textId="77777777" w:rsidTr="002B2CB5">
        <w:trPr>
          <w:tblCellSpacing w:w="15" w:type="dxa"/>
        </w:trPr>
        <w:tc>
          <w:tcPr>
            <w:tcW w:w="7561" w:type="dxa"/>
            <w:vAlign w:val="center"/>
            <w:hideMark/>
          </w:tcPr>
          <w:p w14:paraId="5D25C94D" w14:textId="28FCC4AB" w:rsidR="00A1788E" w:rsidRPr="00A1788E" w:rsidRDefault="00A1788E" w:rsidP="00A1788E">
            <w:pPr>
              <w:rPr>
                <w:rFonts w:ascii="Arial" w:hAnsi="Arial" w:cs="Arial"/>
                <w:sz w:val="22"/>
                <w:szCs w:val="22"/>
              </w:rPr>
            </w:pPr>
            <w:r w:rsidRPr="00A1788E">
              <w:rPr>
                <w:rFonts w:ascii="Arial" w:hAnsi="Arial" w:cs="Arial"/>
                <w:sz w:val="22"/>
                <w:szCs w:val="22"/>
              </w:rPr>
              <w:t>Conclusion</w:t>
            </w:r>
            <w:r w:rsidR="00B83D67">
              <w:rPr>
                <w:rFonts w:ascii="Arial" w:hAnsi="Arial" w:cs="Arial"/>
                <w:sz w:val="22"/>
                <w:szCs w:val="22"/>
              </w:rPr>
              <w:t>…………………………………………………………………</w:t>
            </w:r>
            <w:r w:rsidR="002B2CB5">
              <w:rPr>
                <w:rFonts w:ascii="Arial" w:hAnsi="Arial" w:cs="Arial"/>
                <w:sz w:val="22"/>
                <w:szCs w:val="22"/>
              </w:rPr>
              <w:t>….</w:t>
            </w:r>
            <w:r w:rsidR="00B83D67">
              <w:rPr>
                <w:rFonts w:ascii="Arial" w:hAnsi="Arial" w:cs="Arial"/>
                <w:sz w:val="22"/>
                <w:szCs w:val="22"/>
              </w:rPr>
              <w:t>….16</w:t>
            </w:r>
          </w:p>
        </w:tc>
        <w:tc>
          <w:tcPr>
            <w:tcW w:w="641" w:type="dxa"/>
            <w:vAlign w:val="center"/>
            <w:hideMark/>
          </w:tcPr>
          <w:p w14:paraId="0DA8794D" w14:textId="77777777" w:rsidR="00A1788E" w:rsidRPr="00A1788E" w:rsidRDefault="00A1788E" w:rsidP="00A1788E">
            <w:pPr>
              <w:rPr>
                <w:rFonts w:ascii="Arial" w:hAnsi="Arial" w:cs="Arial"/>
                <w:sz w:val="22"/>
                <w:szCs w:val="22"/>
              </w:rPr>
            </w:pPr>
          </w:p>
        </w:tc>
      </w:tr>
      <w:tr w:rsidR="00A1788E" w:rsidRPr="00A1788E" w14:paraId="3D36A5B1" w14:textId="77777777" w:rsidTr="002B2CB5">
        <w:trPr>
          <w:tblCellSpacing w:w="15" w:type="dxa"/>
        </w:trPr>
        <w:tc>
          <w:tcPr>
            <w:tcW w:w="7561" w:type="dxa"/>
            <w:vAlign w:val="center"/>
            <w:hideMark/>
          </w:tcPr>
          <w:p w14:paraId="6C236821" w14:textId="0198DA43" w:rsidR="00A1788E" w:rsidRPr="00A1788E" w:rsidRDefault="00A1788E" w:rsidP="00A1788E">
            <w:pPr>
              <w:rPr>
                <w:rFonts w:ascii="Arial" w:hAnsi="Arial" w:cs="Arial"/>
                <w:sz w:val="22"/>
                <w:szCs w:val="22"/>
              </w:rPr>
            </w:pPr>
          </w:p>
        </w:tc>
        <w:tc>
          <w:tcPr>
            <w:tcW w:w="641" w:type="dxa"/>
            <w:vAlign w:val="center"/>
            <w:hideMark/>
          </w:tcPr>
          <w:p w14:paraId="255EB446" w14:textId="77777777" w:rsidR="00A1788E" w:rsidRPr="00A1788E" w:rsidRDefault="00A1788E" w:rsidP="00A1788E">
            <w:pPr>
              <w:rPr>
                <w:rFonts w:ascii="Arial" w:hAnsi="Arial" w:cs="Arial"/>
                <w:sz w:val="22"/>
                <w:szCs w:val="22"/>
              </w:rPr>
            </w:pPr>
          </w:p>
        </w:tc>
      </w:tr>
      <w:tr w:rsidR="00A1788E" w:rsidRPr="00A1788E" w14:paraId="2A9191A1" w14:textId="77777777" w:rsidTr="002B2CB5">
        <w:trPr>
          <w:tblCellSpacing w:w="15" w:type="dxa"/>
        </w:trPr>
        <w:tc>
          <w:tcPr>
            <w:tcW w:w="7561" w:type="dxa"/>
            <w:vAlign w:val="center"/>
            <w:hideMark/>
          </w:tcPr>
          <w:p w14:paraId="747F3CFB" w14:textId="2D97F2C3" w:rsidR="00A1788E" w:rsidRPr="00A1788E" w:rsidRDefault="00A1788E" w:rsidP="00A1788E">
            <w:pPr>
              <w:rPr>
                <w:rFonts w:ascii="Arial" w:hAnsi="Arial" w:cs="Arial"/>
                <w:sz w:val="22"/>
                <w:szCs w:val="22"/>
              </w:rPr>
            </w:pPr>
            <w:r w:rsidRPr="00A1788E">
              <w:rPr>
                <w:rFonts w:ascii="Arial" w:hAnsi="Arial" w:cs="Arial"/>
                <w:sz w:val="22"/>
                <w:szCs w:val="22"/>
              </w:rPr>
              <w:t>Recommendations for Future Research</w:t>
            </w:r>
            <w:r w:rsidR="00B83D67">
              <w:rPr>
                <w:rFonts w:ascii="Arial" w:hAnsi="Arial" w:cs="Arial"/>
                <w:sz w:val="22"/>
                <w:szCs w:val="22"/>
              </w:rPr>
              <w:t>……………………………………….17</w:t>
            </w:r>
          </w:p>
        </w:tc>
        <w:tc>
          <w:tcPr>
            <w:tcW w:w="641" w:type="dxa"/>
            <w:vAlign w:val="center"/>
            <w:hideMark/>
          </w:tcPr>
          <w:p w14:paraId="5053668A" w14:textId="77777777" w:rsidR="00A1788E" w:rsidRPr="00A1788E" w:rsidRDefault="00A1788E" w:rsidP="00A1788E">
            <w:pPr>
              <w:rPr>
                <w:rFonts w:ascii="Arial" w:hAnsi="Arial" w:cs="Arial"/>
                <w:sz w:val="22"/>
                <w:szCs w:val="22"/>
              </w:rPr>
            </w:pPr>
          </w:p>
        </w:tc>
      </w:tr>
      <w:tr w:rsidR="00A1788E" w:rsidRPr="00A1788E" w14:paraId="712085B3" w14:textId="77777777" w:rsidTr="002B2CB5">
        <w:trPr>
          <w:tblCellSpacing w:w="15" w:type="dxa"/>
        </w:trPr>
        <w:tc>
          <w:tcPr>
            <w:tcW w:w="7561" w:type="dxa"/>
            <w:vAlign w:val="center"/>
            <w:hideMark/>
          </w:tcPr>
          <w:p w14:paraId="2D8C8AA2" w14:textId="1BB9F82B" w:rsidR="00A1788E" w:rsidRPr="00A1788E" w:rsidRDefault="00A1788E" w:rsidP="00A1788E">
            <w:pPr>
              <w:rPr>
                <w:rFonts w:ascii="Arial" w:hAnsi="Arial" w:cs="Arial"/>
                <w:sz w:val="22"/>
                <w:szCs w:val="22"/>
              </w:rPr>
            </w:pPr>
            <w:r w:rsidRPr="00A1788E">
              <w:rPr>
                <w:rFonts w:ascii="Arial" w:hAnsi="Arial" w:cs="Arial"/>
                <w:sz w:val="22"/>
                <w:szCs w:val="22"/>
              </w:rPr>
              <w:t>Reference List</w:t>
            </w:r>
            <w:r w:rsidR="00B83D67">
              <w:rPr>
                <w:rFonts w:ascii="Arial" w:hAnsi="Arial" w:cs="Arial"/>
                <w:sz w:val="22"/>
                <w:szCs w:val="22"/>
              </w:rPr>
              <w:t>…………………………………………………………………….18</w:t>
            </w:r>
          </w:p>
        </w:tc>
        <w:tc>
          <w:tcPr>
            <w:tcW w:w="641" w:type="dxa"/>
            <w:vAlign w:val="center"/>
            <w:hideMark/>
          </w:tcPr>
          <w:p w14:paraId="03AF24B9" w14:textId="77777777" w:rsidR="00A1788E" w:rsidRPr="00A1788E" w:rsidRDefault="00A1788E" w:rsidP="00A1788E">
            <w:pPr>
              <w:rPr>
                <w:rFonts w:ascii="Arial" w:hAnsi="Arial" w:cs="Arial"/>
                <w:sz w:val="22"/>
                <w:szCs w:val="22"/>
              </w:rPr>
            </w:pPr>
          </w:p>
        </w:tc>
      </w:tr>
    </w:tbl>
    <w:p w14:paraId="36CA5017" w14:textId="77777777" w:rsidR="00402D2A" w:rsidRDefault="00402D2A" w:rsidP="00815CFB">
      <w:pPr>
        <w:spacing w:line="360" w:lineRule="auto"/>
        <w:rPr>
          <w:rFonts w:ascii="Arial" w:hAnsi="Arial" w:cs="Arial"/>
          <w:b/>
          <w:bCs/>
          <w:sz w:val="22"/>
          <w:szCs w:val="22"/>
          <w:u w:val="single"/>
        </w:rPr>
      </w:pPr>
    </w:p>
    <w:p w14:paraId="5D4D9BF2" w14:textId="77777777" w:rsidR="00D95680" w:rsidRDefault="00D95680" w:rsidP="00D95016">
      <w:pPr>
        <w:spacing w:line="360" w:lineRule="auto"/>
        <w:rPr>
          <w:rFonts w:ascii="Arial" w:hAnsi="Arial" w:cs="Arial"/>
          <w:b/>
          <w:bCs/>
          <w:sz w:val="32"/>
          <w:szCs w:val="32"/>
          <w:u w:val="single"/>
        </w:rPr>
      </w:pPr>
    </w:p>
    <w:p w14:paraId="707BF056" w14:textId="4D29F29F" w:rsidR="00933C1F" w:rsidRPr="00D95016" w:rsidRDefault="00334C33" w:rsidP="00D95016">
      <w:pPr>
        <w:spacing w:line="360" w:lineRule="auto"/>
        <w:rPr>
          <w:rFonts w:ascii="Arial" w:hAnsi="Arial" w:cs="Arial"/>
          <w:b/>
          <w:bCs/>
          <w:sz w:val="32"/>
          <w:szCs w:val="32"/>
          <w:u w:val="single"/>
        </w:rPr>
      </w:pPr>
      <w:r w:rsidRPr="00D95016">
        <w:rPr>
          <w:rFonts w:ascii="Arial" w:hAnsi="Arial" w:cs="Arial"/>
          <w:b/>
          <w:bCs/>
          <w:sz w:val="32"/>
          <w:szCs w:val="32"/>
          <w:u w:val="single"/>
        </w:rPr>
        <w:lastRenderedPageBreak/>
        <w:t>Component 2</w:t>
      </w:r>
      <w:r w:rsidR="00EF3621" w:rsidRPr="00D95016">
        <w:rPr>
          <w:rFonts w:ascii="Arial" w:hAnsi="Arial" w:cs="Arial"/>
          <w:b/>
          <w:bCs/>
          <w:sz w:val="32"/>
          <w:szCs w:val="32"/>
          <w:u w:val="single"/>
        </w:rPr>
        <w:t xml:space="preserve"> </w:t>
      </w:r>
    </w:p>
    <w:p w14:paraId="37C8B36E" w14:textId="2B7E3AA7" w:rsidR="00A36272" w:rsidRPr="00D95016" w:rsidRDefault="008257EC" w:rsidP="00D95016">
      <w:pPr>
        <w:spacing w:line="360" w:lineRule="auto"/>
        <w:rPr>
          <w:rFonts w:ascii="Arial" w:hAnsi="Arial" w:cs="Arial"/>
          <w:b/>
          <w:bCs/>
          <w:sz w:val="32"/>
          <w:szCs w:val="32"/>
        </w:rPr>
      </w:pPr>
      <w:r w:rsidRPr="00D95016">
        <w:rPr>
          <w:rFonts w:ascii="Arial" w:hAnsi="Arial" w:cs="Arial"/>
          <w:b/>
          <w:bCs/>
          <w:sz w:val="32"/>
          <w:szCs w:val="32"/>
        </w:rPr>
        <w:t>A Scoping Review: Challenges and Best Practices in Adult Nursing Care for People with Diabetes at the End of Life in UK Hospital Settings</w:t>
      </w:r>
    </w:p>
    <w:p w14:paraId="151E0EE0" w14:textId="77777777" w:rsidR="008257EC" w:rsidRDefault="008257EC" w:rsidP="00D95016">
      <w:pPr>
        <w:spacing w:line="360" w:lineRule="auto"/>
        <w:rPr>
          <w:rFonts w:ascii="Arial" w:hAnsi="Arial" w:cs="Arial"/>
          <w:b/>
          <w:bCs/>
          <w:sz w:val="22"/>
          <w:szCs w:val="22"/>
          <w:u w:val="single"/>
        </w:rPr>
      </w:pPr>
    </w:p>
    <w:p w14:paraId="54A9D25C" w14:textId="27842F79" w:rsidR="007429B9" w:rsidRPr="00D95016" w:rsidRDefault="007429B9" w:rsidP="00D95016">
      <w:pPr>
        <w:spacing w:line="360" w:lineRule="auto"/>
        <w:rPr>
          <w:rFonts w:ascii="Arial" w:hAnsi="Arial" w:cs="Arial"/>
          <w:b/>
          <w:bCs/>
          <w:sz w:val="32"/>
          <w:szCs w:val="32"/>
          <w:u w:val="single"/>
        </w:rPr>
      </w:pPr>
      <w:r w:rsidRPr="00D95016">
        <w:rPr>
          <w:rFonts w:ascii="Arial" w:hAnsi="Arial" w:cs="Arial"/>
          <w:b/>
          <w:bCs/>
          <w:sz w:val="32"/>
          <w:szCs w:val="32"/>
          <w:u w:val="single"/>
        </w:rPr>
        <w:t>Introduction</w:t>
      </w:r>
    </w:p>
    <w:p w14:paraId="39AC0CA1" w14:textId="5C8CE4FF" w:rsidR="00421C39" w:rsidRDefault="00421C39" w:rsidP="00D95016">
      <w:pPr>
        <w:spacing w:line="360" w:lineRule="auto"/>
        <w:rPr>
          <w:rFonts w:ascii="Arial" w:hAnsi="Arial" w:cs="Arial"/>
          <w:color w:val="000000"/>
          <w:sz w:val="22"/>
        </w:rPr>
      </w:pPr>
      <w:r w:rsidRPr="00421C39">
        <w:rPr>
          <w:rFonts w:ascii="Arial" w:hAnsi="Arial" w:cs="Arial"/>
          <w:color w:val="000000"/>
          <w:sz w:val="22"/>
        </w:rPr>
        <w:t>This report examines end-of-life care, which focuses on supporting individuals nearing the last stage of life by shifting attention from curative treatments to comfort, dignity, and quality of life (National Institute for Health and Care Excellence (NICE), 2025). In the United Kingdom, such care is based on person-centred approaches, shared decision-making, and addressing physical, psychological, and social needs holistically. Healthcare professionals are expected to honour patient preferences while providing compassionate and respectful care. However, caring for adults with diabetes at the end of life presents unique clinical and organisational challenges</w:t>
      </w:r>
      <w:r>
        <w:rPr>
          <w:rFonts w:ascii="Arial" w:hAnsi="Arial" w:cs="Arial"/>
          <w:color w:val="000000"/>
          <w:sz w:val="22"/>
        </w:rPr>
        <w:t xml:space="preserve"> </w:t>
      </w:r>
      <w:r w:rsidRPr="00421C39">
        <w:rPr>
          <w:rFonts w:ascii="Arial" w:hAnsi="Arial" w:cs="Arial"/>
          <w:color w:val="000000"/>
          <w:sz w:val="22"/>
        </w:rPr>
        <w:t>especially in hospitals where care is often shaped by established disease management protocols.</w:t>
      </w:r>
    </w:p>
    <w:p w14:paraId="665464AA" w14:textId="418EBA76" w:rsidR="00421C39" w:rsidRDefault="00421C39" w:rsidP="00D95016">
      <w:pPr>
        <w:spacing w:line="360" w:lineRule="auto"/>
        <w:rPr>
          <w:rFonts w:ascii="Arial" w:hAnsi="Arial" w:cs="Arial"/>
          <w:color w:val="000000"/>
          <w:sz w:val="22"/>
        </w:rPr>
      </w:pPr>
      <w:r w:rsidRPr="00421C39">
        <w:rPr>
          <w:rFonts w:ascii="Arial" w:hAnsi="Arial" w:cs="Arial"/>
          <w:color w:val="000000"/>
          <w:sz w:val="22"/>
        </w:rPr>
        <w:t xml:space="preserve">Diabetes is one of the most widespread chronic conditions in the UK, affecting an estimated 5.8 million people (Diabetes UK, 2024). Incidence rises sharply with age, and many people nearing end of life live with diabetes alongside other health issues like cardiovascular disease, kidney problems, neuropathy, and frailty (Royal College of Physicians, 2021). These complex medical demands call for continual monitoring, careful medication management, and efforts to prevent metabolic emergencies. </w:t>
      </w:r>
      <w:r w:rsidR="003276B2" w:rsidRPr="003276B2">
        <w:rPr>
          <w:rFonts w:ascii="Arial" w:hAnsi="Arial" w:cs="Arial"/>
          <w:color w:val="000000"/>
          <w:sz w:val="22"/>
        </w:rPr>
        <w:t>Diabetes also places a significant burden on the NHS, with an increasing proportion of hospital admissions involving patients living with diabetes and related complications (NHS Digital, 2023).</w:t>
      </w:r>
    </w:p>
    <w:p w14:paraId="70FFF171" w14:textId="5EB0CEF4" w:rsidR="00421C39" w:rsidRDefault="00421C39" w:rsidP="00D95016">
      <w:pPr>
        <w:spacing w:line="360" w:lineRule="auto"/>
        <w:rPr>
          <w:rFonts w:ascii="Arial" w:hAnsi="Arial" w:cs="Arial"/>
          <w:color w:val="000000"/>
          <w:sz w:val="22"/>
        </w:rPr>
      </w:pPr>
      <w:r w:rsidRPr="00421C39">
        <w:rPr>
          <w:rFonts w:ascii="Arial" w:hAnsi="Arial" w:cs="Arial"/>
          <w:color w:val="000000"/>
          <w:sz w:val="22"/>
        </w:rPr>
        <w:t>While traditional diabetes care prioritises strict control of blood sugar to ward off future complications, this approach becomes less relevant as patients reach the end of life, where comfort and reducing the burden of treatment take precedence (Dunning, 2020). Intensive monitoring or complicated insulin routines may add to patient distress without improving their quality of life. Nurses must carefully decide whether to continue, adjust, or stop treatments</w:t>
      </w:r>
      <w:r>
        <w:rPr>
          <w:rFonts w:ascii="Arial" w:hAnsi="Arial" w:cs="Arial"/>
          <w:color w:val="000000"/>
          <w:sz w:val="22"/>
        </w:rPr>
        <w:t xml:space="preserve"> </w:t>
      </w:r>
      <w:r w:rsidRPr="00421C39">
        <w:rPr>
          <w:rFonts w:ascii="Arial" w:hAnsi="Arial" w:cs="Arial"/>
          <w:color w:val="000000"/>
          <w:sz w:val="22"/>
        </w:rPr>
        <w:t>balancing professional responsibility, respect for patient choices, and ethical considerations.</w:t>
      </w:r>
    </w:p>
    <w:p w14:paraId="37AEEDE3" w14:textId="77777777" w:rsidR="00421C39" w:rsidRDefault="00421C39" w:rsidP="00D95016">
      <w:pPr>
        <w:spacing w:line="360" w:lineRule="auto"/>
        <w:rPr>
          <w:rFonts w:ascii="Arial" w:hAnsi="Arial" w:cs="Arial"/>
          <w:color w:val="000000"/>
          <w:sz w:val="22"/>
        </w:rPr>
      </w:pPr>
      <w:r w:rsidRPr="00421C39">
        <w:rPr>
          <w:rFonts w:ascii="Arial" w:hAnsi="Arial" w:cs="Arial"/>
          <w:color w:val="000000"/>
          <w:sz w:val="22"/>
        </w:rPr>
        <w:t xml:space="preserve">Adult nurses play a critical role in delivering palliative care within hospitals. The Nursing and Midwifery Council’s standards (2018) require nurses to put patients first, maintain effective </w:t>
      </w:r>
      <w:r w:rsidRPr="00421C39">
        <w:rPr>
          <w:rFonts w:ascii="Arial" w:hAnsi="Arial" w:cs="Arial"/>
          <w:color w:val="000000"/>
          <w:sz w:val="22"/>
        </w:rPr>
        <w:lastRenderedPageBreak/>
        <w:t>practice, and uphold dignity. Nevertheless, research reveals that nurses’ confidence and readiness to manage diabetes in palliative settings can vary (TREND-UK, 2021). Factors like staff shortages, high patient acuity, and restricted access to specialists can further complicate care delivery.</w:t>
      </w:r>
    </w:p>
    <w:p w14:paraId="4C1F8016" w14:textId="77777777" w:rsidR="00421C39" w:rsidRDefault="00421C39" w:rsidP="00D95016">
      <w:pPr>
        <w:spacing w:line="360" w:lineRule="auto"/>
        <w:rPr>
          <w:rFonts w:ascii="Arial" w:hAnsi="Arial" w:cs="Arial"/>
          <w:color w:val="000000"/>
          <w:sz w:val="22"/>
        </w:rPr>
      </w:pPr>
      <w:r w:rsidRPr="00421C39">
        <w:rPr>
          <w:rFonts w:ascii="Arial" w:hAnsi="Arial" w:cs="Arial"/>
          <w:color w:val="000000"/>
          <w:sz w:val="22"/>
        </w:rPr>
        <w:t>Although UK healthcare policy places growing importance on person-centred end-of-life care, there is limited research detailing how adult nurses handle diabetes management in hospital-based palliative scenarios. A scoping review is therefore needed to summarise current evidence, pinpoint core challenges, assess best practices, and identify gaps in knowledge (Arksey and O’Malley, 2005).</w:t>
      </w:r>
    </w:p>
    <w:p w14:paraId="46C3DBFC" w14:textId="310FF464" w:rsidR="007429B9" w:rsidRPr="00421C39" w:rsidRDefault="00421C39" w:rsidP="00D95016">
      <w:pPr>
        <w:spacing w:line="360" w:lineRule="auto"/>
        <w:rPr>
          <w:rFonts w:ascii="Arial" w:hAnsi="Arial" w:cs="Arial"/>
          <w:color w:val="000000"/>
          <w:sz w:val="22"/>
        </w:rPr>
      </w:pPr>
      <w:r w:rsidRPr="00421C39">
        <w:rPr>
          <w:rFonts w:ascii="Arial" w:hAnsi="Arial" w:cs="Arial"/>
          <w:color w:val="000000"/>
          <w:sz w:val="22"/>
        </w:rPr>
        <w:t>This review investigates the evidence on the challenges and recommended strategies for adult nursing care of people with diabetes at the end of life in UK hospitals. Its aims are to identify relevant peer-reviewed studies, explore clinical and organisational issues, evaluate best practices, and outline implications for future policy, training, and research.</w:t>
      </w:r>
    </w:p>
    <w:p w14:paraId="7079F85A" w14:textId="77777777" w:rsidR="00C739E0" w:rsidRPr="00815CFB" w:rsidRDefault="00C739E0" w:rsidP="00D95016">
      <w:pPr>
        <w:spacing w:line="360" w:lineRule="auto"/>
        <w:rPr>
          <w:rFonts w:ascii="Arial" w:hAnsi="Arial" w:cs="Arial"/>
          <w:sz w:val="22"/>
          <w:szCs w:val="22"/>
          <w:u w:val="single"/>
        </w:rPr>
      </w:pPr>
    </w:p>
    <w:p w14:paraId="0C374FAB" w14:textId="1042DF37" w:rsidR="007429B9" w:rsidRPr="00D95016" w:rsidRDefault="007429B9" w:rsidP="00D95016">
      <w:pPr>
        <w:spacing w:line="360" w:lineRule="auto"/>
        <w:rPr>
          <w:rFonts w:ascii="Arial" w:hAnsi="Arial" w:cs="Arial"/>
          <w:b/>
          <w:bCs/>
          <w:sz w:val="32"/>
          <w:szCs w:val="32"/>
          <w:u w:val="single"/>
        </w:rPr>
      </w:pPr>
      <w:r w:rsidRPr="00D95016">
        <w:rPr>
          <w:rFonts w:ascii="Arial" w:hAnsi="Arial" w:cs="Arial"/>
          <w:b/>
          <w:bCs/>
          <w:sz w:val="32"/>
          <w:szCs w:val="32"/>
          <w:u w:val="single"/>
        </w:rPr>
        <w:t>Background</w:t>
      </w:r>
    </w:p>
    <w:p w14:paraId="6D1E6CA9" w14:textId="77777777" w:rsidR="005905BE" w:rsidRPr="00815CFB" w:rsidRDefault="005905BE" w:rsidP="00D95016">
      <w:pPr>
        <w:spacing w:line="360" w:lineRule="auto"/>
        <w:rPr>
          <w:rFonts w:ascii="Arial" w:hAnsi="Arial" w:cs="Arial"/>
          <w:sz w:val="22"/>
          <w:szCs w:val="22"/>
        </w:rPr>
      </w:pPr>
      <w:r w:rsidRPr="00815CFB">
        <w:rPr>
          <w:rFonts w:ascii="Arial" w:hAnsi="Arial" w:cs="Arial"/>
          <w:sz w:val="22"/>
          <w:szCs w:val="22"/>
        </w:rPr>
        <w:t>Diabetes is a chronic metabolic disorder characterised by impaired insulin production or resistance, resulting in abnormal regulation of blood glucose levels (Diabetes UK, 2024). The condition requires ongoing management to prevent both acute and long-term complications, including cardiovascular disease, renal failure, neuropathy, and retinopathy. Within the United Kingdom, diabetes represents a significant public health concern, affecting approximately 5.8 million people, with prevalence increasing due to population ageing, rising obesity rates, and lifestyle factors (Diabetes UK, 2024). As individuals with diabetes live longer, the likelihood of developing multiple long-term conditions increases, resulting in more complex healthcare needs during later life.</w:t>
      </w:r>
    </w:p>
    <w:p w14:paraId="433B81A9" w14:textId="77777777" w:rsidR="005905BE" w:rsidRPr="00815CFB" w:rsidRDefault="005905BE" w:rsidP="00D95016">
      <w:pPr>
        <w:spacing w:line="360" w:lineRule="auto"/>
        <w:rPr>
          <w:rFonts w:ascii="Arial" w:hAnsi="Arial" w:cs="Arial"/>
          <w:sz w:val="22"/>
          <w:szCs w:val="22"/>
        </w:rPr>
      </w:pPr>
      <w:r w:rsidRPr="00815CFB">
        <w:rPr>
          <w:rFonts w:ascii="Arial" w:hAnsi="Arial" w:cs="Arial"/>
          <w:sz w:val="22"/>
          <w:szCs w:val="22"/>
        </w:rPr>
        <w:t>The prevalence of diabetes is particularly high among older adults, many of whom experience multiple comorbidities such as heart failure, chronic kidney disease, cancer, dementia, and frailty (Royal College of Physicians, 2021). These conditions often contribute to increased hospital admissions and greater reliance on healthcare services. Consequently, a significant proportion of patients approaching the end of life within hospital settings have diabetes alongside other chronic illnesses. Managing diabetes in this context presents distinct clinical challenges, as physiological changes associated with advanced illness alter metabolic stability and treatment response.</w:t>
      </w:r>
    </w:p>
    <w:p w14:paraId="5CEA0A62" w14:textId="77777777" w:rsidR="005905BE" w:rsidRPr="00815CFB" w:rsidRDefault="005905BE" w:rsidP="00D95016">
      <w:pPr>
        <w:spacing w:line="360" w:lineRule="auto"/>
        <w:rPr>
          <w:rFonts w:ascii="Arial" w:hAnsi="Arial" w:cs="Arial"/>
          <w:sz w:val="22"/>
          <w:szCs w:val="22"/>
        </w:rPr>
      </w:pPr>
      <w:r w:rsidRPr="00815CFB">
        <w:rPr>
          <w:rFonts w:ascii="Arial" w:hAnsi="Arial" w:cs="Arial"/>
          <w:sz w:val="22"/>
          <w:szCs w:val="22"/>
        </w:rPr>
        <w:lastRenderedPageBreak/>
        <w:t>Traditional diabetes management focuses on maintaining strict glycaemic control through medication, dietary management, and regular monitoring. The primary objective of such management is to prevent long-term complications and maintain metabolic stability. However, when individuals approach the end of life, clinical priorities shift significantly. The prevention of long-term complications becomes less relevant than maintaining comfort, minimising treatment burden, and preserving dignity (Dunning, 2020). This shift requires healthcare professionals to reconsider established treatment protocols and adopt a more flexible and individualised approach to care.</w:t>
      </w:r>
    </w:p>
    <w:p w14:paraId="199D3136" w14:textId="77777777" w:rsidR="005905BE" w:rsidRPr="00815CFB" w:rsidRDefault="005905BE" w:rsidP="00D95016">
      <w:pPr>
        <w:spacing w:line="360" w:lineRule="auto"/>
        <w:rPr>
          <w:rFonts w:ascii="Arial" w:hAnsi="Arial" w:cs="Arial"/>
          <w:sz w:val="22"/>
          <w:szCs w:val="22"/>
        </w:rPr>
      </w:pPr>
      <w:r w:rsidRPr="00815CFB">
        <w:rPr>
          <w:rFonts w:ascii="Arial" w:hAnsi="Arial" w:cs="Arial"/>
          <w:sz w:val="22"/>
          <w:szCs w:val="22"/>
        </w:rPr>
        <w:t>Physiological changes associated with advanced illness can significantly affect diabetes management. Reduced appetite, weight loss, dehydration, infection, organ failure, and reduced renal function may alter insulin sensitivity and increase the risk of both hypoglycaemia and hyperglycaemia (Maslen, 2019). Hypoglycaemia may result in confusion, seizures, or loss of consciousness, which can cause distress and reduce quality of life. Conversely, persistent hyperglycaemia may lead to dehydration, fatigue, and discomfort (James, 2019). Effective end-of-life diabetes care therefore requires careful balancing of treatment to prevent symptomatic extremes while avoiding unnecessary interventions.</w:t>
      </w:r>
    </w:p>
    <w:p w14:paraId="3E75B5C4" w14:textId="4B8686BB" w:rsidR="005905BE" w:rsidRPr="00815CFB" w:rsidRDefault="005905BE" w:rsidP="00D95016">
      <w:pPr>
        <w:spacing w:line="360" w:lineRule="auto"/>
        <w:rPr>
          <w:rFonts w:ascii="Arial" w:hAnsi="Arial" w:cs="Arial"/>
          <w:sz w:val="22"/>
          <w:szCs w:val="22"/>
        </w:rPr>
      </w:pPr>
      <w:r w:rsidRPr="00815CFB">
        <w:rPr>
          <w:rFonts w:ascii="Arial" w:hAnsi="Arial" w:cs="Arial"/>
          <w:sz w:val="22"/>
          <w:szCs w:val="22"/>
        </w:rPr>
        <w:t xml:space="preserve">The delivery of end-of-life care in the United Kingdom is guided by national policy frameworks emphasising person-centred care and shared decision-making. The National Institute for Health and Care Excellence (2015) highlights that care for individuals approaching death should be responsive to changing needs, respect individual preferences, and prioritise comfort and dignity. Similarly, the NHS Long Term Plan identifies improving care for people with long-term conditions and strengthening end-of-life services as key strategic priorities (NHS England, 2019). These policies emphasise integrated care approaches and </w:t>
      </w:r>
      <w:r w:rsidR="0049714E" w:rsidRPr="00815CFB">
        <w:rPr>
          <w:rFonts w:ascii="Arial" w:hAnsi="Arial" w:cs="Arial"/>
          <w:sz w:val="22"/>
          <w:szCs w:val="22"/>
        </w:rPr>
        <w:t>coordinate</w:t>
      </w:r>
      <w:r w:rsidRPr="00815CFB">
        <w:rPr>
          <w:rFonts w:ascii="Arial" w:hAnsi="Arial" w:cs="Arial"/>
          <w:sz w:val="22"/>
          <w:szCs w:val="22"/>
        </w:rPr>
        <w:t xml:space="preserve"> service delivery across healthcare settings.</w:t>
      </w:r>
    </w:p>
    <w:p w14:paraId="38467C6C" w14:textId="215E683E" w:rsidR="005905BE" w:rsidRPr="00815CFB" w:rsidRDefault="005905BE" w:rsidP="00D95016">
      <w:pPr>
        <w:spacing w:line="360" w:lineRule="auto"/>
        <w:rPr>
          <w:rFonts w:ascii="Arial" w:hAnsi="Arial" w:cs="Arial"/>
          <w:sz w:val="22"/>
          <w:szCs w:val="22"/>
        </w:rPr>
      </w:pPr>
      <w:r w:rsidRPr="00815CFB">
        <w:rPr>
          <w:rFonts w:ascii="Arial" w:hAnsi="Arial" w:cs="Arial"/>
          <w:sz w:val="22"/>
          <w:szCs w:val="22"/>
        </w:rPr>
        <w:t>Despite clear policy direction, the practical implementation of person-centred end-of-life care within acute hospital environments presents challenges. Hospital care is often structured around standardised clinical pathways, performance indicators, and risk management procedures. These frameworks are designed to promote patient safety and clinical efficiency but may limit flexibility in adapting treatment for patients nearing the end of life. In the context of diabetes care, standardised glycaemic targets and monitoring protocols may conflict with palliative care principles that prioritise comfort over strict metabolic control.</w:t>
      </w:r>
      <w:r w:rsidR="00CE236B">
        <w:rPr>
          <w:rFonts w:ascii="Arial" w:hAnsi="Arial" w:cs="Arial"/>
          <w:sz w:val="22"/>
          <w:szCs w:val="22"/>
        </w:rPr>
        <w:t xml:space="preserve">  </w:t>
      </w:r>
      <w:r w:rsidRPr="00815CFB">
        <w:rPr>
          <w:rFonts w:ascii="Arial" w:hAnsi="Arial" w:cs="Arial"/>
          <w:sz w:val="22"/>
          <w:szCs w:val="22"/>
        </w:rPr>
        <w:t>Adult nurses</w:t>
      </w:r>
      <w:r w:rsidR="00CE236B">
        <w:rPr>
          <w:rFonts w:ascii="Arial" w:hAnsi="Arial" w:cs="Arial"/>
          <w:sz w:val="22"/>
          <w:szCs w:val="22"/>
        </w:rPr>
        <w:t xml:space="preserve"> </w:t>
      </w:r>
      <w:r w:rsidRPr="00815CFB">
        <w:rPr>
          <w:rFonts w:ascii="Arial" w:hAnsi="Arial" w:cs="Arial"/>
          <w:sz w:val="22"/>
          <w:szCs w:val="22"/>
        </w:rPr>
        <w:t xml:space="preserve">play a central role in delivering care for patients with diabetes at the end of life. Nursing practice involves ongoing patient assessment, medication administration, monitoring of blood glucose levels, and communication with patients and families. The Nursing and Midwifery Council (2018) requires nurses to prioritise people, practise effectively, preserve </w:t>
      </w:r>
      <w:r w:rsidRPr="00815CFB">
        <w:rPr>
          <w:rFonts w:ascii="Arial" w:hAnsi="Arial" w:cs="Arial"/>
          <w:sz w:val="22"/>
          <w:szCs w:val="22"/>
        </w:rPr>
        <w:lastRenderedPageBreak/>
        <w:t>safety, and promote professionalism and trust. These professional standards emphasise the importance of compassionate care, clinical competence, and ethical decision-making. However, adapting diabetes management to palliative contexts may require nurses to deviate from routine practice, potentially creating uncertainty regarding appropriate clinical decision-making.</w:t>
      </w:r>
    </w:p>
    <w:p w14:paraId="0320045E" w14:textId="77777777" w:rsidR="005905BE" w:rsidRPr="00815CFB" w:rsidRDefault="005905BE" w:rsidP="00D95016">
      <w:pPr>
        <w:spacing w:line="360" w:lineRule="auto"/>
        <w:rPr>
          <w:rFonts w:ascii="Arial" w:hAnsi="Arial" w:cs="Arial"/>
          <w:sz w:val="22"/>
          <w:szCs w:val="22"/>
        </w:rPr>
      </w:pPr>
      <w:r w:rsidRPr="00815CFB">
        <w:rPr>
          <w:rFonts w:ascii="Arial" w:hAnsi="Arial" w:cs="Arial"/>
          <w:sz w:val="22"/>
          <w:szCs w:val="22"/>
        </w:rPr>
        <w:t>Research suggests that nurses may experience challenges in balancing disease-focused treatment with palliative care principles, particularly where guidance is unclear or specialist support is limited (TREND-UK, 2021). Many hospitalised patients with diabetes are cared for by non-specialist staff who may have limited training in end-of-life diabetes management. This can result in variability in care delivery and uncertainty regarding appropriate treatment strategies.</w:t>
      </w:r>
    </w:p>
    <w:p w14:paraId="7E544869" w14:textId="77777777" w:rsidR="005905BE" w:rsidRPr="00815CFB" w:rsidRDefault="005905BE" w:rsidP="00D95016">
      <w:pPr>
        <w:spacing w:line="360" w:lineRule="auto"/>
        <w:rPr>
          <w:rFonts w:ascii="Arial" w:hAnsi="Arial" w:cs="Arial"/>
          <w:sz w:val="22"/>
          <w:szCs w:val="22"/>
        </w:rPr>
      </w:pPr>
      <w:r w:rsidRPr="00815CFB">
        <w:rPr>
          <w:rFonts w:ascii="Arial" w:hAnsi="Arial" w:cs="Arial"/>
          <w:sz w:val="22"/>
          <w:szCs w:val="22"/>
        </w:rPr>
        <w:t>In addition to clinical challenges, organisational factors also influence the delivery of end-of-life diabetes care. Acute hospital wards are characterised by high patient turnover, staffing pressures, and time constraints, which may limit opportunities for detailed care planning and communication with patients and families. Effective end-of-life care requires not only clinical expertise but also strong communication skills and emotional resilience, particularly when discussing treatment changes or prognosis.</w:t>
      </w:r>
    </w:p>
    <w:p w14:paraId="4D333D9D" w14:textId="3DAA3190" w:rsidR="00EB7D59" w:rsidRDefault="00404010" w:rsidP="00D95016">
      <w:pPr>
        <w:spacing w:line="360" w:lineRule="auto"/>
        <w:rPr>
          <w:rFonts w:ascii="Arial" w:hAnsi="Arial" w:cs="Arial"/>
          <w:sz w:val="22"/>
          <w:szCs w:val="22"/>
        </w:rPr>
      </w:pPr>
      <w:r w:rsidRPr="00404010">
        <w:rPr>
          <w:rFonts w:ascii="Arial" w:hAnsi="Arial" w:cs="Arial"/>
          <w:sz w:val="22"/>
          <w:szCs w:val="22"/>
        </w:rPr>
        <w:t xml:space="preserve">Overall, the complexity of diabetes management at the end of life reflects the interaction of clinical, ethical, and organisational factors within healthcare settings. Patients nearing the end of life often experience multiple comorbidities, fluctuating physiological conditions, and changing treatment priorities, all of which can complicate glycaemic management and clinical decision-making (Sinclair et al., 2020). Although national healthcare policy in the United Kingdom emphasises the importance of person-centred and integrated care, translating these principles into everyday clinical practice can be challenging within acute hospital environments where care is often guided by standardised disease-management protocols (National Institute for Health and Care Excellence, 2015; NHS England, 2019). In addition, UK clinical guidance highlights the importance of adapting diabetes treatment for individuals approaching the end of life </w:t>
      </w:r>
      <w:r w:rsidR="00D95016" w:rsidRPr="00404010">
        <w:rPr>
          <w:rFonts w:ascii="Arial" w:hAnsi="Arial" w:cs="Arial"/>
          <w:sz w:val="22"/>
          <w:szCs w:val="22"/>
        </w:rPr>
        <w:t>to</w:t>
      </w:r>
      <w:r w:rsidRPr="00404010">
        <w:rPr>
          <w:rFonts w:ascii="Arial" w:hAnsi="Arial" w:cs="Arial"/>
          <w:sz w:val="22"/>
          <w:szCs w:val="22"/>
        </w:rPr>
        <w:t xml:space="preserve"> prioritise comfort, minimise treatment burden, and maintain dignity (Diabetes UK, 2024). Nurses and other healthcare professionals must therefore balance the goals of traditional diabetes management with palliative care principles that emphasise comfort and quality of life (Dunning, 2020). Recognising these challenges and identifying evidence-based approaches to care is essential for improving the quality and consistency of diabetes management for individuals approaching the end of life. Consequently, a scoping review provides an appropriate methodological approach to map </w:t>
      </w:r>
      <w:r w:rsidRPr="00404010">
        <w:rPr>
          <w:rFonts w:ascii="Arial" w:hAnsi="Arial" w:cs="Arial"/>
          <w:sz w:val="22"/>
          <w:szCs w:val="22"/>
        </w:rPr>
        <w:lastRenderedPageBreak/>
        <w:t>the existing evidence base, identify key themes within the literature, and highlight gaps that may inform future research, education, and clinical practice (Arksey and O’Malley, 2005)</w:t>
      </w:r>
      <w:r w:rsidR="00EB7D59">
        <w:rPr>
          <w:rFonts w:ascii="Arial" w:hAnsi="Arial" w:cs="Arial"/>
          <w:sz w:val="22"/>
          <w:szCs w:val="22"/>
        </w:rPr>
        <w:t>.</w:t>
      </w:r>
    </w:p>
    <w:p w14:paraId="139891C3" w14:textId="77777777" w:rsidR="0029313F" w:rsidRDefault="0029313F" w:rsidP="00D95016">
      <w:pPr>
        <w:spacing w:line="360" w:lineRule="auto"/>
        <w:rPr>
          <w:rFonts w:ascii="Arial" w:hAnsi="Arial" w:cs="Arial"/>
          <w:b/>
          <w:bCs/>
          <w:sz w:val="22"/>
          <w:szCs w:val="22"/>
          <w:u w:val="single"/>
        </w:rPr>
      </w:pPr>
    </w:p>
    <w:p w14:paraId="606B8CAD" w14:textId="1B11C3FD" w:rsidR="007429B9" w:rsidRPr="0029313F" w:rsidRDefault="007429B9" w:rsidP="00D95016">
      <w:pPr>
        <w:spacing w:line="360" w:lineRule="auto"/>
        <w:rPr>
          <w:rFonts w:ascii="Arial" w:hAnsi="Arial" w:cs="Arial"/>
          <w:b/>
          <w:bCs/>
          <w:sz w:val="32"/>
          <w:szCs w:val="32"/>
          <w:u w:val="single"/>
        </w:rPr>
      </w:pPr>
      <w:r w:rsidRPr="0029313F">
        <w:rPr>
          <w:rFonts w:ascii="Arial" w:hAnsi="Arial" w:cs="Arial"/>
          <w:b/>
          <w:bCs/>
          <w:sz w:val="32"/>
          <w:szCs w:val="32"/>
          <w:u w:val="single"/>
        </w:rPr>
        <w:t>Methods</w:t>
      </w:r>
    </w:p>
    <w:p w14:paraId="11EFA63A" w14:textId="77777777" w:rsidR="00901ACF" w:rsidRPr="00901ACF" w:rsidRDefault="00901ACF" w:rsidP="00D95016">
      <w:pPr>
        <w:spacing w:line="360" w:lineRule="auto"/>
        <w:rPr>
          <w:rFonts w:ascii="Arial" w:hAnsi="Arial" w:cs="Arial"/>
          <w:b/>
          <w:bCs/>
          <w:sz w:val="22"/>
          <w:szCs w:val="22"/>
        </w:rPr>
      </w:pPr>
      <w:r w:rsidRPr="00901ACF">
        <w:rPr>
          <w:rFonts w:ascii="Arial" w:hAnsi="Arial" w:cs="Arial"/>
          <w:b/>
          <w:bCs/>
          <w:sz w:val="22"/>
          <w:szCs w:val="22"/>
        </w:rPr>
        <w:t>Study Design</w:t>
      </w:r>
    </w:p>
    <w:p w14:paraId="31C8A73C" w14:textId="77777777"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t>A scoping review methodology was adopted to explore the breadth of evidence relating to adult nursing care for people with diabetes at the end of life in UK hospital settings. Scoping reviews are particularly useful when examining complex or emerging areas of research where evidence may be limited or heterogeneous. This approach enables researchers to map the available literature, identify key concepts, and highlight gaps within the evidence base (Arksey and O’Malley, 2005). In the context of diabetes management at the end of life, where clinical, ethical, and organisational factors intersect, a scoping review provides an appropriate methodological framework to examine the current evidence and identify themes relevant to nursing practice (Aveyard, 2014).</w:t>
      </w:r>
    </w:p>
    <w:p w14:paraId="6063D7A8" w14:textId="77777777" w:rsidR="0029313F" w:rsidRDefault="0029313F" w:rsidP="00D95016">
      <w:pPr>
        <w:spacing w:line="360" w:lineRule="auto"/>
        <w:rPr>
          <w:rFonts w:ascii="Arial" w:hAnsi="Arial" w:cs="Arial"/>
          <w:b/>
          <w:bCs/>
          <w:sz w:val="22"/>
          <w:szCs w:val="22"/>
          <w:u w:val="single"/>
        </w:rPr>
      </w:pPr>
    </w:p>
    <w:p w14:paraId="79C46A0E" w14:textId="6BB380DF" w:rsidR="00901ACF" w:rsidRPr="00901ACF" w:rsidRDefault="00901ACF" w:rsidP="00D95016">
      <w:pPr>
        <w:spacing w:line="360" w:lineRule="auto"/>
        <w:rPr>
          <w:rFonts w:ascii="Arial" w:hAnsi="Arial" w:cs="Arial"/>
          <w:b/>
          <w:bCs/>
          <w:sz w:val="32"/>
          <w:szCs w:val="32"/>
          <w:u w:val="single"/>
        </w:rPr>
      </w:pPr>
      <w:r w:rsidRPr="00901ACF">
        <w:rPr>
          <w:rFonts w:ascii="Arial" w:hAnsi="Arial" w:cs="Arial"/>
          <w:b/>
          <w:bCs/>
          <w:sz w:val="32"/>
          <w:szCs w:val="32"/>
          <w:u w:val="single"/>
        </w:rPr>
        <w:t>Data Collection and Search Strategy</w:t>
      </w:r>
    </w:p>
    <w:p w14:paraId="7F25A34D" w14:textId="77777777"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t>A structured search strategy was used to identify relevant peer-reviewed literature addressing diabetes management at the end of life within hospital settings. The data collection process involved the following steps:</w:t>
      </w:r>
    </w:p>
    <w:p w14:paraId="61F6C9DD" w14:textId="77777777" w:rsidR="00901ACF" w:rsidRPr="00901ACF" w:rsidRDefault="00901ACF" w:rsidP="00D95016">
      <w:pPr>
        <w:numPr>
          <w:ilvl w:val="0"/>
          <w:numId w:val="6"/>
        </w:numPr>
        <w:spacing w:line="360" w:lineRule="auto"/>
        <w:rPr>
          <w:rFonts w:ascii="Arial" w:hAnsi="Arial" w:cs="Arial"/>
          <w:sz w:val="22"/>
          <w:szCs w:val="22"/>
        </w:rPr>
      </w:pPr>
      <w:r w:rsidRPr="00901ACF">
        <w:rPr>
          <w:rFonts w:ascii="Arial" w:hAnsi="Arial" w:cs="Arial"/>
          <w:b/>
          <w:bCs/>
          <w:sz w:val="22"/>
          <w:szCs w:val="22"/>
        </w:rPr>
        <w:t>Databases searched:</w:t>
      </w:r>
      <w:r w:rsidRPr="00901ACF">
        <w:rPr>
          <w:rFonts w:ascii="Arial" w:hAnsi="Arial" w:cs="Arial"/>
          <w:sz w:val="22"/>
          <w:szCs w:val="22"/>
        </w:rPr>
        <w:br/>
        <w:t>Electronic databases including CINAHL, MEDLINE, PubMed, and Scopus were searched to locate relevant peer-reviewed studies. These databases were selected because they provide comprehensive coverage of nursing, medical, and healthcare research (Aveyard, 2014).</w:t>
      </w:r>
    </w:p>
    <w:p w14:paraId="53AB1E17" w14:textId="77777777" w:rsidR="00901ACF" w:rsidRPr="00901ACF" w:rsidRDefault="00901ACF" w:rsidP="00D95016">
      <w:pPr>
        <w:numPr>
          <w:ilvl w:val="0"/>
          <w:numId w:val="6"/>
        </w:numPr>
        <w:spacing w:line="360" w:lineRule="auto"/>
        <w:rPr>
          <w:rFonts w:ascii="Arial" w:hAnsi="Arial" w:cs="Arial"/>
          <w:sz w:val="22"/>
          <w:szCs w:val="22"/>
        </w:rPr>
      </w:pPr>
      <w:r w:rsidRPr="00901ACF">
        <w:rPr>
          <w:rFonts w:ascii="Arial" w:hAnsi="Arial" w:cs="Arial"/>
          <w:b/>
          <w:bCs/>
          <w:sz w:val="22"/>
          <w:szCs w:val="22"/>
        </w:rPr>
        <w:t>Development of search terms:</w:t>
      </w:r>
      <w:r w:rsidRPr="00901ACF">
        <w:rPr>
          <w:rFonts w:ascii="Arial" w:hAnsi="Arial" w:cs="Arial"/>
          <w:sz w:val="22"/>
          <w:szCs w:val="22"/>
        </w:rPr>
        <w:br/>
        <w:t>Keywords were developed based on the scoping review question and key concepts relating to diabetes, end-of-life care, and nursing practice.</w:t>
      </w:r>
    </w:p>
    <w:p w14:paraId="66AE4D64" w14:textId="77777777" w:rsidR="00901ACF" w:rsidRPr="00901ACF" w:rsidRDefault="00901ACF" w:rsidP="00D95016">
      <w:pPr>
        <w:numPr>
          <w:ilvl w:val="0"/>
          <w:numId w:val="6"/>
        </w:numPr>
        <w:spacing w:line="360" w:lineRule="auto"/>
        <w:rPr>
          <w:rFonts w:ascii="Arial" w:hAnsi="Arial" w:cs="Arial"/>
          <w:sz w:val="22"/>
          <w:szCs w:val="22"/>
        </w:rPr>
      </w:pPr>
      <w:r w:rsidRPr="00901ACF">
        <w:rPr>
          <w:rFonts w:ascii="Arial" w:hAnsi="Arial" w:cs="Arial"/>
          <w:b/>
          <w:bCs/>
          <w:sz w:val="22"/>
          <w:szCs w:val="22"/>
        </w:rPr>
        <w:t>Examples of search terms used:</w:t>
      </w:r>
    </w:p>
    <w:p w14:paraId="47DBEAE4"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sz w:val="22"/>
          <w:szCs w:val="22"/>
        </w:rPr>
        <w:t>“Diabetes”</w:t>
      </w:r>
    </w:p>
    <w:p w14:paraId="5ACF0671"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sz w:val="22"/>
          <w:szCs w:val="22"/>
        </w:rPr>
        <w:t>“End-of-life care”</w:t>
      </w:r>
    </w:p>
    <w:p w14:paraId="5337002E"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sz w:val="22"/>
          <w:szCs w:val="22"/>
        </w:rPr>
        <w:lastRenderedPageBreak/>
        <w:t>“Palliative care”</w:t>
      </w:r>
    </w:p>
    <w:p w14:paraId="000ECA78"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sz w:val="22"/>
          <w:szCs w:val="22"/>
        </w:rPr>
        <w:t>“Adult nursing”</w:t>
      </w:r>
    </w:p>
    <w:p w14:paraId="527A0455"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sz w:val="22"/>
          <w:szCs w:val="22"/>
        </w:rPr>
        <w:t>“Hospital care”</w:t>
      </w:r>
    </w:p>
    <w:p w14:paraId="2E050733"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sz w:val="22"/>
          <w:szCs w:val="22"/>
        </w:rPr>
        <w:t>“Diabetes management”</w:t>
      </w:r>
    </w:p>
    <w:p w14:paraId="11F1FA3C"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sz w:val="22"/>
          <w:szCs w:val="22"/>
        </w:rPr>
        <w:t>“Terminal illness”</w:t>
      </w:r>
    </w:p>
    <w:p w14:paraId="0B1986F3" w14:textId="275B75F5" w:rsidR="00901ACF" w:rsidRPr="00901ACF" w:rsidRDefault="00901ACF" w:rsidP="00D95016">
      <w:pPr>
        <w:numPr>
          <w:ilvl w:val="0"/>
          <w:numId w:val="6"/>
        </w:numPr>
        <w:spacing w:line="360" w:lineRule="auto"/>
        <w:rPr>
          <w:rFonts w:ascii="Arial" w:hAnsi="Arial" w:cs="Arial"/>
          <w:sz w:val="22"/>
          <w:szCs w:val="22"/>
        </w:rPr>
      </w:pPr>
      <w:r w:rsidRPr="00901ACF">
        <w:rPr>
          <w:rFonts w:ascii="Arial" w:hAnsi="Arial" w:cs="Arial"/>
          <w:b/>
          <w:bCs/>
          <w:sz w:val="22"/>
          <w:szCs w:val="22"/>
        </w:rPr>
        <w:t>Use of Boolean operators:</w:t>
      </w:r>
      <w:r w:rsidRPr="00901ACF">
        <w:rPr>
          <w:rFonts w:ascii="Arial" w:hAnsi="Arial" w:cs="Arial"/>
          <w:sz w:val="22"/>
          <w:szCs w:val="22"/>
        </w:rPr>
        <w:br/>
        <w:t xml:space="preserve">Boolean operators such as </w:t>
      </w:r>
      <w:r w:rsidRPr="00901ACF">
        <w:rPr>
          <w:rFonts w:ascii="Arial" w:hAnsi="Arial" w:cs="Arial"/>
          <w:b/>
          <w:bCs/>
          <w:sz w:val="22"/>
          <w:szCs w:val="22"/>
        </w:rPr>
        <w:t>AND</w:t>
      </w:r>
      <w:r w:rsidRPr="00901ACF">
        <w:rPr>
          <w:rFonts w:ascii="Arial" w:hAnsi="Arial" w:cs="Arial"/>
          <w:sz w:val="22"/>
          <w:szCs w:val="22"/>
        </w:rPr>
        <w:t xml:space="preserve"> </w:t>
      </w:r>
      <w:proofErr w:type="spellStart"/>
      <w:r w:rsidRPr="00901ACF">
        <w:rPr>
          <w:rFonts w:ascii="Arial" w:hAnsi="Arial" w:cs="Arial"/>
          <w:sz w:val="22"/>
          <w:szCs w:val="22"/>
        </w:rPr>
        <w:t>and</w:t>
      </w:r>
      <w:proofErr w:type="spellEnd"/>
      <w:r w:rsidRPr="00901ACF">
        <w:rPr>
          <w:rFonts w:ascii="Arial" w:hAnsi="Arial" w:cs="Arial"/>
          <w:sz w:val="22"/>
          <w:szCs w:val="22"/>
        </w:rPr>
        <w:t xml:space="preserve"> </w:t>
      </w:r>
      <w:r w:rsidRPr="00901ACF">
        <w:rPr>
          <w:rFonts w:ascii="Arial" w:hAnsi="Arial" w:cs="Arial"/>
          <w:b/>
          <w:bCs/>
          <w:sz w:val="22"/>
          <w:szCs w:val="22"/>
        </w:rPr>
        <w:t>OR</w:t>
      </w:r>
      <w:r w:rsidRPr="00901ACF">
        <w:rPr>
          <w:rFonts w:ascii="Arial" w:hAnsi="Arial" w:cs="Arial"/>
          <w:sz w:val="22"/>
          <w:szCs w:val="22"/>
        </w:rPr>
        <w:t xml:space="preserve"> were used to combine search terms and refine the search results </w:t>
      </w:r>
      <w:r w:rsidRPr="00901ACF">
        <w:rPr>
          <w:rFonts w:ascii="Arial" w:hAnsi="Arial" w:cs="Arial"/>
          <w:sz w:val="22"/>
          <w:szCs w:val="22"/>
        </w:rPr>
        <w:t>to</w:t>
      </w:r>
      <w:r w:rsidRPr="00901ACF">
        <w:rPr>
          <w:rFonts w:ascii="Arial" w:hAnsi="Arial" w:cs="Arial"/>
          <w:sz w:val="22"/>
          <w:szCs w:val="22"/>
        </w:rPr>
        <w:t xml:space="preserve"> improve the relevance of retrieved studies (Arksey and O’Malley, 2005).</w:t>
      </w:r>
    </w:p>
    <w:p w14:paraId="6D5ABFC3" w14:textId="77777777" w:rsidR="00901ACF" w:rsidRPr="00901ACF" w:rsidRDefault="00901ACF" w:rsidP="00D95016">
      <w:pPr>
        <w:numPr>
          <w:ilvl w:val="0"/>
          <w:numId w:val="6"/>
        </w:numPr>
        <w:spacing w:line="360" w:lineRule="auto"/>
        <w:rPr>
          <w:rFonts w:ascii="Arial" w:hAnsi="Arial" w:cs="Arial"/>
          <w:sz w:val="22"/>
          <w:szCs w:val="22"/>
        </w:rPr>
      </w:pPr>
      <w:r w:rsidRPr="00901ACF">
        <w:rPr>
          <w:rFonts w:ascii="Arial" w:hAnsi="Arial" w:cs="Arial"/>
          <w:b/>
          <w:bCs/>
          <w:sz w:val="22"/>
          <w:szCs w:val="22"/>
        </w:rPr>
        <w:t>Examples of search combinations:</w:t>
      </w:r>
    </w:p>
    <w:p w14:paraId="4D7B917A"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i/>
          <w:iCs/>
          <w:sz w:val="22"/>
          <w:szCs w:val="22"/>
        </w:rPr>
        <w:t>Diabetes AND end-of-life care</w:t>
      </w:r>
    </w:p>
    <w:p w14:paraId="1888D60E"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i/>
          <w:iCs/>
          <w:sz w:val="22"/>
          <w:szCs w:val="22"/>
        </w:rPr>
        <w:t>Diabetes AND palliative care AND nursing</w:t>
      </w:r>
    </w:p>
    <w:p w14:paraId="54889DAB" w14:textId="77777777" w:rsidR="00901ACF" w:rsidRPr="00901ACF" w:rsidRDefault="00901ACF" w:rsidP="00D95016">
      <w:pPr>
        <w:numPr>
          <w:ilvl w:val="1"/>
          <w:numId w:val="6"/>
        </w:numPr>
        <w:spacing w:line="360" w:lineRule="auto"/>
        <w:rPr>
          <w:rFonts w:ascii="Arial" w:hAnsi="Arial" w:cs="Arial"/>
          <w:sz w:val="22"/>
          <w:szCs w:val="22"/>
        </w:rPr>
      </w:pPr>
      <w:r w:rsidRPr="00901ACF">
        <w:rPr>
          <w:rFonts w:ascii="Arial" w:hAnsi="Arial" w:cs="Arial"/>
          <w:i/>
          <w:iCs/>
          <w:sz w:val="22"/>
          <w:szCs w:val="22"/>
        </w:rPr>
        <w:t>Diabetes management AND hospital care AND terminal illness</w:t>
      </w:r>
    </w:p>
    <w:p w14:paraId="18158702" w14:textId="77777777" w:rsidR="00901ACF" w:rsidRPr="00901ACF" w:rsidRDefault="00901ACF" w:rsidP="00D95016">
      <w:pPr>
        <w:numPr>
          <w:ilvl w:val="0"/>
          <w:numId w:val="6"/>
        </w:numPr>
        <w:spacing w:line="360" w:lineRule="auto"/>
        <w:rPr>
          <w:rFonts w:ascii="Arial" w:hAnsi="Arial" w:cs="Arial"/>
          <w:sz w:val="22"/>
          <w:szCs w:val="22"/>
        </w:rPr>
      </w:pPr>
      <w:r w:rsidRPr="00901ACF">
        <w:rPr>
          <w:rFonts w:ascii="Arial" w:hAnsi="Arial" w:cs="Arial"/>
          <w:b/>
          <w:bCs/>
          <w:sz w:val="22"/>
          <w:szCs w:val="22"/>
        </w:rPr>
        <w:t>Search limits applied:</w:t>
      </w:r>
      <w:r w:rsidRPr="00901ACF">
        <w:rPr>
          <w:rFonts w:ascii="Arial" w:hAnsi="Arial" w:cs="Arial"/>
          <w:sz w:val="22"/>
          <w:szCs w:val="22"/>
        </w:rPr>
        <w:br/>
        <w:t>The search was limited to peer-reviewed journal articles published within the last ten years to ensure that findings reflected contemporary clinical practice in diabetes and palliative care (Dunning, 2020).</w:t>
      </w:r>
    </w:p>
    <w:p w14:paraId="0CE9220F" w14:textId="77777777" w:rsidR="00901ACF" w:rsidRPr="00901ACF" w:rsidRDefault="00901ACF" w:rsidP="00D95016">
      <w:pPr>
        <w:numPr>
          <w:ilvl w:val="0"/>
          <w:numId w:val="6"/>
        </w:numPr>
        <w:spacing w:line="360" w:lineRule="auto"/>
        <w:rPr>
          <w:rFonts w:ascii="Arial" w:hAnsi="Arial" w:cs="Arial"/>
          <w:sz w:val="22"/>
          <w:szCs w:val="22"/>
        </w:rPr>
      </w:pPr>
      <w:r w:rsidRPr="00901ACF">
        <w:rPr>
          <w:rFonts w:ascii="Arial" w:hAnsi="Arial" w:cs="Arial"/>
          <w:b/>
          <w:bCs/>
          <w:sz w:val="22"/>
          <w:szCs w:val="22"/>
        </w:rPr>
        <w:t>Purpose of the search strategy:</w:t>
      </w:r>
      <w:r w:rsidRPr="00901ACF">
        <w:rPr>
          <w:rFonts w:ascii="Arial" w:hAnsi="Arial" w:cs="Arial"/>
          <w:sz w:val="22"/>
          <w:szCs w:val="22"/>
        </w:rPr>
        <w:br/>
        <w:t>The search aimed to identify studies examining diabetes management within end-of-life or palliative care contexts, particularly those relevant to adult nursing practice in hospital settings (Sinclair et al., 2020).</w:t>
      </w:r>
    </w:p>
    <w:p w14:paraId="6C34A055" w14:textId="77777777" w:rsidR="0029313F" w:rsidRPr="00ED5E4D" w:rsidRDefault="0029313F" w:rsidP="00D95016">
      <w:pPr>
        <w:spacing w:line="360" w:lineRule="auto"/>
        <w:rPr>
          <w:rFonts w:ascii="Arial" w:hAnsi="Arial" w:cs="Arial"/>
          <w:sz w:val="22"/>
          <w:szCs w:val="22"/>
          <w:u w:val="single"/>
        </w:rPr>
      </w:pPr>
    </w:p>
    <w:p w14:paraId="66CC541E" w14:textId="7155308E" w:rsidR="00901ACF" w:rsidRPr="00901ACF" w:rsidRDefault="00901ACF" w:rsidP="00D95016">
      <w:pPr>
        <w:spacing w:line="360" w:lineRule="auto"/>
        <w:rPr>
          <w:rFonts w:ascii="Arial" w:hAnsi="Arial" w:cs="Arial"/>
          <w:b/>
          <w:bCs/>
          <w:sz w:val="32"/>
          <w:szCs w:val="32"/>
          <w:u w:val="single"/>
        </w:rPr>
      </w:pPr>
      <w:r w:rsidRPr="00901ACF">
        <w:rPr>
          <w:rFonts w:ascii="Arial" w:hAnsi="Arial" w:cs="Arial"/>
          <w:b/>
          <w:bCs/>
          <w:sz w:val="32"/>
          <w:szCs w:val="32"/>
          <w:u w:val="single"/>
        </w:rPr>
        <w:t>Inclusion and Exclusion Criteria</w:t>
      </w:r>
    </w:p>
    <w:p w14:paraId="47C3E55B" w14:textId="77777777"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t>To ensure that the selected studies aligned with the review question, clear inclusion and exclusion criteria were applied during the screening process. Studies were included if they were peer-reviewed journal articles published within the last ten years and focused on adult populations receiving diabetes care in end-of-life or palliative care contexts. Studies examining nursing practice, clinical decision-making, and hospital-based care were prioritised to ensure relevance to adult nursing practice (Dunning, 2020; Sinclair et al., 2020).</w:t>
      </w:r>
    </w:p>
    <w:p w14:paraId="4142A176" w14:textId="5980FCCA"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lastRenderedPageBreak/>
        <w:t xml:space="preserve">Studies were excluded if they focused on paediatric populations, diabetes management unrelated to end-of-life care, or community-based care that was not relevant to hospital settings. Non-peer-reviewed publications such as editorials, opinion pieces, and non-academic sources were also excluded </w:t>
      </w:r>
      <w:r w:rsidR="00D95016" w:rsidRPr="00901ACF">
        <w:rPr>
          <w:rFonts w:ascii="Arial" w:hAnsi="Arial" w:cs="Arial"/>
          <w:sz w:val="22"/>
          <w:szCs w:val="22"/>
        </w:rPr>
        <w:t>to</w:t>
      </w:r>
      <w:r w:rsidRPr="00901ACF">
        <w:rPr>
          <w:rFonts w:ascii="Arial" w:hAnsi="Arial" w:cs="Arial"/>
          <w:sz w:val="22"/>
          <w:szCs w:val="22"/>
        </w:rPr>
        <w:t xml:space="preserve"> maintain the credibility and reliability of the review (Aveyard, 2014).</w:t>
      </w:r>
    </w:p>
    <w:p w14:paraId="748D4483" w14:textId="77777777" w:rsidR="0029313F" w:rsidRDefault="0029313F" w:rsidP="00D95016">
      <w:pPr>
        <w:spacing w:line="360" w:lineRule="auto"/>
        <w:rPr>
          <w:rFonts w:ascii="Arial" w:hAnsi="Arial" w:cs="Arial"/>
          <w:b/>
          <w:bCs/>
          <w:sz w:val="22"/>
          <w:szCs w:val="22"/>
          <w:u w:val="single"/>
        </w:rPr>
      </w:pPr>
    </w:p>
    <w:p w14:paraId="3438F7B2" w14:textId="39F7DAAF" w:rsidR="00901ACF" w:rsidRPr="00901ACF" w:rsidRDefault="00901ACF" w:rsidP="00D95016">
      <w:pPr>
        <w:spacing w:line="360" w:lineRule="auto"/>
        <w:rPr>
          <w:rFonts w:ascii="Arial" w:hAnsi="Arial" w:cs="Arial"/>
          <w:b/>
          <w:bCs/>
          <w:sz w:val="32"/>
          <w:szCs w:val="32"/>
          <w:u w:val="single"/>
        </w:rPr>
      </w:pPr>
      <w:r w:rsidRPr="00901ACF">
        <w:rPr>
          <w:rFonts w:ascii="Arial" w:hAnsi="Arial" w:cs="Arial"/>
          <w:b/>
          <w:bCs/>
          <w:sz w:val="32"/>
          <w:szCs w:val="32"/>
          <w:u w:val="single"/>
        </w:rPr>
        <w:t>Study Selection</w:t>
      </w:r>
    </w:p>
    <w:p w14:paraId="08833A9D" w14:textId="77777777"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t xml:space="preserve">Following the database search, titles and abstracts were screened to determine their relevance to the review topic. Articles that appeared to meet the inclusion criteria were then selected for full-text review. Through this screening process, </w:t>
      </w:r>
      <w:r w:rsidRPr="00901ACF">
        <w:rPr>
          <w:rFonts w:ascii="Arial" w:hAnsi="Arial" w:cs="Arial"/>
          <w:b/>
          <w:bCs/>
          <w:sz w:val="22"/>
          <w:szCs w:val="22"/>
        </w:rPr>
        <w:t>seven peer-reviewed studies</w:t>
      </w:r>
      <w:r w:rsidRPr="00901ACF">
        <w:rPr>
          <w:rFonts w:ascii="Arial" w:hAnsi="Arial" w:cs="Arial"/>
          <w:sz w:val="22"/>
          <w:szCs w:val="22"/>
        </w:rPr>
        <w:t xml:space="preserve"> were identified and included in the final review. These studies examined key aspects of diabetes management at the end of life, including clinical decision-making, nursing practice, ethical challenges, and palliative care approaches (Dunning, 2020; Maslen, 2019; James, 2019; </w:t>
      </w:r>
      <w:proofErr w:type="spellStart"/>
      <w:r w:rsidRPr="00901ACF">
        <w:rPr>
          <w:rFonts w:ascii="Arial" w:hAnsi="Arial" w:cs="Arial"/>
          <w:sz w:val="22"/>
          <w:szCs w:val="22"/>
        </w:rPr>
        <w:t>Alsararatee</w:t>
      </w:r>
      <w:proofErr w:type="spellEnd"/>
      <w:r w:rsidRPr="00901ACF">
        <w:rPr>
          <w:rFonts w:ascii="Arial" w:hAnsi="Arial" w:cs="Arial"/>
          <w:sz w:val="22"/>
          <w:szCs w:val="22"/>
        </w:rPr>
        <w:t>, 2025; Bain et al., 2020; Sinclair et al., 2020; Wilson et al., 2019).</w:t>
      </w:r>
    </w:p>
    <w:p w14:paraId="50137F3B" w14:textId="77777777" w:rsidR="00F079AA" w:rsidRDefault="00F079AA" w:rsidP="00D95016">
      <w:pPr>
        <w:spacing w:line="360" w:lineRule="auto"/>
        <w:rPr>
          <w:rFonts w:ascii="Arial" w:hAnsi="Arial" w:cs="Arial"/>
          <w:b/>
          <w:bCs/>
          <w:sz w:val="32"/>
          <w:szCs w:val="32"/>
          <w:u w:val="single"/>
        </w:rPr>
      </w:pPr>
    </w:p>
    <w:p w14:paraId="2D6C4F6F" w14:textId="163FC6F4" w:rsidR="00901ACF" w:rsidRPr="00901ACF" w:rsidRDefault="00901ACF" w:rsidP="00D95016">
      <w:pPr>
        <w:spacing w:line="360" w:lineRule="auto"/>
        <w:rPr>
          <w:rFonts w:ascii="Arial" w:hAnsi="Arial" w:cs="Arial"/>
          <w:b/>
          <w:bCs/>
          <w:sz w:val="32"/>
          <w:szCs w:val="32"/>
          <w:u w:val="single"/>
        </w:rPr>
      </w:pPr>
      <w:r w:rsidRPr="00901ACF">
        <w:rPr>
          <w:rFonts w:ascii="Arial" w:hAnsi="Arial" w:cs="Arial"/>
          <w:b/>
          <w:bCs/>
          <w:sz w:val="32"/>
          <w:szCs w:val="32"/>
          <w:u w:val="single"/>
        </w:rPr>
        <w:t>Data Analysis</w:t>
      </w:r>
    </w:p>
    <w:p w14:paraId="2F302A38" w14:textId="77777777"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t>Thematic analysis was used to synthesise findings from the selected studies. Thematic analysis involves identifying patterns and recurring concepts across multiple sources of literature to generate meaningful themes relevant to the research question (Aveyard, 2014). The analysis process began with a detailed reading of each study to familiarise the researcher with the key findings and concepts presented in the literature.</w:t>
      </w:r>
    </w:p>
    <w:p w14:paraId="65D07877" w14:textId="77777777"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t xml:space="preserve">Relevant information was extracted from each study, including the study aims, methodology, key findings, and implications for nursing practice. These findings were then compared across studies to identify recurring patterns. Through this process, several themes emerged, including </w:t>
      </w:r>
      <w:r w:rsidRPr="00901ACF">
        <w:rPr>
          <w:rFonts w:ascii="Arial" w:hAnsi="Arial" w:cs="Arial"/>
          <w:b/>
          <w:bCs/>
          <w:sz w:val="22"/>
          <w:szCs w:val="22"/>
        </w:rPr>
        <w:t>clinical decision-making in end-of-life diabetes management, ethical challenges in treatment modification, communication and relational care, workforce education and training needs, organisational barriers within hospital settings, and the emotional impact of end-of-life care on nursing staff</w:t>
      </w:r>
      <w:r w:rsidRPr="00901ACF">
        <w:rPr>
          <w:rFonts w:ascii="Arial" w:hAnsi="Arial" w:cs="Arial"/>
          <w:sz w:val="22"/>
          <w:szCs w:val="22"/>
        </w:rPr>
        <w:t xml:space="preserve"> (Wilson et al., 2019; Bain et al., 2020).</w:t>
      </w:r>
    </w:p>
    <w:p w14:paraId="02C82E4E" w14:textId="77777777" w:rsidR="007406B4" w:rsidRDefault="007406B4" w:rsidP="00D95016">
      <w:pPr>
        <w:spacing w:line="360" w:lineRule="auto"/>
        <w:rPr>
          <w:rFonts w:ascii="Arial" w:hAnsi="Arial" w:cs="Arial"/>
          <w:b/>
          <w:bCs/>
          <w:sz w:val="22"/>
          <w:szCs w:val="22"/>
          <w:u w:val="single"/>
        </w:rPr>
      </w:pPr>
    </w:p>
    <w:p w14:paraId="36868A96" w14:textId="77777777" w:rsidR="00F079AA" w:rsidRDefault="00F079AA" w:rsidP="00D95016">
      <w:pPr>
        <w:spacing w:line="360" w:lineRule="auto"/>
        <w:rPr>
          <w:rFonts w:ascii="Arial" w:hAnsi="Arial" w:cs="Arial"/>
          <w:b/>
          <w:bCs/>
          <w:sz w:val="32"/>
          <w:szCs w:val="32"/>
          <w:u w:val="single"/>
        </w:rPr>
      </w:pPr>
    </w:p>
    <w:p w14:paraId="09AA4A12" w14:textId="3CA58FB3" w:rsidR="00901ACF" w:rsidRPr="00901ACF" w:rsidRDefault="00901ACF" w:rsidP="00D95016">
      <w:pPr>
        <w:spacing w:line="360" w:lineRule="auto"/>
        <w:rPr>
          <w:rFonts w:ascii="Arial" w:hAnsi="Arial" w:cs="Arial"/>
          <w:b/>
          <w:bCs/>
          <w:sz w:val="32"/>
          <w:szCs w:val="32"/>
          <w:u w:val="single"/>
        </w:rPr>
      </w:pPr>
      <w:r w:rsidRPr="00901ACF">
        <w:rPr>
          <w:rFonts w:ascii="Arial" w:hAnsi="Arial" w:cs="Arial"/>
          <w:b/>
          <w:bCs/>
          <w:sz w:val="32"/>
          <w:szCs w:val="32"/>
          <w:u w:val="single"/>
        </w:rPr>
        <w:lastRenderedPageBreak/>
        <w:t>Ethical Considerations</w:t>
      </w:r>
    </w:p>
    <w:p w14:paraId="64E84A09" w14:textId="77777777"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t>Ethical considerations were carefully addressed throughout the review process. As this study involved secondary analysis of existing literature rather than primary data collection, ethical approval was not required. No human participants were involved, and therefore issues such as informed consent and participant confidentiality were not applicable (Aveyard, 2014).</w:t>
      </w:r>
    </w:p>
    <w:p w14:paraId="3E6D2FA2" w14:textId="77777777" w:rsidR="00901ACF" w:rsidRPr="00901ACF" w:rsidRDefault="00901ACF" w:rsidP="00D95016">
      <w:pPr>
        <w:spacing w:line="360" w:lineRule="auto"/>
        <w:rPr>
          <w:rFonts w:ascii="Arial" w:hAnsi="Arial" w:cs="Arial"/>
          <w:sz w:val="22"/>
          <w:szCs w:val="22"/>
        </w:rPr>
      </w:pPr>
      <w:r w:rsidRPr="00901ACF">
        <w:rPr>
          <w:rFonts w:ascii="Arial" w:hAnsi="Arial" w:cs="Arial"/>
          <w:sz w:val="22"/>
          <w:szCs w:val="22"/>
        </w:rPr>
        <w:t>However, ethical research practice remained a priority throughout the review. All sources were accurately cited in accordance with academic referencing standards, ensuring that the intellectual contributions of original authors were appropriately acknowledged. Care was taken to present findings objectively and accurately, avoiding plagiarism, misrepresentation, or selective reporting of evidence. Transparency was also maintained throughout the review process by clearly documenting the search strategy, inclusion criteria, and analytical methods used. Maintaining transparency and academic integrity helps ensure that the review can be evaluated and potentially replicated by other researchers (Arksey and O’Malley, 2005).</w:t>
      </w:r>
    </w:p>
    <w:p w14:paraId="6DD4E5B2" w14:textId="77777777" w:rsidR="00901ACF" w:rsidRPr="00901ACF" w:rsidRDefault="00901ACF" w:rsidP="00D95016">
      <w:pPr>
        <w:spacing w:line="360" w:lineRule="auto"/>
        <w:rPr>
          <w:rFonts w:ascii="Arial" w:hAnsi="Arial" w:cs="Arial"/>
          <w:sz w:val="22"/>
          <w:szCs w:val="22"/>
        </w:rPr>
      </w:pPr>
    </w:p>
    <w:p w14:paraId="6CECAD47" w14:textId="77777777" w:rsidR="00D95016" w:rsidRDefault="00D95016" w:rsidP="00D95016">
      <w:pPr>
        <w:spacing w:line="360" w:lineRule="auto"/>
        <w:rPr>
          <w:rFonts w:ascii="Arial" w:hAnsi="Arial" w:cs="Arial"/>
          <w:b/>
          <w:bCs/>
          <w:sz w:val="32"/>
          <w:szCs w:val="32"/>
          <w:u w:val="single"/>
        </w:rPr>
      </w:pPr>
    </w:p>
    <w:p w14:paraId="48D5F354" w14:textId="77777777" w:rsidR="00D95016" w:rsidRDefault="00D95016" w:rsidP="00D95016">
      <w:pPr>
        <w:spacing w:line="360" w:lineRule="auto"/>
        <w:rPr>
          <w:rFonts w:ascii="Arial" w:hAnsi="Arial" w:cs="Arial"/>
          <w:b/>
          <w:bCs/>
          <w:sz w:val="32"/>
          <w:szCs w:val="32"/>
          <w:u w:val="single"/>
        </w:rPr>
      </w:pPr>
    </w:p>
    <w:p w14:paraId="2DB97472" w14:textId="77777777" w:rsidR="00D95016" w:rsidRDefault="00D95016" w:rsidP="00D95016">
      <w:pPr>
        <w:spacing w:line="360" w:lineRule="auto"/>
        <w:rPr>
          <w:rFonts w:ascii="Arial" w:hAnsi="Arial" w:cs="Arial"/>
          <w:b/>
          <w:bCs/>
          <w:sz w:val="32"/>
          <w:szCs w:val="32"/>
          <w:u w:val="single"/>
        </w:rPr>
      </w:pPr>
    </w:p>
    <w:p w14:paraId="3FCB0329" w14:textId="77777777" w:rsidR="00D95016" w:rsidRDefault="00D95016" w:rsidP="00D95016">
      <w:pPr>
        <w:spacing w:line="360" w:lineRule="auto"/>
        <w:rPr>
          <w:rFonts w:ascii="Arial" w:hAnsi="Arial" w:cs="Arial"/>
          <w:b/>
          <w:bCs/>
          <w:sz w:val="32"/>
          <w:szCs w:val="32"/>
          <w:u w:val="single"/>
        </w:rPr>
      </w:pPr>
    </w:p>
    <w:p w14:paraId="78E3AD82" w14:textId="77777777" w:rsidR="00D95016" w:rsidRDefault="00D95016" w:rsidP="00D95016">
      <w:pPr>
        <w:spacing w:line="360" w:lineRule="auto"/>
        <w:rPr>
          <w:rFonts w:ascii="Arial" w:hAnsi="Arial" w:cs="Arial"/>
          <w:b/>
          <w:bCs/>
          <w:sz w:val="32"/>
          <w:szCs w:val="32"/>
          <w:u w:val="single"/>
        </w:rPr>
      </w:pPr>
    </w:p>
    <w:p w14:paraId="59B3D3A5" w14:textId="77777777" w:rsidR="00D95016" w:rsidRDefault="00D95016" w:rsidP="00D95016">
      <w:pPr>
        <w:spacing w:line="360" w:lineRule="auto"/>
        <w:rPr>
          <w:rFonts w:ascii="Arial" w:hAnsi="Arial" w:cs="Arial"/>
          <w:b/>
          <w:bCs/>
          <w:sz w:val="32"/>
          <w:szCs w:val="32"/>
          <w:u w:val="single"/>
        </w:rPr>
      </w:pPr>
    </w:p>
    <w:p w14:paraId="2AFC6C6C" w14:textId="77777777" w:rsidR="00D95016" w:rsidRDefault="00D95016" w:rsidP="00D95016">
      <w:pPr>
        <w:spacing w:line="360" w:lineRule="auto"/>
        <w:rPr>
          <w:rFonts w:ascii="Arial" w:hAnsi="Arial" w:cs="Arial"/>
          <w:b/>
          <w:bCs/>
          <w:sz w:val="32"/>
          <w:szCs w:val="32"/>
          <w:u w:val="single"/>
        </w:rPr>
      </w:pPr>
    </w:p>
    <w:p w14:paraId="72942A72" w14:textId="77777777" w:rsidR="00D95016" w:rsidRDefault="00D95016" w:rsidP="00D95016">
      <w:pPr>
        <w:spacing w:line="360" w:lineRule="auto"/>
        <w:rPr>
          <w:rFonts w:ascii="Arial" w:hAnsi="Arial" w:cs="Arial"/>
          <w:b/>
          <w:bCs/>
          <w:sz w:val="32"/>
          <w:szCs w:val="32"/>
          <w:u w:val="single"/>
        </w:rPr>
      </w:pPr>
    </w:p>
    <w:p w14:paraId="17BE65CE" w14:textId="77777777" w:rsidR="00D95016" w:rsidRDefault="00D95016" w:rsidP="00D95016">
      <w:pPr>
        <w:spacing w:line="360" w:lineRule="auto"/>
        <w:rPr>
          <w:rFonts w:ascii="Arial" w:hAnsi="Arial" w:cs="Arial"/>
          <w:b/>
          <w:bCs/>
          <w:sz w:val="32"/>
          <w:szCs w:val="32"/>
          <w:u w:val="single"/>
        </w:rPr>
      </w:pPr>
    </w:p>
    <w:p w14:paraId="0098CB4B" w14:textId="77777777" w:rsidR="00D95680" w:rsidRDefault="00D95680" w:rsidP="00D95016">
      <w:pPr>
        <w:spacing w:line="360" w:lineRule="auto"/>
        <w:rPr>
          <w:rFonts w:ascii="Arial" w:hAnsi="Arial" w:cs="Arial"/>
          <w:b/>
          <w:bCs/>
          <w:sz w:val="32"/>
          <w:szCs w:val="32"/>
          <w:u w:val="single"/>
        </w:rPr>
      </w:pPr>
    </w:p>
    <w:p w14:paraId="58D47E41" w14:textId="723BF0FB" w:rsidR="00AF2AE4" w:rsidRPr="00D95016" w:rsidRDefault="007429B9" w:rsidP="00D95016">
      <w:pPr>
        <w:spacing w:line="360" w:lineRule="auto"/>
        <w:rPr>
          <w:rFonts w:ascii="Arial" w:hAnsi="Arial" w:cs="Arial"/>
          <w:b/>
          <w:bCs/>
          <w:sz w:val="32"/>
          <w:szCs w:val="32"/>
          <w:u w:val="single"/>
        </w:rPr>
      </w:pPr>
      <w:r w:rsidRPr="00D95016">
        <w:rPr>
          <w:rFonts w:ascii="Arial" w:hAnsi="Arial" w:cs="Arial"/>
          <w:b/>
          <w:bCs/>
          <w:sz w:val="32"/>
          <w:szCs w:val="32"/>
          <w:u w:val="single"/>
        </w:rPr>
        <w:lastRenderedPageBreak/>
        <w:t>Results</w:t>
      </w:r>
      <w:r w:rsidR="00AF2AE4" w:rsidRPr="00D95016">
        <w:rPr>
          <w:rFonts w:ascii="Arial" w:hAnsi="Arial" w:cs="Arial"/>
          <w:sz w:val="32"/>
          <w:szCs w:val="32"/>
        </w:rPr>
        <w:t xml:space="preserve"> </w:t>
      </w:r>
    </w:p>
    <w:tbl>
      <w:tblPr>
        <w:tblStyle w:val="GridTable4"/>
        <w:tblW w:w="9209" w:type="dxa"/>
        <w:tblLook w:val="04A0" w:firstRow="1" w:lastRow="0" w:firstColumn="1" w:lastColumn="0" w:noHBand="0" w:noVBand="1"/>
      </w:tblPr>
      <w:tblGrid>
        <w:gridCol w:w="9386"/>
      </w:tblGrid>
      <w:tr w:rsidR="007B7CAE" w:rsidRPr="00815CFB" w14:paraId="4FB8F267" w14:textId="77777777" w:rsidTr="00D66349">
        <w:trPr>
          <w:cnfStyle w:val="100000000000" w:firstRow="1" w:lastRow="0" w:firstColumn="0" w:lastColumn="0" w:oddVBand="0" w:evenVBand="0" w:oddHBand="0" w:evenHBand="0" w:firstRowFirstColumn="0" w:firstRowLastColumn="0" w:lastRowFirstColumn="0" w:lastRowLastColumn="0"/>
          <w:trHeight w:val="10752"/>
        </w:trPr>
        <w:tc>
          <w:tcPr>
            <w:cnfStyle w:val="001000000000" w:firstRow="0" w:lastRow="0" w:firstColumn="1" w:lastColumn="0" w:oddVBand="0" w:evenVBand="0" w:oddHBand="0" w:evenHBand="0" w:firstRowFirstColumn="0" w:firstRowLastColumn="0" w:lastRowFirstColumn="0" w:lastRowLastColumn="0"/>
            <w:tcW w:w="9209" w:type="dxa"/>
          </w:tcPr>
          <w:tbl>
            <w:tblPr>
              <w:tblW w:w="9170" w:type="dxa"/>
              <w:tblCellMar>
                <w:top w:w="15" w:type="dxa"/>
                <w:left w:w="15" w:type="dxa"/>
                <w:bottom w:w="15" w:type="dxa"/>
                <w:right w:w="15" w:type="dxa"/>
              </w:tblCellMar>
              <w:tblLook w:val="04A0" w:firstRow="1" w:lastRow="0" w:firstColumn="1" w:lastColumn="0" w:noHBand="0" w:noVBand="1"/>
            </w:tblPr>
            <w:tblGrid>
              <w:gridCol w:w="1279"/>
              <w:gridCol w:w="1862"/>
              <w:gridCol w:w="3116"/>
              <w:gridCol w:w="2913"/>
            </w:tblGrid>
            <w:tr w:rsidR="007B7CAE" w:rsidRPr="00815CFB" w14:paraId="327B6312" w14:textId="77777777" w:rsidTr="00D66349">
              <w:trPr>
                <w:trHeight w:val="655"/>
              </w:trPr>
              <w:tc>
                <w:tcPr>
                  <w:tcW w:w="0" w:type="auto"/>
                  <w:tcBorders>
                    <w:bottom w:val="single" w:sz="8" w:space="0" w:color="CCCCCC"/>
                  </w:tcBorders>
                  <w:vAlign w:val="center"/>
                  <w:hideMark/>
                </w:tcPr>
                <w:p w14:paraId="72537E67" w14:textId="77777777" w:rsidR="007B7CAE" w:rsidRPr="00815CFB" w:rsidRDefault="007B7CAE" w:rsidP="00D95016">
                  <w:pPr>
                    <w:spacing w:before="100" w:beforeAutospacing="1" w:after="100" w:afterAutospacing="1" w:line="360" w:lineRule="auto"/>
                    <w:jc w:val="center"/>
                    <w:rPr>
                      <w:rFonts w:ascii="Arial" w:hAnsi="Arial" w:cs="Arial"/>
                      <w:b/>
                      <w:bCs/>
                      <w:kern w:val="0"/>
                      <w:sz w:val="22"/>
                      <w:szCs w:val="22"/>
                      <w14:ligatures w14:val="none"/>
                    </w:rPr>
                  </w:pPr>
                  <w:r w:rsidRPr="00815CFB">
                    <w:rPr>
                      <w:rFonts w:ascii="Arial" w:hAnsi="Arial" w:cs="Arial"/>
                      <w:b/>
                      <w:bCs/>
                      <w:sz w:val="22"/>
                      <w:szCs w:val="22"/>
                    </w:rPr>
                    <w:t>Study</w:t>
                  </w:r>
                </w:p>
              </w:tc>
              <w:tc>
                <w:tcPr>
                  <w:tcW w:w="0" w:type="auto"/>
                  <w:tcBorders>
                    <w:bottom w:val="single" w:sz="8" w:space="0" w:color="CCCCCC"/>
                  </w:tcBorders>
                  <w:vAlign w:val="center"/>
                  <w:hideMark/>
                </w:tcPr>
                <w:p w14:paraId="08252763" w14:textId="77777777" w:rsidR="007B7CAE" w:rsidRPr="00815CFB" w:rsidRDefault="007B7CAE" w:rsidP="00D95016">
                  <w:pPr>
                    <w:spacing w:before="100" w:beforeAutospacing="1" w:after="100" w:afterAutospacing="1" w:line="360" w:lineRule="auto"/>
                    <w:jc w:val="center"/>
                    <w:rPr>
                      <w:rFonts w:ascii="Arial" w:hAnsi="Arial" w:cs="Arial"/>
                      <w:b/>
                      <w:bCs/>
                      <w:sz w:val="22"/>
                      <w:szCs w:val="22"/>
                    </w:rPr>
                  </w:pPr>
                  <w:r w:rsidRPr="00815CFB">
                    <w:rPr>
                      <w:rFonts w:ascii="Arial" w:hAnsi="Arial" w:cs="Arial"/>
                      <w:b/>
                      <w:bCs/>
                      <w:sz w:val="22"/>
                      <w:szCs w:val="22"/>
                    </w:rPr>
                    <w:t>Focus</w:t>
                  </w:r>
                </w:p>
              </w:tc>
              <w:tc>
                <w:tcPr>
                  <w:tcW w:w="0" w:type="auto"/>
                  <w:tcBorders>
                    <w:bottom w:val="single" w:sz="8" w:space="0" w:color="CCCCCC"/>
                  </w:tcBorders>
                  <w:vAlign w:val="center"/>
                  <w:hideMark/>
                </w:tcPr>
                <w:p w14:paraId="1464BF15" w14:textId="77777777" w:rsidR="007B7CAE" w:rsidRPr="00815CFB" w:rsidRDefault="007B7CAE" w:rsidP="00D95016">
                  <w:pPr>
                    <w:spacing w:before="100" w:beforeAutospacing="1" w:after="100" w:afterAutospacing="1" w:line="360" w:lineRule="auto"/>
                    <w:jc w:val="center"/>
                    <w:rPr>
                      <w:rFonts w:ascii="Arial" w:hAnsi="Arial" w:cs="Arial"/>
                      <w:b/>
                      <w:bCs/>
                      <w:sz w:val="22"/>
                      <w:szCs w:val="22"/>
                    </w:rPr>
                  </w:pPr>
                  <w:r w:rsidRPr="00815CFB">
                    <w:rPr>
                      <w:rFonts w:ascii="Arial" w:hAnsi="Arial" w:cs="Arial"/>
                      <w:b/>
                      <w:bCs/>
                      <w:sz w:val="22"/>
                      <w:szCs w:val="22"/>
                    </w:rPr>
                    <w:t>Key Findings</w:t>
                  </w:r>
                </w:p>
              </w:tc>
              <w:tc>
                <w:tcPr>
                  <w:tcW w:w="0" w:type="auto"/>
                  <w:tcBorders>
                    <w:bottom w:val="single" w:sz="8" w:space="0" w:color="CCCCCC"/>
                  </w:tcBorders>
                  <w:vAlign w:val="center"/>
                  <w:hideMark/>
                </w:tcPr>
                <w:p w14:paraId="7803525B" w14:textId="77777777" w:rsidR="007B7CAE" w:rsidRPr="00815CFB" w:rsidRDefault="007B7CAE" w:rsidP="00D95016">
                  <w:pPr>
                    <w:spacing w:before="100" w:beforeAutospacing="1" w:after="100" w:afterAutospacing="1" w:line="360" w:lineRule="auto"/>
                    <w:jc w:val="center"/>
                    <w:rPr>
                      <w:rFonts w:ascii="Arial" w:hAnsi="Arial" w:cs="Arial"/>
                      <w:b/>
                      <w:bCs/>
                      <w:sz w:val="22"/>
                      <w:szCs w:val="22"/>
                    </w:rPr>
                  </w:pPr>
                  <w:r w:rsidRPr="00815CFB">
                    <w:rPr>
                      <w:rFonts w:ascii="Arial" w:hAnsi="Arial" w:cs="Arial"/>
                      <w:b/>
                      <w:bCs/>
                      <w:sz w:val="22"/>
                      <w:szCs w:val="22"/>
                    </w:rPr>
                    <w:t>Implications for Nursing Practice</w:t>
                  </w:r>
                </w:p>
              </w:tc>
            </w:tr>
            <w:tr w:rsidR="007B7CAE" w:rsidRPr="00815CFB" w14:paraId="14B49C21" w14:textId="77777777" w:rsidTr="00D66349">
              <w:trPr>
                <w:trHeight w:val="1629"/>
              </w:trPr>
              <w:tc>
                <w:tcPr>
                  <w:tcW w:w="0" w:type="auto"/>
                  <w:shd w:val="clear" w:color="auto" w:fill="F2F2F2"/>
                  <w:vAlign w:val="center"/>
                  <w:hideMark/>
                </w:tcPr>
                <w:p w14:paraId="429486AD"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Dunning (2020)</w:t>
                  </w:r>
                </w:p>
              </w:tc>
              <w:tc>
                <w:tcPr>
                  <w:tcW w:w="0" w:type="auto"/>
                  <w:shd w:val="clear" w:color="auto" w:fill="F2F2F2"/>
                  <w:vAlign w:val="center"/>
                  <w:hideMark/>
                </w:tcPr>
                <w:p w14:paraId="56FF6C38"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Clinical decision-making in glycaemic management</w:t>
                  </w:r>
                </w:p>
              </w:tc>
              <w:tc>
                <w:tcPr>
                  <w:tcW w:w="0" w:type="auto"/>
                  <w:shd w:val="clear" w:color="auto" w:fill="F2F2F2"/>
                  <w:vAlign w:val="center"/>
                  <w:hideMark/>
                </w:tcPr>
                <w:p w14:paraId="1FE7843A"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Highlights uncertainty in setting glycaemic targets for end-of-life patients. Advocates for simplified regimens prioritising comfort.</w:t>
                  </w:r>
                </w:p>
              </w:tc>
              <w:tc>
                <w:tcPr>
                  <w:tcW w:w="0" w:type="auto"/>
                  <w:shd w:val="clear" w:color="auto" w:fill="F2F2F2"/>
                  <w:vAlign w:val="center"/>
                  <w:hideMark/>
                </w:tcPr>
                <w:p w14:paraId="0FC85D6B"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Supports individualised treatment planning, recommends flexibility in protocols for palliative care contexts.</w:t>
                  </w:r>
                </w:p>
              </w:tc>
            </w:tr>
            <w:tr w:rsidR="007B7CAE" w:rsidRPr="00815CFB" w14:paraId="3D9CA1D9" w14:textId="77777777" w:rsidTr="00D66349">
              <w:trPr>
                <w:trHeight w:val="1647"/>
              </w:trPr>
              <w:tc>
                <w:tcPr>
                  <w:tcW w:w="0" w:type="auto"/>
                  <w:vAlign w:val="center"/>
                  <w:hideMark/>
                </w:tcPr>
                <w:p w14:paraId="6FD651B0"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Maslen (2019)</w:t>
                  </w:r>
                </w:p>
              </w:tc>
              <w:tc>
                <w:tcPr>
                  <w:tcW w:w="0" w:type="auto"/>
                  <w:vAlign w:val="center"/>
                  <w:hideMark/>
                </w:tcPr>
                <w:p w14:paraId="0C08B385"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Palliative diabetes management</w:t>
                  </w:r>
                </w:p>
              </w:tc>
              <w:tc>
                <w:tcPr>
                  <w:tcW w:w="0" w:type="auto"/>
                  <w:vAlign w:val="center"/>
                  <w:hideMark/>
                </w:tcPr>
                <w:p w14:paraId="44DB9C0E"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Emphasises the need to adapt standard protocols for palliative settings and prioritise patient comfort.</w:t>
                  </w:r>
                </w:p>
              </w:tc>
              <w:tc>
                <w:tcPr>
                  <w:tcW w:w="0" w:type="auto"/>
                  <w:vAlign w:val="center"/>
                  <w:hideMark/>
                </w:tcPr>
                <w:p w14:paraId="37FE9B67"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Encourages nurses to balance disease-focused care with palliative principles, using professional judgement.</w:t>
                  </w:r>
                </w:p>
              </w:tc>
            </w:tr>
            <w:tr w:rsidR="007B7CAE" w:rsidRPr="00815CFB" w14:paraId="5922D621" w14:textId="77777777" w:rsidTr="00D66349">
              <w:trPr>
                <w:trHeight w:val="1292"/>
              </w:trPr>
              <w:tc>
                <w:tcPr>
                  <w:tcW w:w="0" w:type="auto"/>
                  <w:shd w:val="clear" w:color="auto" w:fill="F2F2F2"/>
                  <w:vAlign w:val="center"/>
                  <w:hideMark/>
                </w:tcPr>
                <w:p w14:paraId="3CF9DD18"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James (2019)</w:t>
                  </w:r>
                </w:p>
              </w:tc>
              <w:tc>
                <w:tcPr>
                  <w:tcW w:w="0" w:type="auto"/>
                  <w:shd w:val="clear" w:color="auto" w:fill="F2F2F2"/>
                  <w:vAlign w:val="center"/>
                  <w:hideMark/>
                </w:tcPr>
                <w:p w14:paraId="58A3C4B3"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Ethical complexity in treatment decisions</w:t>
                  </w:r>
                </w:p>
              </w:tc>
              <w:tc>
                <w:tcPr>
                  <w:tcW w:w="0" w:type="auto"/>
                  <w:shd w:val="clear" w:color="auto" w:fill="F2F2F2"/>
                  <w:vAlign w:val="center"/>
                  <w:hideMark/>
                </w:tcPr>
                <w:p w14:paraId="1DBDDED9"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Explores emotional strain for nurses and challenges in withdrawing insulin or reducing monitoring.</w:t>
                  </w:r>
                </w:p>
              </w:tc>
              <w:tc>
                <w:tcPr>
                  <w:tcW w:w="0" w:type="auto"/>
                  <w:shd w:val="clear" w:color="auto" w:fill="F2F2F2"/>
                  <w:vAlign w:val="center"/>
                  <w:hideMark/>
                </w:tcPr>
                <w:p w14:paraId="181AD9D1"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Highlights need for compassionate communication and ethical decision-making support.</w:t>
                  </w:r>
                </w:p>
              </w:tc>
            </w:tr>
            <w:tr w:rsidR="007B7CAE" w:rsidRPr="00815CFB" w14:paraId="7543C490" w14:textId="77777777" w:rsidTr="00D66349">
              <w:trPr>
                <w:trHeight w:val="1311"/>
              </w:trPr>
              <w:tc>
                <w:tcPr>
                  <w:tcW w:w="0" w:type="auto"/>
                  <w:vAlign w:val="center"/>
                  <w:hideMark/>
                </w:tcPr>
                <w:p w14:paraId="287D9A77" w14:textId="77777777" w:rsidR="007B7CAE" w:rsidRPr="00815CFB" w:rsidRDefault="007B7CAE" w:rsidP="00D95016">
                  <w:pPr>
                    <w:spacing w:before="100" w:beforeAutospacing="1" w:after="100" w:afterAutospacing="1" w:line="360" w:lineRule="auto"/>
                    <w:rPr>
                      <w:rFonts w:ascii="Arial" w:hAnsi="Arial" w:cs="Arial"/>
                      <w:sz w:val="22"/>
                      <w:szCs w:val="22"/>
                    </w:rPr>
                  </w:pPr>
                  <w:proofErr w:type="spellStart"/>
                  <w:r w:rsidRPr="00815CFB">
                    <w:rPr>
                      <w:rFonts w:ascii="Arial" w:hAnsi="Arial" w:cs="Arial"/>
                      <w:sz w:val="22"/>
                      <w:szCs w:val="22"/>
                    </w:rPr>
                    <w:t>Alsararatee</w:t>
                  </w:r>
                  <w:proofErr w:type="spellEnd"/>
                  <w:r w:rsidRPr="00815CFB">
                    <w:rPr>
                      <w:rFonts w:ascii="Arial" w:hAnsi="Arial" w:cs="Arial"/>
                      <w:sz w:val="22"/>
                      <w:szCs w:val="22"/>
                    </w:rPr>
                    <w:t xml:space="preserve"> (2025)</w:t>
                  </w:r>
                </w:p>
              </w:tc>
              <w:tc>
                <w:tcPr>
                  <w:tcW w:w="0" w:type="auto"/>
                  <w:vAlign w:val="center"/>
                  <w:hideMark/>
                </w:tcPr>
                <w:p w14:paraId="759B7EF9"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Clinical uncertainty and practice variability</w:t>
                  </w:r>
                </w:p>
              </w:tc>
              <w:tc>
                <w:tcPr>
                  <w:tcW w:w="0" w:type="auto"/>
                  <w:vAlign w:val="center"/>
                  <w:hideMark/>
                </w:tcPr>
                <w:p w14:paraId="69631C0D"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Identifies lack of clear guidance leading to variability in glycaemic management at end of life.</w:t>
                  </w:r>
                </w:p>
              </w:tc>
              <w:tc>
                <w:tcPr>
                  <w:tcW w:w="0" w:type="auto"/>
                  <w:vAlign w:val="center"/>
                  <w:hideMark/>
                </w:tcPr>
                <w:p w14:paraId="1A3819D5"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Calls for evidence-based guidelines and training for non-specialist staff.</w:t>
                  </w:r>
                </w:p>
              </w:tc>
            </w:tr>
            <w:tr w:rsidR="007B7CAE" w:rsidRPr="00815CFB" w14:paraId="1358E318" w14:textId="77777777" w:rsidTr="00D66349">
              <w:trPr>
                <w:trHeight w:val="1311"/>
              </w:trPr>
              <w:tc>
                <w:tcPr>
                  <w:tcW w:w="0" w:type="auto"/>
                  <w:shd w:val="clear" w:color="auto" w:fill="F2F2F2"/>
                  <w:vAlign w:val="center"/>
                  <w:hideMark/>
                </w:tcPr>
                <w:p w14:paraId="43D8AD64"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Bain et al. (2020)</w:t>
                  </w:r>
                </w:p>
              </w:tc>
              <w:tc>
                <w:tcPr>
                  <w:tcW w:w="0" w:type="auto"/>
                  <w:shd w:val="clear" w:color="auto" w:fill="F2F2F2"/>
                  <w:vAlign w:val="center"/>
                  <w:hideMark/>
                </w:tcPr>
                <w:p w14:paraId="6A80B083"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Nursing practice and decision-making</w:t>
                  </w:r>
                </w:p>
              </w:tc>
              <w:tc>
                <w:tcPr>
                  <w:tcW w:w="0" w:type="auto"/>
                  <w:shd w:val="clear" w:color="auto" w:fill="F2F2F2"/>
                  <w:vAlign w:val="center"/>
                  <w:hideMark/>
                </w:tcPr>
                <w:p w14:paraId="660093F7"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Discusses ongoing assessment, medication administration, and communication challenges.</w:t>
                  </w:r>
                </w:p>
              </w:tc>
              <w:tc>
                <w:tcPr>
                  <w:tcW w:w="0" w:type="auto"/>
                  <w:shd w:val="clear" w:color="auto" w:fill="F2F2F2"/>
                  <w:vAlign w:val="center"/>
                  <w:hideMark/>
                </w:tcPr>
                <w:p w14:paraId="3F3946AB"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Recommends enhanced training and multidisciplinary collaboration.</w:t>
                  </w:r>
                </w:p>
              </w:tc>
            </w:tr>
            <w:tr w:rsidR="007B7CAE" w:rsidRPr="00815CFB" w14:paraId="4E405ED4" w14:textId="77777777" w:rsidTr="00D66349">
              <w:trPr>
                <w:trHeight w:val="1311"/>
              </w:trPr>
              <w:tc>
                <w:tcPr>
                  <w:tcW w:w="0" w:type="auto"/>
                  <w:vAlign w:val="center"/>
                  <w:hideMark/>
                </w:tcPr>
                <w:p w14:paraId="540CC272"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Sinclair et al. (2020)</w:t>
                  </w:r>
                </w:p>
              </w:tc>
              <w:tc>
                <w:tcPr>
                  <w:tcW w:w="0" w:type="auto"/>
                  <w:vAlign w:val="center"/>
                  <w:hideMark/>
                </w:tcPr>
                <w:p w14:paraId="088C6822"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Integrated care approaches</w:t>
                  </w:r>
                </w:p>
              </w:tc>
              <w:tc>
                <w:tcPr>
                  <w:tcW w:w="0" w:type="auto"/>
                  <w:vAlign w:val="center"/>
                  <w:hideMark/>
                </w:tcPr>
                <w:p w14:paraId="0D83963A"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Supports coordinated care planning across healthcare settings; identifies inequalities in specialist access.</w:t>
                  </w:r>
                </w:p>
              </w:tc>
              <w:tc>
                <w:tcPr>
                  <w:tcW w:w="0" w:type="auto"/>
                  <w:vAlign w:val="center"/>
                  <w:hideMark/>
                </w:tcPr>
                <w:p w14:paraId="0C26F98D"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Highlights need for improved access to specialist services and integrated care pathways.</w:t>
                  </w:r>
                </w:p>
              </w:tc>
            </w:tr>
            <w:tr w:rsidR="007B7CAE" w:rsidRPr="00815CFB" w14:paraId="504F5756" w14:textId="77777777" w:rsidTr="00815CFB">
              <w:trPr>
                <w:trHeight w:val="65"/>
              </w:trPr>
              <w:tc>
                <w:tcPr>
                  <w:tcW w:w="0" w:type="auto"/>
                  <w:shd w:val="clear" w:color="auto" w:fill="F2F2F2"/>
                  <w:vAlign w:val="center"/>
                  <w:hideMark/>
                </w:tcPr>
                <w:p w14:paraId="1682C53B"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Wilson et al. (2019)</w:t>
                  </w:r>
                </w:p>
              </w:tc>
              <w:tc>
                <w:tcPr>
                  <w:tcW w:w="0" w:type="auto"/>
                  <w:shd w:val="clear" w:color="auto" w:fill="F2F2F2"/>
                  <w:vAlign w:val="center"/>
                  <w:hideMark/>
                </w:tcPr>
                <w:p w14:paraId="31D53696"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Ethical dilemmas and emotional impact</w:t>
                  </w:r>
                </w:p>
              </w:tc>
              <w:tc>
                <w:tcPr>
                  <w:tcW w:w="0" w:type="auto"/>
                  <w:shd w:val="clear" w:color="auto" w:fill="F2F2F2"/>
                  <w:vAlign w:val="center"/>
                  <w:hideMark/>
                </w:tcPr>
                <w:p w14:paraId="5B9BDD46"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Examines family perceptions of withdrawing care and emotional challenges for nurses.</w:t>
                  </w:r>
                </w:p>
              </w:tc>
              <w:tc>
                <w:tcPr>
                  <w:tcW w:w="0" w:type="auto"/>
                  <w:shd w:val="clear" w:color="auto" w:fill="F2F2F2"/>
                  <w:vAlign w:val="center"/>
                  <w:hideMark/>
                </w:tcPr>
                <w:p w14:paraId="0584BCE5" w14:textId="77777777" w:rsidR="007B7CAE" w:rsidRPr="00815CFB" w:rsidRDefault="007B7CAE" w:rsidP="00D95016">
                  <w:pPr>
                    <w:spacing w:before="100" w:beforeAutospacing="1" w:after="100" w:afterAutospacing="1" w:line="360" w:lineRule="auto"/>
                    <w:rPr>
                      <w:rFonts w:ascii="Arial" w:hAnsi="Arial" w:cs="Arial"/>
                      <w:sz w:val="22"/>
                      <w:szCs w:val="22"/>
                    </w:rPr>
                  </w:pPr>
                  <w:r w:rsidRPr="00815CFB">
                    <w:rPr>
                      <w:rFonts w:ascii="Arial" w:hAnsi="Arial" w:cs="Arial"/>
                      <w:sz w:val="22"/>
                      <w:szCs w:val="22"/>
                    </w:rPr>
                    <w:t>Advocates for emotional support and clear communication strategies for staff.</w:t>
                  </w:r>
                </w:p>
              </w:tc>
            </w:tr>
          </w:tbl>
          <w:p w14:paraId="0ED65649" w14:textId="77777777" w:rsidR="007B7CAE" w:rsidRPr="00815CFB" w:rsidRDefault="007B7CAE" w:rsidP="00D95016">
            <w:pPr>
              <w:spacing w:line="360" w:lineRule="auto"/>
              <w:rPr>
                <w:rFonts w:ascii="Arial" w:hAnsi="Arial" w:cs="Arial"/>
                <w:sz w:val="22"/>
                <w:szCs w:val="22"/>
              </w:rPr>
            </w:pPr>
          </w:p>
        </w:tc>
      </w:tr>
      <w:tr w:rsidR="007B7CAE" w:rsidRPr="00815CFB" w14:paraId="5B54D724" w14:textId="77777777" w:rsidTr="00D66349">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9209" w:type="dxa"/>
          </w:tcPr>
          <w:p w14:paraId="053848FD" w14:textId="4BA20C6D" w:rsidR="007B7CAE" w:rsidRPr="00815CFB" w:rsidRDefault="007B7CAE" w:rsidP="00D95016">
            <w:pPr>
              <w:spacing w:line="360" w:lineRule="auto"/>
              <w:rPr>
                <w:rFonts w:ascii="Arial" w:hAnsi="Arial" w:cs="Arial"/>
                <w:b w:val="0"/>
                <w:bCs w:val="0"/>
                <w:sz w:val="22"/>
                <w:szCs w:val="22"/>
              </w:rPr>
            </w:pPr>
          </w:p>
        </w:tc>
      </w:tr>
    </w:tbl>
    <w:p w14:paraId="0904B894" w14:textId="77777777" w:rsidR="00D95680" w:rsidRDefault="00D95680" w:rsidP="00D95016">
      <w:pPr>
        <w:spacing w:line="360" w:lineRule="auto"/>
        <w:rPr>
          <w:rFonts w:ascii="Arial" w:hAnsi="Arial" w:cs="Arial"/>
          <w:b/>
          <w:bCs/>
          <w:color w:val="0D0D0D" w:themeColor="text1" w:themeTint="F2"/>
          <w:sz w:val="32"/>
          <w:szCs w:val="32"/>
          <w:u w:val="single"/>
        </w:rPr>
      </w:pPr>
    </w:p>
    <w:p w14:paraId="62E75A6F" w14:textId="3825463F" w:rsidR="005A30DF" w:rsidRPr="005A30DF" w:rsidRDefault="005A30DF" w:rsidP="00D95016">
      <w:pPr>
        <w:spacing w:line="360" w:lineRule="auto"/>
        <w:rPr>
          <w:rFonts w:ascii="Arial" w:hAnsi="Arial" w:cs="Arial"/>
          <w:b/>
          <w:bCs/>
          <w:color w:val="0D0D0D" w:themeColor="text1" w:themeTint="F2"/>
          <w:sz w:val="32"/>
          <w:szCs w:val="32"/>
          <w:u w:val="single"/>
        </w:rPr>
      </w:pPr>
      <w:r w:rsidRPr="005A30DF">
        <w:rPr>
          <w:rFonts w:ascii="Arial" w:hAnsi="Arial" w:cs="Arial"/>
          <w:b/>
          <w:bCs/>
          <w:color w:val="0D0D0D" w:themeColor="text1" w:themeTint="F2"/>
          <w:sz w:val="32"/>
          <w:szCs w:val="32"/>
          <w:u w:val="single"/>
        </w:rPr>
        <w:lastRenderedPageBreak/>
        <w:t>Discussion</w:t>
      </w:r>
    </w:p>
    <w:p w14:paraId="6085447D" w14:textId="77777777" w:rsidR="005A30DF" w:rsidRPr="005A30DF" w:rsidRDefault="005A30DF" w:rsidP="00D95016">
      <w:pPr>
        <w:spacing w:line="360" w:lineRule="auto"/>
        <w:rPr>
          <w:rFonts w:ascii="Arial" w:hAnsi="Arial" w:cs="Arial"/>
          <w:b/>
          <w:bCs/>
          <w:color w:val="0D0D0D" w:themeColor="text1" w:themeTint="F2"/>
          <w:sz w:val="22"/>
          <w:szCs w:val="22"/>
        </w:rPr>
      </w:pPr>
      <w:r w:rsidRPr="005A30DF">
        <w:rPr>
          <w:rFonts w:ascii="Arial" w:hAnsi="Arial" w:cs="Arial"/>
          <w:b/>
          <w:bCs/>
          <w:color w:val="0D0D0D" w:themeColor="text1" w:themeTint="F2"/>
          <w:sz w:val="22"/>
          <w:szCs w:val="22"/>
        </w:rPr>
        <w:t>Theme 1: Clinical Decision-Making in End-of-Life Diabetes Management</w:t>
      </w:r>
    </w:p>
    <w:p w14:paraId="067CC3A9" w14:textId="77777777" w:rsidR="00D95016" w:rsidRPr="00D95016" w:rsidRDefault="00D95016" w:rsidP="00D95016">
      <w:pPr>
        <w:spacing w:line="360" w:lineRule="auto"/>
        <w:rPr>
          <w:rFonts w:ascii="Arial" w:hAnsi="Arial" w:cs="Arial"/>
          <w:bCs/>
          <w:color w:val="0D0D0D"/>
          <w:sz w:val="22"/>
        </w:rPr>
      </w:pPr>
      <w:r w:rsidRPr="00D95016">
        <w:rPr>
          <w:rFonts w:ascii="Arial" w:hAnsi="Arial" w:cs="Arial"/>
          <w:bCs/>
          <w:color w:val="0D0D0D"/>
          <w:sz w:val="22"/>
        </w:rPr>
        <w:t>The scoping review identified the complexity inherent in clinical decision-making for diabetes management at the end of life as a principal theme. While conventional approaches to diabetes care emphasize stringent glycaemic control to mitigate long-term complications such as cardiovascular and renal disease, current literature demonstrates that these objectives may not be suitable for patients nearing end of life. At this stage, the emphasis appropriately shifts to patient comfort, symptom management, and overall quality of life (Dunning, 2020; Sinclair et al., 2020). Available evidence supports the adoption of simplified insulin regimens and less rigorous glycaemic targets to alleviate treatment burden while effectively preventing symptomatic hyperglycaemia and hypoglycaemia.</w:t>
      </w:r>
    </w:p>
    <w:p w14:paraId="10706AC0" w14:textId="77777777" w:rsidR="00D95016" w:rsidRPr="00D95016" w:rsidRDefault="00D95016" w:rsidP="00D95016">
      <w:pPr>
        <w:spacing w:line="360" w:lineRule="auto"/>
        <w:rPr>
          <w:rFonts w:ascii="Arial" w:hAnsi="Arial" w:cs="Arial"/>
          <w:bCs/>
          <w:color w:val="0D0D0D"/>
          <w:sz w:val="22"/>
        </w:rPr>
      </w:pPr>
      <w:r w:rsidRPr="00D95016">
        <w:rPr>
          <w:rFonts w:ascii="Arial" w:hAnsi="Arial" w:cs="Arial"/>
          <w:bCs/>
          <w:color w:val="0D0D0D"/>
          <w:sz w:val="22"/>
        </w:rPr>
        <w:t>A consistent finding throughout the literature is the necessity for flexible treatment protocols when addressing diabetes within palliative care frameworks. Multiple studies have noted that rigid compliance with disease-centric guidelines may be misaligned with palliative principles, which prioritize comfort and dignity for the patient (Maslen, 2019; James, 2019). Nurses are integral to the adaptive modification of care plans that respond to evolving patient priorities during end-of-life care. Nonetheless, the literature points to marked variation in practice across healthcare settings, indicating an absence of standardized guidance regarding optimal glycaemic targets in these contexts (Sinclair et al., 2020).</w:t>
      </w:r>
    </w:p>
    <w:p w14:paraId="204B4EEC" w14:textId="16762AB6" w:rsidR="005A30DF" w:rsidRPr="00D95016" w:rsidRDefault="00D95016" w:rsidP="00D95016">
      <w:pPr>
        <w:spacing w:line="360" w:lineRule="auto"/>
        <w:rPr>
          <w:rFonts w:ascii="Arial" w:hAnsi="Arial" w:cs="Arial"/>
          <w:bCs/>
          <w:color w:val="0D0D0D"/>
          <w:sz w:val="22"/>
        </w:rPr>
      </w:pPr>
      <w:r w:rsidRPr="00D95016">
        <w:rPr>
          <w:rFonts w:ascii="Arial" w:hAnsi="Arial" w:cs="Arial"/>
          <w:bCs/>
          <w:color w:val="0D0D0D"/>
          <w:sz w:val="22"/>
        </w:rPr>
        <w:t>Although there is consensus on the value of streamlined treatment strategies, a notable deficiency persists within the existing evidence base. Much of the published work comprises clinical reviews or expert opinion rather than robust, empirical outcome studies (Dunning, 2020; Maslen, 2019). As a result, quantitative data exploring the impact of revised glycaemic management on patient comfort, symptomatology, or quality of life in hospital environments remain limited. This gap underscores the pressing need for further research focused on patient-centred outcomes in end-of-life diabetes care.</w:t>
      </w:r>
    </w:p>
    <w:p w14:paraId="041F78D2" w14:textId="77777777" w:rsidR="005A30DF" w:rsidRPr="005A30DF" w:rsidRDefault="005A30DF" w:rsidP="00D95016">
      <w:pPr>
        <w:spacing w:line="360" w:lineRule="auto"/>
        <w:rPr>
          <w:rFonts w:ascii="Arial" w:hAnsi="Arial" w:cs="Arial"/>
          <w:b/>
          <w:bCs/>
          <w:color w:val="0D0D0D" w:themeColor="text1" w:themeTint="F2"/>
          <w:sz w:val="22"/>
          <w:szCs w:val="22"/>
        </w:rPr>
      </w:pPr>
      <w:r w:rsidRPr="005A30DF">
        <w:rPr>
          <w:rFonts w:ascii="Arial" w:hAnsi="Arial" w:cs="Arial"/>
          <w:b/>
          <w:bCs/>
          <w:color w:val="0D0D0D" w:themeColor="text1" w:themeTint="F2"/>
          <w:sz w:val="22"/>
          <w:szCs w:val="22"/>
        </w:rPr>
        <w:t>Theme 2: Communication and Relational Care</w:t>
      </w:r>
    </w:p>
    <w:p w14:paraId="68D24310" w14:textId="77777777" w:rsidR="00AC386A" w:rsidRPr="00AC386A" w:rsidRDefault="00AC386A" w:rsidP="00D95016">
      <w:pPr>
        <w:spacing w:line="360" w:lineRule="auto"/>
        <w:rPr>
          <w:rFonts w:ascii="Arial" w:hAnsi="Arial" w:cs="Arial"/>
          <w:bCs/>
          <w:color w:val="0D0D0D"/>
          <w:sz w:val="22"/>
        </w:rPr>
      </w:pPr>
      <w:r w:rsidRPr="00AC386A">
        <w:rPr>
          <w:rFonts w:ascii="Arial" w:hAnsi="Arial" w:cs="Arial"/>
          <w:bCs/>
          <w:color w:val="0D0D0D"/>
          <w:sz w:val="22"/>
        </w:rPr>
        <w:t>Research frequently underscores the importance of effective communication as a vital aspect of high-quality end-of-life care for people with diabetes. Nurses often serve as go-betweens among patients, families, and healthcare teams, enabling shared decision-making and assisting families in understanding why treatment plans might change (Maslen, 2019; Wilson et al., 2019). Compassionate dialogue is especially crucial during discussions about adjusting or discontinuing treatment, given that such changes can cause anxiety or uncertainty for families used to established management routines.</w:t>
      </w:r>
    </w:p>
    <w:p w14:paraId="4BAC5E77" w14:textId="1FF1AAAA" w:rsidR="00AC386A" w:rsidRPr="00AC386A" w:rsidRDefault="00AC386A" w:rsidP="00D95016">
      <w:pPr>
        <w:spacing w:line="360" w:lineRule="auto"/>
        <w:rPr>
          <w:rFonts w:ascii="Arial" w:hAnsi="Arial" w:cs="Arial"/>
          <w:bCs/>
          <w:color w:val="0D0D0D"/>
          <w:sz w:val="22"/>
        </w:rPr>
      </w:pPr>
      <w:r w:rsidRPr="00AC386A">
        <w:rPr>
          <w:rFonts w:ascii="Arial" w:hAnsi="Arial" w:cs="Arial"/>
          <w:bCs/>
          <w:color w:val="0D0D0D"/>
          <w:sz w:val="22"/>
        </w:rPr>
        <w:lastRenderedPageBreak/>
        <w:t>Studies also note that strong relationships in care promote patient-</w:t>
      </w:r>
      <w:r w:rsidR="00D95016" w:rsidRPr="00AC386A">
        <w:rPr>
          <w:rFonts w:ascii="Arial" w:hAnsi="Arial" w:cs="Arial"/>
          <w:bCs/>
          <w:color w:val="0D0D0D"/>
          <w:sz w:val="22"/>
        </w:rPr>
        <w:t>centred</w:t>
      </w:r>
      <w:r w:rsidRPr="00AC386A">
        <w:rPr>
          <w:rFonts w:ascii="Arial" w:hAnsi="Arial" w:cs="Arial"/>
          <w:bCs/>
          <w:color w:val="0D0D0D"/>
          <w:sz w:val="22"/>
        </w:rPr>
        <w:t xml:space="preserve"> decisions and improve experiences for both patients and their loved ones during end-of-life care. When nurses communicate openly and empathetically, they gain greater insight into what patients want, ensuring care plans match individual values and aims (Wilson et al., 2019). These findings are consistent with national health policy in the UK, which stresses shared decision-making and patient participation in planning end-of-life care (National Institute for Health and Care Excellence, 2015). National guidelines further highlight that care for those nearing the end of life should be responsive, coordinated, and tailored to fit each patient's and family's unique circumstances (National Institute for Health and Care Excellence, 2017).</w:t>
      </w:r>
    </w:p>
    <w:p w14:paraId="13FC0F4F" w14:textId="584BF12E" w:rsidR="005A30DF" w:rsidRPr="00AC386A" w:rsidRDefault="00AC386A" w:rsidP="00D95016">
      <w:pPr>
        <w:spacing w:line="360" w:lineRule="auto"/>
        <w:rPr>
          <w:rFonts w:ascii="Arial" w:hAnsi="Arial" w:cs="Arial"/>
          <w:bCs/>
          <w:color w:val="0D0D0D"/>
          <w:sz w:val="22"/>
        </w:rPr>
      </w:pPr>
      <w:r w:rsidRPr="00AC386A">
        <w:rPr>
          <w:rFonts w:ascii="Arial" w:hAnsi="Arial" w:cs="Arial"/>
          <w:bCs/>
          <w:color w:val="0D0D0D"/>
          <w:sz w:val="22"/>
        </w:rPr>
        <w:t>Despite these recommendations, research highlights obstacles to effective communication in hospitals, including heavy workloads, staff shortages, and limited time. These challenges can reduce the chances for nurses to have meaningful conversations with patients and their families (Bain et al., 2020; Wilson et al., 2019</w:t>
      </w:r>
      <w:r w:rsidR="00D95016" w:rsidRPr="00AC386A">
        <w:rPr>
          <w:rFonts w:ascii="Arial" w:hAnsi="Arial" w:cs="Arial"/>
          <w:bCs/>
          <w:color w:val="0D0D0D"/>
          <w:sz w:val="22"/>
        </w:rPr>
        <w:t>) and</w:t>
      </w:r>
      <w:r w:rsidRPr="00AC386A">
        <w:rPr>
          <w:rFonts w:ascii="Arial" w:hAnsi="Arial" w:cs="Arial"/>
          <w:bCs/>
          <w:color w:val="0D0D0D"/>
          <w:sz w:val="22"/>
        </w:rPr>
        <w:t xml:space="preserve"> may undermine relationship-based care. This underscores the need for healthcare systems to make communication a top priority for delivering high-quality end-of-life services.</w:t>
      </w:r>
    </w:p>
    <w:p w14:paraId="47E3FF7F" w14:textId="77777777" w:rsidR="005A30DF" w:rsidRPr="005A30DF" w:rsidRDefault="005A30DF" w:rsidP="00D95016">
      <w:pPr>
        <w:spacing w:line="360" w:lineRule="auto"/>
        <w:rPr>
          <w:rFonts w:ascii="Arial" w:hAnsi="Arial" w:cs="Arial"/>
          <w:b/>
          <w:bCs/>
          <w:color w:val="0D0D0D" w:themeColor="text1" w:themeTint="F2"/>
          <w:sz w:val="22"/>
          <w:szCs w:val="22"/>
        </w:rPr>
      </w:pPr>
      <w:r w:rsidRPr="005A30DF">
        <w:rPr>
          <w:rFonts w:ascii="Arial" w:hAnsi="Arial" w:cs="Arial"/>
          <w:b/>
          <w:bCs/>
          <w:color w:val="0D0D0D" w:themeColor="text1" w:themeTint="F2"/>
          <w:sz w:val="22"/>
          <w:szCs w:val="22"/>
        </w:rPr>
        <w:t>Theme 3: Education and Workforce Development</w:t>
      </w:r>
    </w:p>
    <w:p w14:paraId="3176BB71" w14:textId="77777777" w:rsidR="00AC386A" w:rsidRPr="00AC386A" w:rsidRDefault="00AC386A" w:rsidP="00D95016">
      <w:pPr>
        <w:spacing w:line="360" w:lineRule="auto"/>
        <w:rPr>
          <w:rFonts w:ascii="Arial" w:hAnsi="Arial" w:cs="Arial"/>
          <w:bCs/>
          <w:color w:val="0D0D0D"/>
          <w:sz w:val="22"/>
        </w:rPr>
      </w:pPr>
      <w:r w:rsidRPr="00AC386A">
        <w:rPr>
          <w:rFonts w:ascii="Arial" w:hAnsi="Arial" w:cs="Arial"/>
          <w:bCs/>
          <w:color w:val="0D0D0D"/>
          <w:sz w:val="22"/>
        </w:rPr>
        <w:t>Education and workforce development are crucial for improving diabetes management at end-of-life. Studies show hospital nurses often lack training in palliative diabetes care, leading to uncertainty and inconsistent practice (TREND-UK, 2021; Dunning, 2020).</w:t>
      </w:r>
    </w:p>
    <w:p w14:paraId="4EDCB169" w14:textId="77777777" w:rsidR="00AC386A" w:rsidRPr="00AC386A" w:rsidRDefault="00AC386A" w:rsidP="00D95016">
      <w:pPr>
        <w:spacing w:line="360" w:lineRule="auto"/>
        <w:rPr>
          <w:rFonts w:ascii="Arial" w:hAnsi="Arial" w:cs="Arial"/>
          <w:bCs/>
          <w:color w:val="0D0D0D"/>
          <w:sz w:val="22"/>
        </w:rPr>
      </w:pPr>
      <w:r w:rsidRPr="00AC386A">
        <w:rPr>
          <w:rFonts w:ascii="Arial" w:hAnsi="Arial" w:cs="Arial"/>
          <w:bCs/>
          <w:color w:val="0D0D0D"/>
          <w:sz w:val="22"/>
        </w:rPr>
        <w:t>Structured training and competency frameworks can boost nursing confidence and enhance clinical decision-making. Targeted educational programs on palliative diabetes, ethics, and communication help nurses tailor treatments for end-of-life needs (Dunning, 2020; Sinclair et al., 2020). Ongoing professional development aids evidence-based practice.</w:t>
      </w:r>
    </w:p>
    <w:p w14:paraId="09C10BC5" w14:textId="541F4667" w:rsidR="005A30DF" w:rsidRPr="00AC386A" w:rsidRDefault="00AC386A" w:rsidP="00D95016">
      <w:pPr>
        <w:spacing w:line="360" w:lineRule="auto"/>
        <w:rPr>
          <w:rFonts w:ascii="Arial" w:hAnsi="Arial" w:cs="Arial"/>
          <w:bCs/>
          <w:color w:val="0D0D0D"/>
          <w:sz w:val="22"/>
        </w:rPr>
      </w:pPr>
      <w:r w:rsidRPr="00AC386A">
        <w:rPr>
          <w:rFonts w:ascii="Arial" w:hAnsi="Arial" w:cs="Arial"/>
          <w:bCs/>
          <w:color w:val="0D0D0D"/>
          <w:sz w:val="22"/>
        </w:rPr>
        <w:t>Despite their importance, structured training for palliative diabetes management is limited, and competency framework implementation varies across organisations, causing care inequalities (TREND-UK, 2021). Closing these gaps is necessary to better prepare nurses for complex end-of-life situations.</w:t>
      </w:r>
    </w:p>
    <w:p w14:paraId="40EA2DCB" w14:textId="77777777" w:rsidR="00A3623F" w:rsidRPr="00D95016" w:rsidRDefault="00A3623F" w:rsidP="00D95016">
      <w:pPr>
        <w:spacing w:line="360" w:lineRule="auto"/>
        <w:rPr>
          <w:rFonts w:ascii="Arial" w:hAnsi="Arial" w:cs="Arial"/>
          <w:b/>
          <w:color w:val="0D0D0D"/>
          <w:sz w:val="22"/>
        </w:rPr>
      </w:pPr>
      <w:r w:rsidRPr="00D95016">
        <w:rPr>
          <w:rFonts w:ascii="Arial" w:hAnsi="Arial" w:cs="Arial"/>
          <w:b/>
          <w:color w:val="0D0D0D"/>
          <w:sz w:val="22"/>
        </w:rPr>
        <w:t>Theme 4: Organisational and System-Level Barriers</w:t>
      </w:r>
    </w:p>
    <w:p w14:paraId="1E3FD16C" w14:textId="77777777" w:rsidR="00AC386A" w:rsidRPr="00AC386A" w:rsidRDefault="00AC386A" w:rsidP="00D95016">
      <w:pPr>
        <w:spacing w:line="360" w:lineRule="auto"/>
        <w:rPr>
          <w:rFonts w:ascii="Arial" w:hAnsi="Arial" w:cs="Arial"/>
          <w:color w:val="0D0D0D"/>
          <w:sz w:val="22"/>
        </w:rPr>
      </w:pPr>
      <w:r w:rsidRPr="00AC386A">
        <w:rPr>
          <w:rFonts w:ascii="Arial" w:hAnsi="Arial" w:cs="Arial"/>
          <w:color w:val="0D0D0D"/>
          <w:sz w:val="22"/>
        </w:rPr>
        <w:t xml:space="preserve">Organisational factors consistently play a major role in shaping how diabetes care is provided at the end of life. Hospitals often face high patient turnover, staff shortages and heavy workloads, which can limit the time available for careful patient assessment and detailed care planning (Bain et al., 2020). These conditions make it especially difficult for nurses to deliver person-centred care that reflects palliative care values. Working together as a multidisciplinary team is widely regarded as essential for quality end-of-life care, helping </w:t>
      </w:r>
      <w:r w:rsidRPr="00AC386A">
        <w:rPr>
          <w:rFonts w:ascii="Arial" w:hAnsi="Arial" w:cs="Arial"/>
          <w:color w:val="0D0D0D"/>
          <w:sz w:val="22"/>
        </w:rPr>
        <w:lastRenderedPageBreak/>
        <w:t>nurses, doctors and specialists to coordinate decisions effectively (Royal College of Nursing, 2021).</w:t>
      </w:r>
    </w:p>
    <w:p w14:paraId="2A39750A" w14:textId="77777777" w:rsidR="00AC386A" w:rsidRPr="00AC386A" w:rsidRDefault="00AC386A" w:rsidP="00D95016">
      <w:pPr>
        <w:spacing w:line="360" w:lineRule="auto"/>
        <w:rPr>
          <w:rFonts w:ascii="Arial" w:hAnsi="Arial" w:cs="Arial"/>
          <w:color w:val="0D0D0D"/>
          <w:sz w:val="22"/>
        </w:rPr>
      </w:pPr>
      <w:r w:rsidRPr="00AC386A">
        <w:rPr>
          <w:rFonts w:ascii="Arial" w:hAnsi="Arial" w:cs="Arial"/>
          <w:color w:val="0D0D0D"/>
          <w:sz w:val="22"/>
        </w:rPr>
        <w:t>The literature highlights ongoing tensions between fixed clinical protocols and the need for flexible treatment approaches during end-of-life care. Many hospital guidelines focus on strict blood sugar targets to prevent long-term complications; however, these goals may not be appropriate for those approaching the end of life, when comfort and symptom control become the priority (Dunning, 2020; Sinclair et al., 2020). Nurses therefore may experience uncertainty when trying to balance disease-specific recommendations with palliative care practices.</w:t>
      </w:r>
    </w:p>
    <w:p w14:paraId="7D2AC5B6" w14:textId="6BC19FE1" w:rsidR="005A30DF" w:rsidRPr="00AC386A" w:rsidRDefault="00AC386A" w:rsidP="00D95016">
      <w:pPr>
        <w:spacing w:line="360" w:lineRule="auto"/>
        <w:rPr>
          <w:rFonts w:ascii="Arial" w:hAnsi="Arial" w:cs="Arial"/>
          <w:color w:val="0D0D0D"/>
          <w:sz w:val="22"/>
        </w:rPr>
      </w:pPr>
      <w:r w:rsidRPr="00AC386A">
        <w:rPr>
          <w:rFonts w:ascii="Arial" w:hAnsi="Arial" w:cs="Arial"/>
          <w:color w:val="0D0D0D"/>
          <w:sz w:val="22"/>
        </w:rPr>
        <w:t>The availability of specialist support services is also flagged as an important organisational influence in the research. Diabetes specialist nurses and palliative care teams offer vital knowledge that guides clinical decision-making and helps coordinate patient care (Sinclair et al., 2020). However, differences in access to these services across health settings can lead to gaps in care and challenges for nurses working without specialised input (Bain et al., 2020).</w:t>
      </w:r>
    </w:p>
    <w:p w14:paraId="5270C07C" w14:textId="77777777" w:rsidR="00155FB1" w:rsidRPr="00155FB1" w:rsidRDefault="00155FB1" w:rsidP="00D95016">
      <w:pPr>
        <w:spacing w:line="360" w:lineRule="auto"/>
        <w:rPr>
          <w:rFonts w:ascii="Arial" w:hAnsi="Arial" w:cs="Arial"/>
          <w:b/>
          <w:color w:val="0D0D0D"/>
          <w:sz w:val="22"/>
        </w:rPr>
      </w:pPr>
      <w:r w:rsidRPr="00155FB1">
        <w:rPr>
          <w:rFonts w:ascii="Arial" w:hAnsi="Arial" w:cs="Arial"/>
          <w:b/>
          <w:color w:val="0D0D0D"/>
          <w:sz w:val="22"/>
        </w:rPr>
        <w:t>Theme 5: Psychological and Emotional Impact on Nursing Staff</w:t>
      </w:r>
    </w:p>
    <w:p w14:paraId="3E804FDC" w14:textId="77777777" w:rsidR="00155FB1" w:rsidRPr="00155FB1" w:rsidRDefault="00155FB1" w:rsidP="00D95016">
      <w:pPr>
        <w:spacing w:line="360" w:lineRule="auto"/>
        <w:rPr>
          <w:rFonts w:ascii="Arial" w:hAnsi="Arial" w:cs="Arial"/>
          <w:bCs/>
          <w:color w:val="0D0D0D"/>
          <w:sz w:val="22"/>
        </w:rPr>
      </w:pPr>
      <w:r w:rsidRPr="00155FB1">
        <w:rPr>
          <w:rFonts w:ascii="Arial" w:hAnsi="Arial" w:cs="Arial"/>
          <w:bCs/>
          <w:color w:val="0D0D0D"/>
          <w:sz w:val="22"/>
        </w:rPr>
        <w:t>The concluding theme identified in this review concerns the psychological and emotional effects experienced by nursing staff during end-of-life care. Nurses working with patients who have diabetes in palliative settings frequently encounter complex and emotionally demanding situations, especially when required to modify or discontinue established treatment protocols. These circumstances may lead to emotional distress, particularly if nurses are apprehensive about the implications of adjusting care plans (Wilson et al., 2019).</w:t>
      </w:r>
    </w:p>
    <w:p w14:paraId="5A9BDD5D" w14:textId="77777777" w:rsidR="00155FB1" w:rsidRPr="00155FB1" w:rsidRDefault="00155FB1" w:rsidP="00D95016">
      <w:pPr>
        <w:spacing w:line="360" w:lineRule="auto"/>
        <w:rPr>
          <w:rFonts w:ascii="Arial" w:hAnsi="Arial" w:cs="Arial"/>
          <w:bCs/>
          <w:color w:val="0D0D0D"/>
          <w:sz w:val="22"/>
        </w:rPr>
      </w:pPr>
      <w:r w:rsidRPr="00155FB1">
        <w:rPr>
          <w:rFonts w:ascii="Arial" w:hAnsi="Arial" w:cs="Arial"/>
          <w:bCs/>
          <w:color w:val="0D0D0D"/>
          <w:sz w:val="22"/>
        </w:rPr>
        <w:t>The emotional demands inherent to end-of-life care are well documented within nursing literature. Nurses often establish meaningful relationships with patients and their families, which can intensify the emotional challenges associated with providing support during the final stages of life (Wilson et al., 2019). Delivering compassionate care while balancing intricate clinical decisions necessitates both emotional resilience and robust professional support structures.</w:t>
      </w:r>
    </w:p>
    <w:p w14:paraId="586B78A3" w14:textId="71B22755" w:rsidR="00CA472F" w:rsidRPr="00155FB1" w:rsidRDefault="00155FB1" w:rsidP="00D95016">
      <w:pPr>
        <w:spacing w:line="360" w:lineRule="auto"/>
        <w:rPr>
          <w:rFonts w:ascii="Arial" w:hAnsi="Arial" w:cs="Arial"/>
          <w:color w:val="0D0D0D"/>
          <w:sz w:val="22"/>
        </w:rPr>
      </w:pPr>
      <w:r w:rsidRPr="00155FB1">
        <w:rPr>
          <w:rFonts w:ascii="Arial" w:hAnsi="Arial" w:cs="Arial"/>
          <w:color w:val="0D0D0D"/>
          <w:sz w:val="22"/>
        </w:rPr>
        <w:t xml:space="preserve">Organisational factors can exacerbate emotional strain among nursing staff. Constraints such as time pressure and workforce shortages may reduce opportunities for reflection and emotional support, thereby increasing the risk of moral distress and professional burnout (Bain et al., 2020). The literature underscores the significance of organisational measures designed to promote staff wellbeing, including reflective practice sessions, clinical </w:t>
      </w:r>
      <w:r w:rsidRPr="00155FB1">
        <w:rPr>
          <w:rFonts w:ascii="Arial" w:hAnsi="Arial" w:cs="Arial"/>
          <w:color w:val="0D0D0D"/>
          <w:sz w:val="22"/>
        </w:rPr>
        <w:lastRenderedPageBreak/>
        <w:t>supervision, and targeted training in ethical decision-making and palliative communication (TREND-UK, 2021).</w:t>
      </w:r>
    </w:p>
    <w:p w14:paraId="7A357CF6" w14:textId="77777777" w:rsidR="00A550C5" w:rsidRPr="00A550C5" w:rsidRDefault="00A550C5" w:rsidP="00D95016">
      <w:pPr>
        <w:spacing w:line="360" w:lineRule="auto"/>
        <w:rPr>
          <w:rFonts w:ascii="Arial" w:hAnsi="Arial" w:cs="Arial"/>
          <w:color w:val="0D0D0D" w:themeColor="text1" w:themeTint="F2"/>
          <w:sz w:val="22"/>
          <w:szCs w:val="22"/>
        </w:rPr>
      </w:pPr>
    </w:p>
    <w:p w14:paraId="7ED2FC6F" w14:textId="77777777" w:rsidR="00275704" w:rsidRPr="00D95016" w:rsidRDefault="00275704" w:rsidP="00D95016">
      <w:pPr>
        <w:spacing w:line="360" w:lineRule="auto"/>
        <w:rPr>
          <w:rFonts w:ascii="Arial" w:hAnsi="Arial" w:cs="Arial"/>
          <w:b/>
          <w:color w:val="0D0D0D"/>
          <w:sz w:val="32"/>
          <w:szCs w:val="32"/>
          <w:u w:val="single"/>
        </w:rPr>
      </w:pPr>
      <w:r w:rsidRPr="00D95016">
        <w:rPr>
          <w:rFonts w:ascii="Arial" w:hAnsi="Arial" w:cs="Arial"/>
          <w:b/>
          <w:color w:val="0D0D0D"/>
          <w:sz w:val="32"/>
          <w:szCs w:val="32"/>
          <w:u w:val="single"/>
        </w:rPr>
        <w:t>Critical Analysis of the Evidence Base</w:t>
      </w:r>
    </w:p>
    <w:p w14:paraId="34B507D5" w14:textId="77777777" w:rsidR="00155FB1" w:rsidRPr="00155FB1" w:rsidRDefault="00155FB1" w:rsidP="00D95016">
      <w:pPr>
        <w:spacing w:line="360" w:lineRule="auto"/>
        <w:rPr>
          <w:rFonts w:ascii="Arial" w:hAnsi="Arial" w:cs="Arial"/>
          <w:bCs/>
          <w:color w:val="0D0D0D"/>
          <w:sz w:val="22"/>
        </w:rPr>
      </w:pPr>
      <w:r w:rsidRPr="00155FB1">
        <w:rPr>
          <w:rFonts w:ascii="Arial" w:hAnsi="Arial" w:cs="Arial"/>
          <w:bCs/>
          <w:color w:val="0D0D0D"/>
          <w:sz w:val="22"/>
        </w:rPr>
        <w:t>The reviewed studies offer valuable perspectives on diabetes management at the end of life, but several methodological limitations should be noted. Much of the literature is qualitative or based on expert opinion, lacking robust quantitative evidence about patient outcomes or clinical effectiveness (Aveyard, 2014; Sinclair et al., 2020). The current evidence is insufficient to determine which strategies best improve comfort, symptom control, or quality of life during terminal stages.</w:t>
      </w:r>
    </w:p>
    <w:p w14:paraId="2CC50483" w14:textId="77777777" w:rsidR="00155FB1" w:rsidRPr="00155FB1" w:rsidRDefault="00155FB1" w:rsidP="00D95016">
      <w:pPr>
        <w:spacing w:line="360" w:lineRule="auto"/>
        <w:rPr>
          <w:rFonts w:ascii="Arial" w:hAnsi="Arial" w:cs="Arial"/>
          <w:bCs/>
          <w:color w:val="0D0D0D"/>
          <w:sz w:val="22"/>
        </w:rPr>
      </w:pPr>
      <w:r w:rsidRPr="00155FB1">
        <w:rPr>
          <w:rFonts w:ascii="Arial" w:hAnsi="Arial" w:cs="Arial"/>
          <w:bCs/>
          <w:color w:val="0D0D0D"/>
          <w:sz w:val="22"/>
        </w:rPr>
        <w:t>Many studies focus on specific healthcare environments, limiting generalisability. Differences in organisation, staffing, and access to specialist resources can affect diabetes care delivery (Bain et al., 2020), so individual experiences may not represent broader UK healthcare contexts. Broader research across multiple settings is needed for comprehensive insights into end-of-life diabetes management.</w:t>
      </w:r>
    </w:p>
    <w:p w14:paraId="6A6D915F" w14:textId="77777777" w:rsidR="00155FB1" w:rsidRPr="00155FB1" w:rsidRDefault="00155FB1" w:rsidP="00D95016">
      <w:pPr>
        <w:spacing w:line="360" w:lineRule="auto"/>
        <w:rPr>
          <w:rFonts w:ascii="Arial" w:hAnsi="Arial" w:cs="Arial"/>
          <w:bCs/>
          <w:color w:val="0D0D0D"/>
          <w:sz w:val="22"/>
        </w:rPr>
      </w:pPr>
      <w:r w:rsidRPr="00155FB1">
        <w:rPr>
          <w:rFonts w:ascii="Arial" w:hAnsi="Arial" w:cs="Arial"/>
          <w:bCs/>
          <w:color w:val="0D0D0D"/>
          <w:sz w:val="22"/>
        </w:rPr>
        <w:t>Inconsistencies exist in clinical guidance on glycaemic targets for patients nearing the end of life. Recommendations suggest simplifying treatment and monitoring, yet there is no clear consensus on optimal parameters in palliative settings (Dunning, 2020; Maslen, 2019), leading to uncertainty and variation among practitioners.</w:t>
      </w:r>
    </w:p>
    <w:p w14:paraId="193453C5" w14:textId="50AF26BA" w:rsidR="009055C0" w:rsidRPr="00155FB1" w:rsidRDefault="00155FB1" w:rsidP="00D95016">
      <w:pPr>
        <w:spacing w:line="360" w:lineRule="auto"/>
        <w:rPr>
          <w:rFonts w:ascii="Arial" w:hAnsi="Arial" w:cs="Arial"/>
          <w:bCs/>
          <w:color w:val="0D0D0D"/>
          <w:sz w:val="22"/>
        </w:rPr>
      </w:pPr>
      <w:r w:rsidRPr="00155FB1">
        <w:rPr>
          <w:rFonts w:ascii="Arial" w:hAnsi="Arial" w:cs="Arial"/>
          <w:bCs/>
          <w:color w:val="0D0D0D"/>
          <w:sz w:val="22"/>
        </w:rPr>
        <w:t>Despite these limitations, the literature highlights important clinical, ethical, and organisational factors influencing end-of-life diabetes management. It underscores the need for flexible treatment, clear communication, and teamwork for patient-centred care (Sinclair et al., 2020). This scoping review identifies both strengths and gaps, advancing understanding and pointing to areas needing further research and policy development.</w:t>
      </w:r>
    </w:p>
    <w:p w14:paraId="555780D3" w14:textId="77777777" w:rsidR="009055C0" w:rsidRPr="00815CFB" w:rsidRDefault="009055C0" w:rsidP="00D95016">
      <w:pPr>
        <w:spacing w:line="360" w:lineRule="auto"/>
        <w:rPr>
          <w:rFonts w:ascii="Arial" w:hAnsi="Arial" w:cs="Arial"/>
          <w:b/>
          <w:bCs/>
          <w:color w:val="0D0D0D" w:themeColor="text1" w:themeTint="F2"/>
          <w:sz w:val="22"/>
          <w:szCs w:val="22"/>
          <w:u w:val="single"/>
        </w:rPr>
      </w:pPr>
    </w:p>
    <w:p w14:paraId="395E5822" w14:textId="77777777" w:rsidR="00847A66" w:rsidRPr="00D95016" w:rsidRDefault="00847A66" w:rsidP="00D95016">
      <w:pPr>
        <w:spacing w:line="360" w:lineRule="auto"/>
        <w:rPr>
          <w:rFonts w:ascii="Arial" w:hAnsi="Arial" w:cs="Arial"/>
          <w:b/>
          <w:color w:val="000000"/>
          <w:sz w:val="32"/>
          <w:szCs w:val="32"/>
          <w:u w:val="single"/>
        </w:rPr>
      </w:pPr>
      <w:r w:rsidRPr="00D95016">
        <w:rPr>
          <w:rFonts w:ascii="Arial" w:hAnsi="Arial" w:cs="Arial"/>
          <w:b/>
          <w:color w:val="000000"/>
          <w:sz w:val="32"/>
          <w:szCs w:val="32"/>
          <w:u w:val="single"/>
        </w:rPr>
        <w:t>Limitations</w:t>
      </w:r>
    </w:p>
    <w:p w14:paraId="3D2CFECF" w14:textId="77777777" w:rsidR="00785310" w:rsidRDefault="00C919F8" w:rsidP="00D95016">
      <w:pPr>
        <w:spacing w:line="360" w:lineRule="auto"/>
        <w:rPr>
          <w:kern w:val="0"/>
          <w14:ligatures w14:val="none"/>
        </w:rPr>
      </w:pPr>
      <w:r>
        <w:rPr>
          <w:rFonts w:ascii="Arial" w:hAnsi="Arial" w:cs="Arial"/>
          <w:color w:val="000000"/>
          <w:sz w:val="22"/>
          <w:szCs w:val="22"/>
        </w:rPr>
        <w:t xml:space="preserve">This scoping review systematically examines adult nursing care for diabetes at the end of life in UK hospitals, but several limitations exist. The evidence base is small, with few peer-reviewed studies directly addressing ward-based practice and most sources comprising clinical reviews or expert guidance rather than empirical research, limiting conclusions about patient outcomes (Aveyard, 2014; Sinclair et al., 2020). Qualitative methodologies dominate, offering valuable professional insights but lacking quantitative data on clinical effectiveness, </w:t>
      </w:r>
      <w:r>
        <w:rPr>
          <w:rFonts w:ascii="Arial" w:hAnsi="Arial" w:cs="Arial"/>
          <w:color w:val="000000"/>
          <w:sz w:val="22"/>
          <w:szCs w:val="22"/>
        </w:rPr>
        <w:lastRenderedPageBreak/>
        <w:t>such as glycaemic regimens’ impact on symptoms or hospital stay (Aveyard, 2014; Sinclair et al., 2020). The review focuses mainly on recent publications, possibly overlooking foundational work and international perspectives by restricting to English-language studies. Scoping reviews also do not formally assess study quality or bias, so findings are exploratory. Lastly, UK-specific context supports relevance but limits generalisability; NHS staffing and acuity pressures may differ from those elsewhere (Bain et al., 2020). Despite these constraints, the review highlights significant clinical, ethical, and organisational challenges for nurses and suggests areas for further research and policy development (Dunning, 2020; TREND-UK, 2021; Maslen, 2019; Diabetes UK, 2024).</w:t>
      </w:r>
    </w:p>
    <w:p w14:paraId="333D1F4D" w14:textId="77777777" w:rsidR="00275704" w:rsidRDefault="00275704" w:rsidP="00D95016">
      <w:pPr>
        <w:spacing w:line="360" w:lineRule="auto"/>
        <w:rPr>
          <w:rFonts w:ascii="Arial" w:hAnsi="Arial" w:cs="Arial"/>
          <w:b/>
          <w:bCs/>
          <w:sz w:val="32"/>
          <w:szCs w:val="32"/>
          <w:u w:val="single"/>
        </w:rPr>
      </w:pPr>
    </w:p>
    <w:p w14:paraId="759BEB5B" w14:textId="72F41F26" w:rsidR="00EF5737" w:rsidRPr="00EF5737" w:rsidRDefault="00EF5737" w:rsidP="00D95016">
      <w:pPr>
        <w:spacing w:line="360" w:lineRule="auto"/>
        <w:rPr>
          <w:rFonts w:ascii="Arial" w:hAnsi="Arial" w:cs="Arial"/>
          <w:b/>
          <w:bCs/>
          <w:sz w:val="32"/>
          <w:szCs w:val="32"/>
          <w:u w:val="single"/>
        </w:rPr>
      </w:pPr>
      <w:r w:rsidRPr="00EF5737">
        <w:rPr>
          <w:rFonts w:ascii="Arial" w:hAnsi="Arial" w:cs="Arial"/>
          <w:b/>
          <w:bCs/>
          <w:sz w:val="32"/>
          <w:szCs w:val="32"/>
          <w:u w:val="single"/>
        </w:rPr>
        <w:t>Conclusion</w:t>
      </w:r>
    </w:p>
    <w:p w14:paraId="6A4EE5B1" w14:textId="77777777" w:rsidR="00155FB1" w:rsidRDefault="00155FB1" w:rsidP="00D95016">
      <w:pPr>
        <w:spacing w:line="360" w:lineRule="auto"/>
        <w:rPr>
          <w:rFonts w:ascii="Arial" w:hAnsi="Arial" w:cs="Arial"/>
          <w:color w:val="000000"/>
          <w:sz w:val="22"/>
        </w:rPr>
      </w:pPr>
      <w:r w:rsidRPr="00155FB1">
        <w:rPr>
          <w:rFonts w:ascii="Arial" w:hAnsi="Arial" w:cs="Arial"/>
          <w:color w:val="000000"/>
          <w:sz w:val="22"/>
        </w:rPr>
        <w:t>This scoping review investigated the evidence around the challenges and best practices in adult nursing care for people with diabetes approaching the end of life in UK hospital settings. Its goals were to highlight peer-reviewed research, examine clinical and organisational issues faced by nurses, and identify evidence-based methods for delivering person-centred, dignified care. Findings show that while there is growing awareness about adjusting diabetes management in palliative situations, significant barriers still prevent this knowledge from consistently influencing hospital practice (Sinclair et al., 2020; Aveyard, 2014).</w:t>
      </w:r>
    </w:p>
    <w:p w14:paraId="7A0FE147" w14:textId="77777777" w:rsidR="00155FB1" w:rsidRDefault="00155FB1" w:rsidP="00D95016">
      <w:pPr>
        <w:spacing w:line="360" w:lineRule="auto"/>
        <w:rPr>
          <w:rFonts w:ascii="Arial" w:hAnsi="Arial" w:cs="Arial"/>
          <w:color w:val="000000"/>
          <w:sz w:val="22"/>
        </w:rPr>
      </w:pPr>
      <w:r w:rsidRPr="00155FB1">
        <w:rPr>
          <w:rFonts w:ascii="Arial" w:hAnsi="Arial" w:cs="Arial"/>
          <w:color w:val="000000"/>
          <w:sz w:val="22"/>
        </w:rPr>
        <w:t>A major finding is the clinical uncertainty that nurses face when caring for diabetic patients at the end of life. Traditional care emphasises strict blood sugar control to avoid long-term problems, but this may not suit patients nearing the end of life, where comfort and quality of life are the key concerns. Research supports simpler treatment plans, relaxed glucose targets, and less frequent monitoring to reduce the treatment burden and avoid distressing symptoms (Dunning, 2020; Maslen, 2019).</w:t>
      </w:r>
    </w:p>
    <w:p w14:paraId="6F604E04" w14:textId="77777777" w:rsidR="00155FB1" w:rsidRDefault="00155FB1" w:rsidP="00D95016">
      <w:pPr>
        <w:spacing w:line="360" w:lineRule="auto"/>
        <w:rPr>
          <w:rFonts w:ascii="Arial" w:hAnsi="Arial" w:cs="Arial"/>
          <w:color w:val="000000"/>
          <w:sz w:val="22"/>
        </w:rPr>
      </w:pPr>
      <w:r w:rsidRPr="00155FB1">
        <w:rPr>
          <w:rFonts w:ascii="Arial" w:hAnsi="Arial" w:cs="Arial"/>
          <w:color w:val="000000"/>
          <w:sz w:val="22"/>
        </w:rPr>
        <w:t>The review also uncovered ethical and emotional challenges for nurses working in palliative diabetes care. Changing or stopping treatments like insulin can raise worries about professional responsibility, patient choice, and family expectations. Nurses often serve as go-betweens among patients, families, and medical teams, handling sensitive conversations and complex decisions. This highlights the emotional demands of end-of-life care and the need for resilience and ethical skills among nursing staff (Wilson et al., 2019; Bain et al., 2020).</w:t>
      </w:r>
    </w:p>
    <w:p w14:paraId="2ECB5666" w14:textId="77777777" w:rsidR="00155FB1" w:rsidRDefault="00155FB1" w:rsidP="00D95016">
      <w:pPr>
        <w:spacing w:line="360" w:lineRule="auto"/>
        <w:rPr>
          <w:rFonts w:ascii="Arial" w:hAnsi="Arial" w:cs="Arial"/>
          <w:color w:val="000000"/>
          <w:sz w:val="22"/>
        </w:rPr>
      </w:pPr>
      <w:r w:rsidRPr="00155FB1">
        <w:rPr>
          <w:rFonts w:ascii="Arial" w:hAnsi="Arial" w:cs="Arial"/>
          <w:color w:val="000000"/>
          <w:sz w:val="22"/>
        </w:rPr>
        <w:lastRenderedPageBreak/>
        <w:t>Effective communication is crucial for quality end-of-life diabetes care. Compassionate dialogue helps patients and families understand why treatment changes are being made and encourages shared decisions in the final stages. But factors like heavy workloads, lack of staff, and limited time can hinder meaningful communication in hospitals (Maslen, 2019; Bain et al., 2020).</w:t>
      </w:r>
    </w:p>
    <w:p w14:paraId="1C2278A6" w14:textId="1C7F5283" w:rsidR="00155FB1" w:rsidRDefault="00155FB1" w:rsidP="00D95016">
      <w:pPr>
        <w:spacing w:line="360" w:lineRule="auto"/>
        <w:rPr>
          <w:rFonts w:ascii="Arial" w:hAnsi="Arial" w:cs="Arial"/>
          <w:color w:val="000000"/>
          <w:sz w:val="22"/>
        </w:rPr>
      </w:pPr>
      <w:r w:rsidRPr="00155FB1">
        <w:rPr>
          <w:rFonts w:ascii="Arial" w:hAnsi="Arial" w:cs="Arial"/>
          <w:color w:val="000000"/>
          <w:sz w:val="22"/>
        </w:rPr>
        <w:t>Education and workforce development also play important roles in better practice. Training and competency frameworks in palliative diabetes care can boost nurses' knowledge, confidence, and decision-making. Yet education alone cannot solve all the complexities of managing diabetes at the end of life. Organisational backing, strong leadership, and specialist advice are equally necessary for nurses to provide person-focused care (TREND-UK, 2021; Sinclair et al., 2020).</w:t>
      </w:r>
    </w:p>
    <w:p w14:paraId="2B64C86F" w14:textId="4910949F" w:rsidR="00EF5737" w:rsidRPr="00155FB1" w:rsidRDefault="00155FB1" w:rsidP="00D95016">
      <w:pPr>
        <w:spacing w:line="360" w:lineRule="auto"/>
        <w:rPr>
          <w:rFonts w:ascii="Arial" w:hAnsi="Arial" w:cs="Arial"/>
          <w:color w:val="000000"/>
          <w:sz w:val="22"/>
        </w:rPr>
      </w:pPr>
      <w:r w:rsidRPr="00155FB1">
        <w:rPr>
          <w:rFonts w:ascii="Arial" w:hAnsi="Arial" w:cs="Arial"/>
          <w:color w:val="000000"/>
          <w:sz w:val="22"/>
        </w:rPr>
        <w:t>In summary, this review shows how clinical, ethical, and organisational factors combine to shape diabetes care at the end of life. Overcoming these challenges is vital for improving the care of people with diabetes nearing the end of life in UK hospitals, especially given the rising number of cases and increased demand for high-quality end-of-life care in the UK healthcare system (Diabetes UK, 2024; National Institute for Health and Care Excellence, 2015).</w:t>
      </w:r>
    </w:p>
    <w:p w14:paraId="2EC2BA4E" w14:textId="77777777" w:rsidR="00D95016" w:rsidRDefault="00D95016" w:rsidP="00D95016">
      <w:pPr>
        <w:spacing w:line="360" w:lineRule="auto"/>
        <w:rPr>
          <w:rFonts w:ascii="Arial" w:hAnsi="Arial" w:cs="Arial"/>
          <w:b/>
          <w:bCs/>
          <w:sz w:val="22"/>
          <w:szCs w:val="22"/>
          <w:u w:val="single"/>
        </w:rPr>
      </w:pPr>
    </w:p>
    <w:p w14:paraId="4D6DF997" w14:textId="45D59BB1" w:rsidR="006F14B0" w:rsidRPr="006F14B0" w:rsidRDefault="006F14B0" w:rsidP="00D95016">
      <w:pPr>
        <w:spacing w:line="360" w:lineRule="auto"/>
        <w:rPr>
          <w:rFonts w:ascii="Arial" w:hAnsi="Arial" w:cs="Arial"/>
          <w:color w:val="000000"/>
          <w:sz w:val="22"/>
        </w:rPr>
      </w:pPr>
      <w:r w:rsidRPr="006F14B0">
        <w:rPr>
          <w:rFonts w:ascii="Arial" w:hAnsi="Arial" w:cs="Arial"/>
          <w:b/>
          <w:bCs/>
          <w:sz w:val="32"/>
          <w:szCs w:val="32"/>
          <w:u w:val="single"/>
        </w:rPr>
        <w:t>Recommendations for Future Research</w:t>
      </w:r>
    </w:p>
    <w:p w14:paraId="5EA55390" w14:textId="3AC8B5AE" w:rsidR="006F14B0" w:rsidRPr="006F14B0" w:rsidRDefault="005445A7" w:rsidP="00D95016">
      <w:pPr>
        <w:spacing w:line="360" w:lineRule="auto"/>
      </w:pPr>
      <w:r w:rsidRPr="005445A7">
        <w:rPr>
          <w:rFonts w:ascii="Arial" w:hAnsi="Arial" w:cs="Arial"/>
          <w:color w:val="000000"/>
          <w:sz w:val="22"/>
        </w:rPr>
        <w:t>This review identifies gaps in evidence regarding end-of-life diabetes management and recommends further research targeting patient-</w:t>
      </w:r>
      <w:r w:rsidR="00155FB1" w:rsidRPr="005445A7">
        <w:rPr>
          <w:rFonts w:ascii="Arial" w:hAnsi="Arial" w:cs="Arial"/>
          <w:color w:val="000000"/>
          <w:sz w:val="22"/>
        </w:rPr>
        <w:t>centre</w:t>
      </w:r>
      <w:r w:rsidR="00155FB1">
        <w:rPr>
          <w:rFonts w:ascii="Arial" w:hAnsi="Arial" w:cs="Arial"/>
          <w:color w:val="000000"/>
          <w:sz w:val="22"/>
        </w:rPr>
        <w:t xml:space="preserve">d </w:t>
      </w:r>
      <w:r w:rsidRPr="005445A7">
        <w:rPr>
          <w:rFonts w:ascii="Arial" w:hAnsi="Arial" w:cs="Arial"/>
          <w:color w:val="000000"/>
          <w:sz w:val="22"/>
        </w:rPr>
        <w:t>outcomes like symptom burden, comfort, and family satisfaction (Aveyard, 2014; Sinclair et al., 2020). Studies within UK hospitals could clarify how organizational factors affect care delivery, while exploring nurses’, patients’, and families’ perspectives may reveal challenges to person-</w:t>
      </w:r>
      <w:r w:rsidR="00155FB1" w:rsidRPr="005445A7">
        <w:rPr>
          <w:rFonts w:ascii="Arial" w:hAnsi="Arial" w:cs="Arial"/>
          <w:color w:val="000000"/>
          <w:sz w:val="22"/>
        </w:rPr>
        <w:t>centred</w:t>
      </w:r>
      <w:r w:rsidRPr="005445A7">
        <w:rPr>
          <w:rFonts w:ascii="Arial" w:hAnsi="Arial" w:cs="Arial"/>
          <w:color w:val="000000"/>
          <w:sz w:val="22"/>
        </w:rPr>
        <w:t xml:space="preserve"> practices (Bain et al., 2020; Wilson et al., 2019). Additional investigation into educational interventions and support strategies for nursing staff is needed, as training and organizational backing can influence clinical decisions and enhance palliative care quality (TREND-UK, 2021; Sinclair et al., 2020).</w:t>
      </w:r>
    </w:p>
    <w:p w14:paraId="06AE82AB" w14:textId="77777777" w:rsidR="00801EE9" w:rsidRDefault="00801EE9" w:rsidP="00D95016">
      <w:pPr>
        <w:spacing w:line="360" w:lineRule="auto"/>
        <w:rPr>
          <w:rFonts w:ascii="Arial" w:hAnsi="Arial" w:cs="Arial"/>
          <w:sz w:val="22"/>
          <w:szCs w:val="22"/>
        </w:rPr>
      </w:pPr>
    </w:p>
    <w:p w14:paraId="3D5FA13C" w14:textId="77777777" w:rsidR="00801EE9" w:rsidRDefault="00801EE9" w:rsidP="00D95016">
      <w:pPr>
        <w:spacing w:line="360" w:lineRule="auto"/>
        <w:rPr>
          <w:rFonts w:ascii="Arial" w:hAnsi="Arial" w:cs="Arial"/>
          <w:sz w:val="22"/>
          <w:szCs w:val="22"/>
        </w:rPr>
      </w:pPr>
    </w:p>
    <w:p w14:paraId="182D4BAF" w14:textId="77777777" w:rsidR="00801EE9" w:rsidRDefault="00801EE9" w:rsidP="00D95016">
      <w:pPr>
        <w:spacing w:line="360" w:lineRule="auto"/>
        <w:rPr>
          <w:rFonts w:ascii="Arial" w:hAnsi="Arial" w:cs="Arial"/>
          <w:sz w:val="22"/>
          <w:szCs w:val="22"/>
        </w:rPr>
      </w:pPr>
    </w:p>
    <w:p w14:paraId="31948B86" w14:textId="77777777" w:rsidR="00D95016" w:rsidRDefault="00D95016" w:rsidP="00D95016">
      <w:pPr>
        <w:spacing w:line="360" w:lineRule="auto"/>
        <w:rPr>
          <w:rFonts w:ascii="Arial" w:hAnsi="Arial" w:cs="Arial"/>
          <w:sz w:val="22"/>
          <w:szCs w:val="22"/>
        </w:rPr>
      </w:pPr>
    </w:p>
    <w:p w14:paraId="5A7BC447" w14:textId="33D5F13D" w:rsidR="007429B9" w:rsidRPr="006F14B0" w:rsidRDefault="007429B9" w:rsidP="00D95016">
      <w:pPr>
        <w:spacing w:line="360" w:lineRule="auto"/>
        <w:rPr>
          <w:rFonts w:ascii="Arial" w:hAnsi="Arial" w:cs="Arial"/>
          <w:sz w:val="32"/>
          <w:szCs w:val="32"/>
        </w:rPr>
      </w:pPr>
      <w:r w:rsidRPr="006F14B0">
        <w:rPr>
          <w:rFonts w:ascii="Arial" w:hAnsi="Arial" w:cs="Arial"/>
          <w:b/>
          <w:bCs/>
          <w:sz w:val="32"/>
          <w:szCs w:val="32"/>
          <w:u w:val="single"/>
        </w:rPr>
        <w:lastRenderedPageBreak/>
        <w:t xml:space="preserve">Reference List </w:t>
      </w:r>
    </w:p>
    <w:p w14:paraId="3FF6AC9D" w14:textId="77777777" w:rsidR="00811AC5" w:rsidRPr="00811AC5" w:rsidRDefault="00811AC5" w:rsidP="00D95016">
      <w:pPr>
        <w:spacing w:line="360" w:lineRule="auto"/>
        <w:rPr>
          <w:rFonts w:ascii="Arial" w:hAnsi="Arial" w:cs="Arial"/>
          <w:sz w:val="22"/>
          <w:szCs w:val="22"/>
        </w:rPr>
      </w:pPr>
      <w:proofErr w:type="spellStart"/>
      <w:r w:rsidRPr="00811AC5">
        <w:rPr>
          <w:rFonts w:ascii="Arial" w:hAnsi="Arial" w:cs="Arial"/>
          <w:sz w:val="22"/>
          <w:szCs w:val="22"/>
        </w:rPr>
        <w:t>Alsararatee</w:t>
      </w:r>
      <w:proofErr w:type="spellEnd"/>
      <w:r w:rsidRPr="00811AC5">
        <w:rPr>
          <w:rFonts w:ascii="Arial" w:hAnsi="Arial" w:cs="Arial"/>
          <w:sz w:val="22"/>
          <w:szCs w:val="22"/>
        </w:rPr>
        <w:t xml:space="preserve">, H.H. (2025) ‘Diabetes management during the end of life’, </w:t>
      </w:r>
      <w:r w:rsidRPr="00811AC5">
        <w:rPr>
          <w:rFonts w:ascii="Arial" w:hAnsi="Arial" w:cs="Arial"/>
          <w:i/>
          <w:iCs/>
          <w:sz w:val="22"/>
          <w:szCs w:val="22"/>
        </w:rPr>
        <w:t>British Journal of Nursing</w:t>
      </w:r>
      <w:r w:rsidRPr="00811AC5">
        <w:rPr>
          <w:rFonts w:ascii="Arial" w:hAnsi="Arial" w:cs="Arial"/>
          <w:sz w:val="22"/>
          <w:szCs w:val="22"/>
        </w:rPr>
        <w:t>, 34(3), pp. 112–118.</w:t>
      </w:r>
    </w:p>
    <w:p w14:paraId="7548C6B1"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Arksey, H. and O’Malley, L. (2005) ‘Scoping studies: towards a methodological framework’, </w:t>
      </w:r>
      <w:r w:rsidRPr="00811AC5">
        <w:rPr>
          <w:rFonts w:ascii="Arial" w:hAnsi="Arial" w:cs="Arial"/>
          <w:i/>
          <w:iCs/>
          <w:sz w:val="22"/>
          <w:szCs w:val="22"/>
        </w:rPr>
        <w:t>International Journal of Social Research Methodology</w:t>
      </w:r>
      <w:r w:rsidRPr="00811AC5">
        <w:rPr>
          <w:rFonts w:ascii="Arial" w:hAnsi="Arial" w:cs="Arial"/>
          <w:sz w:val="22"/>
          <w:szCs w:val="22"/>
        </w:rPr>
        <w:t>, 8(1), pp. 19–32.</w:t>
      </w:r>
    </w:p>
    <w:p w14:paraId="03FB7555"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Aveyard, H. (2014) </w:t>
      </w:r>
      <w:r w:rsidRPr="00811AC5">
        <w:rPr>
          <w:rFonts w:ascii="Arial" w:hAnsi="Arial" w:cs="Arial"/>
          <w:i/>
          <w:iCs/>
          <w:sz w:val="22"/>
          <w:szCs w:val="22"/>
        </w:rPr>
        <w:t>Doing a literature review in health and social care: a practical guide</w:t>
      </w:r>
      <w:r w:rsidRPr="00811AC5">
        <w:rPr>
          <w:rFonts w:ascii="Arial" w:hAnsi="Arial" w:cs="Arial"/>
          <w:sz w:val="22"/>
          <w:szCs w:val="22"/>
        </w:rPr>
        <w:t xml:space="preserve">. 3rd </w:t>
      </w:r>
      <w:proofErr w:type="spellStart"/>
      <w:r w:rsidRPr="00811AC5">
        <w:rPr>
          <w:rFonts w:ascii="Arial" w:hAnsi="Arial" w:cs="Arial"/>
          <w:sz w:val="22"/>
          <w:szCs w:val="22"/>
        </w:rPr>
        <w:t>edn</w:t>
      </w:r>
      <w:proofErr w:type="spellEnd"/>
      <w:r w:rsidRPr="00811AC5">
        <w:rPr>
          <w:rFonts w:ascii="Arial" w:hAnsi="Arial" w:cs="Arial"/>
          <w:sz w:val="22"/>
          <w:szCs w:val="22"/>
        </w:rPr>
        <w:t>. Maidenhead: Open University Press.</w:t>
      </w:r>
    </w:p>
    <w:p w14:paraId="60D0E943"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Bain, S.C., Hicks, D., James, J. and </w:t>
      </w:r>
      <w:proofErr w:type="spellStart"/>
      <w:r w:rsidRPr="00811AC5">
        <w:rPr>
          <w:rFonts w:ascii="Arial" w:hAnsi="Arial" w:cs="Arial"/>
          <w:sz w:val="22"/>
          <w:szCs w:val="22"/>
        </w:rPr>
        <w:t>Dhatariya</w:t>
      </w:r>
      <w:proofErr w:type="spellEnd"/>
      <w:r w:rsidRPr="00811AC5">
        <w:rPr>
          <w:rFonts w:ascii="Arial" w:hAnsi="Arial" w:cs="Arial"/>
          <w:sz w:val="22"/>
          <w:szCs w:val="22"/>
        </w:rPr>
        <w:t xml:space="preserve">, K. (2020) ‘Inpatient diabetes care and management: challenges and opportunities’, </w:t>
      </w:r>
      <w:r w:rsidRPr="00811AC5">
        <w:rPr>
          <w:rFonts w:ascii="Arial" w:hAnsi="Arial" w:cs="Arial"/>
          <w:i/>
          <w:iCs/>
          <w:sz w:val="22"/>
          <w:szCs w:val="22"/>
        </w:rPr>
        <w:t>Diabetic Medicine</w:t>
      </w:r>
      <w:r w:rsidRPr="00811AC5">
        <w:rPr>
          <w:rFonts w:ascii="Arial" w:hAnsi="Arial" w:cs="Arial"/>
          <w:sz w:val="22"/>
          <w:szCs w:val="22"/>
        </w:rPr>
        <w:t>, 37(3), pp. 367–375.</w:t>
      </w:r>
    </w:p>
    <w:p w14:paraId="49918FB3"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Diabetes UK (2024) </w:t>
      </w:r>
      <w:r w:rsidRPr="00811AC5">
        <w:rPr>
          <w:rFonts w:ascii="Arial" w:hAnsi="Arial" w:cs="Arial"/>
          <w:i/>
          <w:iCs/>
          <w:sz w:val="22"/>
          <w:szCs w:val="22"/>
        </w:rPr>
        <w:t>End of life diabetes care: clinical care recommendations</w:t>
      </w:r>
      <w:r w:rsidRPr="00811AC5">
        <w:rPr>
          <w:rFonts w:ascii="Arial" w:hAnsi="Arial" w:cs="Arial"/>
          <w:sz w:val="22"/>
          <w:szCs w:val="22"/>
        </w:rPr>
        <w:t>. London: Diabetes UK.</w:t>
      </w:r>
    </w:p>
    <w:p w14:paraId="70429021"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Dunning, T.L. (2020) ‘Palliative and end-of-life care: vital aspects of holistic diabetes care of older people with diabetes’, </w:t>
      </w:r>
      <w:r w:rsidRPr="00811AC5">
        <w:rPr>
          <w:rFonts w:ascii="Arial" w:hAnsi="Arial" w:cs="Arial"/>
          <w:i/>
          <w:iCs/>
          <w:sz w:val="22"/>
          <w:szCs w:val="22"/>
        </w:rPr>
        <w:t>Diabetes Spectrum</w:t>
      </w:r>
      <w:r w:rsidRPr="00811AC5">
        <w:rPr>
          <w:rFonts w:ascii="Arial" w:hAnsi="Arial" w:cs="Arial"/>
          <w:sz w:val="22"/>
          <w:szCs w:val="22"/>
        </w:rPr>
        <w:t>, 33(3), pp. 239–245.</w:t>
      </w:r>
    </w:p>
    <w:p w14:paraId="44A0347B"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James, J. (2019) ‘Dying well with diabetes’, </w:t>
      </w:r>
      <w:r w:rsidRPr="00811AC5">
        <w:rPr>
          <w:rFonts w:ascii="Arial" w:hAnsi="Arial" w:cs="Arial"/>
          <w:i/>
          <w:iCs/>
          <w:sz w:val="22"/>
          <w:szCs w:val="22"/>
        </w:rPr>
        <w:t>Annals of Palliative Medicine</w:t>
      </w:r>
      <w:r w:rsidRPr="00811AC5">
        <w:rPr>
          <w:rFonts w:ascii="Arial" w:hAnsi="Arial" w:cs="Arial"/>
          <w:sz w:val="22"/>
          <w:szCs w:val="22"/>
        </w:rPr>
        <w:t>, 8(3), pp. 295–302.</w:t>
      </w:r>
    </w:p>
    <w:p w14:paraId="510A1B23"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Maslen, J. (2019) ‘Managing diabetes at the end of life’, </w:t>
      </w:r>
      <w:r w:rsidRPr="00811AC5">
        <w:rPr>
          <w:rFonts w:ascii="Arial" w:hAnsi="Arial" w:cs="Arial"/>
          <w:i/>
          <w:iCs/>
          <w:sz w:val="22"/>
          <w:szCs w:val="22"/>
        </w:rPr>
        <w:t>Journal of Diabetes Nursing</w:t>
      </w:r>
      <w:r w:rsidRPr="00811AC5">
        <w:rPr>
          <w:rFonts w:ascii="Arial" w:hAnsi="Arial" w:cs="Arial"/>
          <w:sz w:val="22"/>
          <w:szCs w:val="22"/>
        </w:rPr>
        <w:t>, 23(4), pp. 1–6.</w:t>
      </w:r>
    </w:p>
    <w:p w14:paraId="0BC0005C"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National Institute for Health and Care Excellence (2015) </w:t>
      </w:r>
      <w:r w:rsidRPr="00811AC5">
        <w:rPr>
          <w:rFonts w:ascii="Arial" w:hAnsi="Arial" w:cs="Arial"/>
          <w:i/>
          <w:iCs/>
          <w:sz w:val="22"/>
          <w:szCs w:val="22"/>
        </w:rPr>
        <w:t>Care of dying adults in the last days of life (NG31)</w:t>
      </w:r>
      <w:r w:rsidRPr="00811AC5">
        <w:rPr>
          <w:rFonts w:ascii="Arial" w:hAnsi="Arial" w:cs="Arial"/>
          <w:sz w:val="22"/>
          <w:szCs w:val="22"/>
        </w:rPr>
        <w:t>. London: NICE.</w:t>
      </w:r>
    </w:p>
    <w:p w14:paraId="5FDA7973"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National Institute for Health and Care Excellence (2017) </w:t>
      </w:r>
      <w:r w:rsidRPr="00811AC5">
        <w:rPr>
          <w:rFonts w:ascii="Arial" w:hAnsi="Arial" w:cs="Arial"/>
          <w:i/>
          <w:iCs/>
          <w:sz w:val="22"/>
          <w:szCs w:val="22"/>
        </w:rPr>
        <w:t>End of life care for adults: service delivery</w:t>
      </w:r>
      <w:r w:rsidRPr="00811AC5">
        <w:rPr>
          <w:rFonts w:ascii="Arial" w:hAnsi="Arial" w:cs="Arial"/>
          <w:sz w:val="22"/>
          <w:szCs w:val="22"/>
        </w:rPr>
        <w:t>. London: NICE.</w:t>
      </w:r>
    </w:p>
    <w:p w14:paraId="5B721B2D"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National Institute for Health and Care Excellence (2025) </w:t>
      </w:r>
      <w:r w:rsidRPr="00811AC5">
        <w:rPr>
          <w:rFonts w:ascii="Arial" w:hAnsi="Arial" w:cs="Arial"/>
          <w:i/>
          <w:iCs/>
          <w:sz w:val="22"/>
          <w:szCs w:val="22"/>
        </w:rPr>
        <w:t>End of life care for adults: service delivery</w:t>
      </w:r>
      <w:r w:rsidRPr="00811AC5">
        <w:rPr>
          <w:rFonts w:ascii="Arial" w:hAnsi="Arial" w:cs="Arial"/>
          <w:sz w:val="22"/>
          <w:szCs w:val="22"/>
        </w:rPr>
        <w:t>. London: NICE.</w:t>
      </w:r>
    </w:p>
    <w:p w14:paraId="4389647D"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NHS Digital (2023) </w:t>
      </w:r>
      <w:r w:rsidRPr="00811AC5">
        <w:rPr>
          <w:rFonts w:ascii="Arial" w:hAnsi="Arial" w:cs="Arial"/>
          <w:i/>
          <w:iCs/>
          <w:sz w:val="22"/>
          <w:szCs w:val="22"/>
        </w:rPr>
        <w:t>National Diabetes Audit 2021–22: Care processes and treatment targets</w:t>
      </w:r>
      <w:r w:rsidRPr="00811AC5">
        <w:rPr>
          <w:rFonts w:ascii="Arial" w:hAnsi="Arial" w:cs="Arial"/>
          <w:sz w:val="22"/>
          <w:szCs w:val="22"/>
        </w:rPr>
        <w:t>. Leeds: NHS Digital.</w:t>
      </w:r>
    </w:p>
    <w:p w14:paraId="08E0F2C5"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NHS England (2019) </w:t>
      </w:r>
      <w:r w:rsidRPr="00811AC5">
        <w:rPr>
          <w:rFonts w:ascii="Arial" w:hAnsi="Arial" w:cs="Arial"/>
          <w:i/>
          <w:iCs/>
          <w:sz w:val="22"/>
          <w:szCs w:val="22"/>
        </w:rPr>
        <w:t>The NHS Long Term Plan</w:t>
      </w:r>
      <w:r w:rsidRPr="00811AC5">
        <w:rPr>
          <w:rFonts w:ascii="Arial" w:hAnsi="Arial" w:cs="Arial"/>
          <w:sz w:val="22"/>
          <w:szCs w:val="22"/>
        </w:rPr>
        <w:t>. London: NHS England.</w:t>
      </w:r>
    </w:p>
    <w:p w14:paraId="38CE1D80"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Nursing and Midwifery Council (2018) </w:t>
      </w:r>
      <w:r w:rsidRPr="00811AC5">
        <w:rPr>
          <w:rFonts w:ascii="Arial" w:hAnsi="Arial" w:cs="Arial"/>
          <w:i/>
          <w:iCs/>
          <w:sz w:val="22"/>
          <w:szCs w:val="22"/>
        </w:rPr>
        <w:t>The Code: Professional standards of practice and behaviour for nurses, midwives and nursing associates</w:t>
      </w:r>
      <w:r w:rsidRPr="00811AC5">
        <w:rPr>
          <w:rFonts w:ascii="Arial" w:hAnsi="Arial" w:cs="Arial"/>
          <w:sz w:val="22"/>
          <w:szCs w:val="22"/>
        </w:rPr>
        <w:t>. London: NMC.</w:t>
      </w:r>
    </w:p>
    <w:p w14:paraId="564E783D"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Royal College of Nursing (2021) </w:t>
      </w:r>
      <w:r w:rsidRPr="00811AC5">
        <w:rPr>
          <w:rFonts w:ascii="Arial" w:hAnsi="Arial" w:cs="Arial"/>
          <w:i/>
          <w:iCs/>
          <w:sz w:val="22"/>
          <w:szCs w:val="22"/>
        </w:rPr>
        <w:t>Health, safety and wellbeing of nurses and midwives at work</w:t>
      </w:r>
      <w:r w:rsidRPr="00811AC5">
        <w:rPr>
          <w:rFonts w:ascii="Arial" w:hAnsi="Arial" w:cs="Arial"/>
          <w:sz w:val="22"/>
          <w:szCs w:val="22"/>
        </w:rPr>
        <w:t>. London: RCN.</w:t>
      </w:r>
    </w:p>
    <w:p w14:paraId="1B67939B"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lastRenderedPageBreak/>
        <w:t xml:space="preserve">Royal College of Physicians (2021) </w:t>
      </w:r>
      <w:r w:rsidRPr="00811AC5">
        <w:rPr>
          <w:rFonts w:ascii="Arial" w:hAnsi="Arial" w:cs="Arial"/>
          <w:i/>
          <w:iCs/>
          <w:sz w:val="22"/>
          <w:szCs w:val="22"/>
        </w:rPr>
        <w:t>National Diabetes Audit 2019–2020: Care processes and treatment targets</w:t>
      </w:r>
      <w:r w:rsidRPr="00811AC5">
        <w:rPr>
          <w:rFonts w:ascii="Arial" w:hAnsi="Arial" w:cs="Arial"/>
          <w:sz w:val="22"/>
          <w:szCs w:val="22"/>
        </w:rPr>
        <w:t>. London: RCP.</w:t>
      </w:r>
    </w:p>
    <w:p w14:paraId="6F9653CF"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Sinclair, A.J., Abdelhafiz, A.H. and Dunning, T. (2020) ‘An update on the management of diabetes in older people and end-of-life care’, </w:t>
      </w:r>
      <w:r w:rsidRPr="00811AC5">
        <w:rPr>
          <w:rFonts w:ascii="Arial" w:hAnsi="Arial" w:cs="Arial"/>
          <w:i/>
          <w:iCs/>
          <w:sz w:val="22"/>
          <w:szCs w:val="22"/>
        </w:rPr>
        <w:t>Diabetic Medicine</w:t>
      </w:r>
      <w:r w:rsidRPr="00811AC5">
        <w:rPr>
          <w:rFonts w:ascii="Arial" w:hAnsi="Arial" w:cs="Arial"/>
          <w:sz w:val="22"/>
          <w:szCs w:val="22"/>
        </w:rPr>
        <w:t>, 37(3), pp. 399–408.</w:t>
      </w:r>
    </w:p>
    <w:p w14:paraId="751A165F"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TREND-UK (2021) </w:t>
      </w:r>
      <w:r w:rsidRPr="00811AC5">
        <w:rPr>
          <w:rFonts w:ascii="Arial" w:hAnsi="Arial" w:cs="Arial"/>
          <w:i/>
          <w:iCs/>
          <w:sz w:val="22"/>
          <w:szCs w:val="22"/>
        </w:rPr>
        <w:t>An integrated career and competency framework for diabetes nursing</w:t>
      </w:r>
      <w:r w:rsidRPr="00811AC5">
        <w:rPr>
          <w:rFonts w:ascii="Arial" w:hAnsi="Arial" w:cs="Arial"/>
          <w:sz w:val="22"/>
          <w:szCs w:val="22"/>
        </w:rPr>
        <w:t>. London: TREND-UK.</w:t>
      </w:r>
    </w:p>
    <w:p w14:paraId="04D92331"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Wilson, V., Dowling, M. and Abdallah, J. (2019) ‘Emotional labour and nursing practice in end-of-life care’, </w:t>
      </w:r>
      <w:r w:rsidRPr="00811AC5">
        <w:rPr>
          <w:rFonts w:ascii="Arial" w:hAnsi="Arial" w:cs="Arial"/>
          <w:i/>
          <w:iCs/>
          <w:sz w:val="22"/>
          <w:szCs w:val="22"/>
        </w:rPr>
        <w:t>Journal of Clinical Nursing</w:t>
      </w:r>
      <w:r w:rsidRPr="00811AC5">
        <w:rPr>
          <w:rFonts w:ascii="Arial" w:hAnsi="Arial" w:cs="Arial"/>
          <w:sz w:val="22"/>
          <w:szCs w:val="22"/>
        </w:rPr>
        <w:t>, 28(15–16), pp. 2871–2880.</w:t>
      </w:r>
    </w:p>
    <w:p w14:paraId="1927B8D7" w14:textId="77777777" w:rsidR="00811AC5" w:rsidRPr="00811AC5" w:rsidRDefault="00811AC5" w:rsidP="00D95016">
      <w:pPr>
        <w:spacing w:line="360" w:lineRule="auto"/>
        <w:rPr>
          <w:rFonts w:ascii="Arial" w:hAnsi="Arial" w:cs="Arial"/>
          <w:sz w:val="22"/>
          <w:szCs w:val="22"/>
        </w:rPr>
      </w:pPr>
      <w:r w:rsidRPr="00811AC5">
        <w:rPr>
          <w:rFonts w:ascii="Arial" w:hAnsi="Arial" w:cs="Arial"/>
          <w:sz w:val="22"/>
          <w:szCs w:val="22"/>
        </w:rPr>
        <w:t xml:space="preserve">World Health Organization (2020) </w:t>
      </w:r>
      <w:r w:rsidRPr="00811AC5">
        <w:rPr>
          <w:rFonts w:ascii="Arial" w:hAnsi="Arial" w:cs="Arial"/>
          <w:i/>
          <w:iCs/>
          <w:sz w:val="22"/>
          <w:szCs w:val="22"/>
        </w:rPr>
        <w:t>Palliative care</w:t>
      </w:r>
      <w:r w:rsidRPr="00811AC5">
        <w:rPr>
          <w:rFonts w:ascii="Arial" w:hAnsi="Arial" w:cs="Arial"/>
          <w:sz w:val="22"/>
          <w:szCs w:val="22"/>
        </w:rPr>
        <w:t>. Geneva: WHO.</w:t>
      </w:r>
    </w:p>
    <w:p w14:paraId="61B77595" w14:textId="77777777" w:rsidR="00EC0922" w:rsidRPr="00F2405E" w:rsidRDefault="00EC0922" w:rsidP="00D95016">
      <w:pPr>
        <w:spacing w:line="360" w:lineRule="auto"/>
        <w:rPr>
          <w:rFonts w:ascii="Arial" w:hAnsi="Arial" w:cs="Arial"/>
          <w:sz w:val="22"/>
          <w:szCs w:val="22"/>
        </w:rPr>
      </w:pPr>
    </w:p>
    <w:sectPr w:rsidR="00EC0922" w:rsidRPr="00F2405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D3452" w14:textId="77777777" w:rsidR="00AA7CBC" w:rsidRDefault="00AA7CBC" w:rsidP="00251347">
      <w:pPr>
        <w:spacing w:after="0" w:line="240" w:lineRule="auto"/>
      </w:pPr>
      <w:r>
        <w:separator/>
      </w:r>
    </w:p>
  </w:endnote>
  <w:endnote w:type="continuationSeparator" w:id="0">
    <w:p w14:paraId="4698A086" w14:textId="77777777" w:rsidR="00AA7CBC" w:rsidRDefault="00AA7CBC" w:rsidP="00251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296769"/>
      <w:docPartObj>
        <w:docPartGallery w:val="Page Numbers (Bottom of Page)"/>
        <w:docPartUnique/>
      </w:docPartObj>
    </w:sdtPr>
    <w:sdtEndPr/>
    <w:sdtContent>
      <w:p w14:paraId="3E631F0F" w14:textId="77CC96E1" w:rsidR="00251347" w:rsidRDefault="00251347">
        <w:pPr>
          <w:pStyle w:val="Footer"/>
          <w:jc w:val="center"/>
        </w:pPr>
        <w:r>
          <w:fldChar w:fldCharType="begin"/>
        </w:r>
        <w:r>
          <w:instrText>PAGE   \* MERGEFORMAT</w:instrText>
        </w:r>
        <w:r>
          <w:fldChar w:fldCharType="separate"/>
        </w:r>
        <w:r>
          <w:t>2</w:t>
        </w:r>
        <w:r>
          <w:fldChar w:fldCharType="end"/>
        </w:r>
      </w:p>
    </w:sdtContent>
  </w:sdt>
  <w:p w14:paraId="1D9C0654" w14:textId="77777777" w:rsidR="00251347" w:rsidRDefault="00251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657A" w14:textId="77777777" w:rsidR="00AA7CBC" w:rsidRDefault="00AA7CBC" w:rsidP="00251347">
      <w:pPr>
        <w:spacing w:after="0" w:line="240" w:lineRule="auto"/>
      </w:pPr>
      <w:r>
        <w:separator/>
      </w:r>
    </w:p>
  </w:footnote>
  <w:footnote w:type="continuationSeparator" w:id="0">
    <w:p w14:paraId="13339002" w14:textId="77777777" w:rsidR="00AA7CBC" w:rsidRDefault="00AA7CBC" w:rsidP="002513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37FCD"/>
    <w:multiLevelType w:val="multilevel"/>
    <w:tmpl w:val="777C56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2F9B7C99"/>
    <w:multiLevelType w:val="multilevel"/>
    <w:tmpl w:val="D7882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0D1F2E"/>
    <w:multiLevelType w:val="multilevel"/>
    <w:tmpl w:val="BD785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0A39C9"/>
    <w:multiLevelType w:val="multilevel"/>
    <w:tmpl w:val="0896A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FD46B5"/>
    <w:multiLevelType w:val="multilevel"/>
    <w:tmpl w:val="7F08F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4F60C7"/>
    <w:multiLevelType w:val="multilevel"/>
    <w:tmpl w:val="F42A7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1312799">
    <w:abstractNumId w:val="1"/>
  </w:num>
  <w:num w:numId="2" w16cid:durableId="63794111">
    <w:abstractNumId w:val="0"/>
  </w:num>
  <w:num w:numId="3" w16cid:durableId="1034112509">
    <w:abstractNumId w:val="5"/>
  </w:num>
  <w:num w:numId="4" w16cid:durableId="1952587135">
    <w:abstractNumId w:val="3"/>
  </w:num>
  <w:num w:numId="5" w16cid:durableId="354622068">
    <w:abstractNumId w:val="2"/>
  </w:num>
  <w:num w:numId="6" w16cid:durableId="5928605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C41"/>
    <w:rsid w:val="00032ADF"/>
    <w:rsid w:val="0003486B"/>
    <w:rsid w:val="00042B33"/>
    <w:rsid w:val="0005351E"/>
    <w:rsid w:val="00067A5C"/>
    <w:rsid w:val="000C650C"/>
    <w:rsid w:val="000D1F2A"/>
    <w:rsid w:val="000F0169"/>
    <w:rsid w:val="001065C9"/>
    <w:rsid w:val="001353D0"/>
    <w:rsid w:val="00155FB1"/>
    <w:rsid w:val="00156025"/>
    <w:rsid w:val="001722CF"/>
    <w:rsid w:val="001B1170"/>
    <w:rsid w:val="001B6C3F"/>
    <w:rsid w:val="001C5910"/>
    <w:rsid w:val="0020578D"/>
    <w:rsid w:val="00216D85"/>
    <w:rsid w:val="00225EC5"/>
    <w:rsid w:val="002463A6"/>
    <w:rsid w:val="00251347"/>
    <w:rsid w:val="00254563"/>
    <w:rsid w:val="00275704"/>
    <w:rsid w:val="00276091"/>
    <w:rsid w:val="0029313F"/>
    <w:rsid w:val="002B2CB5"/>
    <w:rsid w:val="002D774F"/>
    <w:rsid w:val="002F1D70"/>
    <w:rsid w:val="00315FF2"/>
    <w:rsid w:val="003276B2"/>
    <w:rsid w:val="00334C33"/>
    <w:rsid w:val="003378A8"/>
    <w:rsid w:val="00367C41"/>
    <w:rsid w:val="00372E12"/>
    <w:rsid w:val="003A724D"/>
    <w:rsid w:val="003B2F49"/>
    <w:rsid w:val="003B3BE9"/>
    <w:rsid w:val="003E4BDE"/>
    <w:rsid w:val="00402D2A"/>
    <w:rsid w:val="00404010"/>
    <w:rsid w:val="004059B9"/>
    <w:rsid w:val="00421C39"/>
    <w:rsid w:val="00433FDF"/>
    <w:rsid w:val="00447385"/>
    <w:rsid w:val="0047445F"/>
    <w:rsid w:val="00481E77"/>
    <w:rsid w:val="0049714E"/>
    <w:rsid w:val="004F545E"/>
    <w:rsid w:val="00512D02"/>
    <w:rsid w:val="005371C0"/>
    <w:rsid w:val="005445A7"/>
    <w:rsid w:val="00550989"/>
    <w:rsid w:val="0055347F"/>
    <w:rsid w:val="00581D2C"/>
    <w:rsid w:val="00585A8D"/>
    <w:rsid w:val="005905BE"/>
    <w:rsid w:val="005A30DF"/>
    <w:rsid w:val="005B495E"/>
    <w:rsid w:val="005E0B52"/>
    <w:rsid w:val="006256CC"/>
    <w:rsid w:val="00627584"/>
    <w:rsid w:val="006347AD"/>
    <w:rsid w:val="0067407C"/>
    <w:rsid w:val="006C3908"/>
    <w:rsid w:val="006C41A6"/>
    <w:rsid w:val="006E1A2E"/>
    <w:rsid w:val="006F14B0"/>
    <w:rsid w:val="006F60F3"/>
    <w:rsid w:val="007406B4"/>
    <w:rsid w:val="007429B9"/>
    <w:rsid w:val="00757874"/>
    <w:rsid w:val="007644A0"/>
    <w:rsid w:val="007677E2"/>
    <w:rsid w:val="00785310"/>
    <w:rsid w:val="0079360D"/>
    <w:rsid w:val="007B7CAE"/>
    <w:rsid w:val="007D31B4"/>
    <w:rsid w:val="007E569E"/>
    <w:rsid w:val="007F2F89"/>
    <w:rsid w:val="00801EE9"/>
    <w:rsid w:val="00811AC5"/>
    <w:rsid w:val="00811F91"/>
    <w:rsid w:val="00815CFB"/>
    <w:rsid w:val="008257EC"/>
    <w:rsid w:val="00847A66"/>
    <w:rsid w:val="0085006B"/>
    <w:rsid w:val="008977A1"/>
    <w:rsid w:val="008C4C87"/>
    <w:rsid w:val="008C69A1"/>
    <w:rsid w:val="00901ACF"/>
    <w:rsid w:val="009055C0"/>
    <w:rsid w:val="00906462"/>
    <w:rsid w:val="0093275E"/>
    <w:rsid w:val="00933C1F"/>
    <w:rsid w:val="009404EA"/>
    <w:rsid w:val="00942E5E"/>
    <w:rsid w:val="00943197"/>
    <w:rsid w:val="009863B5"/>
    <w:rsid w:val="009A7F55"/>
    <w:rsid w:val="009B7873"/>
    <w:rsid w:val="009C2788"/>
    <w:rsid w:val="00A1788E"/>
    <w:rsid w:val="00A25440"/>
    <w:rsid w:val="00A3623F"/>
    <w:rsid w:val="00A36272"/>
    <w:rsid w:val="00A378D3"/>
    <w:rsid w:val="00A550C5"/>
    <w:rsid w:val="00A862BA"/>
    <w:rsid w:val="00A86B02"/>
    <w:rsid w:val="00A93126"/>
    <w:rsid w:val="00A976BB"/>
    <w:rsid w:val="00AA7CBC"/>
    <w:rsid w:val="00AB0A68"/>
    <w:rsid w:val="00AC386A"/>
    <w:rsid w:val="00AF2803"/>
    <w:rsid w:val="00AF2AE4"/>
    <w:rsid w:val="00AF39B8"/>
    <w:rsid w:val="00B71D0C"/>
    <w:rsid w:val="00B83D67"/>
    <w:rsid w:val="00B91BA5"/>
    <w:rsid w:val="00BA4E6D"/>
    <w:rsid w:val="00BB4841"/>
    <w:rsid w:val="00BB4DB5"/>
    <w:rsid w:val="00BE5CC3"/>
    <w:rsid w:val="00BF73E3"/>
    <w:rsid w:val="00C05BE4"/>
    <w:rsid w:val="00C14EE0"/>
    <w:rsid w:val="00C27F64"/>
    <w:rsid w:val="00C37F3C"/>
    <w:rsid w:val="00C4294C"/>
    <w:rsid w:val="00C564F7"/>
    <w:rsid w:val="00C657C1"/>
    <w:rsid w:val="00C669BB"/>
    <w:rsid w:val="00C739E0"/>
    <w:rsid w:val="00C86DA2"/>
    <w:rsid w:val="00C919F8"/>
    <w:rsid w:val="00C91CDB"/>
    <w:rsid w:val="00CA0768"/>
    <w:rsid w:val="00CA472F"/>
    <w:rsid w:val="00CA4A97"/>
    <w:rsid w:val="00CB168F"/>
    <w:rsid w:val="00CC4987"/>
    <w:rsid w:val="00CE236B"/>
    <w:rsid w:val="00CE6447"/>
    <w:rsid w:val="00CF40E3"/>
    <w:rsid w:val="00D1730D"/>
    <w:rsid w:val="00D66349"/>
    <w:rsid w:val="00D729B7"/>
    <w:rsid w:val="00D92B5F"/>
    <w:rsid w:val="00D95016"/>
    <w:rsid w:val="00D95680"/>
    <w:rsid w:val="00DA7BE9"/>
    <w:rsid w:val="00DF25D6"/>
    <w:rsid w:val="00E15631"/>
    <w:rsid w:val="00E36DAB"/>
    <w:rsid w:val="00E42B59"/>
    <w:rsid w:val="00E55CB7"/>
    <w:rsid w:val="00E71449"/>
    <w:rsid w:val="00E77621"/>
    <w:rsid w:val="00E9437F"/>
    <w:rsid w:val="00EA77AE"/>
    <w:rsid w:val="00EB7D59"/>
    <w:rsid w:val="00EC0922"/>
    <w:rsid w:val="00EC26A4"/>
    <w:rsid w:val="00ED5E4D"/>
    <w:rsid w:val="00EE0F2B"/>
    <w:rsid w:val="00EF3621"/>
    <w:rsid w:val="00EF5737"/>
    <w:rsid w:val="00F079AA"/>
    <w:rsid w:val="00F2405E"/>
    <w:rsid w:val="00F85A16"/>
    <w:rsid w:val="00FA4DB4"/>
    <w:rsid w:val="00FA6B50"/>
    <w:rsid w:val="00FC02C4"/>
    <w:rsid w:val="00FD1101"/>
    <w:rsid w:val="00FD395C"/>
    <w:rsid w:val="00FF2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4DA37"/>
  <w15:chartTrackingRefBased/>
  <w15:docId w15:val="{8FC56759-6C0D-4A07-A08A-B44E3AD20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7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7C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7C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7C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7C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C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C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C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C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7C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7C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7C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7C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7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C41"/>
    <w:rPr>
      <w:rFonts w:eastAsiaTheme="majorEastAsia" w:cstheme="majorBidi"/>
      <w:color w:val="272727" w:themeColor="text1" w:themeTint="D8"/>
    </w:rPr>
  </w:style>
  <w:style w:type="paragraph" w:styleId="Title">
    <w:name w:val="Title"/>
    <w:basedOn w:val="Normal"/>
    <w:next w:val="Normal"/>
    <w:link w:val="TitleChar"/>
    <w:uiPriority w:val="10"/>
    <w:qFormat/>
    <w:rsid w:val="00367C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C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C41"/>
    <w:pPr>
      <w:spacing w:before="160"/>
      <w:jc w:val="center"/>
    </w:pPr>
    <w:rPr>
      <w:i/>
      <w:iCs/>
      <w:color w:val="404040" w:themeColor="text1" w:themeTint="BF"/>
    </w:rPr>
  </w:style>
  <w:style w:type="character" w:customStyle="1" w:styleId="QuoteChar">
    <w:name w:val="Quote Char"/>
    <w:basedOn w:val="DefaultParagraphFont"/>
    <w:link w:val="Quote"/>
    <w:uiPriority w:val="29"/>
    <w:rsid w:val="00367C41"/>
    <w:rPr>
      <w:i/>
      <w:iCs/>
      <w:color w:val="404040" w:themeColor="text1" w:themeTint="BF"/>
    </w:rPr>
  </w:style>
  <w:style w:type="paragraph" w:styleId="ListParagraph">
    <w:name w:val="List Paragraph"/>
    <w:basedOn w:val="Normal"/>
    <w:uiPriority w:val="34"/>
    <w:qFormat/>
    <w:rsid w:val="00367C41"/>
    <w:pPr>
      <w:ind w:left="720"/>
      <w:contextualSpacing/>
    </w:pPr>
  </w:style>
  <w:style w:type="character" w:styleId="IntenseEmphasis">
    <w:name w:val="Intense Emphasis"/>
    <w:basedOn w:val="DefaultParagraphFont"/>
    <w:uiPriority w:val="21"/>
    <w:qFormat/>
    <w:rsid w:val="00367C41"/>
    <w:rPr>
      <w:i/>
      <w:iCs/>
      <w:color w:val="0F4761" w:themeColor="accent1" w:themeShade="BF"/>
    </w:rPr>
  </w:style>
  <w:style w:type="paragraph" w:styleId="IntenseQuote">
    <w:name w:val="Intense Quote"/>
    <w:basedOn w:val="Normal"/>
    <w:next w:val="Normal"/>
    <w:link w:val="IntenseQuoteChar"/>
    <w:uiPriority w:val="30"/>
    <w:qFormat/>
    <w:rsid w:val="00367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7C41"/>
    <w:rPr>
      <w:i/>
      <w:iCs/>
      <w:color w:val="0F4761" w:themeColor="accent1" w:themeShade="BF"/>
    </w:rPr>
  </w:style>
  <w:style w:type="character" w:styleId="IntenseReference">
    <w:name w:val="Intense Reference"/>
    <w:basedOn w:val="DefaultParagraphFont"/>
    <w:uiPriority w:val="32"/>
    <w:qFormat/>
    <w:rsid w:val="00367C41"/>
    <w:rPr>
      <w:b/>
      <w:bCs/>
      <w:smallCaps/>
      <w:color w:val="0F4761" w:themeColor="accent1" w:themeShade="BF"/>
      <w:spacing w:val="5"/>
    </w:rPr>
  </w:style>
  <w:style w:type="paragraph" w:styleId="Header">
    <w:name w:val="header"/>
    <w:basedOn w:val="Normal"/>
    <w:link w:val="HeaderChar"/>
    <w:uiPriority w:val="99"/>
    <w:unhideWhenUsed/>
    <w:rsid w:val="00251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347"/>
  </w:style>
  <w:style w:type="paragraph" w:styleId="Footer">
    <w:name w:val="footer"/>
    <w:basedOn w:val="Normal"/>
    <w:link w:val="FooterChar"/>
    <w:uiPriority w:val="99"/>
    <w:unhideWhenUsed/>
    <w:rsid w:val="00251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347"/>
  </w:style>
  <w:style w:type="table" w:styleId="TableGrid">
    <w:name w:val="Table Grid"/>
    <w:basedOn w:val="TableNormal"/>
    <w:uiPriority w:val="39"/>
    <w:rsid w:val="007B7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B7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
    <w:name w:val="Grid Table 4"/>
    <w:basedOn w:val="TableNormal"/>
    <w:uiPriority w:val="49"/>
    <w:rsid w:val="007B7CA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11199</TotalTime>
  <Pages>19</Pages>
  <Words>5681</Words>
  <Characters>32382</Characters>
  <Application>Microsoft Office Word</Application>
  <DocSecurity>0</DocSecurity>
  <Lines>269</Lines>
  <Paragraphs>75</Paragraphs>
  <ScaleCrop>false</ScaleCrop>
  <Company/>
  <LinksUpToDate>false</LinksUpToDate>
  <CharactersWithSpaces>37988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farzia saddique</dc:creator>
  <cp:keywords/>
  <dc:description/>
  <cp:lastModifiedBy>farzia saddique</cp:lastModifiedBy>
  <cp:revision>158</cp:revision>
  <dcterms:created xsi:type="dcterms:W3CDTF">2026-02-25T21:33:00Z</dcterms:created>
  <dcterms:modified xsi:type="dcterms:W3CDTF">2026-03-19T23:01:00Z</dcterms:modified>
</cp:coreProperties>
</file>