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hAnsi="Calibri" w:cs="Calibri"/>
          <w:color w:val="0D0D0D" w:themeColor="text1" w:themeTint="F2"/>
        </w:rPr>
        <w:id w:val="-2118820842"/>
        <w:docPartObj>
          <w:docPartGallery w:val="Cover Pages"/>
          <w:docPartUnique/>
        </w:docPartObj>
      </w:sdtPr>
      <w:sdtEndPr>
        <w:rPr>
          <w:b/>
          <w:bCs/>
        </w:rPr>
      </w:sdtEndPr>
      <w:sdtContent>
        <w:p w14:paraId="4FAD2139" w14:textId="44FE5B12" w:rsidR="00986E65" w:rsidRDefault="00986E65">
          <w:pPr>
            <w:rPr>
              <w:rFonts w:ascii="Calibri" w:hAnsi="Calibri" w:cs="Calibri"/>
              <w:color w:val="0D0D0D" w:themeColor="text1" w:themeTint="F2"/>
            </w:rPr>
          </w:pPr>
        </w:p>
        <w:p w14:paraId="4F5F1B5C" w14:textId="77777777" w:rsidR="00986E65" w:rsidRDefault="00986E65" w:rsidP="00986E65">
          <w:pPr>
            <w:spacing w:before="212"/>
            <w:jc w:val="center"/>
            <w:rPr>
              <w:rFonts w:ascii="Arial"/>
              <w:b/>
              <w:sz w:val="56"/>
            </w:rPr>
          </w:pPr>
          <w:r>
            <w:rPr>
              <w:rFonts w:ascii="Calibri" w:hAnsi="Calibri" w:cs="Calibri"/>
              <w:color w:val="0D0D0D" w:themeColor="text1" w:themeTint="F2"/>
            </w:rPr>
            <w:br w:type="page"/>
          </w:r>
          <w:r>
            <w:rPr>
              <w:rFonts w:ascii="Arial"/>
              <w:b/>
              <w:noProof/>
              <w:sz w:val="56"/>
            </w:rPr>
            <w:lastRenderedPageBreak/>
            <w:drawing>
              <wp:inline distT="0" distB="0" distL="0" distR="0" wp14:anchorId="5CB4DDDD" wp14:editId="24BAAB97">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0EA97EDA" w14:textId="77777777" w:rsidR="00986E65" w:rsidRPr="0066224E" w:rsidRDefault="00986E65" w:rsidP="00986E65">
          <w:pPr>
            <w:spacing w:before="212"/>
            <w:jc w:val="center"/>
            <w:rPr>
              <w:rFonts w:ascii="Arial"/>
              <w:b/>
              <w:sz w:val="36"/>
              <w:szCs w:val="36"/>
            </w:rPr>
          </w:pPr>
        </w:p>
        <w:p w14:paraId="1774304A" w14:textId="77777777" w:rsidR="00986E65" w:rsidRDefault="00986E65" w:rsidP="00986E65">
          <w:pPr>
            <w:spacing w:before="212"/>
            <w:rPr>
              <w:rFonts w:ascii="Arial"/>
              <w:b/>
              <w:sz w:val="56"/>
            </w:rPr>
          </w:pPr>
        </w:p>
        <w:p w14:paraId="5F6D381C" w14:textId="77777777" w:rsidR="00986E65" w:rsidRDefault="00986E65" w:rsidP="00986E65">
          <w:pPr>
            <w:spacing w:before="212"/>
            <w:rPr>
              <w:rFonts w:ascii="Arial"/>
              <w:b/>
              <w:sz w:val="48"/>
              <w:szCs w:val="48"/>
            </w:rPr>
          </w:pPr>
          <w:r w:rsidRPr="00DD5969">
            <w:rPr>
              <w:rFonts w:ascii="Arial"/>
              <w:b/>
              <w:sz w:val="48"/>
              <w:szCs w:val="48"/>
            </w:rPr>
            <w:t>MODULE CODE:</w:t>
          </w:r>
          <w:r>
            <w:rPr>
              <w:rFonts w:ascii="Arial"/>
              <w:b/>
              <w:sz w:val="48"/>
              <w:szCs w:val="48"/>
            </w:rPr>
            <w:t xml:space="preserve"> ECDE7016</w:t>
          </w:r>
        </w:p>
        <w:p w14:paraId="7C0E70F8" w14:textId="77777777" w:rsidR="00986E65" w:rsidRDefault="00986E65" w:rsidP="00986E65">
          <w:pPr>
            <w:spacing w:before="212"/>
            <w:rPr>
              <w:rFonts w:ascii="Arial"/>
              <w:b/>
              <w:sz w:val="48"/>
              <w:szCs w:val="48"/>
            </w:rPr>
          </w:pPr>
        </w:p>
        <w:p w14:paraId="5110E263" w14:textId="77777777" w:rsidR="00986E65" w:rsidRPr="00DD5969" w:rsidRDefault="00986E65" w:rsidP="00986E65">
          <w:pPr>
            <w:spacing w:before="212"/>
            <w:rPr>
              <w:rFonts w:ascii="Arial"/>
              <w:b/>
              <w:sz w:val="48"/>
              <w:szCs w:val="48"/>
            </w:rPr>
          </w:pPr>
          <w:r>
            <w:rPr>
              <w:rFonts w:ascii="Arial"/>
              <w:b/>
              <w:sz w:val="48"/>
              <w:szCs w:val="48"/>
            </w:rPr>
            <w:t>ASSESSMENT COMPONENT: 2</w:t>
          </w:r>
        </w:p>
        <w:p w14:paraId="0FC9D964" w14:textId="77777777" w:rsidR="00986E65" w:rsidRDefault="00986E65" w:rsidP="00986E65">
          <w:pPr>
            <w:spacing w:before="7"/>
            <w:jc w:val="center"/>
            <w:rPr>
              <w:rFonts w:ascii="Arial"/>
              <w:b/>
              <w:sz w:val="44"/>
            </w:rPr>
          </w:pPr>
        </w:p>
        <w:p w14:paraId="4DA59A9C" w14:textId="77777777" w:rsidR="00986E65" w:rsidRPr="00DD5969" w:rsidRDefault="00986E65" w:rsidP="00986E65">
          <w:pPr>
            <w:spacing w:before="3"/>
            <w:rPr>
              <w:rFonts w:ascii="Arial"/>
              <w:b/>
              <w:sz w:val="48"/>
              <w:szCs w:val="48"/>
            </w:rPr>
          </w:pPr>
          <w:r w:rsidRPr="00DD5969">
            <w:rPr>
              <w:rFonts w:ascii="Arial"/>
              <w:b/>
              <w:sz w:val="48"/>
              <w:szCs w:val="48"/>
            </w:rPr>
            <w:t>STUDENT NAME:</w:t>
          </w:r>
          <w:r>
            <w:rPr>
              <w:rFonts w:ascii="Arial"/>
              <w:b/>
              <w:sz w:val="48"/>
              <w:szCs w:val="48"/>
            </w:rPr>
            <w:t xml:space="preserve"> Donna Morgan</w:t>
          </w:r>
        </w:p>
        <w:p w14:paraId="65291EDF" w14:textId="77777777" w:rsidR="00986E65" w:rsidRPr="00DD5969" w:rsidRDefault="00986E65" w:rsidP="00986E65">
          <w:pPr>
            <w:spacing w:before="3"/>
            <w:rPr>
              <w:rFonts w:ascii="Arial"/>
              <w:b/>
              <w:sz w:val="48"/>
              <w:szCs w:val="48"/>
            </w:rPr>
          </w:pPr>
        </w:p>
        <w:p w14:paraId="759246CC" w14:textId="77777777" w:rsidR="00986E65" w:rsidRPr="00DD5969" w:rsidRDefault="00986E65" w:rsidP="00986E65">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1051706</w:t>
          </w:r>
        </w:p>
        <w:p w14:paraId="07B2EEA2" w14:textId="77777777" w:rsidR="00986E65" w:rsidRDefault="00986E65" w:rsidP="00986E65">
          <w:pPr>
            <w:rPr>
              <w:rFonts w:ascii="Arial"/>
              <w:b/>
              <w:sz w:val="47"/>
            </w:rPr>
          </w:pPr>
        </w:p>
        <w:p w14:paraId="76796D54" w14:textId="77777777" w:rsidR="00986E65" w:rsidRPr="00192D3C" w:rsidRDefault="00986E65" w:rsidP="00986E65">
          <w:pPr>
            <w:ind w:left="100"/>
            <w:jc w:val="center"/>
            <w:rPr>
              <w:rFonts w:ascii="Arial"/>
              <w:b/>
              <w:sz w:val="47"/>
            </w:rPr>
          </w:pPr>
        </w:p>
        <w:p w14:paraId="2B641D5D" w14:textId="77777777" w:rsidR="00986E65" w:rsidRDefault="00986E65" w:rsidP="00986E65">
          <w:pPr>
            <w:ind w:left="100"/>
            <w:rPr>
              <w:rFonts w:ascii="Arial"/>
              <w:b/>
              <w:sz w:val="47"/>
            </w:rPr>
          </w:pPr>
        </w:p>
        <w:p w14:paraId="3AC7375A" w14:textId="77777777" w:rsidR="00986E65" w:rsidRDefault="00986E65" w:rsidP="00986E65">
          <w:pPr>
            <w:ind w:left="100"/>
            <w:rPr>
              <w:rFonts w:ascii="Arial"/>
              <w:b/>
              <w:sz w:val="47"/>
            </w:rPr>
          </w:pPr>
        </w:p>
        <w:p w14:paraId="07A344E0" w14:textId="77777777" w:rsidR="00986E65" w:rsidRPr="00192D3C" w:rsidRDefault="00986E65" w:rsidP="00986E65">
          <w:pPr>
            <w:ind w:left="100"/>
            <w:rPr>
              <w:rFonts w:ascii="Arial"/>
              <w:b/>
              <w:sz w:val="47"/>
            </w:rPr>
          </w:pPr>
          <w:r w:rsidRPr="00192D3C">
            <w:rPr>
              <w:rFonts w:ascii="Arial"/>
              <w:b/>
              <w:sz w:val="47"/>
            </w:rPr>
            <w:t>Doctorate in Education (EdD)</w:t>
          </w:r>
        </w:p>
        <w:p w14:paraId="1D95FC4D" w14:textId="77777777" w:rsidR="00986E65" w:rsidRPr="00192D3C" w:rsidRDefault="00986E65" w:rsidP="00986E65">
          <w:pPr>
            <w:jc w:val="center"/>
            <w:rPr>
              <w:rFonts w:ascii="Arial"/>
              <w:b/>
              <w:sz w:val="40"/>
            </w:rPr>
          </w:pPr>
        </w:p>
        <w:p w14:paraId="1DFCCEEC" w14:textId="77777777" w:rsidR="00986E65" w:rsidRPr="00E243A8" w:rsidRDefault="00986E65" w:rsidP="00986E65">
          <w:pPr>
            <w:rPr>
              <w:b/>
              <w:bCs/>
              <w:sz w:val="32"/>
              <w:szCs w:val="32"/>
              <w:u w:val="single"/>
            </w:rPr>
          </w:pPr>
          <w:r w:rsidRPr="00E243A8">
            <w:rPr>
              <w:b/>
              <w:bCs/>
              <w:sz w:val="32"/>
              <w:szCs w:val="32"/>
              <w:u w:val="single"/>
            </w:rPr>
            <w:t>AI Acknowledgement</w:t>
          </w:r>
        </w:p>
        <w:p w14:paraId="069AE903" w14:textId="77777777" w:rsidR="00986E65" w:rsidRDefault="00986E65" w:rsidP="00986E65"/>
        <w:p w14:paraId="7FE9D12E" w14:textId="77777777" w:rsidR="00986E65" w:rsidRDefault="00986E65" w:rsidP="00986E65">
          <w:r w:rsidRPr="00E243A8">
            <w:t xml:space="preserve">I confirm that I have not used any AI tools in the research and creation of this assignment. </w:t>
          </w:r>
        </w:p>
        <w:p w14:paraId="480AE1A6" w14:textId="77777777" w:rsidR="00986E65" w:rsidRDefault="00986E65" w:rsidP="00986E65">
          <w:r w:rsidRPr="00E243A8">
            <w:t xml:space="preserve">I confirm that I have not presented any AI generated materials as my own work. </w:t>
          </w:r>
        </w:p>
        <w:p w14:paraId="647F7498" w14:textId="77777777" w:rsidR="00986E65" w:rsidRPr="00E243A8" w:rsidRDefault="00986E65" w:rsidP="00986E65">
          <w:r w:rsidRPr="00E243A8">
            <w:t xml:space="preserve">I confirm </w:t>
          </w:r>
          <w:r>
            <w:t xml:space="preserve">that </w:t>
          </w:r>
          <w:r w:rsidRPr="00E243A8">
            <w:t>I have copies of my drafts, notes, and other resources I used, which I may be asked to provide in evidence.</w:t>
          </w:r>
        </w:p>
        <w:p w14:paraId="08A8DC84" w14:textId="77777777" w:rsidR="00986E65" w:rsidRDefault="00986E65" w:rsidP="00986E65"/>
        <w:p w14:paraId="512059A4" w14:textId="77777777" w:rsidR="00986E65" w:rsidRPr="00DD5969" w:rsidRDefault="00986E65" w:rsidP="00986E65">
          <w:pPr>
            <w:rPr>
              <w:sz w:val="16"/>
              <w:szCs w:val="16"/>
            </w:rPr>
          </w:pPr>
        </w:p>
        <w:p w14:paraId="611BD06D" w14:textId="77777777" w:rsidR="00986E65" w:rsidRDefault="00986E65" w:rsidP="00986E65">
          <w:pPr>
            <w:rPr>
              <w:sz w:val="16"/>
              <w:szCs w:val="16"/>
            </w:rPr>
          </w:pPr>
        </w:p>
        <w:p w14:paraId="0317DC5D" w14:textId="77777777" w:rsidR="00986E65" w:rsidRDefault="00986E65" w:rsidP="00986E65">
          <w:pPr>
            <w:rPr>
              <w:sz w:val="16"/>
              <w:szCs w:val="16"/>
            </w:rPr>
          </w:pPr>
        </w:p>
        <w:p w14:paraId="456D8B71" w14:textId="77777777" w:rsidR="00986E65" w:rsidRDefault="00986E65" w:rsidP="00986E65">
          <w:pPr>
            <w:rPr>
              <w:sz w:val="16"/>
              <w:szCs w:val="16"/>
            </w:rPr>
          </w:pPr>
        </w:p>
        <w:p w14:paraId="168B359D" w14:textId="77777777" w:rsidR="00986E65" w:rsidRPr="00B103B9" w:rsidRDefault="00986E65" w:rsidP="00986E65">
          <w:pPr>
            <w:rPr>
              <w:sz w:val="16"/>
              <w:szCs w:val="16"/>
            </w:rPr>
          </w:pPr>
        </w:p>
        <w:p w14:paraId="6CF89887" w14:textId="75947E0E" w:rsidR="00986E65" w:rsidRDefault="00986E65">
          <w:pPr>
            <w:rPr>
              <w:rFonts w:ascii="Calibri" w:hAnsi="Calibri" w:cs="Calibri"/>
              <w:color w:val="0D0D0D" w:themeColor="text1" w:themeTint="F2"/>
            </w:rPr>
          </w:pPr>
        </w:p>
        <w:p w14:paraId="74037DCF" w14:textId="500B24CA" w:rsidR="00986E65" w:rsidRDefault="00986E65">
          <w:pPr>
            <w:rPr>
              <w:rFonts w:ascii="Calibri" w:hAnsi="Calibri" w:cs="Calibri"/>
              <w:color w:val="0D0D0D" w:themeColor="text1" w:themeTint="F2"/>
            </w:rPr>
          </w:pPr>
        </w:p>
        <w:p w14:paraId="568F37DE" w14:textId="77777777" w:rsidR="00986E65" w:rsidRDefault="00986E65">
          <w:pPr>
            <w:rPr>
              <w:rFonts w:ascii="Calibri" w:hAnsi="Calibri" w:cs="Calibri"/>
              <w:color w:val="0D0D0D" w:themeColor="text1" w:themeTint="F2"/>
            </w:rPr>
          </w:pPr>
          <w:r>
            <w:rPr>
              <w:rFonts w:ascii="Calibri" w:hAnsi="Calibri" w:cs="Calibri"/>
              <w:color w:val="0D0D0D" w:themeColor="text1" w:themeTint="F2"/>
            </w:rPr>
            <w:br w:type="page"/>
          </w:r>
        </w:p>
        <w:p w14:paraId="63A87130" w14:textId="77777777" w:rsidR="00E24FA5" w:rsidRPr="00252CDE" w:rsidRDefault="00E24FA5">
          <w:pPr>
            <w:rPr>
              <w:rFonts w:ascii="Calibri" w:hAnsi="Calibri" w:cs="Calibri"/>
              <w:color w:val="0D0D0D" w:themeColor="text1" w:themeTint="F2"/>
            </w:rPr>
          </w:pP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D215ED" w:rsidRPr="00D215ED" w14:paraId="200212E7" w14:textId="77777777" w:rsidTr="005F0F9B">
            <w:sdt>
              <w:sdtPr>
                <w:rPr>
                  <w:rFonts w:ascii="Calibri" w:hAnsi="Calibri" w:cs="Calibri"/>
                  <w:color w:val="153D63" w:themeColor="text2" w:themeTint="E6"/>
                  <w:sz w:val="52"/>
                  <w:szCs w:val="52"/>
                </w:rPr>
                <w:alias w:val="Company"/>
                <w:id w:val="13406915"/>
                <w:placeholder>
                  <w:docPart w:val="86CD6E6DAD724A5584B41C4D08927C65"/>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3FE06EA9" w14:textId="2A0EEFA4" w:rsidR="00E24FA5" w:rsidRPr="00D215ED" w:rsidRDefault="00ED120E">
                    <w:pPr>
                      <w:pStyle w:val="NoSpacing"/>
                      <w:rPr>
                        <w:rFonts w:ascii="Calibri" w:hAnsi="Calibri" w:cs="Calibri"/>
                        <w:color w:val="153D63" w:themeColor="text2" w:themeTint="E6"/>
                        <w:sz w:val="24"/>
                      </w:rPr>
                    </w:pPr>
                    <w:r w:rsidRPr="00D215ED">
                      <w:rPr>
                        <w:rFonts w:ascii="Calibri" w:hAnsi="Calibri" w:cs="Calibri"/>
                        <w:color w:val="153D63" w:themeColor="text2" w:themeTint="E6"/>
                        <w:sz w:val="52"/>
                        <w:szCs w:val="52"/>
                      </w:rPr>
                      <w:t>ECDE7016</w:t>
                    </w:r>
                  </w:p>
                </w:tc>
              </w:sdtContent>
            </w:sdt>
          </w:tr>
          <w:tr w:rsidR="00D215ED" w:rsidRPr="00D215ED" w14:paraId="195356D2" w14:textId="77777777" w:rsidTr="005F0F9B">
            <w:tc>
              <w:tcPr>
                <w:tcW w:w="7209" w:type="dxa"/>
              </w:tcPr>
              <w:sdt>
                <w:sdtPr>
                  <w:rPr>
                    <w:rFonts w:ascii="Calibri" w:eastAsiaTheme="majorEastAsia" w:hAnsi="Calibri" w:cs="Calibri"/>
                    <w:color w:val="153D63" w:themeColor="text2" w:themeTint="E6"/>
                    <w:sz w:val="88"/>
                    <w:szCs w:val="88"/>
                  </w:rPr>
                  <w:alias w:val="Title"/>
                  <w:id w:val="13406919"/>
                  <w:placeholder>
                    <w:docPart w:val="5037EBA90EFF41089AC4031FBC08AA33"/>
                  </w:placeholder>
                  <w:dataBinding w:prefixMappings="xmlns:ns0='http://schemas.openxmlformats.org/package/2006/metadata/core-properties' xmlns:ns1='http://purl.org/dc/elements/1.1/'" w:xpath="/ns0:coreProperties[1]/ns1:title[1]" w:storeItemID="{6C3C8BC8-F283-45AE-878A-BAB7291924A1}"/>
                  <w:text/>
                </w:sdtPr>
                <w:sdtEndPr/>
                <w:sdtContent>
                  <w:p w14:paraId="0A9BE2AA" w14:textId="19BA60C2" w:rsidR="00E24FA5" w:rsidRPr="00D215ED" w:rsidRDefault="00ED120E">
                    <w:pPr>
                      <w:pStyle w:val="NoSpacing"/>
                      <w:spacing w:line="216" w:lineRule="auto"/>
                      <w:rPr>
                        <w:rFonts w:ascii="Calibri" w:eastAsiaTheme="majorEastAsia" w:hAnsi="Calibri" w:cs="Calibri"/>
                        <w:color w:val="153D63" w:themeColor="text2" w:themeTint="E6"/>
                        <w:sz w:val="88"/>
                        <w:szCs w:val="88"/>
                      </w:rPr>
                    </w:pPr>
                    <w:r w:rsidRPr="00D215ED">
                      <w:rPr>
                        <w:rFonts w:ascii="Calibri" w:eastAsiaTheme="majorEastAsia" w:hAnsi="Calibri" w:cs="Calibri"/>
                        <w:color w:val="153D63" w:themeColor="text2" w:themeTint="E6"/>
                        <w:sz w:val="88"/>
                        <w:szCs w:val="88"/>
                      </w:rPr>
                      <w:t>Critical Literature Review</w:t>
                    </w:r>
                  </w:p>
                </w:sdtContent>
              </w:sdt>
            </w:tc>
          </w:tr>
          <w:tr w:rsidR="00D215ED" w:rsidRPr="00D215ED" w14:paraId="1EC8D03E" w14:textId="77777777" w:rsidTr="005F0F9B">
            <w:sdt>
              <w:sdtPr>
                <w:rPr>
                  <w:rFonts w:ascii="Calibri" w:hAnsi="Calibri" w:cs="Calibri"/>
                  <w:color w:val="153D63" w:themeColor="text2" w:themeTint="E6"/>
                  <w:sz w:val="56"/>
                  <w:szCs w:val="56"/>
                </w:rPr>
                <w:alias w:val="Subtitle"/>
                <w:id w:val="13406923"/>
                <w:placeholder>
                  <w:docPart w:val="02BE25ED1B0C4FB5A8B385C1C35C1A22"/>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2D367F92" w14:textId="19880317" w:rsidR="00E24FA5" w:rsidRPr="00D215ED" w:rsidRDefault="00ED120E">
                    <w:pPr>
                      <w:pStyle w:val="NoSpacing"/>
                      <w:rPr>
                        <w:rFonts w:ascii="Calibri" w:hAnsi="Calibri" w:cs="Calibri"/>
                        <w:color w:val="153D63" w:themeColor="text2" w:themeTint="E6"/>
                        <w:sz w:val="24"/>
                      </w:rPr>
                    </w:pPr>
                    <w:r w:rsidRPr="00D215ED">
                      <w:rPr>
                        <w:rFonts w:ascii="Calibri" w:hAnsi="Calibri" w:cs="Calibri"/>
                        <w:color w:val="153D63" w:themeColor="text2" w:themeTint="E6"/>
                        <w:sz w:val="56"/>
                        <w:szCs w:val="56"/>
                      </w:rPr>
                      <w:t>Why Don’t Men Care?</w:t>
                    </w:r>
                    <w:r w:rsidR="00AD11D2" w:rsidRPr="00D215ED">
                      <w:rPr>
                        <w:rFonts w:ascii="Calibri" w:hAnsi="Calibri" w:cs="Calibri"/>
                        <w:color w:val="153D63" w:themeColor="text2" w:themeTint="E6"/>
                        <w:sz w:val="56"/>
                        <w:szCs w:val="56"/>
                      </w:rPr>
                      <w:t xml:space="preserve"> A perspective of gender bias within nurse education</w:t>
                    </w:r>
                  </w:p>
                </w:tc>
              </w:sdtContent>
            </w:sdt>
          </w:tr>
        </w:tbl>
        <w:tbl>
          <w:tblPr>
            <w:tblpPr w:leftFromText="187" w:rightFromText="187" w:vertAnchor="page" w:horzAnchor="margin" w:tblpXSpec="center" w:tblpY="10745"/>
            <w:tblW w:w="3857" w:type="pct"/>
            <w:tblLook w:val="04A0" w:firstRow="1" w:lastRow="0" w:firstColumn="1" w:lastColumn="0" w:noHBand="0" w:noVBand="1"/>
          </w:tblPr>
          <w:tblGrid>
            <w:gridCol w:w="6963"/>
          </w:tblGrid>
          <w:tr w:rsidR="00D215ED" w:rsidRPr="00D215ED" w14:paraId="5EED2103" w14:textId="77777777" w:rsidTr="00600BAD">
            <w:tc>
              <w:tcPr>
                <w:tcW w:w="6963" w:type="dxa"/>
                <w:tcMar>
                  <w:top w:w="216" w:type="dxa"/>
                  <w:left w:w="115" w:type="dxa"/>
                  <w:bottom w:w="216" w:type="dxa"/>
                  <w:right w:w="115" w:type="dxa"/>
                </w:tcMar>
              </w:tcPr>
              <w:sdt>
                <w:sdtPr>
                  <w:rPr>
                    <w:rFonts w:ascii="Calibri" w:hAnsi="Calibri" w:cs="Calibri"/>
                    <w:color w:val="153D63" w:themeColor="text2" w:themeTint="E6"/>
                    <w:sz w:val="56"/>
                    <w:szCs w:val="56"/>
                  </w:rPr>
                  <w:alias w:val="Author"/>
                  <w:id w:val="13406928"/>
                  <w:placeholder>
                    <w:docPart w:val="AE8AEB6961744DFF90EA49A193F1E998"/>
                  </w:placeholder>
                  <w:dataBinding w:prefixMappings="xmlns:ns0='http://schemas.openxmlformats.org/package/2006/metadata/core-properties' xmlns:ns1='http://purl.org/dc/elements/1.1/'" w:xpath="/ns0:coreProperties[1]/ns1:creator[1]" w:storeItemID="{6C3C8BC8-F283-45AE-878A-BAB7291924A1}"/>
                  <w:text/>
                </w:sdtPr>
                <w:sdtEndPr/>
                <w:sdtContent>
                  <w:p w14:paraId="29FD8036" w14:textId="23BC79B8" w:rsidR="00600BAD" w:rsidRPr="00D215ED" w:rsidRDefault="00600BAD" w:rsidP="00600BAD">
                    <w:pPr>
                      <w:pStyle w:val="NoSpacing"/>
                      <w:rPr>
                        <w:rFonts w:ascii="Calibri" w:hAnsi="Calibri" w:cs="Calibri"/>
                        <w:color w:val="153D63" w:themeColor="text2" w:themeTint="E6"/>
                        <w:sz w:val="56"/>
                        <w:szCs w:val="56"/>
                      </w:rPr>
                    </w:pPr>
                    <w:r w:rsidRPr="00D215ED">
                      <w:rPr>
                        <w:rFonts w:ascii="Calibri" w:hAnsi="Calibri" w:cs="Calibri"/>
                        <w:color w:val="153D63" w:themeColor="text2" w:themeTint="E6"/>
                        <w:sz w:val="56"/>
                        <w:szCs w:val="56"/>
                      </w:rPr>
                      <w:t>Donna</w:t>
                    </w:r>
                    <w:r w:rsidR="00EF2158">
                      <w:rPr>
                        <w:rFonts w:ascii="Calibri" w:hAnsi="Calibri" w:cs="Calibri"/>
                        <w:color w:val="153D63" w:themeColor="text2" w:themeTint="E6"/>
                        <w:sz w:val="56"/>
                        <w:szCs w:val="56"/>
                      </w:rPr>
                      <w:t xml:space="preserve"> </w:t>
                    </w:r>
                    <w:r w:rsidRPr="00D215ED">
                      <w:rPr>
                        <w:rFonts w:ascii="Calibri" w:hAnsi="Calibri" w:cs="Calibri"/>
                        <w:color w:val="153D63" w:themeColor="text2" w:themeTint="E6"/>
                        <w:sz w:val="56"/>
                        <w:szCs w:val="56"/>
                      </w:rPr>
                      <w:t>Morgan</w:t>
                    </w:r>
                  </w:p>
                </w:sdtContent>
              </w:sdt>
              <w:sdt>
                <w:sdtPr>
                  <w:rPr>
                    <w:rFonts w:ascii="Calibri" w:hAnsi="Calibri" w:cs="Calibri"/>
                    <w:color w:val="153D63" w:themeColor="text2" w:themeTint="E6"/>
                    <w:sz w:val="48"/>
                    <w:szCs w:val="48"/>
                  </w:rPr>
                  <w:alias w:val="Date"/>
                  <w:tag w:val="Date"/>
                  <w:id w:val="13406932"/>
                  <w:placeholder>
                    <w:docPart w:val="158F1DAC467D49F99AEEED565F7C551E"/>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D2C6A69" w14:textId="77777777" w:rsidR="00600BAD" w:rsidRPr="00D215ED" w:rsidRDefault="00600BAD" w:rsidP="00600BAD">
                    <w:pPr>
                      <w:pStyle w:val="NoSpacing"/>
                      <w:rPr>
                        <w:rFonts w:ascii="Calibri" w:hAnsi="Calibri" w:cs="Calibri"/>
                        <w:color w:val="153D63" w:themeColor="text2" w:themeTint="E6"/>
                        <w:sz w:val="48"/>
                        <w:szCs w:val="48"/>
                      </w:rPr>
                    </w:pPr>
                    <w:r w:rsidRPr="00D215ED">
                      <w:rPr>
                        <w:rFonts w:ascii="Calibri" w:hAnsi="Calibri" w:cs="Calibri"/>
                        <w:color w:val="153D63" w:themeColor="text2" w:themeTint="E6"/>
                        <w:sz w:val="48"/>
                        <w:szCs w:val="48"/>
                      </w:rPr>
                      <w:t>1051704</w:t>
                    </w:r>
                  </w:p>
                </w:sdtContent>
              </w:sdt>
              <w:p w14:paraId="2BFB3355" w14:textId="77777777" w:rsidR="00600BAD" w:rsidRPr="00D215ED" w:rsidRDefault="00600BAD" w:rsidP="00600BAD">
                <w:pPr>
                  <w:pStyle w:val="NoSpacing"/>
                  <w:rPr>
                    <w:rFonts w:ascii="Calibri" w:hAnsi="Calibri" w:cs="Calibri"/>
                    <w:color w:val="153D63" w:themeColor="text2" w:themeTint="E6"/>
                  </w:rPr>
                </w:pPr>
              </w:p>
            </w:tc>
          </w:tr>
        </w:tbl>
        <w:p w14:paraId="7B1A3012" w14:textId="168F3401" w:rsidR="00E24FA5" w:rsidRPr="00252CDE" w:rsidRDefault="00B3324D">
          <w:pPr>
            <w:rPr>
              <w:rFonts w:ascii="Calibri" w:hAnsi="Calibri" w:cs="Calibri"/>
              <w:b/>
              <w:bCs/>
              <w:color w:val="0D0D0D" w:themeColor="text1" w:themeTint="F2"/>
            </w:rPr>
          </w:pPr>
          <w:r w:rsidRPr="00252CDE">
            <w:rPr>
              <w:rFonts w:ascii="Calibri" w:hAnsi="Calibri" w:cs="Calibri"/>
              <w:b/>
              <w:bCs/>
              <w:noProof/>
              <w:color w:val="0D0D0D" w:themeColor="text1" w:themeTint="F2"/>
            </w:rPr>
            <mc:AlternateContent>
              <mc:Choice Requires="wps">
                <w:drawing>
                  <wp:anchor distT="45720" distB="45720" distL="114300" distR="114300" simplePos="0" relativeHeight="251659264" behindDoc="0" locked="0" layoutInCell="1" allowOverlap="1" wp14:anchorId="3FA64A82" wp14:editId="16E6C47B">
                    <wp:simplePos x="0" y="0"/>
                    <wp:positionH relativeFrom="column">
                      <wp:posOffset>665480</wp:posOffset>
                    </wp:positionH>
                    <wp:positionV relativeFrom="paragraph">
                      <wp:posOffset>5106670</wp:posOffset>
                    </wp:positionV>
                    <wp:extent cx="2360930" cy="1404620"/>
                    <wp:effectExtent l="0" t="0" r="1270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73214AD2" w14:textId="54F8D6CB" w:rsidR="00D842AD" w:rsidRPr="00C967E0" w:rsidRDefault="00D842AD">
                                <w:pPr>
                                  <w:rPr>
                                    <w:color w:val="156082" w:themeColor="accent1"/>
                                  </w:rPr>
                                </w:pPr>
                                <w:r w:rsidRPr="00C967E0">
                                  <w:rPr>
                                    <w:color w:val="156082" w:themeColor="accent1"/>
                                  </w:rPr>
                                  <w:t xml:space="preserve">Word Count </w:t>
                                </w:r>
                                <w:r w:rsidR="00385B3A">
                                  <w:rPr>
                                    <w:color w:val="156082" w:themeColor="accent1"/>
                                  </w:rPr>
                                  <w:t>–</w:t>
                                </w:r>
                                <w:r w:rsidR="00C967E0" w:rsidRPr="00C967E0">
                                  <w:rPr>
                                    <w:color w:val="156082" w:themeColor="accent1"/>
                                  </w:rPr>
                                  <w:t xml:space="preserve"> </w:t>
                                </w:r>
                                <w:r w:rsidR="00385B3A">
                                  <w:rPr>
                                    <w:color w:val="156082" w:themeColor="accent1"/>
                                  </w:rPr>
                                  <w:t>7,046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FA64A82" id="_x0000_t202" coordsize="21600,21600" o:spt="202" path="m,l,21600r21600,l21600,xe">
                    <v:stroke joinstyle="miter"/>
                    <v:path gradientshapeok="t" o:connecttype="rect"/>
                  </v:shapetype>
                  <v:shape id="Text Box 2" o:spid="_x0000_s1026" type="#_x0000_t202" style="position:absolute;margin-left:52.4pt;margin-top:402.1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" strokecolor="white [3212]">
                    <v:textbox style="mso-fit-shape-to-text:t">
                      <w:txbxContent>
                        <w:p w14:paraId="73214AD2" w14:textId="54F8D6CB" w:rsidR="00D842AD" w:rsidRPr="00C967E0" w:rsidRDefault="00D842AD">
                          <w:pPr>
                            <w:rPr>
                              <w:color w:val="156082" w:themeColor="accent1"/>
                            </w:rPr>
                          </w:pPr>
                          <w:r w:rsidRPr="00C967E0">
                            <w:rPr>
                              <w:color w:val="156082" w:themeColor="accent1"/>
                            </w:rPr>
                            <w:t xml:space="preserve">Word Count </w:t>
                          </w:r>
                          <w:r w:rsidR="00385B3A">
                            <w:rPr>
                              <w:color w:val="156082" w:themeColor="accent1"/>
                            </w:rPr>
                            <w:t>–</w:t>
                          </w:r>
                          <w:r w:rsidR="00C967E0" w:rsidRPr="00C967E0">
                            <w:rPr>
                              <w:color w:val="156082" w:themeColor="accent1"/>
                            </w:rPr>
                            <w:t xml:space="preserve"> </w:t>
                          </w:r>
                          <w:r w:rsidR="00385B3A">
                            <w:rPr>
                              <w:color w:val="156082" w:themeColor="accent1"/>
                            </w:rPr>
                            <w:t>7,046</w:t>
                          </w:r>
                        </w:p>
                      </w:txbxContent>
                    </v:textbox>
                    <w10:wrap type="square"/>
                  </v:shape>
                </w:pict>
              </mc:Fallback>
            </mc:AlternateContent>
          </w:r>
          <w:r w:rsidR="00E24FA5" w:rsidRPr="00252CDE">
            <w:rPr>
              <w:rFonts w:ascii="Calibri" w:hAnsi="Calibri" w:cs="Calibri"/>
              <w:b/>
              <w:bCs/>
              <w:color w:val="0D0D0D" w:themeColor="text1" w:themeTint="F2"/>
            </w:rPr>
            <w:br w:type="page"/>
          </w:r>
        </w:p>
      </w:sdtContent>
    </w:sdt>
    <w:p w14:paraId="40AD33E8" w14:textId="4246C2BF" w:rsidR="00E24FA5" w:rsidRPr="00252CDE" w:rsidRDefault="00ED120E" w:rsidP="00E24FA5">
      <w:pPr>
        <w:rPr>
          <w:rFonts w:ascii="Calibri" w:hAnsi="Calibri" w:cs="Calibri"/>
          <w:b/>
          <w:bCs/>
          <w:color w:val="0D0D0D" w:themeColor="text1" w:themeTint="F2"/>
          <w:sz w:val="28"/>
          <w:szCs w:val="28"/>
          <w:u w:val="single"/>
        </w:rPr>
      </w:pPr>
      <w:r w:rsidRPr="00252CDE">
        <w:rPr>
          <w:rFonts w:ascii="Calibri" w:hAnsi="Calibri" w:cs="Calibri"/>
          <w:b/>
          <w:bCs/>
          <w:color w:val="0D0D0D" w:themeColor="text1" w:themeTint="F2"/>
          <w:sz w:val="28"/>
          <w:szCs w:val="28"/>
          <w:u w:val="single"/>
        </w:rPr>
        <w:lastRenderedPageBreak/>
        <w:t>Contents Page</w:t>
      </w:r>
    </w:p>
    <w:p w14:paraId="6243A7E9" w14:textId="77777777" w:rsidR="00ED120E" w:rsidRPr="00252CDE" w:rsidRDefault="00ED120E" w:rsidP="00E24FA5">
      <w:pPr>
        <w:rPr>
          <w:rFonts w:ascii="Calibri" w:hAnsi="Calibri" w:cs="Calibri"/>
          <w:b/>
          <w:bCs/>
          <w:color w:val="0D0D0D" w:themeColor="text1" w:themeTint="F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1"/>
        <w:gridCol w:w="708"/>
        <w:gridCol w:w="6804"/>
        <w:gridCol w:w="426"/>
        <w:gridCol w:w="657"/>
      </w:tblGrid>
      <w:tr w:rsidR="00252CDE" w:rsidRPr="00252CDE" w14:paraId="2275617D" w14:textId="77777777" w:rsidTr="00E26682">
        <w:tc>
          <w:tcPr>
            <w:tcW w:w="421" w:type="dxa"/>
          </w:tcPr>
          <w:p w14:paraId="23D13808" w14:textId="706B8BD5" w:rsidR="00ED120E" w:rsidRPr="00252CDE" w:rsidRDefault="00ED120E">
            <w:pPr>
              <w:rPr>
                <w:rFonts w:ascii="Calibri" w:hAnsi="Calibri" w:cs="Calibri"/>
                <w:b/>
                <w:bCs/>
                <w:color w:val="0D0D0D" w:themeColor="text1" w:themeTint="F2"/>
              </w:rPr>
            </w:pPr>
            <w:r w:rsidRPr="00252CDE">
              <w:rPr>
                <w:rFonts w:ascii="Calibri" w:hAnsi="Calibri" w:cs="Calibri"/>
                <w:b/>
                <w:bCs/>
                <w:color w:val="0D0D0D" w:themeColor="text1" w:themeTint="F2"/>
              </w:rPr>
              <w:t>1</w:t>
            </w:r>
          </w:p>
        </w:tc>
        <w:tc>
          <w:tcPr>
            <w:tcW w:w="7512" w:type="dxa"/>
            <w:gridSpan w:val="2"/>
          </w:tcPr>
          <w:p w14:paraId="41716921" w14:textId="59BC0C40" w:rsidR="00ED120E" w:rsidRPr="00252CDE" w:rsidRDefault="00ED120E" w:rsidP="00ED120E">
            <w:pPr>
              <w:spacing w:line="360" w:lineRule="auto"/>
              <w:rPr>
                <w:rFonts w:ascii="Calibri" w:hAnsi="Calibri" w:cs="Calibri"/>
                <w:b/>
                <w:bCs/>
                <w:color w:val="0D0D0D" w:themeColor="text1" w:themeTint="F2"/>
              </w:rPr>
            </w:pPr>
            <w:r w:rsidRPr="00252CDE">
              <w:rPr>
                <w:rFonts w:ascii="Calibri" w:hAnsi="Calibri" w:cs="Calibri"/>
                <w:b/>
                <w:bCs/>
                <w:color w:val="0D0D0D" w:themeColor="text1" w:themeTint="F2"/>
              </w:rPr>
              <w:t>Introduction</w:t>
            </w:r>
          </w:p>
        </w:tc>
        <w:tc>
          <w:tcPr>
            <w:tcW w:w="426" w:type="dxa"/>
          </w:tcPr>
          <w:p w14:paraId="36DAF792" w14:textId="77777777" w:rsidR="00ED120E" w:rsidRPr="00252CDE" w:rsidRDefault="00ED120E">
            <w:pPr>
              <w:rPr>
                <w:rFonts w:ascii="Calibri" w:hAnsi="Calibri" w:cs="Calibri"/>
                <w:b/>
                <w:bCs/>
                <w:color w:val="0D0D0D" w:themeColor="text1" w:themeTint="F2"/>
              </w:rPr>
            </w:pPr>
          </w:p>
        </w:tc>
        <w:tc>
          <w:tcPr>
            <w:tcW w:w="657" w:type="dxa"/>
          </w:tcPr>
          <w:p w14:paraId="09587B0D" w14:textId="4E9E888F" w:rsidR="00ED120E" w:rsidRPr="00252CDE" w:rsidRDefault="00ED120E">
            <w:pPr>
              <w:rPr>
                <w:rFonts w:ascii="Calibri" w:hAnsi="Calibri" w:cs="Calibri"/>
                <w:b/>
                <w:bCs/>
                <w:color w:val="0D0D0D" w:themeColor="text1" w:themeTint="F2"/>
              </w:rPr>
            </w:pPr>
          </w:p>
        </w:tc>
      </w:tr>
      <w:tr w:rsidR="00252CDE" w:rsidRPr="00252CDE" w14:paraId="2BBA25E1" w14:textId="77777777" w:rsidTr="00E26682">
        <w:tc>
          <w:tcPr>
            <w:tcW w:w="421" w:type="dxa"/>
          </w:tcPr>
          <w:p w14:paraId="60EE18F9" w14:textId="77777777" w:rsidR="003A59E4" w:rsidRPr="00252CDE" w:rsidRDefault="003A59E4">
            <w:pPr>
              <w:rPr>
                <w:rFonts w:ascii="Calibri" w:hAnsi="Calibri" w:cs="Calibri"/>
                <w:b/>
                <w:bCs/>
                <w:color w:val="0D0D0D" w:themeColor="text1" w:themeTint="F2"/>
              </w:rPr>
            </w:pPr>
          </w:p>
        </w:tc>
        <w:tc>
          <w:tcPr>
            <w:tcW w:w="708" w:type="dxa"/>
          </w:tcPr>
          <w:p w14:paraId="0C29C1FE" w14:textId="570A23C2" w:rsidR="003A59E4" w:rsidRPr="00252CDE" w:rsidRDefault="003A59E4"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1.1</w:t>
            </w:r>
          </w:p>
        </w:tc>
        <w:tc>
          <w:tcPr>
            <w:tcW w:w="6804" w:type="dxa"/>
          </w:tcPr>
          <w:p w14:paraId="3903EEFC" w14:textId="05C8FCD6"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Rationale and Personal Interest</w:t>
            </w:r>
          </w:p>
        </w:tc>
        <w:tc>
          <w:tcPr>
            <w:tcW w:w="426" w:type="dxa"/>
          </w:tcPr>
          <w:p w14:paraId="66F41ED9" w14:textId="77777777" w:rsidR="003A59E4" w:rsidRPr="00252CDE" w:rsidRDefault="003A59E4">
            <w:pPr>
              <w:rPr>
                <w:rFonts w:ascii="Calibri" w:hAnsi="Calibri" w:cs="Calibri"/>
                <w:b/>
                <w:bCs/>
                <w:color w:val="0D0D0D" w:themeColor="text1" w:themeTint="F2"/>
              </w:rPr>
            </w:pPr>
          </w:p>
        </w:tc>
        <w:tc>
          <w:tcPr>
            <w:tcW w:w="657" w:type="dxa"/>
          </w:tcPr>
          <w:p w14:paraId="3E505ADA" w14:textId="1735C652" w:rsidR="003A59E4" w:rsidRPr="00252CDE" w:rsidRDefault="00814D9A">
            <w:pPr>
              <w:rPr>
                <w:rFonts w:ascii="Calibri" w:hAnsi="Calibri" w:cs="Calibri"/>
                <w:b/>
                <w:bCs/>
                <w:color w:val="0D0D0D" w:themeColor="text1" w:themeTint="F2"/>
              </w:rPr>
            </w:pPr>
            <w:r>
              <w:rPr>
                <w:rFonts w:ascii="Calibri" w:hAnsi="Calibri" w:cs="Calibri"/>
                <w:b/>
                <w:bCs/>
                <w:color w:val="0D0D0D" w:themeColor="text1" w:themeTint="F2"/>
              </w:rPr>
              <w:t>5</w:t>
            </w:r>
          </w:p>
        </w:tc>
      </w:tr>
      <w:tr w:rsidR="00252CDE" w:rsidRPr="00252CDE" w14:paraId="06CFAAC4" w14:textId="77777777" w:rsidTr="00E26682">
        <w:tc>
          <w:tcPr>
            <w:tcW w:w="421" w:type="dxa"/>
          </w:tcPr>
          <w:p w14:paraId="3C442C1B" w14:textId="77777777" w:rsidR="003A59E4" w:rsidRPr="00252CDE" w:rsidRDefault="003A59E4">
            <w:pPr>
              <w:rPr>
                <w:rFonts w:ascii="Calibri" w:hAnsi="Calibri" w:cs="Calibri"/>
                <w:b/>
                <w:bCs/>
                <w:color w:val="0D0D0D" w:themeColor="text1" w:themeTint="F2"/>
              </w:rPr>
            </w:pPr>
          </w:p>
        </w:tc>
        <w:tc>
          <w:tcPr>
            <w:tcW w:w="708" w:type="dxa"/>
          </w:tcPr>
          <w:p w14:paraId="1F4BE38F" w14:textId="5E3BE2E4" w:rsidR="003A59E4" w:rsidRPr="00252CDE" w:rsidRDefault="003A59E4"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1.2</w:t>
            </w:r>
          </w:p>
        </w:tc>
        <w:tc>
          <w:tcPr>
            <w:tcW w:w="6804" w:type="dxa"/>
          </w:tcPr>
          <w:p w14:paraId="3D65AEFB" w14:textId="6AE97D21"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Researcher Positionality</w:t>
            </w:r>
          </w:p>
        </w:tc>
        <w:tc>
          <w:tcPr>
            <w:tcW w:w="426" w:type="dxa"/>
          </w:tcPr>
          <w:p w14:paraId="00F69859" w14:textId="77777777" w:rsidR="003A59E4" w:rsidRPr="00252CDE" w:rsidRDefault="003A59E4">
            <w:pPr>
              <w:rPr>
                <w:rFonts w:ascii="Calibri" w:hAnsi="Calibri" w:cs="Calibri"/>
                <w:b/>
                <w:bCs/>
                <w:color w:val="0D0D0D" w:themeColor="text1" w:themeTint="F2"/>
              </w:rPr>
            </w:pPr>
          </w:p>
        </w:tc>
        <w:tc>
          <w:tcPr>
            <w:tcW w:w="657" w:type="dxa"/>
          </w:tcPr>
          <w:p w14:paraId="0F3F348C" w14:textId="774429E0" w:rsidR="003A59E4" w:rsidRPr="00252CDE" w:rsidRDefault="00196533">
            <w:pPr>
              <w:rPr>
                <w:rFonts w:ascii="Calibri" w:hAnsi="Calibri" w:cs="Calibri"/>
                <w:b/>
                <w:bCs/>
                <w:color w:val="0D0D0D" w:themeColor="text1" w:themeTint="F2"/>
              </w:rPr>
            </w:pPr>
            <w:r>
              <w:rPr>
                <w:rFonts w:ascii="Calibri" w:hAnsi="Calibri" w:cs="Calibri"/>
                <w:b/>
                <w:bCs/>
                <w:color w:val="0D0D0D" w:themeColor="text1" w:themeTint="F2"/>
              </w:rPr>
              <w:t>6</w:t>
            </w:r>
          </w:p>
        </w:tc>
      </w:tr>
      <w:tr w:rsidR="00252CDE" w:rsidRPr="00252CDE" w14:paraId="4A3F2235" w14:textId="77777777" w:rsidTr="00E26682">
        <w:tc>
          <w:tcPr>
            <w:tcW w:w="421" w:type="dxa"/>
          </w:tcPr>
          <w:p w14:paraId="6AF63E3C" w14:textId="77777777" w:rsidR="003A59E4" w:rsidRPr="00252CDE" w:rsidRDefault="003A59E4">
            <w:pPr>
              <w:rPr>
                <w:rFonts w:ascii="Calibri" w:hAnsi="Calibri" w:cs="Calibri"/>
                <w:b/>
                <w:bCs/>
                <w:color w:val="0D0D0D" w:themeColor="text1" w:themeTint="F2"/>
              </w:rPr>
            </w:pPr>
          </w:p>
        </w:tc>
        <w:tc>
          <w:tcPr>
            <w:tcW w:w="708" w:type="dxa"/>
          </w:tcPr>
          <w:p w14:paraId="67D6E041" w14:textId="04B64685" w:rsidR="003A59E4" w:rsidRPr="00252CDE" w:rsidRDefault="003A59E4"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1.3</w:t>
            </w:r>
          </w:p>
        </w:tc>
        <w:tc>
          <w:tcPr>
            <w:tcW w:w="6804" w:type="dxa"/>
          </w:tcPr>
          <w:p w14:paraId="396604E7" w14:textId="6ABC23B3"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Overview of the Literature Review</w:t>
            </w:r>
          </w:p>
        </w:tc>
        <w:tc>
          <w:tcPr>
            <w:tcW w:w="426" w:type="dxa"/>
          </w:tcPr>
          <w:p w14:paraId="19D6E7A3" w14:textId="77777777" w:rsidR="003A59E4" w:rsidRPr="00252CDE" w:rsidRDefault="003A59E4">
            <w:pPr>
              <w:rPr>
                <w:rFonts w:ascii="Calibri" w:hAnsi="Calibri" w:cs="Calibri"/>
                <w:b/>
                <w:bCs/>
                <w:color w:val="0D0D0D" w:themeColor="text1" w:themeTint="F2"/>
              </w:rPr>
            </w:pPr>
          </w:p>
        </w:tc>
        <w:tc>
          <w:tcPr>
            <w:tcW w:w="657" w:type="dxa"/>
          </w:tcPr>
          <w:p w14:paraId="64812A42" w14:textId="7034F657" w:rsidR="003A59E4" w:rsidRPr="00252CDE" w:rsidRDefault="00196533">
            <w:pPr>
              <w:rPr>
                <w:rFonts w:ascii="Calibri" w:hAnsi="Calibri" w:cs="Calibri"/>
                <w:b/>
                <w:bCs/>
                <w:color w:val="0D0D0D" w:themeColor="text1" w:themeTint="F2"/>
              </w:rPr>
            </w:pPr>
            <w:r>
              <w:rPr>
                <w:rFonts w:ascii="Calibri" w:hAnsi="Calibri" w:cs="Calibri"/>
                <w:b/>
                <w:bCs/>
                <w:color w:val="0D0D0D" w:themeColor="text1" w:themeTint="F2"/>
              </w:rPr>
              <w:t>7</w:t>
            </w:r>
          </w:p>
        </w:tc>
      </w:tr>
      <w:tr w:rsidR="00252CDE" w:rsidRPr="00252CDE" w14:paraId="2557D156" w14:textId="77777777" w:rsidTr="00E26682">
        <w:tc>
          <w:tcPr>
            <w:tcW w:w="421" w:type="dxa"/>
          </w:tcPr>
          <w:p w14:paraId="7D620E48" w14:textId="77777777" w:rsidR="005B6463" w:rsidRPr="00252CDE" w:rsidRDefault="005B6463">
            <w:pPr>
              <w:rPr>
                <w:rFonts w:ascii="Calibri" w:hAnsi="Calibri" w:cs="Calibri"/>
                <w:b/>
                <w:bCs/>
                <w:color w:val="0D0D0D" w:themeColor="text1" w:themeTint="F2"/>
              </w:rPr>
            </w:pPr>
          </w:p>
        </w:tc>
        <w:tc>
          <w:tcPr>
            <w:tcW w:w="708" w:type="dxa"/>
          </w:tcPr>
          <w:p w14:paraId="35CAD0C6" w14:textId="77777777" w:rsidR="005B6463" w:rsidRPr="00252CDE" w:rsidRDefault="005B6463" w:rsidP="00ED120E">
            <w:pPr>
              <w:spacing w:line="360" w:lineRule="auto"/>
              <w:rPr>
                <w:rFonts w:ascii="Calibri" w:hAnsi="Calibri" w:cs="Calibri"/>
                <w:b/>
                <w:bCs/>
                <w:color w:val="0D0D0D" w:themeColor="text1" w:themeTint="F2"/>
              </w:rPr>
            </w:pPr>
          </w:p>
        </w:tc>
        <w:tc>
          <w:tcPr>
            <w:tcW w:w="6804" w:type="dxa"/>
          </w:tcPr>
          <w:p w14:paraId="40B81612" w14:textId="77777777" w:rsidR="005B6463" w:rsidRPr="00252CDE" w:rsidRDefault="005B6463" w:rsidP="00ED120E">
            <w:pPr>
              <w:spacing w:line="360" w:lineRule="auto"/>
              <w:rPr>
                <w:rFonts w:ascii="Calibri" w:hAnsi="Calibri" w:cs="Calibri"/>
                <w:b/>
                <w:bCs/>
                <w:color w:val="0D0D0D" w:themeColor="text1" w:themeTint="F2"/>
              </w:rPr>
            </w:pPr>
          </w:p>
        </w:tc>
        <w:tc>
          <w:tcPr>
            <w:tcW w:w="426" w:type="dxa"/>
          </w:tcPr>
          <w:p w14:paraId="713377B8" w14:textId="77777777" w:rsidR="005B6463" w:rsidRPr="00252CDE" w:rsidRDefault="005B6463">
            <w:pPr>
              <w:rPr>
                <w:rFonts w:ascii="Calibri" w:hAnsi="Calibri" w:cs="Calibri"/>
                <w:b/>
                <w:bCs/>
                <w:color w:val="0D0D0D" w:themeColor="text1" w:themeTint="F2"/>
              </w:rPr>
            </w:pPr>
          </w:p>
        </w:tc>
        <w:tc>
          <w:tcPr>
            <w:tcW w:w="657" w:type="dxa"/>
          </w:tcPr>
          <w:p w14:paraId="5E84BD1C" w14:textId="77777777" w:rsidR="005B6463" w:rsidRPr="00252CDE" w:rsidRDefault="005B6463">
            <w:pPr>
              <w:rPr>
                <w:rFonts w:ascii="Calibri" w:hAnsi="Calibri" w:cs="Calibri"/>
                <w:b/>
                <w:bCs/>
                <w:color w:val="0D0D0D" w:themeColor="text1" w:themeTint="F2"/>
              </w:rPr>
            </w:pPr>
          </w:p>
        </w:tc>
      </w:tr>
      <w:tr w:rsidR="00252CDE" w:rsidRPr="00252CDE" w14:paraId="1DF43B8D" w14:textId="77777777" w:rsidTr="00E26682">
        <w:tc>
          <w:tcPr>
            <w:tcW w:w="421" w:type="dxa"/>
          </w:tcPr>
          <w:p w14:paraId="3CEC5BFE" w14:textId="4EB27D44" w:rsidR="00ED120E" w:rsidRPr="00252CDE" w:rsidRDefault="00ED120E">
            <w:pPr>
              <w:rPr>
                <w:rFonts w:ascii="Calibri" w:hAnsi="Calibri" w:cs="Calibri"/>
                <w:b/>
                <w:bCs/>
                <w:color w:val="0D0D0D" w:themeColor="text1" w:themeTint="F2"/>
              </w:rPr>
            </w:pPr>
            <w:r w:rsidRPr="00252CDE">
              <w:rPr>
                <w:rFonts w:ascii="Calibri" w:hAnsi="Calibri" w:cs="Calibri"/>
                <w:b/>
                <w:bCs/>
                <w:color w:val="0D0D0D" w:themeColor="text1" w:themeTint="F2"/>
              </w:rPr>
              <w:t>2</w:t>
            </w:r>
          </w:p>
        </w:tc>
        <w:tc>
          <w:tcPr>
            <w:tcW w:w="7512" w:type="dxa"/>
            <w:gridSpan w:val="2"/>
          </w:tcPr>
          <w:p w14:paraId="4E5790C9" w14:textId="7E8065C9" w:rsidR="00ED120E" w:rsidRPr="00252CDE" w:rsidRDefault="00ED120E" w:rsidP="00ED120E">
            <w:pPr>
              <w:spacing w:line="360" w:lineRule="auto"/>
              <w:rPr>
                <w:rFonts w:ascii="Calibri" w:hAnsi="Calibri" w:cs="Calibri"/>
                <w:b/>
                <w:bCs/>
                <w:color w:val="0D0D0D" w:themeColor="text1" w:themeTint="F2"/>
              </w:rPr>
            </w:pPr>
            <w:r w:rsidRPr="00252CDE">
              <w:rPr>
                <w:rFonts w:ascii="Calibri" w:hAnsi="Calibri" w:cs="Calibri"/>
                <w:b/>
                <w:bCs/>
                <w:color w:val="0D0D0D" w:themeColor="text1" w:themeTint="F2"/>
              </w:rPr>
              <w:t>Search Strategy</w:t>
            </w:r>
          </w:p>
        </w:tc>
        <w:tc>
          <w:tcPr>
            <w:tcW w:w="426" w:type="dxa"/>
          </w:tcPr>
          <w:p w14:paraId="105A4FC1" w14:textId="77777777" w:rsidR="00ED120E" w:rsidRPr="00252CDE" w:rsidRDefault="00ED120E">
            <w:pPr>
              <w:rPr>
                <w:rFonts w:ascii="Calibri" w:hAnsi="Calibri" w:cs="Calibri"/>
                <w:b/>
                <w:bCs/>
                <w:color w:val="0D0D0D" w:themeColor="text1" w:themeTint="F2"/>
              </w:rPr>
            </w:pPr>
          </w:p>
        </w:tc>
        <w:tc>
          <w:tcPr>
            <w:tcW w:w="657" w:type="dxa"/>
          </w:tcPr>
          <w:p w14:paraId="73B265B1" w14:textId="77777777" w:rsidR="00ED120E" w:rsidRPr="00252CDE" w:rsidRDefault="00ED120E">
            <w:pPr>
              <w:rPr>
                <w:rFonts w:ascii="Calibri" w:hAnsi="Calibri" w:cs="Calibri"/>
                <w:b/>
                <w:bCs/>
                <w:color w:val="0D0D0D" w:themeColor="text1" w:themeTint="F2"/>
              </w:rPr>
            </w:pPr>
          </w:p>
        </w:tc>
      </w:tr>
      <w:tr w:rsidR="00252CDE" w:rsidRPr="00252CDE" w14:paraId="381707BF" w14:textId="77777777" w:rsidTr="00E26682">
        <w:tc>
          <w:tcPr>
            <w:tcW w:w="421" w:type="dxa"/>
          </w:tcPr>
          <w:p w14:paraId="4306569D" w14:textId="77777777" w:rsidR="003A59E4" w:rsidRPr="00252CDE" w:rsidRDefault="003A59E4">
            <w:pPr>
              <w:rPr>
                <w:rFonts w:ascii="Calibri" w:hAnsi="Calibri" w:cs="Calibri"/>
                <w:b/>
                <w:bCs/>
                <w:color w:val="0D0D0D" w:themeColor="text1" w:themeTint="F2"/>
              </w:rPr>
            </w:pPr>
          </w:p>
        </w:tc>
        <w:tc>
          <w:tcPr>
            <w:tcW w:w="708" w:type="dxa"/>
          </w:tcPr>
          <w:p w14:paraId="3D9D5AA0" w14:textId="394E6CCF"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2.1</w:t>
            </w:r>
          </w:p>
        </w:tc>
        <w:tc>
          <w:tcPr>
            <w:tcW w:w="6804" w:type="dxa"/>
          </w:tcPr>
          <w:p w14:paraId="58AA9420" w14:textId="3C79C218"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Literature Search Terms</w:t>
            </w:r>
          </w:p>
        </w:tc>
        <w:tc>
          <w:tcPr>
            <w:tcW w:w="426" w:type="dxa"/>
          </w:tcPr>
          <w:p w14:paraId="23016DF6" w14:textId="77777777" w:rsidR="003A59E4" w:rsidRPr="00252CDE" w:rsidRDefault="003A59E4">
            <w:pPr>
              <w:rPr>
                <w:rFonts w:ascii="Calibri" w:hAnsi="Calibri" w:cs="Calibri"/>
                <w:b/>
                <w:bCs/>
                <w:color w:val="0D0D0D" w:themeColor="text1" w:themeTint="F2"/>
              </w:rPr>
            </w:pPr>
          </w:p>
        </w:tc>
        <w:tc>
          <w:tcPr>
            <w:tcW w:w="657" w:type="dxa"/>
          </w:tcPr>
          <w:p w14:paraId="08E44425" w14:textId="0CFC6F9B" w:rsidR="003A59E4" w:rsidRPr="00252CDE" w:rsidRDefault="00196533">
            <w:pPr>
              <w:rPr>
                <w:rFonts w:ascii="Calibri" w:hAnsi="Calibri" w:cs="Calibri"/>
                <w:b/>
                <w:bCs/>
                <w:color w:val="0D0D0D" w:themeColor="text1" w:themeTint="F2"/>
              </w:rPr>
            </w:pPr>
            <w:r>
              <w:rPr>
                <w:rFonts w:ascii="Calibri" w:hAnsi="Calibri" w:cs="Calibri"/>
                <w:b/>
                <w:bCs/>
                <w:color w:val="0D0D0D" w:themeColor="text1" w:themeTint="F2"/>
              </w:rPr>
              <w:t>8</w:t>
            </w:r>
          </w:p>
        </w:tc>
      </w:tr>
      <w:tr w:rsidR="00252CDE" w:rsidRPr="00252CDE" w14:paraId="0AC6148F" w14:textId="77777777" w:rsidTr="00E26682">
        <w:tc>
          <w:tcPr>
            <w:tcW w:w="421" w:type="dxa"/>
          </w:tcPr>
          <w:p w14:paraId="57980C77" w14:textId="77777777" w:rsidR="003A59E4" w:rsidRPr="00252CDE" w:rsidRDefault="003A59E4">
            <w:pPr>
              <w:rPr>
                <w:rFonts w:ascii="Calibri" w:hAnsi="Calibri" w:cs="Calibri"/>
                <w:b/>
                <w:bCs/>
                <w:color w:val="0D0D0D" w:themeColor="text1" w:themeTint="F2"/>
              </w:rPr>
            </w:pPr>
          </w:p>
        </w:tc>
        <w:tc>
          <w:tcPr>
            <w:tcW w:w="708" w:type="dxa"/>
          </w:tcPr>
          <w:p w14:paraId="66910F17" w14:textId="5086238B"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2.2</w:t>
            </w:r>
          </w:p>
        </w:tc>
        <w:tc>
          <w:tcPr>
            <w:tcW w:w="6804" w:type="dxa"/>
          </w:tcPr>
          <w:p w14:paraId="65FCC3FD" w14:textId="11CCFEF3"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Databases and Sources searched</w:t>
            </w:r>
          </w:p>
        </w:tc>
        <w:tc>
          <w:tcPr>
            <w:tcW w:w="426" w:type="dxa"/>
          </w:tcPr>
          <w:p w14:paraId="2CF7AA8F" w14:textId="77777777" w:rsidR="003A59E4" w:rsidRPr="00252CDE" w:rsidRDefault="003A59E4">
            <w:pPr>
              <w:rPr>
                <w:rFonts w:ascii="Calibri" w:hAnsi="Calibri" w:cs="Calibri"/>
                <w:b/>
                <w:bCs/>
                <w:color w:val="0D0D0D" w:themeColor="text1" w:themeTint="F2"/>
              </w:rPr>
            </w:pPr>
          </w:p>
        </w:tc>
        <w:tc>
          <w:tcPr>
            <w:tcW w:w="657" w:type="dxa"/>
          </w:tcPr>
          <w:p w14:paraId="34570E23" w14:textId="2B6CE923" w:rsidR="003A59E4" w:rsidRPr="00252CDE" w:rsidRDefault="00196533">
            <w:pPr>
              <w:rPr>
                <w:rFonts w:ascii="Calibri" w:hAnsi="Calibri" w:cs="Calibri"/>
                <w:b/>
                <w:bCs/>
                <w:color w:val="0D0D0D" w:themeColor="text1" w:themeTint="F2"/>
              </w:rPr>
            </w:pPr>
            <w:r>
              <w:rPr>
                <w:rFonts w:ascii="Calibri" w:hAnsi="Calibri" w:cs="Calibri"/>
                <w:b/>
                <w:bCs/>
                <w:color w:val="0D0D0D" w:themeColor="text1" w:themeTint="F2"/>
              </w:rPr>
              <w:t>9</w:t>
            </w:r>
          </w:p>
        </w:tc>
      </w:tr>
      <w:tr w:rsidR="00252CDE" w:rsidRPr="00252CDE" w14:paraId="4D7979DC" w14:textId="77777777" w:rsidTr="00E26682">
        <w:tc>
          <w:tcPr>
            <w:tcW w:w="421" w:type="dxa"/>
          </w:tcPr>
          <w:p w14:paraId="7FD992C8" w14:textId="77777777" w:rsidR="003A59E4" w:rsidRPr="00252CDE" w:rsidRDefault="003A59E4">
            <w:pPr>
              <w:rPr>
                <w:rFonts w:ascii="Calibri" w:hAnsi="Calibri" w:cs="Calibri"/>
                <w:b/>
                <w:bCs/>
                <w:color w:val="0D0D0D" w:themeColor="text1" w:themeTint="F2"/>
              </w:rPr>
            </w:pPr>
          </w:p>
        </w:tc>
        <w:tc>
          <w:tcPr>
            <w:tcW w:w="708" w:type="dxa"/>
          </w:tcPr>
          <w:p w14:paraId="6C0F5C22" w14:textId="5061FB84"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2.3</w:t>
            </w:r>
          </w:p>
        </w:tc>
        <w:tc>
          <w:tcPr>
            <w:tcW w:w="6804" w:type="dxa"/>
          </w:tcPr>
          <w:p w14:paraId="244E684F" w14:textId="7F9F28CD"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Inclusion and exclusion criteria</w:t>
            </w:r>
          </w:p>
        </w:tc>
        <w:tc>
          <w:tcPr>
            <w:tcW w:w="426" w:type="dxa"/>
          </w:tcPr>
          <w:p w14:paraId="6F045E29" w14:textId="77777777" w:rsidR="003A59E4" w:rsidRPr="00252CDE" w:rsidRDefault="003A59E4">
            <w:pPr>
              <w:rPr>
                <w:rFonts w:ascii="Calibri" w:hAnsi="Calibri" w:cs="Calibri"/>
                <w:b/>
                <w:bCs/>
                <w:color w:val="0D0D0D" w:themeColor="text1" w:themeTint="F2"/>
              </w:rPr>
            </w:pPr>
          </w:p>
        </w:tc>
        <w:tc>
          <w:tcPr>
            <w:tcW w:w="657" w:type="dxa"/>
          </w:tcPr>
          <w:p w14:paraId="159D4555" w14:textId="73B95133" w:rsidR="003A59E4" w:rsidRPr="00252CDE" w:rsidRDefault="00196533">
            <w:pPr>
              <w:rPr>
                <w:rFonts w:ascii="Calibri" w:hAnsi="Calibri" w:cs="Calibri"/>
                <w:b/>
                <w:bCs/>
                <w:color w:val="0D0D0D" w:themeColor="text1" w:themeTint="F2"/>
              </w:rPr>
            </w:pPr>
            <w:r>
              <w:rPr>
                <w:rFonts w:ascii="Calibri" w:hAnsi="Calibri" w:cs="Calibri"/>
                <w:b/>
                <w:bCs/>
                <w:color w:val="0D0D0D" w:themeColor="text1" w:themeTint="F2"/>
              </w:rPr>
              <w:t>9</w:t>
            </w:r>
          </w:p>
        </w:tc>
      </w:tr>
      <w:tr w:rsidR="00252CDE" w:rsidRPr="00252CDE" w14:paraId="198597B7" w14:textId="77777777" w:rsidTr="00E26682">
        <w:tc>
          <w:tcPr>
            <w:tcW w:w="421" w:type="dxa"/>
          </w:tcPr>
          <w:p w14:paraId="3FA8DFEC" w14:textId="77777777" w:rsidR="005B6463" w:rsidRPr="00252CDE" w:rsidRDefault="005B6463">
            <w:pPr>
              <w:rPr>
                <w:rFonts w:ascii="Calibri" w:hAnsi="Calibri" w:cs="Calibri"/>
                <w:b/>
                <w:bCs/>
                <w:color w:val="0D0D0D" w:themeColor="text1" w:themeTint="F2"/>
              </w:rPr>
            </w:pPr>
          </w:p>
        </w:tc>
        <w:tc>
          <w:tcPr>
            <w:tcW w:w="708" w:type="dxa"/>
          </w:tcPr>
          <w:p w14:paraId="4CA34896" w14:textId="77777777" w:rsidR="005B6463" w:rsidRPr="00252CDE" w:rsidRDefault="005B6463" w:rsidP="00ED120E">
            <w:pPr>
              <w:spacing w:line="360" w:lineRule="auto"/>
              <w:rPr>
                <w:rFonts w:ascii="Calibri" w:hAnsi="Calibri" w:cs="Calibri"/>
                <w:b/>
                <w:bCs/>
                <w:color w:val="0D0D0D" w:themeColor="text1" w:themeTint="F2"/>
              </w:rPr>
            </w:pPr>
          </w:p>
        </w:tc>
        <w:tc>
          <w:tcPr>
            <w:tcW w:w="6804" w:type="dxa"/>
          </w:tcPr>
          <w:p w14:paraId="2F2472E4" w14:textId="77777777" w:rsidR="005B6463" w:rsidRPr="00252CDE" w:rsidRDefault="005B6463" w:rsidP="00ED120E">
            <w:pPr>
              <w:spacing w:line="360" w:lineRule="auto"/>
              <w:rPr>
                <w:rFonts w:ascii="Calibri" w:hAnsi="Calibri" w:cs="Calibri"/>
                <w:b/>
                <w:bCs/>
                <w:color w:val="0D0D0D" w:themeColor="text1" w:themeTint="F2"/>
              </w:rPr>
            </w:pPr>
          </w:p>
        </w:tc>
        <w:tc>
          <w:tcPr>
            <w:tcW w:w="426" w:type="dxa"/>
          </w:tcPr>
          <w:p w14:paraId="24586AD9" w14:textId="77777777" w:rsidR="005B6463" w:rsidRPr="00252CDE" w:rsidRDefault="005B6463">
            <w:pPr>
              <w:rPr>
                <w:rFonts w:ascii="Calibri" w:hAnsi="Calibri" w:cs="Calibri"/>
                <w:b/>
                <w:bCs/>
                <w:color w:val="0D0D0D" w:themeColor="text1" w:themeTint="F2"/>
              </w:rPr>
            </w:pPr>
          </w:p>
        </w:tc>
        <w:tc>
          <w:tcPr>
            <w:tcW w:w="657" w:type="dxa"/>
          </w:tcPr>
          <w:p w14:paraId="6F07CE63" w14:textId="77777777" w:rsidR="005B6463" w:rsidRPr="00252CDE" w:rsidRDefault="005B6463">
            <w:pPr>
              <w:rPr>
                <w:rFonts w:ascii="Calibri" w:hAnsi="Calibri" w:cs="Calibri"/>
                <w:b/>
                <w:bCs/>
                <w:color w:val="0D0D0D" w:themeColor="text1" w:themeTint="F2"/>
              </w:rPr>
            </w:pPr>
          </w:p>
        </w:tc>
      </w:tr>
      <w:tr w:rsidR="00252CDE" w:rsidRPr="00252CDE" w14:paraId="10BF679C" w14:textId="77777777" w:rsidTr="00E26682">
        <w:tc>
          <w:tcPr>
            <w:tcW w:w="421" w:type="dxa"/>
          </w:tcPr>
          <w:p w14:paraId="4D372CA6" w14:textId="6A6E6200" w:rsidR="00ED120E" w:rsidRPr="00252CDE" w:rsidRDefault="00ED120E">
            <w:pPr>
              <w:rPr>
                <w:rFonts w:ascii="Calibri" w:hAnsi="Calibri" w:cs="Calibri"/>
                <w:b/>
                <w:bCs/>
                <w:color w:val="0D0D0D" w:themeColor="text1" w:themeTint="F2"/>
              </w:rPr>
            </w:pPr>
            <w:r w:rsidRPr="00252CDE">
              <w:rPr>
                <w:rFonts w:ascii="Calibri" w:hAnsi="Calibri" w:cs="Calibri"/>
                <w:b/>
                <w:bCs/>
                <w:color w:val="0D0D0D" w:themeColor="text1" w:themeTint="F2"/>
              </w:rPr>
              <w:t>3</w:t>
            </w:r>
          </w:p>
        </w:tc>
        <w:tc>
          <w:tcPr>
            <w:tcW w:w="7512" w:type="dxa"/>
            <w:gridSpan w:val="2"/>
          </w:tcPr>
          <w:p w14:paraId="151EEF42" w14:textId="316EAA8D" w:rsidR="00ED120E" w:rsidRPr="00252CDE" w:rsidRDefault="00ED120E" w:rsidP="00ED120E">
            <w:pPr>
              <w:spacing w:line="360" w:lineRule="auto"/>
              <w:rPr>
                <w:rFonts w:ascii="Calibri" w:hAnsi="Calibri" w:cs="Calibri"/>
                <w:b/>
                <w:bCs/>
                <w:color w:val="0D0D0D" w:themeColor="text1" w:themeTint="F2"/>
              </w:rPr>
            </w:pPr>
            <w:r w:rsidRPr="00252CDE">
              <w:rPr>
                <w:rFonts w:ascii="Calibri" w:hAnsi="Calibri" w:cs="Calibri"/>
                <w:b/>
                <w:bCs/>
                <w:color w:val="0D0D0D" w:themeColor="text1" w:themeTint="F2"/>
              </w:rPr>
              <w:t>Critical Analysis of Background Literature:</w:t>
            </w:r>
            <w:r w:rsidR="00B34BB4" w:rsidRPr="00252CDE">
              <w:rPr>
                <w:rFonts w:ascii="Calibri" w:hAnsi="Calibri" w:cs="Calibri"/>
                <w:b/>
                <w:bCs/>
                <w:color w:val="0D0D0D" w:themeColor="text1" w:themeTint="F2"/>
              </w:rPr>
              <w:t xml:space="preserve"> Themes</w:t>
            </w:r>
          </w:p>
        </w:tc>
        <w:tc>
          <w:tcPr>
            <w:tcW w:w="426" w:type="dxa"/>
          </w:tcPr>
          <w:p w14:paraId="5ECD8619" w14:textId="77777777" w:rsidR="00ED120E" w:rsidRPr="00252CDE" w:rsidRDefault="00ED120E">
            <w:pPr>
              <w:rPr>
                <w:rFonts w:ascii="Calibri" w:hAnsi="Calibri" w:cs="Calibri"/>
                <w:b/>
                <w:bCs/>
                <w:color w:val="0D0D0D" w:themeColor="text1" w:themeTint="F2"/>
              </w:rPr>
            </w:pPr>
          </w:p>
        </w:tc>
        <w:tc>
          <w:tcPr>
            <w:tcW w:w="657" w:type="dxa"/>
          </w:tcPr>
          <w:p w14:paraId="0D9E6618" w14:textId="77777777" w:rsidR="00ED120E" w:rsidRPr="00252CDE" w:rsidRDefault="00ED120E">
            <w:pPr>
              <w:rPr>
                <w:rFonts w:ascii="Calibri" w:hAnsi="Calibri" w:cs="Calibri"/>
                <w:b/>
                <w:bCs/>
                <w:color w:val="0D0D0D" w:themeColor="text1" w:themeTint="F2"/>
              </w:rPr>
            </w:pPr>
          </w:p>
        </w:tc>
      </w:tr>
      <w:tr w:rsidR="00252CDE" w:rsidRPr="00252CDE" w14:paraId="043BF58D" w14:textId="77777777" w:rsidTr="00E26682">
        <w:tc>
          <w:tcPr>
            <w:tcW w:w="421" w:type="dxa"/>
          </w:tcPr>
          <w:p w14:paraId="417857E1" w14:textId="77777777" w:rsidR="003A59E4" w:rsidRPr="00252CDE" w:rsidRDefault="003A59E4">
            <w:pPr>
              <w:rPr>
                <w:rFonts w:ascii="Calibri" w:hAnsi="Calibri" w:cs="Calibri"/>
                <w:b/>
                <w:bCs/>
                <w:color w:val="0D0D0D" w:themeColor="text1" w:themeTint="F2"/>
              </w:rPr>
            </w:pPr>
          </w:p>
        </w:tc>
        <w:tc>
          <w:tcPr>
            <w:tcW w:w="708" w:type="dxa"/>
          </w:tcPr>
          <w:p w14:paraId="19F68AB0" w14:textId="5EA2ADE6"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3.1</w:t>
            </w:r>
          </w:p>
        </w:tc>
        <w:tc>
          <w:tcPr>
            <w:tcW w:w="6804" w:type="dxa"/>
          </w:tcPr>
          <w:p w14:paraId="22335290" w14:textId="6BD44D28" w:rsidR="003A59E4" w:rsidRPr="00252CDE" w:rsidRDefault="005B6463" w:rsidP="00F318A3">
            <w:pPr>
              <w:spacing w:line="360" w:lineRule="auto"/>
              <w:rPr>
                <w:rFonts w:ascii="Calibri" w:hAnsi="Calibri" w:cs="Calibri"/>
                <w:color w:val="0D0D0D" w:themeColor="text1" w:themeTint="F2"/>
              </w:rPr>
            </w:pPr>
            <w:r w:rsidRPr="00252CDE">
              <w:rPr>
                <w:rFonts w:ascii="Calibri" w:hAnsi="Calibri" w:cs="Calibri"/>
                <w:color w:val="0D0D0D" w:themeColor="text1" w:themeTint="F2"/>
              </w:rPr>
              <w:t>The Historical Context and Underacknowledged Contributions of Men in Nursing</w:t>
            </w:r>
          </w:p>
        </w:tc>
        <w:tc>
          <w:tcPr>
            <w:tcW w:w="426" w:type="dxa"/>
          </w:tcPr>
          <w:p w14:paraId="25F322E0" w14:textId="77777777" w:rsidR="003A59E4" w:rsidRPr="00252CDE" w:rsidRDefault="003A59E4">
            <w:pPr>
              <w:rPr>
                <w:rFonts w:ascii="Calibri" w:hAnsi="Calibri" w:cs="Calibri"/>
                <w:b/>
                <w:bCs/>
                <w:color w:val="0D0D0D" w:themeColor="text1" w:themeTint="F2"/>
              </w:rPr>
            </w:pPr>
          </w:p>
        </w:tc>
        <w:tc>
          <w:tcPr>
            <w:tcW w:w="657" w:type="dxa"/>
          </w:tcPr>
          <w:p w14:paraId="7B8DA691" w14:textId="519F8E6C" w:rsidR="003A59E4" w:rsidRPr="00252CDE" w:rsidRDefault="00196533">
            <w:pPr>
              <w:rPr>
                <w:rFonts w:ascii="Calibri" w:hAnsi="Calibri" w:cs="Calibri"/>
                <w:b/>
                <w:bCs/>
                <w:color w:val="0D0D0D" w:themeColor="text1" w:themeTint="F2"/>
              </w:rPr>
            </w:pPr>
            <w:r>
              <w:rPr>
                <w:rFonts w:ascii="Calibri" w:hAnsi="Calibri" w:cs="Calibri"/>
                <w:b/>
                <w:bCs/>
                <w:color w:val="0D0D0D" w:themeColor="text1" w:themeTint="F2"/>
              </w:rPr>
              <w:t>10</w:t>
            </w:r>
          </w:p>
        </w:tc>
      </w:tr>
      <w:tr w:rsidR="00252CDE" w:rsidRPr="00252CDE" w14:paraId="18F4D2D1" w14:textId="77777777" w:rsidTr="00E26682">
        <w:tc>
          <w:tcPr>
            <w:tcW w:w="421" w:type="dxa"/>
          </w:tcPr>
          <w:p w14:paraId="0F088765" w14:textId="77777777" w:rsidR="003A59E4" w:rsidRPr="00252CDE" w:rsidRDefault="003A59E4">
            <w:pPr>
              <w:rPr>
                <w:rFonts w:ascii="Calibri" w:hAnsi="Calibri" w:cs="Calibri"/>
                <w:b/>
                <w:bCs/>
                <w:color w:val="0D0D0D" w:themeColor="text1" w:themeTint="F2"/>
              </w:rPr>
            </w:pPr>
          </w:p>
        </w:tc>
        <w:tc>
          <w:tcPr>
            <w:tcW w:w="708" w:type="dxa"/>
          </w:tcPr>
          <w:p w14:paraId="0B47D2DB" w14:textId="794FAF54"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3.2</w:t>
            </w:r>
          </w:p>
        </w:tc>
        <w:tc>
          <w:tcPr>
            <w:tcW w:w="6804" w:type="dxa"/>
          </w:tcPr>
          <w:p w14:paraId="5D70CA9D" w14:textId="790BFC2A"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Sociocultural and Gender Stereotypes</w:t>
            </w:r>
          </w:p>
        </w:tc>
        <w:tc>
          <w:tcPr>
            <w:tcW w:w="426" w:type="dxa"/>
          </w:tcPr>
          <w:p w14:paraId="4B19C592" w14:textId="77777777" w:rsidR="003A59E4" w:rsidRPr="00252CDE" w:rsidRDefault="003A59E4">
            <w:pPr>
              <w:rPr>
                <w:rFonts w:ascii="Calibri" w:hAnsi="Calibri" w:cs="Calibri"/>
                <w:b/>
                <w:bCs/>
                <w:color w:val="0D0D0D" w:themeColor="text1" w:themeTint="F2"/>
              </w:rPr>
            </w:pPr>
          </w:p>
        </w:tc>
        <w:tc>
          <w:tcPr>
            <w:tcW w:w="657" w:type="dxa"/>
          </w:tcPr>
          <w:p w14:paraId="36BD5864" w14:textId="4F6EE687" w:rsidR="003A59E4" w:rsidRPr="00252CDE" w:rsidRDefault="00A2069B">
            <w:pPr>
              <w:rPr>
                <w:rFonts w:ascii="Calibri" w:hAnsi="Calibri" w:cs="Calibri"/>
                <w:b/>
                <w:bCs/>
                <w:color w:val="0D0D0D" w:themeColor="text1" w:themeTint="F2"/>
              </w:rPr>
            </w:pPr>
            <w:r w:rsidRPr="00252CDE">
              <w:rPr>
                <w:rFonts w:ascii="Calibri" w:hAnsi="Calibri" w:cs="Calibri"/>
                <w:b/>
                <w:bCs/>
                <w:color w:val="0D0D0D" w:themeColor="text1" w:themeTint="F2"/>
              </w:rPr>
              <w:t>1</w:t>
            </w:r>
            <w:r w:rsidR="0048399C">
              <w:rPr>
                <w:rFonts w:ascii="Calibri" w:hAnsi="Calibri" w:cs="Calibri"/>
                <w:b/>
                <w:bCs/>
                <w:color w:val="0D0D0D" w:themeColor="text1" w:themeTint="F2"/>
              </w:rPr>
              <w:t>4</w:t>
            </w:r>
          </w:p>
        </w:tc>
      </w:tr>
      <w:tr w:rsidR="00252CDE" w:rsidRPr="00252CDE" w14:paraId="57D6B74C" w14:textId="77777777" w:rsidTr="00E26682">
        <w:tc>
          <w:tcPr>
            <w:tcW w:w="421" w:type="dxa"/>
          </w:tcPr>
          <w:p w14:paraId="6A4249EB" w14:textId="77777777" w:rsidR="003A59E4" w:rsidRPr="00252CDE" w:rsidRDefault="003A59E4">
            <w:pPr>
              <w:rPr>
                <w:rFonts w:ascii="Calibri" w:hAnsi="Calibri" w:cs="Calibri"/>
                <w:b/>
                <w:bCs/>
                <w:color w:val="0D0D0D" w:themeColor="text1" w:themeTint="F2"/>
              </w:rPr>
            </w:pPr>
          </w:p>
        </w:tc>
        <w:tc>
          <w:tcPr>
            <w:tcW w:w="708" w:type="dxa"/>
          </w:tcPr>
          <w:p w14:paraId="03485147" w14:textId="3A24BBD4"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3.3</w:t>
            </w:r>
          </w:p>
        </w:tc>
        <w:tc>
          <w:tcPr>
            <w:tcW w:w="6804" w:type="dxa"/>
          </w:tcPr>
          <w:p w14:paraId="0862D0DC" w14:textId="56874A5C" w:rsidR="003A59E4" w:rsidRPr="00252CDE" w:rsidRDefault="005B6463" w:rsidP="00ED120E">
            <w:pPr>
              <w:spacing w:line="360" w:lineRule="auto"/>
              <w:rPr>
                <w:rFonts w:ascii="Calibri" w:hAnsi="Calibri" w:cs="Calibri"/>
                <w:color w:val="0D0D0D" w:themeColor="text1" w:themeTint="F2"/>
              </w:rPr>
            </w:pPr>
            <w:r w:rsidRPr="00252CDE">
              <w:rPr>
                <w:rFonts w:ascii="Calibri" w:hAnsi="Calibri" w:cs="Calibri"/>
                <w:color w:val="0D0D0D" w:themeColor="text1" w:themeTint="F2"/>
              </w:rPr>
              <w:t>The Learning Environment and Curriculum</w:t>
            </w:r>
          </w:p>
        </w:tc>
        <w:tc>
          <w:tcPr>
            <w:tcW w:w="426" w:type="dxa"/>
          </w:tcPr>
          <w:p w14:paraId="51F34703" w14:textId="77777777" w:rsidR="003A59E4" w:rsidRPr="00252CDE" w:rsidRDefault="003A59E4">
            <w:pPr>
              <w:rPr>
                <w:rFonts w:ascii="Calibri" w:hAnsi="Calibri" w:cs="Calibri"/>
                <w:b/>
                <w:bCs/>
                <w:color w:val="0D0D0D" w:themeColor="text1" w:themeTint="F2"/>
              </w:rPr>
            </w:pPr>
          </w:p>
        </w:tc>
        <w:tc>
          <w:tcPr>
            <w:tcW w:w="657" w:type="dxa"/>
          </w:tcPr>
          <w:p w14:paraId="7CF82CAC" w14:textId="397E2D95" w:rsidR="003A59E4" w:rsidRPr="00252CDE" w:rsidRDefault="00EA787D">
            <w:pPr>
              <w:rPr>
                <w:rFonts w:ascii="Calibri" w:hAnsi="Calibri" w:cs="Calibri"/>
                <w:b/>
                <w:bCs/>
                <w:color w:val="0D0D0D" w:themeColor="text1" w:themeTint="F2"/>
              </w:rPr>
            </w:pPr>
            <w:r w:rsidRPr="00252CDE">
              <w:rPr>
                <w:rFonts w:ascii="Calibri" w:hAnsi="Calibri" w:cs="Calibri"/>
                <w:b/>
                <w:bCs/>
                <w:color w:val="0D0D0D" w:themeColor="text1" w:themeTint="F2"/>
              </w:rPr>
              <w:t>1</w:t>
            </w:r>
            <w:r w:rsidR="0048399C">
              <w:rPr>
                <w:rFonts w:ascii="Calibri" w:hAnsi="Calibri" w:cs="Calibri"/>
                <w:b/>
                <w:bCs/>
                <w:color w:val="0D0D0D" w:themeColor="text1" w:themeTint="F2"/>
              </w:rPr>
              <w:t>8</w:t>
            </w:r>
          </w:p>
        </w:tc>
      </w:tr>
      <w:tr w:rsidR="00252CDE" w:rsidRPr="00252CDE" w14:paraId="6C1A7FA5" w14:textId="77777777" w:rsidTr="00E26682">
        <w:tc>
          <w:tcPr>
            <w:tcW w:w="421" w:type="dxa"/>
          </w:tcPr>
          <w:p w14:paraId="4BC66417" w14:textId="77777777" w:rsidR="005B6463" w:rsidRPr="00252CDE" w:rsidRDefault="005B6463">
            <w:pPr>
              <w:rPr>
                <w:rFonts w:ascii="Calibri" w:hAnsi="Calibri" w:cs="Calibri"/>
                <w:b/>
                <w:bCs/>
                <w:color w:val="0D0D0D" w:themeColor="text1" w:themeTint="F2"/>
              </w:rPr>
            </w:pPr>
          </w:p>
        </w:tc>
        <w:tc>
          <w:tcPr>
            <w:tcW w:w="708" w:type="dxa"/>
          </w:tcPr>
          <w:p w14:paraId="14FAAA63" w14:textId="77777777" w:rsidR="005B6463" w:rsidRPr="00252CDE" w:rsidRDefault="005B6463" w:rsidP="00ED120E">
            <w:pPr>
              <w:spacing w:line="360" w:lineRule="auto"/>
              <w:rPr>
                <w:rFonts w:ascii="Calibri" w:hAnsi="Calibri" w:cs="Calibri"/>
                <w:b/>
                <w:bCs/>
                <w:color w:val="0D0D0D" w:themeColor="text1" w:themeTint="F2"/>
              </w:rPr>
            </w:pPr>
          </w:p>
        </w:tc>
        <w:tc>
          <w:tcPr>
            <w:tcW w:w="6804" w:type="dxa"/>
          </w:tcPr>
          <w:p w14:paraId="6F675E3F" w14:textId="77777777" w:rsidR="005B6463" w:rsidRPr="00252CDE" w:rsidRDefault="005B6463" w:rsidP="00ED120E">
            <w:pPr>
              <w:spacing w:line="360" w:lineRule="auto"/>
              <w:rPr>
                <w:rFonts w:ascii="Calibri" w:hAnsi="Calibri" w:cs="Calibri"/>
                <w:b/>
                <w:bCs/>
                <w:color w:val="0D0D0D" w:themeColor="text1" w:themeTint="F2"/>
              </w:rPr>
            </w:pPr>
          </w:p>
        </w:tc>
        <w:tc>
          <w:tcPr>
            <w:tcW w:w="426" w:type="dxa"/>
          </w:tcPr>
          <w:p w14:paraId="6B977F42" w14:textId="77777777" w:rsidR="005B6463" w:rsidRPr="00252CDE" w:rsidRDefault="005B6463">
            <w:pPr>
              <w:rPr>
                <w:rFonts w:ascii="Calibri" w:hAnsi="Calibri" w:cs="Calibri"/>
                <w:b/>
                <w:bCs/>
                <w:color w:val="0D0D0D" w:themeColor="text1" w:themeTint="F2"/>
              </w:rPr>
            </w:pPr>
          </w:p>
        </w:tc>
        <w:tc>
          <w:tcPr>
            <w:tcW w:w="657" w:type="dxa"/>
          </w:tcPr>
          <w:p w14:paraId="2DFA083B" w14:textId="77777777" w:rsidR="005B6463" w:rsidRPr="00252CDE" w:rsidRDefault="005B6463">
            <w:pPr>
              <w:rPr>
                <w:rFonts w:ascii="Calibri" w:hAnsi="Calibri" w:cs="Calibri"/>
                <w:b/>
                <w:bCs/>
                <w:color w:val="0D0D0D" w:themeColor="text1" w:themeTint="F2"/>
              </w:rPr>
            </w:pPr>
          </w:p>
        </w:tc>
      </w:tr>
      <w:tr w:rsidR="00252CDE" w:rsidRPr="00252CDE" w14:paraId="004D67CC" w14:textId="77777777" w:rsidTr="00E26682">
        <w:tc>
          <w:tcPr>
            <w:tcW w:w="421" w:type="dxa"/>
          </w:tcPr>
          <w:p w14:paraId="594334A0" w14:textId="19B69643" w:rsidR="00ED120E" w:rsidRPr="00252CDE" w:rsidRDefault="00ED120E">
            <w:pPr>
              <w:rPr>
                <w:rFonts w:ascii="Calibri" w:hAnsi="Calibri" w:cs="Calibri"/>
                <w:b/>
                <w:bCs/>
                <w:color w:val="0D0D0D" w:themeColor="text1" w:themeTint="F2"/>
              </w:rPr>
            </w:pPr>
            <w:r w:rsidRPr="00252CDE">
              <w:rPr>
                <w:rFonts w:ascii="Calibri" w:hAnsi="Calibri" w:cs="Calibri"/>
                <w:b/>
                <w:bCs/>
                <w:color w:val="0D0D0D" w:themeColor="text1" w:themeTint="F2"/>
              </w:rPr>
              <w:t>4</w:t>
            </w:r>
          </w:p>
        </w:tc>
        <w:tc>
          <w:tcPr>
            <w:tcW w:w="7512" w:type="dxa"/>
            <w:gridSpan w:val="2"/>
          </w:tcPr>
          <w:p w14:paraId="4668953A" w14:textId="310A44DD" w:rsidR="00ED120E" w:rsidRPr="00252CDE" w:rsidRDefault="00ED120E" w:rsidP="00ED120E">
            <w:pPr>
              <w:spacing w:line="360" w:lineRule="auto"/>
              <w:rPr>
                <w:rFonts w:ascii="Calibri" w:hAnsi="Calibri" w:cs="Calibri"/>
                <w:b/>
                <w:bCs/>
                <w:color w:val="0D0D0D" w:themeColor="text1" w:themeTint="F2"/>
              </w:rPr>
            </w:pPr>
            <w:r w:rsidRPr="00252CDE">
              <w:rPr>
                <w:rFonts w:ascii="Calibri" w:hAnsi="Calibri" w:cs="Calibri"/>
                <w:b/>
                <w:bCs/>
                <w:color w:val="0D0D0D" w:themeColor="text1" w:themeTint="F2"/>
              </w:rPr>
              <w:t>Gaps in the Literature</w:t>
            </w:r>
          </w:p>
        </w:tc>
        <w:tc>
          <w:tcPr>
            <w:tcW w:w="426" w:type="dxa"/>
          </w:tcPr>
          <w:p w14:paraId="35319CDA" w14:textId="77777777" w:rsidR="00ED120E" w:rsidRPr="00252CDE" w:rsidRDefault="00ED120E">
            <w:pPr>
              <w:rPr>
                <w:rFonts w:ascii="Calibri" w:hAnsi="Calibri" w:cs="Calibri"/>
                <w:b/>
                <w:bCs/>
                <w:color w:val="0D0D0D" w:themeColor="text1" w:themeTint="F2"/>
              </w:rPr>
            </w:pPr>
          </w:p>
        </w:tc>
        <w:tc>
          <w:tcPr>
            <w:tcW w:w="657" w:type="dxa"/>
          </w:tcPr>
          <w:p w14:paraId="4B5B154F" w14:textId="5BB7B1D5" w:rsidR="00ED120E" w:rsidRPr="00252CDE" w:rsidRDefault="0048399C">
            <w:pPr>
              <w:rPr>
                <w:rFonts w:ascii="Calibri" w:hAnsi="Calibri" w:cs="Calibri"/>
                <w:b/>
                <w:bCs/>
                <w:color w:val="0D0D0D" w:themeColor="text1" w:themeTint="F2"/>
              </w:rPr>
            </w:pPr>
            <w:r>
              <w:rPr>
                <w:rFonts w:ascii="Calibri" w:hAnsi="Calibri" w:cs="Calibri"/>
                <w:b/>
                <w:bCs/>
                <w:color w:val="0D0D0D" w:themeColor="text1" w:themeTint="F2"/>
              </w:rPr>
              <w:t>22</w:t>
            </w:r>
          </w:p>
        </w:tc>
      </w:tr>
      <w:tr w:rsidR="00252CDE" w:rsidRPr="00252CDE" w14:paraId="2D6C3DE7" w14:textId="77777777" w:rsidTr="00E26682">
        <w:tc>
          <w:tcPr>
            <w:tcW w:w="421" w:type="dxa"/>
          </w:tcPr>
          <w:p w14:paraId="529D0B21" w14:textId="77777777" w:rsidR="005B6463" w:rsidRPr="00252CDE" w:rsidRDefault="005B6463">
            <w:pPr>
              <w:rPr>
                <w:rFonts w:ascii="Calibri" w:hAnsi="Calibri" w:cs="Calibri"/>
                <w:b/>
                <w:bCs/>
                <w:color w:val="0D0D0D" w:themeColor="text1" w:themeTint="F2"/>
              </w:rPr>
            </w:pPr>
          </w:p>
        </w:tc>
        <w:tc>
          <w:tcPr>
            <w:tcW w:w="708" w:type="dxa"/>
          </w:tcPr>
          <w:p w14:paraId="6DC0C056" w14:textId="77777777" w:rsidR="005B6463" w:rsidRPr="00252CDE" w:rsidRDefault="005B6463" w:rsidP="00ED120E">
            <w:pPr>
              <w:spacing w:line="360" w:lineRule="auto"/>
              <w:rPr>
                <w:rFonts w:ascii="Calibri" w:hAnsi="Calibri" w:cs="Calibri"/>
                <w:b/>
                <w:bCs/>
                <w:color w:val="0D0D0D" w:themeColor="text1" w:themeTint="F2"/>
              </w:rPr>
            </w:pPr>
          </w:p>
        </w:tc>
        <w:tc>
          <w:tcPr>
            <w:tcW w:w="6804" w:type="dxa"/>
          </w:tcPr>
          <w:p w14:paraId="169F8ACC" w14:textId="77777777" w:rsidR="005B6463" w:rsidRPr="00252CDE" w:rsidRDefault="005B6463" w:rsidP="00ED120E">
            <w:pPr>
              <w:spacing w:line="360" w:lineRule="auto"/>
              <w:rPr>
                <w:rFonts w:ascii="Calibri" w:hAnsi="Calibri" w:cs="Calibri"/>
                <w:b/>
                <w:bCs/>
                <w:color w:val="0D0D0D" w:themeColor="text1" w:themeTint="F2"/>
              </w:rPr>
            </w:pPr>
          </w:p>
        </w:tc>
        <w:tc>
          <w:tcPr>
            <w:tcW w:w="426" w:type="dxa"/>
          </w:tcPr>
          <w:p w14:paraId="019C68CA" w14:textId="77777777" w:rsidR="005B6463" w:rsidRPr="00252CDE" w:rsidRDefault="005B6463">
            <w:pPr>
              <w:rPr>
                <w:rFonts w:ascii="Calibri" w:hAnsi="Calibri" w:cs="Calibri"/>
                <w:b/>
                <w:bCs/>
                <w:color w:val="0D0D0D" w:themeColor="text1" w:themeTint="F2"/>
              </w:rPr>
            </w:pPr>
          </w:p>
        </w:tc>
        <w:tc>
          <w:tcPr>
            <w:tcW w:w="657" w:type="dxa"/>
          </w:tcPr>
          <w:p w14:paraId="686CB518" w14:textId="77777777" w:rsidR="005B6463" w:rsidRPr="00252CDE" w:rsidRDefault="005B6463">
            <w:pPr>
              <w:rPr>
                <w:rFonts w:ascii="Calibri" w:hAnsi="Calibri" w:cs="Calibri"/>
                <w:b/>
                <w:bCs/>
                <w:color w:val="0D0D0D" w:themeColor="text1" w:themeTint="F2"/>
              </w:rPr>
            </w:pPr>
          </w:p>
        </w:tc>
      </w:tr>
      <w:tr w:rsidR="00252CDE" w:rsidRPr="00252CDE" w14:paraId="1610D3FC" w14:textId="77777777" w:rsidTr="00E26682">
        <w:tc>
          <w:tcPr>
            <w:tcW w:w="421" w:type="dxa"/>
          </w:tcPr>
          <w:p w14:paraId="71ACC6A1" w14:textId="72009CE9" w:rsidR="00ED120E" w:rsidRPr="00252CDE" w:rsidRDefault="00ED120E">
            <w:pPr>
              <w:rPr>
                <w:rFonts w:ascii="Calibri" w:hAnsi="Calibri" w:cs="Calibri"/>
                <w:b/>
                <w:bCs/>
                <w:color w:val="0D0D0D" w:themeColor="text1" w:themeTint="F2"/>
              </w:rPr>
            </w:pPr>
            <w:r w:rsidRPr="00252CDE">
              <w:rPr>
                <w:rFonts w:ascii="Calibri" w:hAnsi="Calibri" w:cs="Calibri"/>
                <w:b/>
                <w:bCs/>
                <w:color w:val="0D0D0D" w:themeColor="text1" w:themeTint="F2"/>
              </w:rPr>
              <w:t>5</w:t>
            </w:r>
          </w:p>
        </w:tc>
        <w:tc>
          <w:tcPr>
            <w:tcW w:w="7512" w:type="dxa"/>
            <w:gridSpan w:val="2"/>
          </w:tcPr>
          <w:p w14:paraId="1F634DC2" w14:textId="4E1B15D2" w:rsidR="00ED120E" w:rsidRPr="00252CDE" w:rsidRDefault="00ED120E" w:rsidP="00ED120E">
            <w:pPr>
              <w:spacing w:line="360" w:lineRule="auto"/>
              <w:rPr>
                <w:rFonts w:ascii="Calibri" w:hAnsi="Calibri" w:cs="Calibri"/>
                <w:b/>
                <w:bCs/>
                <w:color w:val="0D0D0D" w:themeColor="text1" w:themeTint="F2"/>
              </w:rPr>
            </w:pPr>
            <w:r w:rsidRPr="00252CDE">
              <w:rPr>
                <w:rFonts w:ascii="Calibri" w:hAnsi="Calibri" w:cs="Calibri"/>
                <w:b/>
                <w:bCs/>
                <w:color w:val="0D0D0D" w:themeColor="text1" w:themeTint="F2"/>
              </w:rPr>
              <w:t>Conclusion</w:t>
            </w:r>
          </w:p>
        </w:tc>
        <w:tc>
          <w:tcPr>
            <w:tcW w:w="426" w:type="dxa"/>
          </w:tcPr>
          <w:p w14:paraId="3FAABDE7" w14:textId="77777777" w:rsidR="00ED120E" w:rsidRPr="00252CDE" w:rsidRDefault="00ED120E">
            <w:pPr>
              <w:rPr>
                <w:rFonts w:ascii="Calibri" w:hAnsi="Calibri" w:cs="Calibri"/>
                <w:b/>
                <w:bCs/>
                <w:color w:val="0D0D0D" w:themeColor="text1" w:themeTint="F2"/>
              </w:rPr>
            </w:pPr>
          </w:p>
        </w:tc>
        <w:tc>
          <w:tcPr>
            <w:tcW w:w="657" w:type="dxa"/>
          </w:tcPr>
          <w:p w14:paraId="14442A20" w14:textId="5440892E" w:rsidR="00ED120E" w:rsidRPr="00252CDE" w:rsidRDefault="00DB58CC">
            <w:pPr>
              <w:rPr>
                <w:rFonts w:ascii="Calibri" w:hAnsi="Calibri" w:cs="Calibri"/>
                <w:b/>
                <w:bCs/>
                <w:color w:val="0D0D0D" w:themeColor="text1" w:themeTint="F2"/>
              </w:rPr>
            </w:pPr>
            <w:r w:rsidRPr="00252CDE">
              <w:rPr>
                <w:rFonts w:ascii="Calibri" w:hAnsi="Calibri" w:cs="Calibri"/>
                <w:b/>
                <w:bCs/>
                <w:color w:val="0D0D0D" w:themeColor="text1" w:themeTint="F2"/>
              </w:rPr>
              <w:t>2</w:t>
            </w:r>
            <w:r w:rsidR="0048399C">
              <w:rPr>
                <w:rFonts w:ascii="Calibri" w:hAnsi="Calibri" w:cs="Calibri"/>
                <w:b/>
                <w:bCs/>
                <w:color w:val="0D0D0D" w:themeColor="text1" w:themeTint="F2"/>
              </w:rPr>
              <w:t>3</w:t>
            </w:r>
          </w:p>
        </w:tc>
      </w:tr>
      <w:tr w:rsidR="00252CDE" w:rsidRPr="00252CDE" w14:paraId="6DB37E63" w14:textId="77777777" w:rsidTr="00E26682">
        <w:tc>
          <w:tcPr>
            <w:tcW w:w="421" w:type="dxa"/>
          </w:tcPr>
          <w:p w14:paraId="60E0D349" w14:textId="77777777" w:rsidR="005B6463" w:rsidRPr="00252CDE" w:rsidRDefault="005B6463">
            <w:pPr>
              <w:rPr>
                <w:rFonts w:ascii="Calibri" w:hAnsi="Calibri" w:cs="Calibri"/>
                <w:b/>
                <w:bCs/>
                <w:color w:val="0D0D0D" w:themeColor="text1" w:themeTint="F2"/>
              </w:rPr>
            </w:pPr>
          </w:p>
        </w:tc>
        <w:tc>
          <w:tcPr>
            <w:tcW w:w="708" w:type="dxa"/>
          </w:tcPr>
          <w:p w14:paraId="2C167807" w14:textId="77777777" w:rsidR="005B6463" w:rsidRPr="00252CDE" w:rsidRDefault="005B6463" w:rsidP="00ED120E">
            <w:pPr>
              <w:spacing w:line="360" w:lineRule="auto"/>
              <w:rPr>
                <w:rFonts w:ascii="Calibri" w:hAnsi="Calibri" w:cs="Calibri"/>
                <w:b/>
                <w:bCs/>
                <w:color w:val="0D0D0D" w:themeColor="text1" w:themeTint="F2"/>
              </w:rPr>
            </w:pPr>
          </w:p>
        </w:tc>
        <w:tc>
          <w:tcPr>
            <w:tcW w:w="6804" w:type="dxa"/>
          </w:tcPr>
          <w:p w14:paraId="75077C95" w14:textId="77777777" w:rsidR="005B6463" w:rsidRPr="00252CDE" w:rsidRDefault="005B6463" w:rsidP="00ED120E">
            <w:pPr>
              <w:spacing w:line="360" w:lineRule="auto"/>
              <w:rPr>
                <w:rFonts w:ascii="Calibri" w:hAnsi="Calibri" w:cs="Calibri"/>
                <w:b/>
                <w:bCs/>
                <w:color w:val="0D0D0D" w:themeColor="text1" w:themeTint="F2"/>
              </w:rPr>
            </w:pPr>
          </w:p>
        </w:tc>
        <w:tc>
          <w:tcPr>
            <w:tcW w:w="426" w:type="dxa"/>
          </w:tcPr>
          <w:p w14:paraId="3B434A61" w14:textId="77777777" w:rsidR="005B6463" w:rsidRPr="00252CDE" w:rsidRDefault="005B6463">
            <w:pPr>
              <w:rPr>
                <w:rFonts w:ascii="Calibri" w:hAnsi="Calibri" w:cs="Calibri"/>
                <w:b/>
                <w:bCs/>
                <w:color w:val="0D0D0D" w:themeColor="text1" w:themeTint="F2"/>
              </w:rPr>
            </w:pPr>
          </w:p>
        </w:tc>
        <w:tc>
          <w:tcPr>
            <w:tcW w:w="657" w:type="dxa"/>
          </w:tcPr>
          <w:p w14:paraId="1F893498" w14:textId="77777777" w:rsidR="005B6463" w:rsidRPr="00252CDE" w:rsidRDefault="005B6463">
            <w:pPr>
              <w:rPr>
                <w:rFonts w:ascii="Calibri" w:hAnsi="Calibri" w:cs="Calibri"/>
                <w:b/>
                <w:bCs/>
                <w:color w:val="0D0D0D" w:themeColor="text1" w:themeTint="F2"/>
              </w:rPr>
            </w:pPr>
          </w:p>
        </w:tc>
      </w:tr>
      <w:tr w:rsidR="00252CDE" w:rsidRPr="00252CDE" w14:paraId="3703AE93" w14:textId="77777777" w:rsidTr="00E26682">
        <w:tc>
          <w:tcPr>
            <w:tcW w:w="421" w:type="dxa"/>
          </w:tcPr>
          <w:p w14:paraId="7F2613FE" w14:textId="77777777" w:rsidR="00ED120E" w:rsidRPr="00252CDE" w:rsidRDefault="00ED120E">
            <w:pPr>
              <w:rPr>
                <w:rFonts w:ascii="Calibri" w:hAnsi="Calibri" w:cs="Calibri"/>
                <w:b/>
                <w:bCs/>
                <w:color w:val="0D0D0D" w:themeColor="text1" w:themeTint="F2"/>
              </w:rPr>
            </w:pPr>
          </w:p>
        </w:tc>
        <w:tc>
          <w:tcPr>
            <w:tcW w:w="7512" w:type="dxa"/>
            <w:gridSpan w:val="2"/>
          </w:tcPr>
          <w:p w14:paraId="294298BD" w14:textId="180B873F" w:rsidR="00ED120E" w:rsidRPr="00252CDE" w:rsidRDefault="00ED120E" w:rsidP="00ED120E">
            <w:pPr>
              <w:spacing w:line="360" w:lineRule="auto"/>
              <w:rPr>
                <w:rFonts w:ascii="Calibri" w:hAnsi="Calibri" w:cs="Calibri"/>
                <w:b/>
                <w:bCs/>
                <w:color w:val="0D0D0D" w:themeColor="text1" w:themeTint="F2"/>
              </w:rPr>
            </w:pPr>
            <w:r w:rsidRPr="00252CDE">
              <w:rPr>
                <w:rFonts w:ascii="Calibri" w:hAnsi="Calibri" w:cs="Calibri"/>
                <w:b/>
                <w:bCs/>
                <w:color w:val="0D0D0D" w:themeColor="text1" w:themeTint="F2"/>
              </w:rPr>
              <w:t>Reference List</w:t>
            </w:r>
          </w:p>
        </w:tc>
        <w:tc>
          <w:tcPr>
            <w:tcW w:w="426" w:type="dxa"/>
          </w:tcPr>
          <w:p w14:paraId="7AEA4434" w14:textId="77777777" w:rsidR="00ED120E" w:rsidRPr="00252CDE" w:rsidRDefault="00ED120E">
            <w:pPr>
              <w:rPr>
                <w:rFonts w:ascii="Calibri" w:hAnsi="Calibri" w:cs="Calibri"/>
                <w:b/>
                <w:bCs/>
                <w:color w:val="0D0D0D" w:themeColor="text1" w:themeTint="F2"/>
              </w:rPr>
            </w:pPr>
          </w:p>
        </w:tc>
        <w:tc>
          <w:tcPr>
            <w:tcW w:w="657" w:type="dxa"/>
          </w:tcPr>
          <w:p w14:paraId="08476BEA" w14:textId="303574F8" w:rsidR="00ED120E" w:rsidRPr="00252CDE" w:rsidRDefault="006342B7">
            <w:pPr>
              <w:rPr>
                <w:rFonts w:ascii="Calibri" w:hAnsi="Calibri" w:cs="Calibri"/>
                <w:b/>
                <w:bCs/>
                <w:color w:val="0D0D0D" w:themeColor="text1" w:themeTint="F2"/>
              </w:rPr>
            </w:pPr>
            <w:r w:rsidRPr="00252CDE">
              <w:rPr>
                <w:rFonts w:ascii="Calibri" w:hAnsi="Calibri" w:cs="Calibri"/>
                <w:b/>
                <w:bCs/>
                <w:color w:val="0D0D0D" w:themeColor="text1" w:themeTint="F2"/>
              </w:rPr>
              <w:t>2</w:t>
            </w:r>
            <w:r w:rsidR="004D6D32">
              <w:rPr>
                <w:rFonts w:ascii="Calibri" w:hAnsi="Calibri" w:cs="Calibri"/>
                <w:b/>
                <w:bCs/>
                <w:color w:val="0D0D0D" w:themeColor="text1" w:themeTint="F2"/>
              </w:rPr>
              <w:t>5</w:t>
            </w:r>
          </w:p>
        </w:tc>
      </w:tr>
      <w:tr w:rsidR="00252CDE" w:rsidRPr="00252CDE" w14:paraId="6D300CF4" w14:textId="77777777" w:rsidTr="00E26682">
        <w:tc>
          <w:tcPr>
            <w:tcW w:w="421" w:type="dxa"/>
          </w:tcPr>
          <w:p w14:paraId="2E8D79EE" w14:textId="77777777" w:rsidR="003A59E4" w:rsidRPr="00252CDE" w:rsidRDefault="003A59E4">
            <w:pPr>
              <w:rPr>
                <w:rFonts w:ascii="Calibri" w:hAnsi="Calibri" w:cs="Calibri"/>
                <w:b/>
                <w:bCs/>
                <w:color w:val="0D0D0D" w:themeColor="text1" w:themeTint="F2"/>
              </w:rPr>
            </w:pPr>
          </w:p>
        </w:tc>
        <w:tc>
          <w:tcPr>
            <w:tcW w:w="708" w:type="dxa"/>
          </w:tcPr>
          <w:p w14:paraId="234D0A95" w14:textId="72D9F4B3" w:rsidR="003A59E4" w:rsidRPr="00252CDE" w:rsidRDefault="003A59E4" w:rsidP="00ED120E">
            <w:pPr>
              <w:spacing w:line="360" w:lineRule="auto"/>
              <w:rPr>
                <w:rFonts w:ascii="Calibri" w:hAnsi="Calibri" w:cs="Calibri"/>
                <w:b/>
                <w:bCs/>
                <w:color w:val="0D0D0D" w:themeColor="text1" w:themeTint="F2"/>
              </w:rPr>
            </w:pPr>
          </w:p>
        </w:tc>
        <w:tc>
          <w:tcPr>
            <w:tcW w:w="6804" w:type="dxa"/>
          </w:tcPr>
          <w:p w14:paraId="5D9BAD0D" w14:textId="77777777" w:rsidR="003A59E4" w:rsidRPr="00252CDE" w:rsidRDefault="003A59E4" w:rsidP="00ED120E">
            <w:pPr>
              <w:spacing w:line="360" w:lineRule="auto"/>
              <w:rPr>
                <w:rFonts w:ascii="Calibri" w:hAnsi="Calibri" w:cs="Calibri"/>
                <w:b/>
                <w:bCs/>
                <w:color w:val="0D0D0D" w:themeColor="text1" w:themeTint="F2"/>
              </w:rPr>
            </w:pPr>
          </w:p>
        </w:tc>
        <w:tc>
          <w:tcPr>
            <w:tcW w:w="426" w:type="dxa"/>
          </w:tcPr>
          <w:p w14:paraId="384AAB08" w14:textId="77777777" w:rsidR="003A59E4" w:rsidRPr="00252CDE" w:rsidRDefault="003A59E4">
            <w:pPr>
              <w:rPr>
                <w:rFonts w:ascii="Calibri" w:hAnsi="Calibri" w:cs="Calibri"/>
                <w:b/>
                <w:bCs/>
                <w:color w:val="0D0D0D" w:themeColor="text1" w:themeTint="F2"/>
              </w:rPr>
            </w:pPr>
          </w:p>
        </w:tc>
        <w:tc>
          <w:tcPr>
            <w:tcW w:w="657" w:type="dxa"/>
          </w:tcPr>
          <w:p w14:paraId="23902D8C" w14:textId="77777777" w:rsidR="003A59E4" w:rsidRPr="00252CDE" w:rsidRDefault="003A59E4">
            <w:pPr>
              <w:rPr>
                <w:rFonts w:ascii="Calibri" w:hAnsi="Calibri" w:cs="Calibri"/>
                <w:b/>
                <w:bCs/>
                <w:color w:val="0D0D0D" w:themeColor="text1" w:themeTint="F2"/>
              </w:rPr>
            </w:pPr>
          </w:p>
        </w:tc>
      </w:tr>
      <w:tr w:rsidR="00252CDE" w:rsidRPr="00252CDE" w14:paraId="43EBD1CF" w14:textId="77777777" w:rsidTr="00E26682">
        <w:tc>
          <w:tcPr>
            <w:tcW w:w="421" w:type="dxa"/>
          </w:tcPr>
          <w:p w14:paraId="71DC7D21" w14:textId="77777777" w:rsidR="003A59E4" w:rsidRPr="00252CDE" w:rsidRDefault="003A59E4">
            <w:pPr>
              <w:rPr>
                <w:rFonts w:ascii="Calibri" w:hAnsi="Calibri" w:cs="Calibri"/>
                <w:b/>
                <w:bCs/>
                <w:color w:val="0D0D0D" w:themeColor="text1" w:themeTint="F2"/>
              </w:rPr>
            </w:pPr>
          </w:p>
        </w:tc>
        <w:tc>
          <w:tcPr>
            <w:tcW w:w="708" w:type="dxa"/>
          </w:tcPr>
          <w:p w14:paraId="676DD636" w14:textId="048B5F87" w:rsidR="003A59E4" w:rsidRPr="00252CDE" w:rsidRDefault="003A59E4">
            <w:pPr>
              <w:rPr>
                <w:rFonts w:ascii="Calibri" w:hAnsi="Calibri" w:cs="Calibri"/>
                <w:b/>
                <w:bCs/>
                <w:color w:val="0D0D0D" w:themeColor="text1" w:themeTint="F2"/>
              </w:rPr>
            </w:pPr>
          </w:p>
        </w:tc>
        <w:tc>
          <w:tcPr>
            <w:tcW w:w="6804" w:type="dxa"/>
          </w:tcPr>
          <w:p w14:paraId="7BBFD345" w14:textId="77777777" w:rsidR="003A59E4" w:rsidRPr="00252CDE" w:rsidRDefault="003A59E4" w:rsidP="00ED120E">
            <w:pPr>
              <w:spacing w:line="276" w:lineRule="auto"/>
              <w:rPr>
                <w:rFonts w:ascii="Calibri" w:hAnsi="Calibri" w:cs="Calibri"/>
                <w:b/>
                <w:bCs/>
                <w:color w:val="0D0D0D" w:themeColor="text1" w:themeTint="F2"/>
              </w:rPr>
            </w:pPr>
          </w:p>
        </w:tc>
        <w:tc>
          <w:tcPr>
            <w:tcW w:w="426" w:type="dxa"/>
          </w:tcPr>
          <w:p w14:paraId="0918EF5D" w14:textId="77777777" w:rsidR="003A59E4" w:rsidRPr="00252CDE" w:rsidRDefault="003A59E4">
            <w:pPr>
              <w:rPr>
                <w:rFonts w:ascii="Calibri" w:hAnsi="Calibri" w:cs="Calibri"/>
                <w:b/>
                <w:bCs/>
                <w:color w:val="0D0D0D" w:themeColor="text1" w:themeTint="F2"/>
              </w:rPr>
            </w:pPr>
          </w:p>
        </w:tc>
        <w:tc>
          <w:tcPr>
            <w:tcW w:w="657" w:type="dxa"/>
          </w:tcPr>
          <w:p w14:paraId="1CA3687A" w14:textId="77777777" w:rsidR="003A59E4" w:rsidRPr="00252CDE" w:rsidRDefault="003A59E4">
            <w:pPr>
              <w:rPr>
                <w:rFonts w:ascii="Calibri" w:hAnsi="Calibri" w:cs="Calibri"/>
                <w:b/>
                <w:bCs/>
                <w:color w:val="0D0D0D" w:themeColor="text1" w:themeTint="F2"/>
              </w:rPr>
            </w:pPr>
          </w:p>
        </w:tc>
      </w:tr>
      <w:tr w:rsidR="00252CDE" w:rsidRPr="00252CDE" w14:paraId="25C4E85F" w14:textId="77777777" w:rsidTr="00E26682">
        <w:tc>
          <w:tcPr>
            <w:tcW w:w="421" w:type="dxa"/>
          </w:tcPr>
          <w:p w14:paraId="0B95FC6E" w14:textId="77777777" w:rsidR="003A59E4" w:rsidRPr="00252CDE" w:rsidRDefault="003A59E4">
            <w:pPr>
              <w:rPr>
                <w:rFonts w:ascii="Calibri" w:hAnsi="Calibri" w:cs="Calibri"/>
                <w:b/>
                <w:bCs/>
                <w:color w:val="0D0D0D" w:themeColor="text1" w:themeTint="F2"/>
              </w:rPr>
            </w:pPr>
          </w:p>
        </w:tc>
        <w:tc>
          <w:tcPr>
            <w:tcW w:w="708" w:type="dxa"/>
          </w:tcPr>
          <w:p w14:paraId="48DCC299" w14:textId="32B958F2" w:rsidR="003A59E4" w:rsidRPr="00252CDE" w:rsidRDefault="003A59E4">
            <w:pPr>
              <w:rPr>
                <w:rFonts w:ascii="Calibri" w:hAnsi="Calibri" w:cs="Calibri"/>
                <w:b/>
                <w:bCs/>
                <w:color w:val="0D0D0D" w:themeColor="text1" w:themeTint="F2"/>
              </w:rPr>
            </w:pPr>
          </w:p>
        </w:tc>
        <w:tc>
          <w:tcPr>
            <w:tcW w:w="6804" w:type="dxa"/>
          </w:tcPr>
          <w:p w14:paraId="58223D99" w14:textId="77777777" w:rsidR="003A59E4" w:rsidRPr="00252CDE" w:rsidRDefault="003A59E4" w:rsidP="00ED120E">
            <w:pPr>
              <w:spacing w:line="276" w:lineRule="auto"/>
              <w:rPr>
                <w:rFonts w:ascii="Calibri" w:hAnsi="Calibri" w:cs="Calibri"/>
                <w:b/>
                <w:bCs/>
                <w:color w:val="0D0D0D" w:themeColor="text1" w:themeTint="F2"/>
              </w:rPr>
            </w:pPr>
          </w:p>
        </w:tc>
        <w:tc>
          <w:tcPr>
            <w:tcW w:w="426" w:type="dxa"/>
          </w:tcPr>
          <w:p w14:paraId="34A20481" w14:textId="77777777" w:rsidR="003A59E4" w:rsidRPr="00252CDE" w:rsidRDefault="003A59E4">
            <w:pPr>
              <w:rPr>
                <w:rFonts w:ascii="Calibri" w:hAnsi="Calibri" w:cs="Calibri"/>
                <w:b/>
                <w:bCs/>
                <w:color w:val="0D0D0D" w:themeColor="text1" w:themeTint="F2"/>
              </w:rPr>
            </w:pPr>
          </w:p>
        </w:tc>
        <w:tc>
          <w:tcPr>
            <w:tcW w:w="657" w:type="dxa"/>
          </w:tcPr>
          <w:p w14:paraId="46938E3F" w14:textId="77777777" w:rsidR="003A59E4" w:rsidRPr="00252CDE" w:rsidRDefault="003A59E4">
            <w:pPr>
              <w:rPr>
                <w:rFonts w:ascii="Calibri" w:hAnsi="Calibri" w:cs="Calibri"/>
                <w:b/>
                <w:bCs/>
                <w:color w:val="0D0D0D" w:themeColor="text1" w:themeTint="F2"/>
              </w:rPr>
            </w:pPr>
          </w:p>
        </w:tc>
      </w:tr>
      <w:tr w:rsidR="00252CDE" w:rsidRPr="00252CDE" w14:paraId="3AD341A8" w14:textId="77777777" w:rsidTr="00E26682">
        <w:tc>
          <w:tcPr>
            <w:tcW w:w="421" w:type="dxa"/>
          </w:tcPr>
          <w:p w14:paraId="23C24F5E" w14:textId="77777777" w:rsidR="003A59E4" w:rsidRPr="00252CDE" w:rsidRDefault="003A59E4">
            <w:pPr>
              <w:rPr>
                <w:rFonts w:ascii="Calibri" w:hAnsi="Calibri" w:cs="Calibri"/>
                <w:b/>
                <w:bCs/>
                <w:color w:val="0D0D0D" w:themeColor="text1" w:themeTint="F2"/>
              </w:rPr>
            </w:pPr>
          </w:p>
        </w:tc>
        <w:tc>
          <w:tcPr>
            <w:tcW w:w="708" w:type="dxa"/>
          </w:tcPr>
          <w:p w14:paraId="0E13440E" w14:textId="1401CA80" w:rsidR="003A59E4" w:rsidRPr="00252CDE" w:rsidRDefault="003A59E4">
            <w:pPr>
              <w:rPr>
                <w:rFonts w:ascii="Calibri" w:hAnsi="Calibri" w:cs="Calibri"/>
                <w:b/>
                <w:bCs/>
                <w:color w:val="0D0D0D" w:themeColor="text1" w:themeTint="F2"/>
              </w:rPr>
            </w:pPr>
          </w:p>
        </w:tc>
        <w:tc>
          <w:tcPr>
            <w:tcW w:w="6804" w:type="dxa"/>
          </w:tcPr>
          <w:p w14:paraId="142681C3" w14:textId="77777777" w:rsidR="003A59E4" w:rsidRPr="00252CDE" w:rsidRDefault="003A59E4" w:rsidP="00ED120E">
            <w:pPr>
              <w:spacing w:line="276" w:lineRule="auto"/>
              <w:rPr>
                <w:rFonts w:ascii="Calibri" w:hAnsi="Calibri" w:cs="Calibri"/>
                <w:b/>
                <w:bCs/>
                <w:color w:val="0D0D0D" w:themeColor="text1" w:themeTint="F2"/>
              </w:rPr>
            </w:pPr>
          </w:p>
        </w:tc>
        <w:tc>
          <w:tcPr>
            <w:tcW w:w="426" w:type="dxa"/>
          </w:tcPr>
          <w:p w14:paraId="244CE3EB" w14:textId="77777777" w:rsidR="003A59E4" w:rsidRPr="00252CDE" w:rsidRDefault="003A59E4">
            <w:pPr>
              <w:rPr>
                <w:rFonts w:ascii="Calibri" w:hAnsi="Calibri" w:cs="Calibri"/>
                <w:b/>
                <w:bCs/>
                <w:color w:val="0D0D0D" w:themeColor="text1" w:themeTint="F2"/>
              </w:rPr>
            </w:pPr>
          </w:p>
        </w:tc>
        <w:tc>
          <w:tcPr>
            <w:tcW w:w="657" w:type="dxa"/>
          </w:tcPr>
          <w:p w14:paraId="34D06C30" w14:textId="77777777" w:rsidR="003A59E4" w:rsidRPr="00252CDE" w:rsidRDefault="003A59E4">
            <w:pPr>
              <w:rPr>
                <w:rFonts w:ascii="Calibri" w:hAnsi="Calibri" w:cs="Calibri"/>
                <w:b/>
                <w:bCs/>
                <w:color w:val="0D0D0D" w:themeColor="text1" w:themeTint="F2"/>
              </w:rPr>
            </w:pPr>
          </w:p>
        </w:tc>
      </w:tr>
    </w:tbl>
    <w:p w14:paraId="0E7FC4D9" w14:textId="77777777" w:rsidR="00E24FA5" w:rsidRPr="00252CDE" w:rsidRDefault="00E24FA5">
      <w:pPr>
        <w:rPr>
          <w:rFonts w:ascii="Calibri" w:hAnsi="Calibri" w:cs="Calibri"/>
          <w:b/>
          <w:bCs/>
          <w:color w:val="0D0D0D" w:themeColor="text1" w:themeTint="F2"/>
        </w:rPr>
      </w:pPr>
      <w:r w:rsidRPr="00252CDE">
        <w:rPr>
          <w:rFonts w:ascii="Calibri" w:hAnsi="Calibri" w:cs="Calibri"/>
          <w:b/>
          <w:bCs/>
          <w:color w:val="0D0D0D" w:themeColor="text1" w:themeTint="F2"/>
        </w:rPr>
        <w:br w:type="page"/>
      </w:r>
    </w:p>
    <w:p w14:paraId="6F45F199" w14:textId="2DA9F82B" w:rsidR="00313CB0" w:rsidRPr="00252CDE" w:rsidRDefault="00313CB0" w:rsidP="00D51D2A">
      <w:pPr>
        <w:spacing w:line="360" w:lineRule="auto"/>
        <w:rPr>
          <w:rFonts w:ascii="Calibri" w:hAnsi="Calibri" w:cs="Calibri"/>
          <w:b/>
          <w:bCs/>
          <w:color w:val="0D0D0D" w:themeColor="text1" w:themeTint="F2"/>
          <w:u w:val="single"/>
        </w:rPr>
      </w:pPr>
      <w:r w:rsidRPr="00252CDE">
        <w:rPr>
          <w:rFonts w:ascii="Calibri" w:hAnsi="Calibri" w:cs="Calibri"/>
          <w:b/>
          <w:bCs/>
          <w:color w:val="0D0D0D" w:themeColor="text1" w:themeTint="F2"/>
          <w:u w:val="single"/>
        </w:rPr>
        <w:lastRenderedPageBreak/>
        <w:t>1. Introduction</w:t>
      </w:r>
    </w:p>
    <w:p w14:paraId="69526E92" w14:textId="20BA7F20" w:rsidR="00313CB0" w:rsidRPr="00252CDE" w:rsidRDefault="00313CB0" w:rsidP="00D51D2A">
      <w:pPr>
        <w:spacing w:line="360" w:lineRule="auto"/>
        <w:rPr>
          <w:rFonts w:ascii="Calibri" w:hAnsi="Calibri" w:cs="Calibri"/>
          <w:b/>
          <w:bCs/>
          <w:color w:val="0D0D0D" w:themeColor="text1" w:themeTint="F2"/>
        </w:rPr>
      </w:pPr>
      <w:r w:rsidRPr="00252CDE">
        <w:rPr>
          <w:rFonts w:ascii="Calibri" w:hAnsi="Calibri" w:cs="Calibri"/>
          <w:b/>
          <w:bCs/>
          <w:color w:val="0D0D0D" w:themeColor="text1" w:themeTint="F2"/>
        </w:rPr>
        <w:t>1.1 Rationale and Personal Interest</w:t>
      </w:r>
    </w:p>
    <w:p w14:paraId="1A68B7C6" w14:textId="2F8C64C9" w:rsidR="00313CB0" w:rsidRPr="00252CDE" w:rsidRDefault="00313CB0"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The impetus for this critical literature review stems from a sustained personal and professional engagement with the nursing profession and the landscape of nurse education. As both a nurse educator within a university setting and a practicing nurse, I have observed the persistent underrepresentation of men within the nursing workforce. </w:t>
      </w:r>
      <w:r w:rsidR="003B5C4B" w:rsidRPr="00252CDE">
        <w:rPr>
          <w:rFonts w:ascii="Calibri" w:hAnsi="Calibri" w:cs="Calibri"/>
          <w:color w:val="0D0D0D" w:themeColor="text1" w:themeTint="F2"/>
        </w:rPr>
        <w:t xml:space="preserve"> </w:t>
      </w:r>
      <w:r w:rsidRPr="00252CDE">
        <w:rPr>
          <w:rFonts w:ascii="Calibri" w:hAnsi="Calibri" w:cs="Calibri"/>
          <w:color w:val="0D0D0D" w:themeColor="text1" w:themeTint="F2"/>
        </w:rPr>
        <w:t>This disparity is not unique to the United Kingdom</w:t>
      </w:r>
      <w:r w:rsidR="003B5C4B" w:rsidRPr="00252CDE">
        <w:rPr>
          <w:rFonts w:ascii="Calibri" w:hAnsi="Calibri" w:cs="Calibri"/>
          <w:color w:val="0D0D0D" w:themeColor="text1" w:themeTint="F2"/>
        </w:rPr>
        <w:t xml:space="preserve"> (UK)</w:t>
      </w:r>
      <w:r w:rsidRPr="00252CDE">
        <w:rPr>
          <w:rFonts w:ascii="Calibri" w:hAnsi="Calibri" w:cs="Calibri"/>
          <w:color w:val="0D0D0D" w:themeColor="text1" w:themeTint="F2"/>
        </w:rPr>
        <w:t>; globally, nursing remains a predominantly female profession (World Health Organization, 202</w:t>
      </w:r>
      <w:r w:rsidR="00023DD0" w:rsidRPr="00252CDE">
        <w:rPr>
          <w:rFonts w:ascii="Calibri" w:hAnsi="Calibri" w:cs="Calibri"/>
          <w:color w:val="0D0D0D" w:themeColor="text1" w:themeTint="F2"/>
        </w:rPr>
        <w:t>4</w:t>
      </w:r>
      <w:r w:rsidR="00EA78B5" w:rsidRPr="00252CDE">
        <w:rPr>
          <w:rFonts w:ascii="Calibri" w:hAnsi="Calibri" w:cs="Calibri"/>
          <w:color w:val="0D0D0D" w:themeColor="text1" w:themeTint="F2"/>
        </w:rPr>
        <w:t>; Royal College of Nursing</w:t>
      </w:r>
      <w:r w:rsidR="0099355E" w:rsidRPr="00252CDE">
        <w:rPr>
          <w:rFonts w:ascii="Calibri" w:hAnsi="Calibri" w:cs="Calibri"/>
          <w:color w:val="0D0D0D" w:themeColor="text1" w:themeTint="F2"/>
        </w:rPr>
        <w:t xml:space="preserve"> (RCN)</w:t>
      </w:r>
      <w:r w:rsidR="00EA78B5" w:rsidRPr="00252CDE">
        <w:rPr>
          <w:rFonts w:ascii="Calibri" w:hAnsi="Calibri" w:cs="Calibri"/>
          <w:color w:val="0D0D0D" w:themeColor="text1" w:themeTint="F2"/>
        </w:rPr>
        <w:t>, 2024</w:t>
      </w:r>
      <w:r w:rsidR="008A01AE" w:rsidRPr="00252CDE">
        <w:rPr>
          <w:rFonts w:ascii="Calibri" w:hAnsi="Calibri" w:cs="Calibri"/>
          <w:color w:val="0D0D0D" w:themeColor="text1" w:themeTint="F2"/>
        </w:rPr>
        <w:t>a</w:t>
      </w:r>
      <w:r w:rsidRPr="00252CDE">
        <w:rPr>
          <w:rFonts w:ascii="Calibri" w:hAnsi="Calibri" w:cs="Calibri"/>
          <w:color w:val="0D0D0D" w:themeColor="text1" w:themeTint="F2"/>
        </w:rPr>
        <w:t xml:space="preserve">). </w:t>
      </w:r>
      <w:r w:rsidR="003B5C4B" w:rsidRPr="00252CDE">
        <w:rPr>
          <w:rFonts w:ascii="Calibri" w:hAnsi="Calibri" w:cs="Calibri"/>
          <w:color w:val="0D0D0D" w:themeColor="text1" w:themeTint="F2"/>
        </w:rPr>
        <w:t xml:space="preserve"> </w:t>
      </w:r>
      <w:r w:rsidRPr="00252CDE">
        <w:rPr>
          <w:rFonts w:ascii="Calibri" w:hAnsi="Calibri" w:cs="Calibri"/>
          <w:color w:val="0D0D0D" w:themeColor="text1" w:themeTint="F2"/>
        </w:rPr>
        <w:t>Within the UK, the statistics are stark, with males constituting a small minority of registered nurses (Nursing and Midwifery Council</w:t>
      </w:r>
      <w:r w:rsidR="00B70069" w:rsidRPr="00252CDE">
        <w:rPr>
          <w:rFonts w:ascii="Calibri" w:hAnsi="Calibri" w:cs="Calibri"/>
          <w:color w:val="0D0D0D" w:themeColor="text1" w:themeTint="F2"/>
        </w:rPr>
        <w:t xml:space="preserve"> (NMC)</w:t>
      </w:r>
      <w:r w:rsidRPr="00252CDE">
        <w:rPr>
          <w:rFonts w:ascii="Calibri" w:hAnsi="Calibri" w:cs="Calibri"/>
          <w:color w:val="0D0D0D" w:themeColor="text1" w:themeTint="F2"/>
        </w:rPr>
        <w:t>, 202</w:t>
      </w:r>
      <w:r w:rsidR="00B70069" w:rsidRPr="00252CDE">
        <w:rPr>
          <w:rFonts w:ascii="Calibri" w:hAnsi="Calibri" w:cs="Calibri"/>
          <w:color w:val="0D0D0D" w:themeColor="text1" w:themeTint="F2"/>
        </w:rPr>
        <w:t>4</w:t>
      </w:r>
      <w:r w:rsidR="00467BD2" w:rsidRPr="00252CDE">
        <w:rPr>
          <w:rFonts w:ascii="Calibri" w:hAnsi="Calibri" w:cs="Calibri"/>
          <w:color w:val="0D0D0D" w:themeColor="text1" w:themeTint="F2"/>
        </w:rPr>
        <w:t>a</w:t>
      </w:r>
      <w:r w:rsidRPr="00252CDE">
        <w:rPr>
          <w:rFonts w:ascii="Calibri" w:hAnsi="Calibri" w:cs="Calibri"/>
          <w:color w:val="0D0D0D" w:themeColor="text1" w:themeTint="F2"/>
        </w:rPr>
        <w:t>).</w:t>
      </w:r>
      <w:r w:rsidR="00A517A2"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This gender imbalance is particularly concerning against the backdrop of a critical and</w:t>
      </w:r>
      <w:r w:rsidR="00424E48" w:rsidRPr="00252CDE">
        <w:rPr>
          <w:rFonts w:ascii="Calibri" w:hAnsi="Calibri" w:cs="Calibri"/>
          <w:color w:val="0D0D0D" w:themeColor="text1" w:themeTint="F2"/>
        </w:rPr>
        <w:t>,</w:t>
      </w:r>
      <w:r w:rsidRPr="00252CDE">
        <w:rPr>
          <w:rFonts w:ascii="Calibri" w:hAnsi="Calibri" w:cs="Calibri"/>
          <w:color w:val="0D0D0D" w:themeColor="text1" w:themeTint="F2"/>
        </w:rPr>
        <w:t xml:space="preserve"> </w:t>
      </w:r>
      <w:r w:rsidR="00F30215" w:rsidRPr="00252CDE">
        <w:rPr>
          <w:rFonts w:ascii="Calibri" w:hAnsi="Calibri" w:cs="Calibri"/>
          <w:color w:val="0D0D0D" w:themeColor="text1" w:themeTint="F2"/>
        </w:rPr>
        <w:t xml:space="preserve">according to recent </w:t>
      </w:r>
      <w:r w:rsidR="00BE57CA" w:rsidRPr="00252CDE">
        <w:rPr>
          <w:rFonts w:ascii="Calibri" w:hAnsi="Calibri" w:cs="Calibri"/>
          <w:color w:val="0D0D0D" w:themeColor="text1" w:themeTint="F2"/>
        </w:rPr>
        <w:t>reports from the</w:t>
      </w:r>
      <w:r w:rsidR="00A65774" w:rsidRPr="00252CDE">
        <w:rPr>
          <w:rFonts w:ascii="Calibri" w:hAnsi="Calibri" w:cs="Calibri"/>
          <w:color w:val="0D0D0D" w:themeColor="text1" w:themeTint="F2"/>
        </w:rPr>
        <w:t xml:space="preserve"> Royal College of Nursing (2024</w:t>
      </w:r>
      <w:r w:rsidR="00F71613" w:rsidRPr="00252CDE">
        <w:rPr>
          <w:rFonts w:ascii="Calibri" w:hAnsi="Calibri" w:cs="Calibri"/>
          <w:color w:val="0D0D0D" w:themeColor="text1" w:themeTint="F2"/>
        </w:rPr>
        <w:t>)</w:t>
      </w:r>
      <w:r w:rsidR="00424E48" w:rsidRPr="00252CDE">
        <w:rPr>
          <w:rFonts w:ascii="Calibri" w:hAnsi="Calibri" w:cs="Calibri"/>
          <w:color w:val="0D0D0D" w:themeColor="text1" w:themeTint="F2"/>
        </w:rPr>
        <w:t>, a</w:t>
      </w:r>
      <w:r w:rsidR="00F71613" w:rsidRPr="00252CDE">
        <w:rPr>
          <w:rFonts w:ascii="Calibri" w:hAnsi="Calibri" w:cs="Calibri"/>
          <w:color w:val="0D0D0D" w:themeColor="text1" w:themeTint="F2"/>
        </w:rPr>
        <w:t xml:space="preserve"> </w:t>
      </w:r>
      <w:r w:rsidRPr="00252CDE">
        <w:rPr>
          <w:rFonts w:ascii="Calibri" w:hAnsi="Calibri" w:cs="Calibri"/>
          <w:color w:val="0D0D0D" w:themeColor="text1" w:themeTint="F2"/>
        </w:rPr>
        <w:t>growing shortage of nurses</w:t>
      </w:r>
      <w:r w:rsidR="00560255" w:rsidRPr="00252CDE">
        <w:rPr>
          <w:rFonts w:ascii="Calibri" w:hAnsi="Calibri" w:cs="Calibri"/>
          <w:color w:val="0D0D0D" w:themeColor="text1" w:themeTint="F2"/>
        </w:rPr>
        <w:t>;</w:t>
      </w:r>
      <w:r w:rsidRPr="00252CDE">
        <w:rPr>
          <w:rFonts w:ascii="Calibri" w:hAnsi="Calibri" w:cs="Calibri"/>
          <w:color w:val="0D0D0D" w:themeColor="text1" w:themeTint="F2"/>
        </w:rPr>
        <w:t xml:space="preserve"> a challenge that demands a multifaceted approach, including widening participation from all segments of the population</w:t>
      </w:r>
    </w:p>
    <w:p w14:paraId="2A6C0657" w14:textId="1BAFCEAA" w:rsidR="00EB6339" w:rsidRPr="00252CDE" w:rsidRDefault="00313CB0"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The potential loss of talent and diverse perspectives resulting from the underrepresentation of men in nursing is a significant concern</w:t>
      </w:r>
      <w:r w:rsidR="00D058D0" w:rsidRPr="00252CDE">
        <w:rPr>
          <w:rFonts w:ascii="Calibri" w:hAnsi="Calibri" w:cs="Calibri"/>
          <w:color w:val="0D0D0D" w:themeColor="text1" w:themeTint="F2"/>
        </w:rPr>
        <w:t xml:space="preserve"> (</w:t>
      </w:r>
      <w:r w:rsidR="00C66375" w:rsidRPr="00252CDE">
        <w:rPr>
          <w:rFonts w:ascii="Calibri" w:hAnsi="Calibri" w:cs="Calibri"/>
          <w:color w:val="0D0D0D" w:themeColor="text1" w:themeTint="F2"/>
        </w:rPr>
        <w:t>T</w:t>
      </w:r>
      <w:r w:rsidR="00AE22E5" w:rsidRPr="00252CDE">
        <w:rPr>
          <w:rFonts w:ascii="Calibri" w:hAnsi="Calibri" w:cs="Calibri"/>
          <w:color w:val="0D0D0D" w:themeColor="text1" w:themeTint="F2"/>
        </w:rPr>
        <w:t>hompson, Quinn and Watson, 2020; Davis and Shaw, 2024</w:t>
      </w:r>
      <w:r w:rsidR="00133CF0" w:rsidRPr="00252CDE">
        <w:rPr>
          <w:rFonts w:ascii="Calibri" w:hAnsi="Calibri" w:cs="Calibri"/>
          <w:color w:val="0D0D0D" w:themeColor="text1" w:themeTint="F2"/>
        </w:rPr>
        <w:t>)</w:t>
      </w:r>
      <w:r w:rsidRPr="00252CDE">
        <w:rPr>
          <w:rFonts w:ascii="Calibri" w:hAnsi="Calibri" w:cs="Calibri"/>
          <w:color w:val="0D0D0D" w:themeColor="text1" w:themeTint="F2"/>
        </w:rPr>
        <w:t xml:space="preserve">. </w:t>
      </w:r>
      <w:r w:rsidR="00303B3F"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A more gender-balanced workforce has been suggested to bring a broader range of skills, communication styles, and approaches to patient care, potentially enhancing the overall quality of healthcare delivery </w:t>
      </w:r>
      <w:r w:rsidR="00606A4F" w:rsidRPr="00252CDE">
        <w:rPr>
          <w:rFonts w:ascii="Calibri" w:hAnsi="Calibri" w:cs="Calibri"/>
          <w:color w:val="0D0D0D" w:themeColor="text1" w:themeTint="F2"/>
        </w:rPr>
        <w:t>(</w:t>
      </w:r>
      <w:r w:rsidRPr="00252CDE">
        <w:rPr>
          <w:rFonts w:ascii="Calibri" w:hAnsi="Calibri" w:cs="Calibri"/>
          <w:color w:val="0D0D0D" w:themeColor="text1" w:themeTint="F2"/>
        </w:rPr>
        <w:t xml:space="preserve">Cho </w:t>
      </w:r>
      <w:r w:rsidR="00606A4F" w:rsidRPr="00252CDE">
        <w:rPr>
          <w:rFonts w:ascii="Calibri" w:hAnsi="Calibri" w:cs="Calibri"/>
          <w:color w:val="0D0D0D" w:themeColor="text1" w:themeTint="F2"/>
        </w:rPr>
        <w:t>and</w:t>
      </w:r>
      <w:r w:rsidRPr="00252CDE">
        <w:rPr>
          <w:rFonts w:ascii="Calibri" w:hAnsi="Calibri" w:cs="Calibri"/>
          <w:color w:val="0D0D0D" w:themeColor="text1" w:themeTint="F2"/>
        </w:rPr>
        <w:t xml:space="preserve"> Jung, 202</w:t>
      </w:r>
      <w:r w:rsidR="009C5629" w:rsidRPr="00252CDE">
        <w:rPr>
          <w:rFonts w:ascii="Calibri" w:hAnsi="Calibri" w:cs="Calibri"/>
          <w:color w:val="0D0D0D" w:themeColor="text1" w:themeTint="F2"/>
        </w:rPr>
        <w:t>1</w:t>
      </w:r>
      <w:r w:rsidR="00606A4F" w:rsidRPr="00252CDE">
        <w:rPr>
          <w:rFonts w:ascii="Calibri" w:hAnsi="Calibri" w:cs="Calibri"/>
          <w:color w:val="0D0D0D" w:themeColor="text1" w:themeTint="F2"/>
        </w:rPr>
        <w:t>;</w:t>
      </w:r>
      <w:r w:rsidR="00244789" w:rsidRPr="00252CDE">
        <w:rPr>
          <w:rFonts w:ascii="Calibri" w:hAnsi="Calibri" w:cs="Calibri"/>
          <w:color w:val="0D0D0D" w:themeColor="text1" w:themeTint="F2"/>
        </w:rPr>
        <w:t xml:space="preserve"> Forrest, 2023</w:t>
      </w:r>
      <w:r w:rsidRPr="00252CDE">
        <w:rPr>
          <w:rFonts w:ascii="Calibri" w:hAnsi="Calibri" w:cs="Calibri"/>
          <w:color w:val="0D0D0D" w:themeColor="text1" w:themeTint="F2"/>
        </w:rPr>
        <w:t>).</w:t>
      </w:r>
      <w:r w:rsidR="00002246" w:rsidRPr="00252CDE">
        <w:rPr>
          <w:rFonts w:ascii="Calibri" w:hAnsi="Calibri" w:cs="Calibri"/>
          <w:color w:val="0D0D0D" w:themeColor="text1" w:themeTint="F2"/>
        </w:rPr>
        <w:t xml:space="preserve"> </w:t>
      </w:r>
      <w:r w:rsidR="00303B3F" w:rsidRPr="00252CDE">
        <w:rPr>
          <w:rFonts w:ascii="Calibri" w:hAnsi="Calibri" w:cs="Calibri"/>
          <w:color w:val="0D0D0D" w:themeColor="text1" w:themeTint="F2"/>
        </w:rPr>
        <w:t xml:space="preserve"> </w:t>
      </w:r>
      <w:r w:rsidRPr="00252CDE">
        <w:rPr>
          <w:rFonts w:ascii="Calibri" w:hAnsi="Calibri" w:cs="Calibri"/>
          <w:color w:val="0D0D0D" w:themeColor="text1" w:themeTint="F2"/>
        </w:rPr>
        <w:t>Furthermore, addressing gender imbalances aligns with broader societal goals of equality and inclusivity across professions.</w:t>
      </w:r>
    </w:p>
    <w:p w14:paraId="2DDD4B10" w14:textId="3A071639" w:rsidR="001D64D6" w:rsidRPr="00252CDE" w:rsidRDefault="001D64D6"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To address the existing gender imbalance within the nursing workforce, the development of a robust pipeline of nurses within nurse education has been proposed</w:t>
      </w:r>
      <w:r w:rsidR="000C3080" w:rsidRPr="00252CDE">
        <w:rPr>
          <w:rFonts w:ascii="Calibri" w:hAnsi="Calibri" w:cs="Calibri"/>
          <w:color w:val="0D0D0D" w:themeColor="text1" w:themeTint="F2"/>
        </w:rPr>
        <w:t xml:space="preserve"> by researchers including </w:t>
      </w:r>
      <w:r w:rsidR="002D246C" w:rsidRPr="00252CDE">
        <w:rPr>
          <w:rFonts w:ascii="Calibri" w:hAnsi="Calibri" w:cs="Calibri"/>
          <w:color w:val="0D0D0D" w:themeColor="text1" w:themeTint="F2"/>
        </w:rPr>
        <w:t xml:space="preserve">Stanley </w:t>
      </w:r>
      <w:r w:rsidR="002D246C" w:rsidRPr="00252CDE">
        <w:rPr>
          <w:rFonts w:ascii="Calibri" w:hAnsi="Calibri" w:cs="Calibri"/>
          <w:i/>
          <w:iCs/>
          <w:color w:val="0D0D0D" w:themeColor="text1" w:themeTint="F2"/>
        </w:rPr>
        <w:t>et al</w:t>
      </w:r>
      <w:r w:rsidR="002D246C" w:rsidRPr="00252CDE">
        <w:rPr>
          <w:rFonts w:ascii="Calibri" w:hAnsi="Calibri" w:cs="Calibri"/>
          <w:color w:val="0D0D0D" w:themeColor="text1" w:themeTint="F2"/>
        </w:rPr>
        <w:t>. (2017)</w:t>
      </w:r>
      <w:r w:rsidR="00DB7AC7" w:rsidRPr="00252CDE">
        <w:rPr>
          <w:rFonts w:ascii="Calibri" w:hAnsi="Calibri" w:cs="Calibri"/>
          <w:color w:val="0D0D0D" w:themeColor="text1" w:themeTint="F2"/>
        </w:rPr>
        <w:t xml:space="preserve"> and Teresa-Morales </w:t>
      </w:r>
      <w:r w:rsidR="00DB7AC7" w:rsidRPr="00252CDE">
        <w:rPr>
          <w:rFonts w:ascii="Calibri" w:hAnsi="Calibri" w:cs="Calibri"/>
          <w:i/>
          <w:iCs/>
          <w:color w:val="0D0D0D" w:themeColor="text1" w:themeTint="F2"/>
        </w:rPr>
        <w:t>et al</w:t>
      </w:r>
      <w:r w:rsidR="00DB7AC7" w:rsidRPr="00252CDE">
        <w:rPr>
          <w:rFonts w:ascii="Calibri" w:hAnsi="Calibri" w:cs="Calibri"/>
          <w:color w:val="0D0D0D" w:themeColor="text1" w:themeTint="F2"/>
        </w:rPr>
        <w:t>. (2022)</w:t>
      </w:r>
      <w:r w:rsidRPr="00252CDE">
        <w:rPr>
          <w:rFonts w:ascii="Calibri" w:hAnsi="Calibri" w:cs="Calibri"/>
          <w:color w:val="0D0D0D" w:themeColor="text1" w:themeTint="F2"/>
        </w:rPr>
        <w:t>.</w:t>
      </w:r>
      <w:r w:rsidR="00DB7AC7"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w:t>
      </w:r>
      <w:r w:rsidR="006D3E47" w:rsidRPr="00252CDE">
        <w:rPr>
          <w:rFonts w:ascii="Calibri" w:hAnsi="Calibri" w:cs="Calibri"/>
          <w:color w:val="0D0D0D" w:themeColor="text1" w:themeTint="F2"/>
        </w:rPr>
        <w:t>C</w:t>
      </w:r>
      <w:r w:rsidRPr="00252CDE">
        <w:rPr>
          <w:rFonts w:ascii="Calibri" w:hAnsi="Calibri" w:cs="Calibri"/>
          <w:color w:val="0D0D0D" w:themeColor="text1" w:themeTint="F2"/>
        </w:rPr>
        <w:t>oncerning statistics from the Universities and Colleges Admissions Service</w:t>
      </w:r>
      <w:r w:rsidR="00151FBE" w:rsidRPr="00252CDE">
        <w:rPr>
          <w:rFonts w:ascii="Calibri" w:hAnsi="Calibri" w:cs="Calibri"/>
          <w:color w:val="0D0D0D" w:themeColor="text1" w:themeTint="F2"/>
        </w:rPr>
        <w:t xml:space="preserve"> (UCAS)</w:t>
      </w:r>
      <w:r w:rsidRPr="00252CDE">
        <w:rPr>
          <w:rFonts w:ascii="Calibri" w:hAnsi="Calibri" w:cs="Calibri"/>
          <w:color w:val="0D0D0D" w:themeColor="text1" w:themeTint="F2"/>
        </w:rPr>
        <w:t xml:space="preserve"> </w:t>
      </w:r>
      <w:r w:rsidR="00056645" w:rsidRPr="00252CDE">
        <w:rPr>
          <w:rFonts w:ascii="Calibri" w:hAnsi="Calibri" w:cs="Calibri"/>
          <w:color w:val="0D0D0D" w:themeColor="text1" w:themeTint="F2"/>
        </w:rPr>
        <w:t>(202</w:t>
      </w:r>
      <w:r w:rsidR="007F1B25" w:rsidRPr="00252CDE">
        <w:rPr>
          <w:rFonts w:ascii="Calibri" w:hAnsi="Calibri" w:cs="Calibri"/>
          <w:color w:val="0D0D0D" w:themeColor="text1" w:themeTint="F2"/>
        </w:rPr>
        <w:t>4</w:t>
      </w:r>
      <w:r w:rsidR="00056645" w:rsidRPr="00252CDE">
        <w:rPr>
          <w:rFonts w:ascii="Calibri" w:hAnsi="Calibri" w:cs="Calibri"/>
          <w:color w:val="0D0D0D" w:themeColor="text1" w:themeTint="F2"/>
        </w:rPr>
        <w:t xml:space="preserve">) amongst </w:t>
      </w:r>
      <w:r w:rsidR="00BD2740" w:rsidRPr="00252CDE">
        <w:rPr>
          <w:rFonts w:ascii="Calibri" w:hAnsi="Calibri" w:cs="Calibri"/>
          <w:color w:val="0D0D0D" w:themeColor="text1" w:themeTint="F2"/>
        </w:rPr>
        <w:t>others,</w:t>
      </w:r>
      <w:r w:rsidR="006D3E47" w:rsidRPr="00252CDE">
        <w:rPr>
          <w:rFonts w:ascii="Calibri" w:hAnsi="Calibri" w:cs="Calibri"/>
          <w:color w:val="0D0D0D" w:themeColor="text1" w:themeTint="F2"/>
        </w:rPr>
        <w:t xml:space="preserve"> however, </w:t>
      </w:r>
      <w:r w:rsidRPr="00252CDE">
        <w:rPr>
          <w:rFonts w:ascii="Calibri" w:hAnsi="Calibri" w:cs="Calibri"/>
          <w:color w:val="0D0D0D" w:themeColor="text1" w:themeTint="F2"/>
        </w:rPr>
        <w:t>indicate that a similar gender imbalance is evident within nursing education itself.</w:t>
      </w:r>
      <w:r w:rsidR="00BD2740"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In Wales, for instance, </w:t>
      </w:r>
      <w:r w:rsidR="00842CD1" w:rsidRPr="00252CDE">
        <w:rPr>
          <w:rFonts w:ascii="Calibri" w:hAnsi="Calibri" w:cs="Calibri"/>
          <w:color w:val="0D0D0D" w:themeColor="text1" w:themeTint="F2"/>
        </w:rPr>
        <w:t>the NMC (2024</w:t>
      </w:r>
      <w:r w:rsidR="00467BD2" w:rsidRPr="00252CDE">
        <w:rPr>
          <w:rFonts w:ascii="Calibri" w:hAnsi="Calibri" w:cs="Calibri"/>
          <w:color w:val="0D0D0D" w:themeColor="text1" w:themeTint="F2"/>
        </w:rPr>
        <w:t>b</w:t>
      </w:r>
      <w:r w:rsidR="00842CD1" w:rsidRPr="00252CDE">
        <w:rPr>
          <w:rFonts w:ascii="Calibri" w:hAnsi="Calibri" w:cs="Calibri"/>
          <w:color w:val="0D0D0D" w:themeColor="text1" w:themeTint="F2"/>
        </w:rPr>
        <w:t xml:space="preserve">) report that </w:t>
      </w:r>
      <w:r w:rsidRPr="00252CDE">
        <w:rPr>
          <w:rFonts w:ascii="Calibri" w:hAnsi="Calibri" w:cs="Calibri"/>
          <w:color w:val="0D0D0D" w:themeColor="text1" w:themeTint="F2"/>
        </w:rPr>
        <w:t>only approximately 5% of nursing graduates are male.</w:t>
      </w:r>
    </w:p>
    <w:p w14:paraId="315994C4" w14:textId="0605BEEE" w:rsidR="00762905" w:rsidRPr="00252CDE" w:rsidRDefault="00313CB0"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 It is th</w:t>
      </w:r>
      <w:r w:rsidR="001D64D6" w:rsidRPr="00252CDE">
        <w:rPr>
          <w:rFonts w:ascii="Calibri" w:hAnsi="Calibri" w:cs="Calibri"/>
          <w:color w:val="0D0D0D" w:themeColor="text1" w:themeTint="F2"/>
        </w:rPr>
        <w:t>e</w:t>
      </w:r>
      <w:r w:rsidRPr="00252CDE">
        <w:rPr>
          <w:rFonts w:ascii="Calibri" w:hAnsi="Calibri" w:cs="Calibri"/>
          <w:color w:val="0D0D0D" w:themeColor="text1" w:themeTint="F2"/>
        </w:rPr>
        <w:t xml:space="preserve"> </w:t>
      </w:r>
      <w:r w:rsidR="001C30EC" w:rsidRPr="00252CDE">
        <w:rPr>
          <w:rFonts w:ascii="Calibri" w:hAnsi="Calibri" w:cs="Calibri"/>
          <w:color w:val="0D0D0D" w:themeColor="text1" w:themeTint="F2"/>
        </w:rPr>
        <w:t>culmination</w:t>
      </w:r>
      <w:r w:rsidRPr="00252CDE">
        <w:rPr>
          <w:rFonts w:ascii="Calibri" w:hAnsi="Calibri" w:cs="Calibri"/>
          <w:color w:val="0D0D0D" w:themeColor="text1" w:themeTint="F2"/>
        </w:rPr>
        <w:t xml:space="preserve"> of a critical workforce need and the observed gender disparity that fuels my interest in exploring the factors that may contribute to this phenomenon, particularly within the context of nurse education. </w:t>
      </w:r>
      <w:r w:rsidR="00AF0809"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This review will begin to unpack the </w:t>
      </w:r>
      <w:r w:rsidRPr="00252CDE">
        <w:rPr>
          <w:rFonts w:ascii="Calibri" w:hAnsi="Calibri" w:cs="Calibri"/>
          <w:color w:val="0D0D0D" w:themeColor="text1" w:themeTint="F2"/>
        </w:rPr>
        <w:lastRenderedPageBreak/>
        <w:t>potential role of gender bias within these educational settings as a contributing factor to both the lower rates of male entry into nursing programmes and the potential for higher attrition among male students</w:t>
      </w:r>
      <w:r w:rsidR="00582662" w:rsidRPr="00252CDE">
        <w:rPr>
          <w:rFonts w:ascii="Calibri" w:hAnsi="Calibri" w:cs="Calibri"/>
          <w:color w:val="0D0D0D" w:themeColor="text1" w:themeTint="F2"/>
        </w:rPr>
        <w:t>, which is documented in several studies to</w:t>
      </w:r>
      <w:r w:rsidR="001E114B" w:rsidRPr="00252CDE">
        <w:rPr>
          <w:rFonts w:ascii="Calibri" w:hAnsi="Calibri" w:cs="Calibri"/>
          <w:color w:val="0D0D0D" w:themeColor="text1" w:themeTint="F2"/>
        </w:rPr>
        <w:t xml:space="preserve"> rang</w:t>
      </w:r>
      <w:r w:rsidR="00582662" w:rsidRPr="00252CDE">
        <w:rPr>
          <w:rFonts w:ascii="Calibri" w:hAnsi="Calibri" w:cs="Calibri"/>
          <w:color w:val="0D0D0D" w:themeColor="text1" w:themeTint="F2"/>
        </w:rPr>
        <w:t>e</w:t>
      </w:r>
      <w:r w:rsidR="001E114B" w:rsidRPr="00252CDE">
        <w:rPr>
          <w:rFonts w:ascii="Calibri" w:hAnsi="Calibri" w:cs="Calibri"/>
          <w:color w:val="0D0D0D" w:themeColor="text1" w:themeTint="F2"/>
        </w:rPr>
        <w:t xml:space="preserve"> from 80% to 100% (Anthony, 2004; McLaughlin and Muldoon, 2010; Le</w:t>
      </w:r>
      <w:r w:rsidR="00B80B3D" w:rsidRPr="00252CDE">
        <w:rPr>
          <w:rFonts w:ascii="Calibri" w:hAnsi="Calibri" w:cs="Calibri"/>
          <w:color w:val="0D0D0D" w:themeColor="text1" w:themeTint="F2"/>
        </w:rPr>
        <w:t>r</w:t>
      </w:r>
      <w:r w:rsidR="001E114B" w:rsidRPr="00252CDE">
        <w:rPr>
          <w:rFonts w:ascii="Calibri" w:hAnsi="Calibri" w:cs="Calibri"/>
          <w:color w:val="0D0D0D" w:themeColor="text1" w:themeTint="F2"/>
        </w:rPr>
        <w:t xml:space="preserve">ardi </w:t>
      </w:r>
      <w:r w:rsidR="001E114B" w:rsidRPr="00252CDE">
        <w:rPr>
          <w:rFonts w:ascii="Calibri" w:hAnsi="Calibri" w:cs="Calibri"/>
          <w:i/>
          <w:iCs/>
          <w:color w:val="0D0D0D" w:themeColor="text1" w:themeTint="F2"/>
        </w:rPr>
        <w:t>et al</w:t>
      </w:r>
      <w:r w:rsidR="001E114B" w:rsidRPr="00252CDE">
        <w:rPr>
          <w:rFonts w:ascii="Calibri" w:hAnsi="Calibri" w:cs="Calibri"/>
          <w:color w:val="0D0D0D" w:themeColor="text1" w:themeTint="F2"/>
        </w:rPr>
        <w:t xml:space="preserve">., 2010; Kim and Moon, 2021). </w:t>
      </w:r>
    </w:p>
    <w:p w14:paraId="6A3E820D" w14:textId="77777777" w:rsidR="00293EE3" w:rsidRPr="00252CDE" w:rsidRDefault="00293EE3" w:rsidP="00D51D2A">
      <w:pPr>
        <w:spacing w:line="360" w:lineRule="auto"/>
        <w:rPr>
          <w:rFonts w:ascii="Calibri" w:hAnsi="Calibri" w:cs="Calibri"/>
          <w:color w:val="0D0D0D" w:themeColor="text1" w:themeTint="F2"/>
        </w:rPr>
      </w:pPr>
    </w:p>
    <w:p w14:paraId="5564A356" w14:textId="0480BEC1" w:rsidR="00313CB0" w:rsidRPr="00252CDE" w:rsidRDefault="00313CB0" w:rsidP="00D51D2A">
      <w:pPr>
        <w:spacing w:line="360" w:lineRule="auto"/>
        <w:rPr>
          <w:rFonts w:ascii="Calibri" w:hAnsi="Calibri" w:cs="Calibri"/>
          <w:b/>
          <w:bCs/>
          <w:color w:val="0D0D0D" w:themeColor="text1" w:themeTint="F2"/>
        </w:rPr>
      </w:pPr>
      <w:r w:rsidRPr="00252CDE">
        <w:rPr>
          <w:rFonts w:ascii="Calibri" w:hAnsi="Calibri" w:cs="Calibri"/>
          <w:b/>
          <w:bCs/>
          <w:color w:val="0D0D0D" w:themeColor="text1" w:themeTint="F2"/>
        </w:rPr>
        <w:t>1.2 Researcher Positionality</w:t>
      </w:r>
    </w:p>
    <w:p w14:paraId="3C1D2C6E" w14:textId="47B5BAF9" w:rsidR="00313CB0" w:rsidRPr="00252CDE" w:rsidRDefault="00313CB0"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My positionality as both a nurse educator and a practicing nurse provides a unique vantage point from which to approach this critical review. </w:t>
      </w:r>
      <w:r w:rsidR="00A4181D" w:rsidRPr="00252CDE">
        <w:rPr>
          <w:rFonts w:ascii="Calibri" w:hAnsi="Calibri" w:cs="Calibri"/>
          <w:color w:val="0D0D0D" w:themeColor="text1" w:themeTint="F2"/>
        </w:rPr>
        <w:t xml:space="preserve"> </w:t>
      </w:r>
      <w:r w:rsidRPr="00252CDE">
        <w:rPr>
          <w:rFonts w:ascii="Calibri" w:hAnsi="Calibri" w:cs="Calibri"/>
          <w:color w:val="0D0D0D" w:themeColor="text1" w:themeTint="F2"/>
        </w:rPr>
        <w:t>My experiences in clinical practice have offered direct insights into the gender dynamics within the nursing profession, highlighting both the strengths and the challenges associated with a gender-imbalanced workforce.</w:t>
      </w:r>
      <w:r w:rsidR="00AB0F06" w:rsidRPr="00252CDE">
        <w:rPr>
          <w:rFonts w:ascii="Calibri" w:hAnsi="Calibri" w:cs="Calibri"/>
          <w:color w:val="0D0D0D" w:themeColor="text1" w:themeTint="F2"/>
        </w:rPr>
        <w:t xml:space="preserve">  </w:t>
      </w:r>
      <w:r w:rsidRPr="00252CDE">
        <w:rPr>
          <w:rFonts w:ascii="Calibri" w:hAnsi="Calibri" w:cs="Calibri"/>
          <w:color w:val="0D0D0D" w:themeColor="text1" w:themeTint="F2"/>
        </w:rPr>
        <w:t>Observing patient interactions, team dynamics, and professional development opportunities through this lens has shaped my understanding of the practical implications of male underrepresentation.</w:t>
      </w:r>
    </w:p>
    <w:p w14:paraId="5DBB6F54" w14:textId="4FD0B3CD" w:rsidR="00313CB0" w:rsidRPr="00252CDE" w:rsidRDefault="00313CB0" w:rsidP="004D0BDD">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Concurrently, my role as a nurse educator allows for direct engagement with aspiring nurses, including male students navigating a predominantly female educational environment. </w:t>
      </w:r>
      <w:r w:rsidR="00AB0F06" w:rsidRPr="00252CDE">
        <w:rPr>
          <w:rFonts w:ascii="Calibri" w:hAnsi="Calibri" w:cs="Calibri"/>
          <w:color w:val="0D0D0D" w:themeColor="text1" w:themeTint="F2"/>
        </w:rPr>
        <w:t xml:space="preserve"> </w:t>
      </w:r>
      <w:r w:rsidRPr="00252CDE">
        <w:rPr>
          <w:rFonts w:ascii="Calibri" w:hAnsi="Calibri" w:cs="Calibri"/>
          <w:color w:val="0D0D0D" w:themeColor="text1" w:themeTint="F2"/>
        </w:rPr>
        <w:t>This has provided opportunities to observe patterns of engagement, identify potential challenges faced by male students, and reflect on the ways in which curricul</w:t>
      </w:r>
      <w:r w:rsidR="003E087A" w:rsidRPr="00252CDE">
        <w:rPr>
          <w:rFonts w:ascii="Calibri" w:hAnsi="Calibri" w:cs="Calibri"/>
          <w:color w:val="0D0D0D" w:themeColor="text1" w:themeTint="F2"/>
        </w:rPr>
        <w:t>um</w:t>
      </w:r>
      <w:r w:rsidRPr="00252CDE">
        <w:rPr>
          <w:rFonts w:ascii="Calibri" w:hAnsi="Calibri" w:cs="Calibri"/>
          <w:color w:val="0D0D0D" w:themeColor="text1" w:themeTint="F2"/>
        </w:rPr>
        <w:t xml:space="preserve"> and teaching practices might be perceived differently based on gender. </w:t>
      </w:r>
      <w:r w:rsidR="003E087A" w:rsidRPr="00252CDE">
        <w:rPr>
          <w:rFonts w:ascii="Calibri" w:hAnsi="Calibri" w:cs="Calibri"/>
          <w:color w:val="0D0D0D" w:themeColor="text1" w:themeTint="F2"/>
        </w:rPr>
        <w:t xml:space="preserve"> </w:t>
      </w:r>
      <w:r w:rsidRPr="00252CDE">
        <w:rPr>
          <w:rFonts w:ascii="Calibri" w:hAnsi="Calibri" w:cs="Calibri"/>
          <w:color w:val="0D0D0D" w:themeColor="text1" w:themeTint="F2"/>
        </w:rPr>
        <w:t>This 'insider' perspective</w:t>
      </w:r>
      <w:r w:rsidR="00CC506B" w:rsidRPr="00252CDE">
        <w:rPr>
          <w:rFonts w:ascii="Calibri" w:hAnsi="Calibri" w:cs="Calibri"/>
          <w:color w:val="0D0D0D" w:themeColor="text1" w:themeTint="F2"/>
        </w:rPr>
        <w:t>, according to both</w:t>
      </w:r>
      <w:r w:rsidR="00B65A66" w:rsidRPr="00252CDE">
        <w:rPr>
          <w:rFonts w:ascii="Calibri" w:hAnsi="Calibri" w:cs="Calibri"/>
          <w:color w:val="0D0D0D" w:themeColor="text1" w:themeTint="F2"/>
        </w:rPr>
        <w:t xml:space="preserve"> </w:t>
      </w:r>
      <w:r w:rsidR="00CC506B" w:rsidRPr="00252CDE">
        <w:rPr>
          <w:rFonts w:ascii="Calibri" w:hAnsi="Calibri" w:cs="Calibri"/>
          <w:color w:val="0D0D0D" w:themeColor="text1" w:themeTint="F2"/>
        </w:rPr>
        <w:t>Dwyer and Buckle</w:t>
      </w:r>
      <w:r w:rsidR="00B65A66" w:rsidRPr="00252CDE">
        <w:rPr>
          <w:rFonts w:ascii="Calibri" w:hAnsi="Calibri" w:cs="Calibri"/>
          <w:color w:val="0D0D0D" w:themeColor="text1" w:themeTint="F2"/>
        </w:rPr>
        <w:t xml:space="preserve"> (</w:t>
      </w:r>
      <w:r w:rsidR="00CC506B" w:rsidRPr="00252CDE">
        <w:rPr>
          <w:rFonts w:ascii="Calibri" w:hAnsi="Calibri" w:cs="Calibri"/>
          <w:color w:val="0D0D0D" w:themeColor="text1" w:themeTint="F2"/>
        </w:rPr>
        <w:t>2009</w:t>
      </w:r>
      <w:r w:rsidR="00B65A66" w:rsidRPr="00252CDE">
        <w:rPr>
          <w:rFonts w:ascii="Calibri" w:hAnsi="Calibri" w:cs="Calibri"/>
          <w:color w:val="0D0D0D" w:themeColor="text1" w:themeTint="F2"/>
        </w:rPr>
        <w:t xml:space="preserve">) and </w:t>
      </w:r>
      <w:r w:rsidR="00CC506B" w:rsidRPr="00252CDE">
        <w:rPr>
          <w:rFonts w:ascii="Calibri" w:hAnsi="Calibri" w:cs="Calibri"/>
          <w:color w:val="0D0D0D" w:themeColor="text1" w:themeTint="F2"/>
        </w:rPr>
        <w:t xml:space="preserve">Tashakkori and Teddlie </w:t>
      </w:r>
      <w:r w:rsidR="004A1C60" w:rsidRPr="00252CDE">
        <w:rPr>
          <w:rFonts w:ascii="Calibri" w:hAnsi="Calibri" w:cs="Calibri"/>
          <w:color w:val="0D0D0D" w:themeColor="text1" w:themeTint="F2"/>
        </w:rPr>
        <w:t>(</w:t>
      </w:r>
      <w:r w:rsidR="00CC506B" w:rsidRPr="00252CDE">
        <w:rPr>
          <w:rFonts w:ascii="Calibri" w:hAnsi="Calibri" w:cs="Calibri"/>
          <w:color w:val="0D0D0D" w:themeColor="text1" w:themeTint="F2"/>
        </w:rPr>
        <w:t>2010</w:t>
      </w:r>
      <w:r w:rsidR="004A1C60" w:rsidRPr="00252CDE">
        <w:rPr>
          <w:rFonts w:ascii="Calibri" w:hAnsi="Calibri" w:cs="Calibri"/>
          <w:color w:val="0D0D0D" w:themeColor="text1" w:themeTint="F2"/>
        </w:rPr>
        <w:t>)</w:t>
      </w:r>
      <w:r w:rsidR="00DA7C50" w:rsidRPr="00252CDE">
        <w:rPr>
          <w:rFonts w:ascii="Calibri" w:hAnsi="Calibri" w:cs="Calibri"/>
          <w:color w:val="0D0D0D" w:themeColor="text1" w:themeTint="F2"/>
        </w:rPr>
        <w:t>,</w:t>
      </w:r>
      <w:r w:rsidR="004A1C60" w:rsidRPr="00252CDE">
        <w:rPr>
          <w:rFonts w:ascii="Calibri" w:hAnsi="Calibri" w:cs="Calibri"/>
          <w:color w:val="0D0D0D" w:themeColor="text1" w:themeTint="F2"/>
        </w:rPr>
        <w:t xml:space="preserve"> </w:t>
      </w:r>
      <w:r w:rsidRPr="00252CDE">
        <w:rPr>
          <w:rFonts w:ascii="Calibri" w:hAnsi="Calibri" w:cs="Calibri"/>
          <w:color w:val="0D0D0D" w:themeColor="text1" w:themeTint="F2"/>
        </w:rPr>
        <w:t>offers a rich, contextual understanding of the educational landscape.</w:t>
      </w:r>
    </w:p>
    <w:p w14:paraId="7AAAC646" w14:textId="1B2D71A5" w:rsidR="00313CB0" w:rsidRPr="00252CDE" w:rsidRDefault="00126A4F"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I</w:t>
      </w:r>
      <w:r w:rsidR="00313CB0" w:rsidRPr="00252CDE">
        <w:rPr>
          <w:rFonts w:ascii="Calibri" w:hAnsi="Calibri" w:cs="Calibri"/>
          <w:color w:val="0D0D0D" w:themeColor="text1" w:themeTint="F2"/>
        </w:rPr>
        <w:t xml:space="preserve">t is crucial to acknowledge that this dual role also brings potential biases. </w:t>
      </w:r>
      <w:r w:rsidRPr="00252CDE">
        <w:rPr>
          <w:rFonts w:ascii="Calibri" w:hAnsi="Calibri" w:cs="Calibri"/>
          <w:color w:val="0D0D0D" w:themeColor="text1" w:themeTint="F2"/>
        </w:rPr>
        <w:t xml:space="preserve"> </w:t>
      </w:r>
      <w:r w:rsidR="00950CEF" w:rsidRPr="00252CDE">
        <w:rPr>
          <w:rFonts w:ascii="Calibri" w:hAnsi="Calibri" w:cs="Calibri"/>
          <w:color w:val="0D0D0D" w:themeColor="text1" w:themeTint="F2"/>
        </w:rPr>
        <w:t>Smith and Noble (2025) caution that m</w:t>
      </w:r>
      <w:r w:rsidR="00313CB0" w:rsidRPr="00252CDE">
        <w:rPr>
          <w:rFonts w:ascii="Calibri" w:hAnsi="Calibri" w:cs="Calibri"/>
          <w:color w:val="0D0D0D" w:themeColor="text1" w:themeTint="F2"/>
        </w:rPr>
        <w:t xml:space="preserve">y familiarity with the educational system and my own experiences within it could inadvertently influence my interpretation of the literature. </w:t>
      </w:r>
      <w:r w:rsidR="00730F3E" w:rsidRPr="00252CDE">
        <w:rPr>
          <w:rFonts w:ascii="Calibri" w:hAnsi="Calibri" w:cs="Calibri"/>
          <w:color w:val="0D0D0D" w:themeColor="text1" w:themeTint="F2"/>
        </w:rPr>
        <w:t xml:space="preserve"> </w:t>
      </w:r>
      <w:r w:rsidR="00313CB0" w:rsidRPr="00252CDE">
        <w:rPr>
          <w:rFonts w:ascii="Calibri" w:hAnsi="Calibri" w:cs="Calibri"/>
          <w:color w:val="0D0D0D" w:themeColor="text1" w:themeTint="F2"/>
        </w:rPr>
        <w:t xml:space="preserve">As a nurse educator, </w:t>
      </w:r>
      <w:r w:rsidR="002E00A3" w:rsidRPr="00252CDE">
        <w:rPr>
          <w:rFonts w:ascii="Calibri" w:hAnsi="Calibri" w:cs="Calibri"/>
          <w:color w:val="0D0D0D" w:themeColor="text1" w:themeTint="F2"/>
        </w:rPr>
        <w:t>Florczak</w:t>
      </w:r>
      <w:r w:rsidR="004B12F2" w:rsidRPr="00252CDE">
        <w:rPr>
          <w:rFonts w:ascii="Calibri" w:hAnsi="Calibri" w:cs="Calibri"/>
          <w:color w:val="0D0D0D" w:themeColor="text1" w:themeTint="F2"/>
        </w:rPr>
        <w:t xml:space="preserve"> (2022) </w:t>
      </w:r>
      <w:r w:rsidR="002E00A3" w:rsidRPr="00252CDE">
        <w:rPr>
          <w:rFonts w:ascii="Calibri" w:hAnsi="Calibri" w:cs="Calibri"/>
          <w:color w:val="0D0D0D" w:themeColor="text1" w:themeTint="F2"/>
        </w:rPr>
        <w:t xml:space="preserve">suggests that </w:t>
      </w:r>
      <w:r w:rsidR="00313CB0" w:rsidRPr="00252CDE">
        <w:rPr>
          <w:rFonts w:ascii="Calibri" w:hAnsi="Calibri" w:cs="Calibri"/>
          <w:color w:val="0D0D0D" w:themeColor="text1" w:themeTint="F2"/>
        </w:rPr>
        <w:t>I may have ingrained assumptions about effective pedagogy that could colour my analysis of how different approaches impact male students. Similarly,</w:t>
      </w:r>
      <w:r w:rsidR="001F0673" w:rsidRPr="00252CDE">
        <w:rPr>
          <w:rFonts w:ascii="Calibri" w:hAnsi="Calibri" w:cs="Calibri"/>
          <w:color w:val="0D0D0D" w:themeColor="text1" w:themeTint="F2"/>
        </w:rPr>
        <w:t xml:space="preserve"> </w:t>
      </w:r>
      <w:r w:rsidR="003D7CC1" w:rsidRPr="00252CDE">
        <w:rPr>
          <w:rFonts w:ascii="Calibri" w:hAnsi="Calibri" w:cs="Calibri"/>
          <w:color w:val="0D0D0D" w:themeColor="text1" w:themeTint="F2"/>
        </w:rPr>
        <w:t>Montori, Smeija and Guyatt (2000) report that</w:t>
      </w:r>
      <w:r w:rsidR="00313CB0" w:rsidRPr="00252CDE">
        <w:rPr>
          <w:rFonts w:ascii="Calibri" w:hAnsi="Calibri" w:cs="Calibri"/>
          <w:color w:val="0D0D0D" w:themeColor="text1" w:themeTint="F2"/>
        </w:rPr>
        <w:t xml:space="preserve"> my experiences in practice might lead me to prioritise certain aspects of the literature over others. </w:t>
      </w:r>
      <w:r w:rsidR="00976A38" w:rsidRPr="00252CDE">
        <w:rPr>
          <w:rFonts w:ascii="Calibri" w:hAnsi="Calibri" w:cs="Calibri"/>
          <w:color w:val="0D0D0D" w:themeColor="text1" w:themeTint="F2"/>
        </w:rPr>
        <w:t xml:space="preserve"> </w:t>
      </w:r>
      <w:r w:rsidR="00313CB0" w:rsidRPr="00252CDE">
        <w:rPr>
          <w:rFonts w:ascii="Calibri" w:hAnsi="Calibri" w:cs="Calibri"/>
          <w:color w:val="0D0D0D" w:themeColor="text1" w:themeTint="F2"/>
        </w:rPr>
        <w:t xml:space="preserve">Therefore, a commitment to reflexivity, as advocated by Finlay (2002), will be paramount throughout this review. </w:t>
      </w:r>
      <w:r w:rsidR="00976A38" w:rsidRPr="00252CDE">
        <w:rPr>
          <w:rFonts w:ascii="Calibri" w:hAnsi="Calibri" w:cs="Calibri"/>
          <w:color w:val="0D0D0D" w:themeColor="text1" w:themeTint="F2"/>
        </w:rPr>
        <w:t xml:space="preserve"> </w:t>
      </w:r>
      <w:r w:rsidR="00313CB0" w:rsidRPr="00252CDE">
        <w:rPr>
          <w:rFonts w:ascii="Calibri" w:hAnsi="Calibri" w:cs="Calibri"/>
          <w:color w:val="0D0D0D" w:themeColor="text1" w:themeTint="F2"/>
        </w:rPr>
        <w:t>This</w:t>
      </w:r>
      <w:r w:rsidR="00D32BA9" w:rsidRPr="00252CDE">
        <w:rPr>
          <w:rFonts w:ascii="Calibri" w:hAnsi="Calibri" w:cs="Calibri"/>
          <w:color w:val="0D0D0D" w:themeColor="text1" w:themeTint="F2"/>
        </w:rPr>
        <w:t>,</w:t>
      </w:r>
      <w:r w:rsidR="00313CB0" w:rsidRPr="00252CDE">
        <w:rPr>
          <w:rFonts w:ascii="Calibri" w:hAnsi="Calibri" w:cs="Calibri"/>
          <w:color w:val="0D0D0D" w:themeColor="text1" w:themeTint="F2"/>
        </w:rPr>
        <w:t xml:space="preserve"> </w:t>
      </w:r>
      <w:r w:rsidR="005A2C06" w:rsidRPr="00252CDE">
        <w:rPr>
          <w:rFonts w:ascii="Calibri" w:hAnsi="Calibri" w:cs="Calibri"/>
          <w:color w:val="0D0D0D" w:themeColor="text1" w:themeTint="F2"/>
        </w:rPr>
        <w:t>proposes</w:t>
      </w:r>
      <w:r w:rsidR="003942C5" w:rsidRPr="00252CDE">
        <w:rPr>
          <w:rFonts w:ascii="Calibri" w:hAnsi="Calibri" w:cs="Calibri"/>
          <w:color w:val="0D0D0D" w:themeColor="text1" w:themeTint="F2"/>
        </w:rPr>
        <w:t xml:space="preserve"> Drucker, Fleming and Chan (2016)</w:t>
      </w:r>
      <w:r w:rsidR="00D32BA9" w:rsidRPr="00252CDE">
        <w:rPr>
          <w:rFonts w:ascii="Calibri" w:hAnsi="Calibri" w:cs="Calibri"/>
          <w:color w:val="0D0D0D" w:themeColor="text1" w:themeTint="F2"/>
        </w:rPr>
        <w:t>, will</w:t>
      </w:r>
      <w:r w:rsidR="005A2C06" w:rsidRPr="00252CDE">
        <w:rPr>
          <w:rFonts w:ascii="Calibri" w:hAnsi="Calibri" w:cs="Calibri"/>
          <w:color w:val="0D0D0D" w:themeColor="text1" w:themeTint="F2"/>
        </w:rPr>
        <w:t xml:space="preserve"> </w:t>
      </w:r>
      <w:r w:rsidR="00313CB0" w:rsidRPr="00252CDE">
        <w:rPr>
          <w:rFonts w:ascii="Calibri" w:hAnsi="Calibri" w:cs="Calibri"/>
          <w:color w:val="0D0D0D" w:themeColor="text1" w:themeTint="F2"/>
        </w:rPr>
        <w:t xml:space="preserve">involve a conscious and critical examination </w:t>
      </w:r>
      <w:r w:rsidR="00313CB0" w:rsidRPr="00252CDE">
        <w:rPr>
          <w:rFonts w:ascii="Calibri" w:hAnsi="Calibri" w:cs="Calibri"/>
          <w:color w:val="0D0D0D" w:themeColor="text1" w:themeTint="F2"/>
        </w:rPr>
        <w:lastRenderedPageBreak/>
        <w:t>of my own assumptions and perspectives to mitigate their undue influence on the analysis and interpretation of the literature.</w:t>
      </w:r>
    </w:p>
    <w:p w14:paraId="4E43BC8A" w14:textId="77777777" w:rsidR="001175DD" w:rsidRPr="00252CDE" w:rsidRDefault="001175DD" w:rsidP="00D51D2A">
      <w:pPr>
        <w:spacing w:line="360" w:lineRule="auto"/>
        <w:rPr>
          <w:rFonts w:ascii="Calibri" w:hAnsi="Calibri" w:cs="Calibri"/>
          <w:color w:val="0D0D0D" w:themeColor="text1" w:themeTint="F2"/>
        </w:rPr>
      </w:pPr>
    </w:p>
    <w:p w14:paraId="0CC14023" w14:textId="50791CA2" w:rsidR="00313CB0" w:rsidRPr="00252CDE" w:rsidRDefault="00313CB0" w:rsidP="00D51D2A">
      <w:pPr>
        <w:spacing w:line="360" w:lineRule="auto"/>
        <w:rPr>
          <w:rFonts w:ascii="Calibri" w:hAnsi="Calibri" w:cs="Calibri"/>
          <w:b/>
          <w:bCs/>
          <w:color w:val="0D0D0D" w:themeColor="text1" w:themeTint="F2"/>
        </w:rPr>
      </w:pPr>
      <w:r w:rsidRPr="00252CDE">
        <w:rPr>
          <w:rFonts w:ascii="Calibri" w:hAnsi="Calibri" w:cs="Calibri"/>
          <w:b/>
          <w:bCs/>
          <w:color w:val="0D0D0D" w:themeColor="text1" w:themeTint="F2"/>
        </w:rPr>
        <w:t>1.3 Overview of the Literature Review</w:t>
      </w:r>
    </w:p>
    <w:p w14:paraId="2DE2A86C" w14:textId="5A24B0AC" w:rsidR="00312A2F" w:rsidRPr="00312A2F" w:rsidRDefault="00312A2F" w:rsidP="00312A2F">
      <w:pPr>
        <w:spacing w:line="360" w:lineRule="auto"/>
        <w:rPr>
          <w:rFonts w:ascii="Calibri" w:hAnsi="Calibri" w:cs="Calibri"/>
          <w:color w:val="0D0D0D" w:themeColor="text1" w:themeTint="F2"/>
        </w:rPr>
      </w:pPr>
      <w:r w:rsidRPr="00312A2F">
        <w:rPr>
          <w:rFonts w:ascii="Calibri" w:hAnsi="Calibri" w:cs="Calibri"/>
          <w:color w:val="0D0D0D" w:themeColor="text1" w:themeTint="F2"/>
        </w:rPr>
        <w:t xml:space="preserve">This critical literature review aims to analyse and evaluate the key literature concerning the underrepresentation and attrition of men in nursing education. </w:t>
      </w:r>
      <w:r w:rsidR="003675AD" w:rsidRPr="00252CDE">
        <w:rPr>
          <w:rFonts w:ascii="Calibri" w:hAnsi="Calibri" w:cs="Calibri"/>
          <w:color w:val="0D0D0D" w:themeColor="text1" w:themeTint="F2"/>
        </w:rPr>
        <w:t xml:space="preserve"> </w:t>
      </w:r>
      <w:r w:rsidRPr="00312A2F">
        <w:rPr>
          <w:rFonts w:ascii="Calibri" w:hAnsi="Calibri" w:cs="Calibri"/>
          <w:color w:val="0D0D0D" w:themeColor="text1" w:themeTint="F2"/>
        </w:rPr>
        <w:t>To achieve this, the review will be undertaken using thematic analysis</w:t>
      </w:r>
      <w:r w:rsidR="0085428E" w:rsidRPr="00252CDE">
        <w:rPr>
          <w:rFonts w:ascii="Calibri" w:hAnsi="Calibri" w:cs="Calibri"/>
          <w:color w:val="0D0D0D" w:themeColor="text1" w:themeTint="F2"/>
        </w:rPr>
        <w:t>, which Braun and Clarke (20</w:t>
      </w:r>
      <w:r w:rsidR="000B6F57" w:rsidRPr="00252CDE">
        <w:rPr>
          <w:rFonts w:ascii="Calibri" w:hAnsi="Calibri" w:cs="Calibri"/>
          <w:color w:val="0D0D0D" w:themeColor="text1" w:themeTint="F2"/>
        </w:rPr>
        <w:t>21</w:t>
      </w:r>
      <w:r w:rsidR="0085428E" w:rsidRPr="00252CDE">
        <w:rPr>
          <w:rFonts w:ascii="Calibri" w:hAnsi="Calibri" w:cs="Calibri"/>
          <w:color w:val="0D0D0D" w:themeColor="text1" w:themeTint="F2"/>
        </w:rPr>
        <w:t>)</w:t>
      </w:r>
      <w:r w:rsidR="00A4000A" w:rsidRPr="00252CDE">
        <w:rPr>
          <w:rFonts w:ascii="Calibri" w:hAnsi="Calibri" w:cs="Calibri"/>
          <w:color w:val="0D0D0D" w:themeColor="text1" w:themeTint="F2"/>
        </w:rPr>
        <w:t xml:space="preserve"> </w:t>
      </w:r>
      <w:r w:rsidR="00652C96" w:rsidRPr="00252CDE">
        <w:rPr>
          <w:rFonts w:ascii="Calibri" w:hAnsi="Calibri" w:cs="Calibri"/>
          <w:color w:val="0D0D0D" w:themeColor="text1" w:themeTint="F2"/>
        </w:rPr>
        <w:t>advocate</w:t>
      </w:r>
      <w:r w:rsidR="00A4000A" w:rsidRPr="00252CDE">
        <w:rPr>
          <w:rFonts w:ascii="Calibri" w:hAnsi="Calibri" w:cs="Calibri"/>
          <w:color w:val="0D0D0D" w:themeColor="text1" w:themeTint="F2"/>
        </w:rPr>
        <w:t xml:space="preserve"> as </w:t>
      </w:r>
      <w:r w:rsidRPr="00312A2F">
        <w:rPr>
          <w:rFonts w:ascii="Calibri" w:hAnsi="Calibri" w:cs="Calibri"/>
          <w:color w:val="0D0D0D" w:themeColor="text1" w:themeTint="F2"/>
        </w:rPr>
        <w:t xml:space="preserve">a method for identifying, analysing, and reporting patterns </w:t>
      </w:r>
      <w:r w:rsidR="00570EF5" w:rsidRPr="00252CDE">
        <w:rPr>
          <w:rFonts w:ascii="Calibri" w:hAnsi="Calibri" w:cs="Calibri"/>
          <w:color w:val="0D0D0D" w:themeColor="text1" w:themeTint="F2"/>
        </w:rPr>
        <w:t>and themes</w:t>
      </w:r>
      <w:r w:rsidRPr="00312A2F">
        <w:rPr>
          <w:rFonts w:ascii="Calibri" w:hAnsi="Calibri" w:cs="Calibri"/>
          <w:color w:val="0D0D0D" w:themeColor="text1" w:themeTint="F2"/>
        </w:rPr>
        <w:t xml:space="preserve"> within data.</w:t>
      </w:r>
      <w:r w:rsidR="00570EF5" w:rsidRPr="00252CDE">
        <w:rPr>
          <w:rFonts w:ascii="Calibri" w:hAnsi="Calibri" w:cs="Calibri"/>
          <w:color w:val="0D0D0D" w:themeColor="text1" w:themeTint="F2"/>
        </w:rPr>
        <w:t xml:space="preserve"> </w:t>
      </w:r>
      <w:r w:rsidRPr="00312A2F">
        <w:rPr>
          <w:rFonts w:ascii="Calibri" w:hAnsi="Calibri" w:cs="Calibri"/>
          <w:color w:val="0D0D0D" w:themeColor="text1" w:themeTint="F2"/>
        </w:rPr>
        <w:t xml:space="preserve"> In the context of a literature review, this involves systematically searching across the identified body of work to find recurrent ideas, topics, and patterns of meaning related to the research question</w:t>
      </w:r>
      <w:r w:rsidR="00FA2553" w:rsidRPr="00252CDE">
        <w:rPr>
          <w:rFonts w:ascii="Calibri" w:hAnsi="Calibri" w:cs="Calibri"/>
          <w:color w:val="0D0D0D" w:themeColor="text1" w:themeTint="F2"/>
        </w:rPr>
        <w:t xml:space="preserve"> </w:t>
      </w:r>
      <w:r w:rsidR="00797741" w:rsidRPr="00252CDE">
        <w:rPr>
          <w:rFonts w:ascii="Calibri" w:hAnsi="Calibri" w:cs="Calibri"/>
          <w:color w:val="0D0D0D" w:themeColor="text1" w:themeTint="F2"/>
        </w:rPr>
        <w:t xml:space="preserve">(Thomas and Harding, </w:t>
      </w:r>
      <w:r w:rsidR="00CF7D8C" w:rsidRPr="00252CDE">
        <w:rPr>
          <w:rFonts w:ascii="Calibri" w:hAnsi="Calibri" w:cs="Calibri"/>
          <w:color w:val="0D0D0D" w:themeColor="text1" w:themeTint="F2"/>
        </w:rPr>
        <w:t>2008</w:t>
      </w:r>
      <w:r w:rsidR="00875046" w:rsidRPr="00252CDE">
        <w:rPr>
          <w:rFonts w:ascii="Calibri" w:hAnsi="Calibri" w:cs="Calibri"/>
          <w:color w:val="0D0D0D" w:themeColor="text1" w:themeTint="F2"/>
        </w:rPr>
        <w:t>; Pare and Kits</w:t>
      </w:r>
      <w:r w:rsidR="00242D59" w:rsidRPr="00252CDE">
        <w:rPr>
          <w:rFonts w:ascii="Calibri" w:hAnsi="Calibri" w:cs="Calibri"/>
          <w:color w:val="0D0D0D" w:themeColor="text1" w:themeTint="F2"/>
        </w:rPr>
        <w:t>iou, 2017</w:t>
      </w:r>
      <w:r w:rsidR="00CF7D8C" w:rsidRPr="00252CDE">
        <w:rPr>
          <w:rFonts w:ascii="Calibri" w:hAnsi="Calibri" w:cs="Calibri"/>
          <w:color w:val="0D0D0D" w:themeColor="text1" w:themeTint="F2"/>
        </w:rPr>
        <w:t>)</w:t>
      </w:r>
      <w:r w:rsidRPr="00312A2F">
        <w:rPr>
          <w:rFonts w:ascii="Calibri" w:hAnsi="Calibri" w:cs="Calibri"/>
          <w:color w:val="0D0D0D" w:themeColor="text1" w:themeTint="F2"/>
        </w:rPr>
        <w:t>.</w:t>
      </w:r>
    </w:p>
    <w:p w14:paraId="6B63F07A" w14:textId="05E72E8A" w:rsidR="00312A2F" w:rsidRPr="00312A2F" w:rsidRDefault="00312A2F" w:rsidP="00312A2F">
      <w:pPr>
        <w:spacing w:line="360" w:lineRule="auto"/>
        <w:rPr>
          <w:rFonts w:ascii="Calibri" w:hAnsi="Calibri" w:cs="Calibri"/>
          <w:color w:val="0D0D0D" w:themeColor="text1" w:themeTint="F2"/>
        </w:rPr>
      </w:pPr>
      <w:r w:rsidRPr="00312A2F">
        <w:rPr>
          <w:rFonts w:ascii="Calibri" w:hAnsi="Calibri" w:cs="Calibri"/>
          <w:color w:val="0D0D0D" w:themeColor="text1" w:themeTint="F2"/>
        </w:rPr>
        <w:t xml:space="preserve">The use of thematic analysis offers several strengths for </w:t>
      </w:r>
      <w:r w:rsidR="007F338A" w:rsidRPr="00252CDE">
        <w:rPr>
          <w:rFonts w:ascii="Calibri" w:hAnsi="Calibri" w:cs="Calibri"/>
          <w:color w:val="0D0D0D" w:themeColor="text1" w:themeTint="F2"/>
        </w:rPr>
        <w:t>a</w:t>
      </w:r>
      <w:r w:rsidRPr="00312A2F">
        <w:rPr>
          <w:rFonts w:ascii="Calibri" w:hAnsi="Calibri" w:cs="Calibri"/>
          <w:color w:val="0D0D0D" w:themeColor="text1" w:themeTint="F2"/>
        </w:rPr>
        <w:t xml:space="preserve"> literature review</w:t>
      </w:r>
      <w:r w:rsidR="007F338A" w:rsidRPr="00252CDE">
        <w:rPr>
          <w:rFonts w:ascii="Calibri" w:hAnsi="Calibri" w:cs="Calibri"/>
          <w:color w:val="0D0D0D" w:themeColor="text1" w:themeTint="F2"/>
        </w:rPr>
        <w:t xml:space="preserve"> </w:t>
      </w:r>
      <w:r w:rsidR="00144A25" w:rsidRPr="00252CDE">
        <w:rPr>
          <w:rFonts w:ascii="Calibri" w:hAnsi="Calibri" w:cs="Calibri"/>
          <w:color w:val="0D0D0D" w:themeColor="text1" w:themeTint="F2"/>
        </w:rPr>
        <w:t xml:space="preserve">(Anderson </w:t>
      </w:r>
      <w:r w:rsidR="00144A25" w:rsidRPr="00252CDE">
        <w:rPr>
          <w:rFonts w:ascii="Calibri" w:hAnsi="Calibri" w:cs="Calibri"/>
          <w:i/>
          <w:iCs/>
          <w:color w:val="0D0D0D" w:themeColor="text1" w:themeTint="F2"/>
        </w:rPr>
        <w:t>et al</w:t>
      </w:r>
      <w:r w:rsidR="00144A25" w:rsidRPr="00252CDE">
        <w:rPr>
          <w:rFonts w:ascii="Calibri" w:hAnsi="Calibri" w:cs="Calibri"/>
          <w:color w:val="0D0D0D" w:themeColor="text1" w:themeTint="F2"/>
        </w:rPr>
        <w:t>., 2015</w:t>
      </w:r>
      <w:r w:rsidR="00E42AA5" w:rsidRPr="00252CDE">
        <w:rPr>
          <w:rFonts w:ascii="Calibri" w:hAnsi="Calibri" w:cs="Calibri"/>
          <w:color w:val="0D0D0D" w:themeColor="text1" w:themeTint="F2"/>
        </w:rPr>
        <w:t xml:space="preserve">; Nowell </w:t>
      </w:r>
      <w:r w:rsidR="00E42AA5" w:rsidRPr="00252CDE">
        <w:rPr>
          <w:rFonts w:ascii="Calibri" w:hAnsi="Calibri" w:cs="Calibri"/>
          <w:i/>
          <w:iCs/>
          <w:color w:val="0D0D0D" w:themeColor="text1" w:themeTint="F2"/>
        </w:rPr>
        <w:t>et al</w:t>
      </w:r>
      <w:r w:rsidR="00E42AA5" w:rsidRPr="00252CDE">
        <w:rPr>
          <w:rFonts w:ascii="Calibri" w:hAnsi="Calibri" w:cs="Calibri"/>
          <w:color w:val="0D0D0D" w:themeColor="text1" w:themeTint="F2"/>
        </w:rPr>
        <w:t>.</w:t>
      </w:r>
      <w:r w:rsidR="00D01D03" w:rsidRPr="00252CDE">
        <w:rPr>
          <w:rFonts w:ascii="Calibri" w:hAnsi="Calibri" w:cs="Calibri"/>
          <w:color w:val="0D0D0D" w:themeColor="text1" w:themeTint="F2"/>
        </w:rPr>
        <w:t>, 2017</w:t>
      </w:r>
      <w:r w:rsidR="00144A25" w:rsidRPr="00252CDE">
        <w:rPr>
          <w:rFonts w:ascii="Calibri" w:hAnsi="Calibri" w:cs="Calibri"/>
          <w:color w:val="0D0D0D" w:themeColor="text1" w:themeTint="F2"/>
        </w:rPr>
        <w:t>);</w:t>
      </w:r>
      <w:r w:rsidR="00B9751A" w:rsidRPr="00252CDE">
        <w:rPr>
          <w:rFonts w:ascii="Calibri" w:hAnsi="Calibri" w:cs="Calibri"/>
          <w:color w:val="0D0D0D" w:themeColor="text1" w:themeTint="F2"/>
        </w:rPr>
        <w:t xml:space="preserve"> </w:t>
      </w:r>
      <w:r w:rsidR="00D01D03" w:rsidRPr="00252CDE">
        <w:rPr>
          <w:rFonts w:ascii="Calibri" w:hAnsi="Calibri" w:cs="Calibri"/>
          <w:color w:val="0D0D0D" w:themeColor="text1" w:themeTint="F2"/>
        </w:rPr>
        <w:t>i</w:t>
      </w:r>
      <w:r w:rsidRPr="00312A2F">
        <w:rPr>
          <w:rFonts w:ascii="Calibri" w:hAnsi="Calibri" w:cs="Calibri"/>
          <w:color w:val="0D0D0D" w:themeColor="text1" w:themeTint="F2"/>
        </w:rPr>
        <w:t xml:space="preserve">t allows for a flexible approach to synthesising findings from diverse sources, both qualitative and quantitative, by focusing on overarching themes rather than being confined to specific study designs </w:t>
      </w:r>
      <w:r w:rsidR="00B9751A" w:rsidRPr="00252CDE">
        <w:rPr>
          <w:rFonts w:ascii="Calibri" w:hAnsi="Calibri" w:cs="Calibri"/>
          <w:color w:val="0D0D0D" w:themeColor="text1" w:themeTint="F2"/>
        </w:rPr>
        <w:t>(Ibrahim, 2012)</w:t>
      </w:r>
      <w:r w:rsidRPr="00312A2F">
        <w:rPr>
          <w:rFonts w:ascii="Calibri" w:hAnsi="Calibri" w:cs="Calibri"/>
          <w:color w:val="0D0D0D" w:themeColor="text1" w:themeTint="F2"/>
        </w:rPr>
        <w:t xml:space="preserve">. </w:t>
      </w:r>
      <w:r w:rsidR="00177D2E" w:rsidRPr="00252CDE">
        <w:rPr>
          <w:rFonts w:ascii="Calibri" w:hAnsi="Calibri" w:cs="Calibri"/>
          <w:color w:val="0D0D0D" w:themeColor="text1" w:themeTint="F2"/>
        </w:rPr>
        <w:t xml:space="preserve"> </w:t>
      </w:r>
      <w:r w:rsidRPr="00312A2F">
        <w:rPr>
          <w:rFonts w:ascii="Calibri" w:hAnsi="Calibri" w:cs="Calibri"/>
          <w:color w:val="0D0D0D" w:themeColor="text1" w:themeTint="F2"/>
        </w:rPr>
        <w:t>This approach will enable the identification of both explicit and implicit patterns in the literature regarding the experiences of men in nursing education.</w:t>
      </w:r>
      <w:r w:rsidR="00177D2E" w:rsidRPr="00252CDE">
        <w:rPr>
          <w:rFonts w:ascii="Calibri" w:hAnsi="Calibri" w:cs="Calibri"/>
          <w:color w:val="0D0D0D" w:themeColor="text1" w:themeTint="F2"/>
        </w:rPr>
        <w:t xml:space="preserve"> </w:t>
      </w:r>
      <w:r w:rsidRPr="00312A2F">
        <w:rPr>
          <w:rFonts w:ascii="Calibri" w:hAnsi="Calibri" w:cs="Calibri"/>
          <w:color w:val="0D0D0D" w:themeColor="text1" w:themeTint="F2"/>
        </w:rPr>
        <w:t xml:space="preserve"> Furthermore, </w:t>
      </w:r>
      <w:r w:rsidR="00E42AA5" w:rsidRPr="00252CDE">
        <w:rPr>
          <w:rFonts w:ascii="Calibri" w:hAnsi="Calibri" w:cs="Calibri"/>
          <w:color w:val="0D0D0D" w:themeColor="text1" w:themeTint="F2"/>
        </w:rPr>
        <w:t xml:space="preserve">Sharma </w:t>
      </w:r>
      <w:r w:rsidR="00E42AA5" w:rsidRPr="00252CDE">
        <w:rPr>
          <w:rFonts w:ascii="Calibri" w:hAnsi="Calibri" w:cs="Calibri"/>
          <w:i/>
          <w:iCs/>
          <w:color w:val="0D0D0D" w:themeColor="text1" w:themeTint="F2"/>
        </w:rPr>
        <w:t>et al</w:t>
      </w:r>
      <w:r w:rsidR="00E42AA5" w:rsidRPr="00252CDE">
        <w:rPr>
          <w:rFonts w:ascii="Calibri" w:hAnsi="Calibri" w:cs="Calibri"/>
          <w:color w:val="0D0D0D" w:themeColor="text1" w:themeTint="F2"/>
        </w:rPr>
        <w:t xml:space="preserve">. (2023) advise that </w:t>
      </w:r>
      <w:r w:rsidRPr="00312A2F">
        <w:rPr>
          <w:rFonts w:ascii="Calibri" w:hAnsi="Calibri" w:cs="Calibri"/>
          <w:color w:val="0D0D0D" w:themeColor="text1" w:themeTint="F2"/>
        </w:rPr>
        <w:t xml:space="preserve">thematic analysis facilitates a rich and detailed account of the existing knowledge base, </w:t>
      </w:r>
      <w:r w:rsidR="002C4FFB" w:rsidRPr="00252CDE">
        <w:rPr>
          <w:rFonts w:ascii="Calibri" w:hAnsi="Calibri" w:cs="Calibri"/>
          <w:color w:val="0D0D0D" w:themeColor="text1" w:themeTint="F2"/>
        </w:rPr>
        <w:t xml:space="preserve">which will </w:t>
      </w:r>
      <w:r w:rsidRPr="00312A2F">
        <w:rPr>
          <w:rFonts w:ascii="Calibri" w:hAnsi="Calibri" w:cs="Calibri"/>
          <w:color w:val="0D0D0D" w:themeColor="text1" w:themeTint="F2"/>
        </w:rPr>
        <w:t>allow for a nuanced understanding of the various facets contributing to the underrepresentation and attrition of male students.</w:t>
      </w:r>
      <w:r w:rsidR="002C4FFB" w:rsidRPr="00252CDE">
        <w:rPr>
          <w:rFonts w:ascii="Calibri" w:hAnsi="Calibri" w:cs="Calibri"/>
          <w:color w:val="0D0D0D" w:themeColor="text1" w:themeTint="F2"/>
        </w:rPr>
        <w:t xml:space="preserve"> </w:t>
      </w:r>
      <w:r w:rsidRPr="00312A2F">
        <w:rPr>
          <w:rFonts w:ascii="Calibri" w:hAnsi="Calibri" w:cs="Calibri"/>
          <w:color w:val="0D0D0D" w:themeColor="text1" w:themeTint="F2"/>
        </w:rPr>
        <w:t xml:space="preserve"> By systematically identifying and analysing these themes, the review will build a comprehensive picture of what is currently known, thereby paving the way for the identification of gaps that the proposed doctoral research will address.</w:t>
      </w:r>
    </w:p>
    <w:p w14:paraId="0BFEA247" w14:textId="63FEE2EB" w:rsidR="00313CB0" w:rsidRPr="00252CDE" w:rsidRDefault="00312A2F" w:rsidP="00D51D2A">
      <w:pPr>
        <w:spacing w:line="360" w:lineRule="auto"/>
        <w:rPr>
          <w:rFonts w:ascii="Calibri" w:hAnsi="Calibri" w:cs="Calibri"/>
          <w:color w:val="0D0D0D" w:themeColor="text1" w:themeTint="F2"/>
        </w:rPr>
      </w:pPr>
      <w:r w:rsidRPr="00312A2F">
        <w:rPr>
          <w:rFonts w:ascii="Calibri" w:hAnsi="Calibri" w:cs="Calibri"/>
          <w:color w:val="0D0D0D" w:themeColor="text1" w:themeTint="F2"/>
        </w:rPr>
        <w:t xml:space="preserve">Following this analytical approach, the review will </w:t>
      </w:r>
      <w:r w:rsidR="00313CB0" w:rsidRPr="00252CDE">
        <w:rPr>
          <w:rFonts w:ascii="Calibri" w:hAnsi="Calibri" w:cs="Calibri"/>
          <w:color w:val="0D0D0D" w:themeColor="text1" w:themeTint="F2"/>
        </w:rPr>
        <w:t xml:space="preserve">explore several interconnected themes that the literature suggests as influential factors. </w:t>
      </w:r>
      <w:r w:rsidR="00DD0F39" w:rsidRPr="00252CDE">
        <w:rPr>
          <w:rFonts w:ascii="Calibri" w:hAnsi="Calibri" w:cs="Calibri"/>
          <w:color w:val="0D0D0D" w:themeColor="text1" w:themeTint="F2"/>
        </w:rPr>
        <w:t xml:space="preserve"> </w:t>
      </w:r>
      <w:r w:rsidR="00313CB0" w:rsidRPr="00252CDE">
        <w:rPr>
          <w:rFonts w:ascii="Calibri" w:hAnsi="Calibri" w:cs="Calibri"/>
          <w:color w:val="0D0D0D" w:themeColor="text1" w:themeTint="F2"/>
        </w:rPr>
        <w:t xml:space="preserve">Firstly, it will examine the historical context of men in nursing and the often-underacknowledged contributions of men to the field. Secondly, it will critically analyse the impact of sociocultural and gender stereotypes on both the perception of nursing as a career for men and the experiences of male nursing students. </w:t>
      </w:r>
      <w:r w:rsidR="00F159BF" w:rsidRPr="00252CDE">
        <w:rPr>
          <w:rFonts w:ascii="Calibri" w:hAnsi="Calibri" w:cs="Calibri"/>
          <w:color w:val="0D0D0D" w:themeColor="text1" w:themeTint="F2"/>
        </w:rPr>
        <w:t>Finally</w:t>
      </w:r>
      <w:r w:rsidR="00313CB0" w:rsidRPr="00252CDE">
        <w:rPr>
          <w:rFonts w:ascii="Calibri" w:hAnsi="Calibri" w:cs="Calibri"/>
          <w:color w:val="0D0D0D" w:themeColor="text1" w:themeTint="F2"/>
        </w:rPr>
        <w:t>, the review will delve into the learning environment and curriculum within nursing education, considering potential gender biases in teaching and resources</w:t>
      </w:r>
      <w:r w:rsidR="0063105D" w:rsidRPr="00252CDE">
        <w:rPr>
          <w:rFonts w:ascii="Calibri" w:hAnsi="Calibri" w:cs="Calibri"/>
          <w:color w:val="0D0D0D" w:themeColor="text1" w:themeTint="F2"/>
        </w:rPr>
        <w:t>.</w:t>
      </w:r>
    </w:p>
    <w:p w14:paraId="265E579B" w14:textId="5B0F5FED" w:rsidR="00313CB0" w:rsidRPr="00252CDE" w:rsidRDefault="00313CB0"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lastRenderedPageBreak/>
        <w:t>Through a critical synthesis of the claims, debates, and findings within this literature, this review will identify existing knowledge and, crucially, highlight the gaps that warrant further investigation.</w:t>
      </w:r>
      <w:r w:rsidR="003C20A7"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Ultimately, this analysis will lay the groundwork for understanding how the proposed doctoral research, focusing on the Welsh context, can contribute to a more nuanced understanding of this complex issue and inform strategies for promoting greater gender balance in nursing education.</w:t>
      </w:r>
    </w:p>
    <w:p w14:paraId="3A8EEBF0" w14:textId="5C108F92" w:rsidR="00CB0EA1" w:rsidRPr="00252CDE" w:rsidRDefault="000669AC"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Throughout the literature review</w:t>
      </w:r>
      <w:r w:rsidR="002A01F7" w:rsidRPr="00252CDE">
        <w:rPr>
          <w:rFonts w:ascii="Calibri" w:hAnsi="Calibri" w:cs="Calibri"/>
          <w:color w:val="0D0D0D" w:themeColor="text1" w:themeTint="F2"/>
        </w:rPr>
        <w:t xml:space="preserve">, variations of the term gender-bias is </w:t>
      </w:r>
      <w:r w:rsidR="006A3498" w:rsidRPr="00252CDE">
        <w:rPr>
          <w:rFonts w:ascii="Calibri" w:hAnsi="Calibri" w:cs="Calibri"/>
          <w:color w:val="0D0D0D" w:themeColor="text1" w:themeTint="F2"/>
        </w:rPr>
        <w:t xml:space="preserve">frequently </w:t>
      </w:r>
      <w:r w:rsidR="002A01F7" w:rsidRPr="00252CDE">
        <w:rPr>
          <w:rFonts w:ascii="Calibri" w:hAnsi="Calibri" w:cs="Calibri"/>
          <w:color w:val="0D0D0D" w:themeColor="text1" w:themeTint="F2"/>
        </w:rPr>
        <w:t xml:space="preserve">referred </w:t>
      </w:r>
      <w:r w:rsidR="00C47EBE" w:rsidRPr="00252CDE">
        <w:rPr>
          <w:rFonts w:ascii="Calibri" w:hAnsi="Calibri" w:cs="Calibri"/>
          <w:color w:val="0D0D0D" w:themeColor="text1" w:themeTint="F2"/>
        </w:rPr>
        <w:t>to and</w:t>
      </w:r>
      <w:r w:rsidR="008B3609" w:rsidRPr="00252CDE">
        <w:rPr>
          <w:rFonts w:ascii="Calibri" w:hAnsi="Calibri" w:cs="Calibri"/>
          <w:color w:val="0D0D0D" w:themeColor="text1" w:themeTint="F2"/>
        </w:rPr>
        <w:t xml:space="preserve"> is defined by Moss-Rucusin </w:t>
      </w:r>
      <w:r w:rsidR="008B3609" w:rsidRPr="00252CDE">
        <w:rPr>
          <w:rFonts w:ascii="Calibri" w:hAnsi="Calibri" w:cs="Calibri"/>
          <w:i/>
          <w:iCs/>
          <w:color w:val="0D0D0D" w:themeColor="text1" w:themeTint="F2"/>
        </w:rPr>
        <w:t>et</w:t>
      </w:r>
      <w:r w:rsidR="00C47EBE" w:rsidRPr="00252CDE">
        <w:rPr>
          <w:rFonts w:ascii="Calibri" w:hAnsi="Calibri" w:cs="Calibri"/>
          <w:i/>
          <w:iCs/>
          <w:color w:val="0D0D0D" w:themeColor="text1" w:themeTint="F2"/>
        </w:rPr>
        <w:t xml:space="preserve"> </w:t>
      </w:r>
      <w:r w:rsidR="008B3609" w:rsidRPr="00252CDE">
        <w:rPr>
          <w:rFonts w:ascii="Calibri" w:hAnsi="Calibri" w:cs="Calibri"/>
          <w:i/>
          <w:iCs/>
          <w:color w:val="0D0D0D" w:themeColor="text1" w:themeTint="F2"/>
        </w:rPr>
        <w:t>al.</w:t>
      </w:r>
      <w:r w:rsidR="008B3609" w:rsidRPr="00252CDE">
        <w:rPr>
          <w:rFonts w:ascii="Calibri" w:hAnsi="Calibri" w:cs="Calibri"/>
          <w:color w:val="0D0D0D" w:themeColor="text1" w:themeTint="F2"/>
        </w:rPr>
        <w:t xml:space="preserve"> (2012) as </w:t>
      </w:r>
      <w:r w:rsidR="00337942" w:rsidRPr="00252CDE">
        <w:rPr>
          <w:rFonts w:ascii="Calibri" w:hAnsi="Calibri" w:cs="Calibri"/>
          <w:color w:val="0D0D0D" w:themeColor="text1" w:themeTint="F2"/>
        </w:rPr>
        <w:t>“the preference or prejudice toward one gender</w:t>
      </w:r>
      <w:r w:rsidR="00C47EBE" w:rsidRPr="00252CDE">
        <w:rPr>
          <w:rFonts w:ascii="Calibri" w:hAnsi="Calibri" w:cs="Calibri"/>
          <w:color w:val="0D0D0D" w:themeColor="text1" w:themeTint="F2"/>
        </w:rPr>
        <w:t xml:space="preserve"> over the other.</w:t>
      </w:r>
    </w:p>
    <w:p w14:paraId="6E327FF4" w14:textId="77777777" w:rsidR="00DA1328" w:rsidRPr="00252CDE" w:rsidRDefault="00DA1328" w:rsidP="00D51D2A">
      <w:pPr>
        <w:spacing w:line="360" w:lineRule="auto"/>
        <w:rPr>
          <w:rFonts w:ascii="Calibri" w:hAnsi="Calibri" w:cs="Calibri"/>
          <w:color w:val="0D0D0D" w:themeColor="text1" w:themeTint="F2"/>
        </w:rPr>
      </w:pPr>
    </w:p>
    <w:p w14:paraId="2EBFAE30" w14:textId="124B905A" w:rsidR="00CB0EA1" w:rsidRPr="00252CDE" w:rsidRDefault="00CB0EA1" w:rsidP="00D51D2A">
      <w:pPr>
        <w:spacing w:line="360" w:lineRule="auto"/>
        <w:rPr>
          <w:rFonts w:ascii="Calibri" w:hAnsi="Calibri" w:cs="Calibri"/>
          <w:color w:val="0D0D0D" w:themeColor="text1" w:themeTint="F2"/>
          <w:u w:val="single"/>
        </w:rPr>
      </w:pPr>
      <w:r w:rsidRPr="00252CDE">
        <w:rPr>
          <w:rFonts w:ascii="Calibri" w:hAnsi="Calibri" w:cs="Calibri"/>
          <w:b/>
          <w:bCs/>
          <w:color w:val="0D0D0D" w:themeColor="text1" w:themeTint="F2"/>
          <w:u w:val="single"/>
        </w:rPr>
        <w:t>2. Search Strategy</w:t>
      </w:r>
    </w:p>
    <w:p w14:paraId="0A8A3E0F" w14:textId="6A4D812D" w:rsidR="00CB0EA1" w:rsidRPr="00252CDE" w:rsidRDefault="00CB0EA1" w:rsidP="00D51D2A">
      <w:pPr>
        <w:spacing w:line="360" w:lineRule="auto"/>
        <w:rPr>
          <w:rFonts w:ascii="Calibri" w:hAnsi="Calibri" w:cs="Calibri"/>
          <w:color w:val="0D0D0D" w:themeColor="text1" w:themeTint="F2"/>
        </w:rPr>
      </w:pPr>
      <w:r w:rsidRPr="00252CDE">
        <w:rPr>
          <w:rFonts w:ascii="Calibri" w:hAnsi="Calibri" w:cs="Calibri"/>
          <w:b/>
          <w:bCs/>
          <w:color w:val="0D0D0D" w:themeColor="text1" w:themeTint="F2"/>
        </w:rPr>
        <w:t>2.1 Literature Search Terms</w:t>
      </w:r>
    </w:p>
    <w:p w14:paraId="747B7806" w14:textId="0D8E47A0" w:rsidR="00CB0EA1" w:rsidRPr="00252CDE" w:rsidRDefault="00CB0EA1"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The identification of relevant literature for this review necessitated a carefully considered selection of </w:t>
      </w:r>
      <w:r w:rsidR="00AE6BF3" w:rsidRPr="00252CDE">
        <w:rPr>
          <w:rFonts w:ascii="Calibri" w:hAnsi="Calibri" w:cs="Calibri"/>
          <w:color w:val="0D0D0D" w:themeColor="text1" w:themeTint="F2"/>
        </w:rPr>
        <w:t xml:space="preserve">specific </w:t>
      </w:r>
      <w:r w:rsidRPr="00252CDE">
        <w:rPr>
          <w:rFonts w:ascii="Calibri" w:hAnsi="Calibri" w:cs="Calibri"/>
          <w:color w:val="0D0D0D" w:themeColor="text1" w:themeTint="F2"/>
        </w:rPr>
        <w:t>search terms</w:t>
      </w:r>
      <w:r w:rsidR="007470EF" w:rsidRPr="00252CDE">
        <w:rPr>
          <w:rFonts w:ascii="Calibri" w:hAnsi="Calibri" w:cs="Calibri"/>
          <w:color w:val="0D0D0D" w:themeColor="text1" w:themeTint="F2"/>
        </w:rPr>
        <w:t>, which Grewal, Karia and Dhawan (2016)</w:t>
      </w:r>
      <w:r w:rsidR="009652E0" w:rsidRPr="00252CDE">
        <w:rPr>
          <w:rFonts w:ascii="Calibri" w:hAnsi="Calibri" w:cs="Calibri"/>
          <w:color w:val="0D0D0D" w:themeColor="text1" w:themeTint="F2"/>
        </w:rPr>
        <w:t xml:space="preserve"> and</w:t>
      </w:r>
      <w:r w:rsidR="005D0BF1" w:rsidRPr="00252CDE">
        <w:rPr>
          <w:rFonts w:ascii="Calibri" w:hAnsi="Calibri" w:cs="Calibri"/>
          <w:color w:val="0D0D0D" w:themeColor="text1" w:themeTint="F2"/>
        </w:rPr>
        <w:t xml:space="preserve"> </w:t>
      </w:r>
      <w:r w:rsidR="002D3459" w:rsidRPr="00252CDE">
        <w:rPr>
          <w:rFonts w:ascii="Calibri" w:hAnsi="Calibri" w:cs="Calibri"/>
          <w:color w:val="0D0D0D" w:themeColor="text1" w:themeTint="F2"/>
        </w:rPr>
        <w:t>Chigbu, Atiku and Du Plessis (2023)</w:t>
      </w:r>
      <w:r w:rsidR="009652E0" w:rsidRPr="00252CDE">
        <w:rPr>
          <w:rFonts w:ascii="Calibri" w:hAnsi="Calibri" w:cs="Calibri"/>
          <w:color w:val="0D0D0D" w:themeColor="text1" w:themeTint="F2"/>
        </w:rPr>
        <w:t xml:space="preserve"> </w:t>
      </w:r>
      <w:r w:rsidR="006269C2" w:rsidRPr="00252CDE">
        <w:rPr>
          <w:rFonts w:ascii="Calibri" w:hAnsi="Calibri" w:cs="Calibri"/>
          <w:color w:val="0D0D0D" w:themeColor="text1" w:themeTint="F2"/>
        </w:rPr>
        <w:t>promote to</w:t>
      </w:r>
      <w:r w:rsidRPr="00252CDE">
        <w:rPr>
          <w:rFonts w:ascii="Calibri" w:hAnsi="Calibri" w:cs="Calibri"/>
          <w:color w:val="0D0D0D" w:themeColor="text1" w:themeTint="F2"/>
        </w:rPr>
        <w:t xml:space="preserve"> capture the breadth and depth of </w:t>
      </w:r>
      <w:r w:rsidR="006269C2" w:rsidRPr="00252CDE">
        <w:rPr>
          <w:rFonts w:ascii="Calibri" w:hAnsi="Calibri" w:cs="Calibri"/>
          <w:color w:val="0D0D0D" w:themeColor="text1" w:themeTint="F2"/>
        </w:rPr>
        <w:t>a</w:t>
      </w:r>
      <w:r w:rsidRPr="00252CDE">
        <w:rPr>
          <w:rFonts w:ascii="Calibri" w:hAnsi="Calibri" w:cs="Calibri"/>
          <w:color w:val="0D0D0D" w:themeColor="text1" w:themeTint="F2"/>
        </w:rPr>
        <w:t xml:space="preserve"> topic. </w:t>
      </w:r>
      <w:r w:rsidR="006269C2" w:rsidRPr="00252CDE">
        <w:rPr>
          <w:rFonts w:ascii="Calibri" w:hAnsi="Calibri" w:cs="Calibri"/>
          <w:color w:val="0D0D0D" w:themeColor="text1" w:themeTint="F2"/>
        </w:rPr>
        <w:t xml:space="preserve"> </w:t>
      </w:r>
      <w:r w:rsidRPr="00252CDE">
        <w:rPr>
          <w:rFonts w:ascii="Calibri" w:hAnsi="Calibri" w:cs="Calibri"/>
          <w:color w:val="0D0D0D" w:themeColor="text1" w:themeTint="F2"/>
        </w:rPr>
        <w:t>Initial terms focused on the central phenomenon of interest: "men in nursing" and "male nurses"</w:t>
      </w:r>
      <w:r w:rsidR="006269C2" w:rsidRPr="00252CDE">
        <w:rPr>
          <w:rFonts w:ascii="Calibri" w:hAnsi="Calibri" w:cs="Calibri"/>
          <w:color w:val="0D0D0D" w:themeColor="text1" w:themeTint="F2"/>
        </w:rPr>
        <w:t>.</w:t>
      </w:r>
      <w:r w:rsidR="00401DE1" w:rsidRPr="00252CDE">
        <w:rPr>
          <w:rFonts w:ascii="Calibri" w:hAnsi="Calibri" w:cs="Calibri"/>
          <w:color w:val="0D0D0D" w:themeColor="text1" w:themeTint="F2"/>
        </w:rPr>
        <w:t xml:space="preserve"> </w:t>
      </w:r>
      <w:r w:rsidR="006269C2"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To narrow the search towards the educational context,</w:t>
      </w:r>
      <w:r w:rsidR="00241142" w:rsidRPr="00252CDE">
        <w:rPr>
          <w:rFonts w:ascii="Calibri" w:hAnsi="Calibri" w:cs="Calibri"/>
          <w:color w:val="0D0D0D" w:themeColor="text1" w:themeTint="F2"/>
        </w:rPr>
        <w:t xml:space="preserve"> </w:t>
      </w:r>
      <w:r w:rsidR="009652E0" w:rsidRPr="00252CDE">
        <w:rPr>
          <w:rFonts w:ascii="Calibri" w:hAnsi="Calibri" w:cs="Calibri"/>
          <w:color w:val="0D0D0D" w:themeColor="text1" w:themeTint="F2"/>
        </w:rPr>
        <w:t xml:space="preserve">Bramer </w:t>
      </w:r>
      <w:r w:rsidR="009652E0" w:rsidRPr="00252CDE">
        <w:rPr>
          <w:rFonts w:ascii="Calibri" w:hAnsi="Calibri" w:cs="Calibri"/>
          <w:i/>
          <w:iCs/>
          <w:color w:val="0D0D0D" w:themeColor="text1" w:themeTint="F2"/>
        </w:rPr>
        <w:t>et al</w:t>
      </w:r>
      <w:r w:rsidR="009652E0" w:rsidRPr="00252CDE">
        <w:rPr>
          <w:rFonts w:ascii="Calibri" w:hAnsi="Calibri" w:cs="Calibri"/>
          <w:color w:val="0D0D0D" w:themeColor="text1" w:themeTint="F2"/>
        </w:rPr>
        <w:t xml:space="preserve">. (2018) </w:t>
      </w:r>
      <w:r w:rsidR="00241142" w:rsidRPr="00252CDE">
        <w:rPr>
          <w:rFonts w:ascii="Calibri" w:hAnsi="Calibri" w:cs="Calibri"/>
          <w:color w:val="0D0D0D" w:themeColor="text1" w:themeTint="F2"/>
        </w:rPr>
        <w:t xml:space="preserve">recommend a combination of terms should be used, </w:t>
      </w:r>
      <w:r w:rsidR="00020B3B" w:rsidRPr="00252CDE">
        <w:rPr>
          <w:rFonts w:ascii="Calibri" w:hAnsi="Calibri" w:cs="Calibri"/>
          <w:color w:val="0D0D0D" w:themeColor="text1" w:themeTint="F2"/>
        </w:rPr>
        <w:t>phrases including</w:t>
      </w:r>
      <w:r w:rsidRPr="00252CDE">
        <w:rPr>
          <w:rFonts w:ascii="Calibri" w:hAnsi="Calibri" w:cs="Calibri"/>
          <w:color w:val="0D0D0D" w:themeColor="text1" w:themeTint="F2"/>
        </w:rPr>
        <w:t xml:space="preserve"> "nursing education"</w:t>
      </w:r>
      <w:r w:rsidR="00020B3B" w:rsidRPr="00252CDE">
        <w:rPr>
          <w:rFonts w:ascii="Calibri" w:hAnsi="Calibri" w:cs="Calibri"/>
          <w:color w:val="0D0D0D" w:themeColor="text1" w:themeTint="F2"/>
        </w:rPr>
        <w:t>,</w:t>
      </w:r>
      <w:r w:rsidRPr="00252CDE">
        <w:rPr>
          <w:rFonts w:ascii="Calibri" w:hAnsi="Calibri" w:cs="Calibri"/>
          <w:color w:val="0D0D0D" w:themeColor="text1" w:themeTint="F2"/>
        </w:rPr>
        <w:t xml:space="preserve"> "higher education"</w:t>
      </w:r>
      <w:r w:rsidR="00020B3B" w:rsidRPr="00252CDE">
        <w:rPr>
          <w:rFonts w:ascii="Calibri" w:hAnsi="Calibri" w:cs="Calibri"/>
          <w:color w:val="0D0D0D" w:themeColor="text1" w:themeTint="F2"/>
        </w:rPr>
        <w:t>,</w:t>
      </w:r>
      <w:r w:rsidRPr="00252CDE">
        <w:rPr>
          <w:rFonts w:ascii="Calibri" w:hAnsi="Calibri" w:cs="Calibri"/>
          <w:color w:val="0D0D0D" w:themeColor="text1" w:themeTint="F2"/>
        </w:rPr>
        <w:t xml:space="preserve"> "university"</w:t>
      </w:r>
      <w:r w:rsidR="00020B3B" w:rsidRPr="00252CDE">
        <w:rPr>
          <w:rFonts w:ascii="Calibri" w:hAnsi="Calibri" w:cs="Calibri"/>
          <w:color w:val="0D0D0D" w:themeColor="text1" w:themeTint="F2"/>
        </w:rPr>
        <w:t>,</w:t>
      </w:r>
      <w:r w:rsidRPr="00252CDE">
        <w:rPr>
          <w:rFonts w:ascii="Calibri" w:hAnsi="Calibri" w:cs="Calibri"/>
          <w:color w:val="0D0D0D" w:themeColor="text1" w:themeTint="F2"/>
        </w:rPr>
        <w:t xml:space="preserve"> and "students"</w:t>
      </w:r>
      <w:r w:rsidR="000602DE" w:rsidRPr="00252CDE">
        <w:rPr>
          <w:rFonts w:ascii="Calibri" w:hAnsi="Calibri" w:cs="Calibri"/>
          <w:color w:val="0D0D0D" w:themeColor="text1" w:themeTint="F2"/>
        </w:rPr>
        <w:t xml:space="preserve"> were </w:t>
      </w:r>
      <w:r w:rsidR="009A5AAE" w:rsidRPr="00252CDE">
        <w:rPr>
          <w:rFonts w:ascii="Calibri" w:hAnsi="Calibri" w:cs="Calibri"/>
          <w:color w:val="0D0D0D" w:themeColor="text1" w:themeTint="F2"/>
        </w:rPr>
        <w:t xml:space="preserve">therefore </w:t>
      </w:r>
      <w:r w:rsidR="000602DE" w:rsidRPr="00252CDE">
        <w:rPr>
          <w:rFonts w:ascii="Calibri" w:hAnsi="Calibri" w:cs="Calibri"/>
          <w:color w:val="0D0D0D" w:themeColor="text1" w:themeTint="F2"/>
        </w:rPr>
        <w:t>added</w:t>
      </w:r>
      <w:r w:rsidR="003A4280" w:rsidRPr="00252CDE">
        <w:rPr>
          <w:rFonts w:ascii="Calibri" w:hAnsi="Calibri" w:cs="Calibri"/>
          <w:color w:val="0D0D0D" w:themeColor="text1" w:themeTint="F2"/>
        </w:rPr>
        <w:t xml:space="preserve"> to refine</w:t>
      </w:r>
      <w:r w:rsidR="000602DE"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Recognising the potential for bias and issues of attrition, further terms included "gender bias"</w:t>
      </w:r>
      <w:r w:rsidR="006242C4" w:rsidRPr="00252CDE">
        <w:rPr>
          <w:rFonts w:ascii="Calibri" w:hAnsi="Calibri" w:cs="Calibri"/>
          <w:color w:val="0D0D0D" w:themeColor="text1" w:themeTint="F2"/>
        </w:rPr>
        <w:t>,</w:t>
      </w:r>
      <w:r w:rsidRPr="00252CDE">
        <w:rPr>
          <w:rFonts w:ascii="Calibri" w:hAnsi="Calibri" w:cs="Calibri"/>
          <w:color w:val="0D0D0D" w:themeColor="text1" w:themeTint="F2"/>
        </w:rPr>
        <w:t xml:space="preserve"> "gender stereotypes"</w:t>
      </w:r>
      <w:r w:rsidR="006242C4" w:rsidRPr="00252CDE">
        <w:rPr>
          <w:rFonts w:ascii="Calibri" w:hAnsi="Calibri" w:cs="Calibri"/>
          <w:color w:val="0D0D0D" w:themeColor="text1" w:themeTint="F2"/>
        </w:rPr>
        <w:t>,</w:t>
      </w:r>
      <w:r w:rsidRPr="00252CDE">
        <w:rPr>
          <w:rFonts w:ascii="Calibri" w:hAnsi="Calibri" w:cs="Calibri"/>
          <w:color w:val="0D0D0D" w:themeColor="text1" w:themeTint="F2"/>
        </w:rPr>
        <w:t xml:space="preserve"> "male student attrition"</w:t>
      </w:r>
      <w:r w:rsidR="006242C4" w:rsidRPr="00252CDE">
        <w:rPr>
          <w:rFonts w:ascii="Calibri" w:hAnsi="Calibri" w:cs="Calibri"/>
          <w:color w:val="0D0D0D" w:themeColor="text1" w:themeTint="F2"/>
        </w:rPr>
        <w:t>,</w:t>
      </w:r>
      <w:r w:rsidRPr="00252CDE">
        <w:rPr>
          <w:rFonts w:ascii="Calibri" w:hAnsi="Calibri" w:cs="Calibri"/>
          <w:color w:val="0D0D0D" w:themeColor="text1" w:themeTint="F2"/>
        </w:rPr>
        <w:t xml:space="preserve"> "retention" and "barriers to learning"</w:t>
      </w:r>
      <w:r w:rsidR="00924166"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To ensure relevance to the </w:t>
      </w:r>
      <w:r w:rsidR="00924166" w:rsidRPr="00252CDE">
        <w:rPr>
          <w:rFonts w:ascii="Calibri" w:hAnsi="Calibri" w:cs="Calibri"/>
          <w:color w:val="0D0D0D" w:themeColor="text1" w:themeTint="F2"/>
        </w:rPr>
        <w:t xml:space="preserve">Welsh and </w:t>
      </w:r>
      <w:r w:rsidRPr="00252CDE">
        <w:rPr>
          <w:rFonts w:ascii="Calibri" w:hAnsi="Calibri" w:cs="Calibri"/>
          <w:color w:val="0D0D0D" w:themeColor="text1" w:themeTint="F2"/>
        </w:rPr>
        <w:t>UK context, "United Kingdom"</w:t>
      </w:r>
      <w:r w:rsidR="002C51B1" w:rsidRPr="00252CDE">
        <w:rPr>
          <w:rFonts w:ascii="Calibri" w:hAnsi="Calibri" w:cs="Calibri"/>
          <w:color w:val="0D0D0D" w:themeColor="text1" w:themeTint="F2"/>
        </w:rPr>
        <w:t xml:space="preserve"> </w:t>
      </w:r>
      <w:r w:rsidRPr="00252CDE">
        <w:rPr>
          <w:rFonts w:ascii="Calibri" w:hAnsi="Calibri" w:cs="Calibri"/>
          <w:color w:val="0D0D0D" w:themeColor="text1" w:themeTint="F2"/>
        </w:rPr>
        <w:t>and variations such as "UK"</w:t>
      </w:r>
      <w:r w:rsidR="002C51B1" w:rsidRPr="00252CDE">
        <w:rPr>
          <w:rFonts w:ascii="Calibri" w:hAnsi="Calibri" w:cs="Calibri"/>
          <w:color w:val="0D0D0D" w:themeColor="text1" w:themeTint="F2"/>
        </w:rPr>
        <w:t>, as well as “Wales”,</w:t>
      </w:r>
      <w:r w:rsidRPr="00252CDE">
        <w:rPr>
          <w:rFonts w:ascii="Calibri" w:hAnsi="Calibri" w:cs="Calibri"/>
          <w:color w:val="0D0D0D" w:themeColor="text1" w:themeTint="F2"/>
        </w:rPr>
        <w:t xml:space="preserve"> were also incorporated where appropriate. </w:t>
      </w:r>
      <w:r w:rsidR="00924166" w:rsidRPr="00252CDE">
        <w:rPr>
          <w:rFonts w:ascii="Calibri" w:hAnsi="Calibri" w:cs="Calibri"/>
          <w:color w:val="0D0D0D" w:themeColor="text1" w:themeTint="F2"/>
        </w:rPr>
        <w:t xml:space="preserve"> </w:t>
      </w:r>
      <w:r w:rsidRPr="00252CDE">
        <w:rPr>
          <w:rFonts w:ascii="Calibri" w:hAnsi="Calibri" w:cs="Calibri"/>
          <w:color w:val="0D0D0D" w:themeColor="text1" w:themeTint="F2"/>
        </w:rPr>
        <w:t>These core terms were often used in combination using Boolean operators (AND, OR)</w:t>
      </w:r>
      <w:r w:rsidR="00604B2C" w:rsidRPr="00252CDE">
        <w:rPr>
          <w:rFonts w:ascii="Calibri" w:hAnsi="Calibri" w:cs="Calibri"/>
          <w:color w:val="0D0D0D" w:themeColor="text1" w:themeTint="F2"/>
        </w:rPr>
        <w:t>, the use of which is promoted by many academics</w:t>
      </w:r>
      <w:r w:rsidR="00E63BD8" w:rsidRPr="00252CDE">
        <w:rPr>
          <w:rFonts w:ascii="Calibri" w:hAnsi="Calibri" w:cs="Calibri"/>
          <w:color w:val="0D0D0D" w:themeColor="text1" w:themeTint="F2"/>
        </w:rPr>
        <w:t xml:space="preserve"> (MacFarlane, Russell</w:t>
      </w:r>
      <w:r w:rsidR="000D2F52" w:rsidRPr="00252CDE">
        <w:rPr>
          <w:rFonts w:ascii="Calibri" w:hAnsi="Calibri" w:cs="Calibri"/>
          <w:color w:val="0D0D0D" w:themeColor="text1" w:themeTint="F2"/>
        </w:rPr>
        <w:t>-Rose and Shokraneh 2022; Alharbi and Stevenson, 2020</w:t>
      </w:r>
      <w:r w:rsidR="00E13586" w:rsidRPr="00252CDE">
        <w:rPr>
          <w:rFonts w:ascii="Calibri" w:hAnsi="Calibri" w:cs="Calibri"/>
          <w:color w:val="0D0D0D" w:themeColor="text1" w:themeTint="F2"/>
        </w:rPr>
        <w:t>; Carcassi and Sbardolini, 2023)</w:t>
      </w:r>
      <w:r w:rsidR="00E63BD8" w:rsidRPr="00252CDE">
        <w:rPr>
          <w:rFonts w:ascii="Calibri" w:hAnsi="Calibri" w:cs="Calibri"/>
          <w:color w:val="0D0D0D" w:themeColor="text1" w:themeTint="F2"/>
        </w:rPr>
        <w:t xml:space="preserve"> to further effectively </w:t>
      </w:r>
      <w:r w:rsidRPr="00252CDE">
        <w:rPr>
          <w:rFonts w:ascii="Calibri" w:hAnsi="Calibri" w:cs="Calibri"/>
          <w:color w:val="0D0D0D" w:themeColor="text1" w:themeTint="F2"/>
        </w:rPr>
        <w:t>refine search results.</w:t>
      </w:r>
      <w:r w:rsidR="007351FD"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For instance, a key search string employed was: ("men in nursing" OR "male nurses") AND ("nursing education" OR "higher education") AND ("gender bias" OR "male student attrition").</w:t>
      </w:r>
    </w:p>
    <w:p w14:paraId="278D5E57" w14:textId="77777777" w:rsidR="001175DD" w:rsidRPr="00252CDE" w:rsidRDefault="001175DD" w:rsidP="00D51D2A">
      <w:pPr>
        <w:spacing w:line="360" w:lineRule="auto"/>
        <w:rPr>
          <w:rFonts w:ascii="Calibri" w:hAnsi="Calibri" w:cs="Calibri"/>
          <w:color w:val="0D0D0D" w:themeColor="text1" w:themeTint="F2"/>
        </w:rPr>
      </w:pPr>
    </w:p>
    <w:p w14:paraId="3FB86F52" w14:textId="7C3C10B8" w:rsidR="00CB0EA1" w:rsidRPr="00252CDE" w:rsidRDefault="00CB0EA1" w:rsidP="00D51D2A">
      <w:pPr>
        <w:spacing w:line="360" w:lineRule="auto"/>
        <w:rPr>
          <w:rFonts w:ascii="Calibri" w:hAnsi="Calibri" w:cs="Calibri"/>
          <w:color w:val="0D0D0D" w:themeColor="text1" w:themeTint="F2"/>
        </w:rPr>
      </w:pPr>
      <w:r w:rsidRPr="00252CDE">
        <w:rPr>
          <w:rFonts w:ascii="Calibri" w:hAnsi="Calibri" w:cs="Calibri"/>
          <w:b/>
          <w:bCs/>
          <w:color w:val="0D0D0D" w:themeColor="text1" w:themeTint="F2"/>
        </w:rPr>
        <w:lastRenderedPageBreak/>
        <w:t>2.2 Databases and Sources Searched</w:t>
      </w:r>
    </w:p>
    <w:p w14:paraId="2193816C" w14:textId="1EA255DA" w:rsidR="00CB0EA1" w:rsidRPr="00252CDE" w:rsidRDefault="00CB0EA1"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To ensure a comprehensive coverage of the academic literature, several key databases relevant to nursing, education, and social sciences were systematically searched. </w:t>
      </w:r>
      <w:r w:rsidR="007B53D6" w:rsidRPr="00252CDE">
        <w:rPr>
          <w:rFonts w:ascii="Calibri" w:hAnsi="Calibri" w:cs="Calibri"/>
          <w:color w:val="0D0D0D" w:themeColor="text1" w:themeTint="F2"/>
        </w:rPr>
        <w:t xml:space="preserve"> </w:t>
      </w:r>
      <w:r w:rsidRPr="00252CDE">
        <w:rPr>
          <w:rFonts w:ascii="Calibri" w:hAnsi="Calibri" w:cs="Calibri"/>
          <w:color w:val="0D0D0D" w:themeColor="text1" w:themeTint="F2"/>
        </w:rPr>
        <w:t>These included CINAHL (Cumulative Index to Nursing and Allied Health Literature), which is a primary database for nursing and allied health research; Medline, offering a broad range of biomedical and health-related literature; PsycINFO, crucial for psychological and social aspects relevant to gender and education;</w:t>
      </w:r>
      <w:r w:rsidR="00827081" w:rsidRPr="00252CDE">
        <w:rPr>
          <w:rFonts w:ascii="Calibri" w:hAnsi="Calibri" w:cs="Calibri"/>
          <w:color w:val="0D0D0D" w:themeColor="text1" w:themeTint="F2"/>
        </w:rPr>
        <w:t xml:space="preserve"> and</w:t>
      </w:r>
      <w:r w:rsidRPr="00252CDE">
        <w:rPr>
          <w:rFonts w:ascii="Calibri" w:hAnsi="Calibri" w:cs="Calibri"/>
          <w:color w:val="0D0D0D" w:themeColor="text1" w:themeTint="F2"/>
        </w:rPr>
        <w:t xml:space="preserve"> Scopus, a multidisciplinary database providing a wide overview of scientific literature. </w:t>
      </w:r>
      <w:r w:rsidR="002A47E5" w:rsidRPr="00252CDE">
        <w:rPr>
          <w:rFonts w:ascii="Calibri" w:hAnsi="Calibri" w:cs="Calibri"/>
          <w:color w:val="0D0D0D" w:themeColor="text1" w:themeTint="F2"/>
        </w:rPr>
        <w:t xml:space="preserve"> </w:t>
      </w:r>
      <w:r w:rsidR="001B6BBF" w:rsidRPr="00252CDE">
        <w:rPr>
          <w:rFonts w:ascii="Calibri" w:hAnsi="Calibri" w:cs="Calibri"/>
          <w:color w:val="0D0D0D" w:themeColor="text1" w:themeTint="F2"/>
        </w:rPr>
        <w:t>Gusenb</w:t>
      </w:r>
      <w:r w:rsidR="009052CF" w:rsidRPr="00252CDE">
        <w:rPr>
          <w:rFonts w:ascii="Calibri" w:hAnsi="Calibri" w:cs="Calibri"/>
          <w:color w:val="0D0D0D" w:themeColor="text1" w:themeTint="F2"/>
        </w:rPr>
        <w:t xml:space="preserve">auer and Haddaway (2020) advise </w:t>
      </w:r>
      <w:r w:rsidR="00515A5A" w:rsidRPr="00252CDE">
        <w:rPr>
          <w:rFonts w:ascii="Calibri" w:hAnsi="Calibri" w:cs="Calibri"/>
          <w:color w:val="0D0D0D" w:themeColor="text1" w:themeTint="F2"/>
        </w:rPr>
        <w:t xml:space="preserve">reputable databases will </w:t>
      </w:r>
      <w:r w:rsidR="00EC25B7" w:rsidRPr="00252CDE">
        <w:rPr>
          <w:rFonts w:ascii="Calibri" w:hAnsi="Calibri" w:cs="Calibri"/>
          <w:color w:val="0D0D0D" w:themeColor="text1" w:themeTint="F2"/>
        </w:rPr>
        <w:t>provide access to peer-reviewed, scholarly content, making it easier to find reliable and credible information. Databases also</w:t>
      </w:r>
      <w:r w:rsidR="009D6017" w:rsidRPr="00252CDE">
        <w:rPr>
          <w:rFonts w:ascii="Calibri" w:hAnsi="Calibri" w:cs="Calibri"/>
          <w:color w:val="0D0D0D" w:themeColor="text1" w:themeTint="F2"/>
        </w:rPr>
        <w:t xml:space="preserve">, maintain Lee </w:t>
      </w:r>
      <w:r w:rsidR="009D6017" w:rsidRPr="00252CDE">
        <w:rPr>
          <w:rFonts w:ascii="Calibri" w:hAnsi="Calibri" w:cs="Calibri"/>
          <w:i/>
          <w:iCs/>
          <w:color w:val="0D0D0D" w:themeColor="text1" w:themeTint="F2"/>
        </w:rPr>
        <w:t>et al</w:t>
      </w:r>
      <w:r w:rsidR="009D6017" w:rsidRPr="00252CDE">
        <w:rPr>
          <w:rFonts w:ascii="Calibri" w:hAnsi="Calibri" w:cs="Calibri"/>
          <w:color w:val="0D0D0D" w:themeColor="text1" w:themeTint="F2"/>
        </w:rPr>
        <w:t>. (2012)</w:t>
      </w:r>
      <w:r w:rsidR="00FE0090" w:rsidRPr="00252CDE">
        <w:rPr>
          <w:rFonts w:ascii="Calibri" w:hAnsi="Calibri" w:cs="Calibri"/>
          <w:color w:val="0D0D0D" w:themeColor="text1" w:themeTint="F2"/>
        </w:rPr>
        <w:t xml:space="preserve"> </w:t>
      </w:r>
      <w:r w:rsidR="00EC25B7" w:rsidRPr="00252CDE">
        <w:rPr>
          <w:rFonts w:ascii="Calibri" w:hAnsi="Calibri" w:cs="Calibri"/>
          <w:color w:val="0D0D0D" w:themeColor="text1" w:themeTint="F2"/>
        </w:rPr>
        <w:t>streamline the research process, allowing users to search and filter results efficiently, and often offer citation tools to help with accuracy</w:t>
      </w:r>
      <w:r w:rsidR="00515A5A"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w:t>
      </w:r>
      <w:r w:rsidR="00EB3EA6" w:rsidRPr="00252CDE">
        <w:rPr>
          <w:rFonts w:ascii="Calibri" w:hAnsi="Calibri" w:cs="Calibri"/>
          <w:color w:val="0D0D0D" w:themeColor="text1" w:themeTint="F2"/>
        </w:rPr>
        <w:t xml:space="preserve">Beyond these core academic databases, </w:t>
      </w:r>
      <w:r w:rsidRPr="00252CDE">
        <w:rPr>
          <w:rFonts w:ascii="Calibri" w:hAnsi="Calibri" w:cs="Calibri"/>
          <w:color w:val="0D0D0D" w:themeColor="text1" w:themeTint="F2"/>
        </w:rPr>
        <w:t xml:space="preserve">targeted searches were also conducted on Google Scholar to identify potentially relevant articles and grey literature not indexed in the main databases. </w:t>
      </w:r>
      <w:r w:rsidR="00FE0090" w:rsidRPr="00252CDE">
        <w:rPr>
          <w:rFonts w:ascii="Calibri" w:hAnsi="Calibri" w:cs="Calibri"/>
          <w:color w:val="0D0D0D" w:themeColor="text1" w:themeTint="F2"/>
        </w:rPr>
        <w:t xml:space="preserve"> </w:t>
      </w:r>
      <w:r w:rsidRPr="00252CDE">
        <w:rPr>
          <w:rFonts w:ascii="Calibri" w:hAnsi="Calibri" w:cs="Calibri"/>
          <w:color w:val="0D0D0D" w:themeColor="text1" w:themeTint="F2"/>
        </w:rPr>
        <w:t>Specific websites of relevant professional bodies, such as the NMC and the</w:t>
      </w:r>
      <w:r w:rsidR="00FE0090" w:rsidRPr="00252CDE">
        <w:rPr>
          <w:rFonts w:ascii="Calibri" w:hAnsi="Calibri" w:cs="Calibri"/>
          <w:color w:val="0D0D0D" w:themeColor="text1" w:themeTint="F2"/>
        </w:rPr>
        <w:t xml:space="preserve"> </w:t>
      </w:r>
      <w:r w:rsidRPr="00252CDE">
        <w:rPr>
          <w:rFonts w:ascii="Calibri" w:hAnsi="Calibri" w:cs="Calibri"/>
          <w:color w:val="0D0D0D" w:themeColor="text1" w:themeTint="F2"/>
        </w:rPr>
        <w:t>RCN, were also explored for policy documents and reports.</w:t>
      </w:r>
    </w:p>
    <w:p w14:paraId="57578635" w14:textId="77777777" w:rsidR="001175DD" w:rsidRPr="00252CDE" w:rsidRDefault="001175DD" w:rsidP="00D51D2A">
      <w:pPr>
        <w:spacing w:line="360" w:lineRule="auto"/>
        <w:rPr>
          <w:rFonts w:ascii="Calibri" w:hAnsi="Calibri" w:cs="Calibri"/>
          <w:color w:val="0D0D0D" w:themeColor="text1" w:themeTint="F2"/>
        </w:rPr>
      </w:pPr>
    </w:p>
    <w:p w14:paraId="32D8BD8A" w14:textId="02F3CA53" w:rsidR="00CB0EA1" w:rsidRPr="00252CDE" w:rsidRDefault="00CB0EA1" w:rsidP="00D51D2A">
      <w:pPr>
        <w:spacing w:line="360" w:lineRule="auto"/>
        <w:rPr>
          <w:rFonts w:ascii="Calibri" w:hAnsi="Calibri" w:cs="Calibri"/>
          <w:color w:val="0D0D0D" w:themeColor="text1" w:themeTint="F2"/>
        </w:rPr>
      </w:pPr>
      <w:r w:rsidRPr="00252CDE">
        <w:rPr>
          <w:rFonts w:ascii="Calibri" w:hAnsi="Calibri" w:cs="Calibri"/>
          <w:b/>
          <w:bCs/>
          <w:color w:val="0D0D0D" w:themeColor="text1" w:themeTint="F2"/>
        </w:rPr>
        <w:t xml:space="preserve">2.3 Inclusion and Exclusion Criteria </w:t>
      </w:r>
    </w:p>
    <w:p w14:paraId="6ECDA4C1" w14:textId="33234AD8" w:rsidR="00C342B3" w:rsidRPr="00252CDE" w:rsidRDefault="00CB0EA1"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The selection of literature for this review was guided by specific inclusion and exclusion criteria </w:t>
      </w:r>
      <w:r w:rsidR="009C77EB" w:rsidRPr="00252CDE">
        <w:rPr>
          <w:rFonts w:ascii="Calibri" w:hAnsi="Calibri" w:cs="Calibri"/>
          <w:color w:val="0D0D0D" w:themeColor="text1" w:themeTint="F2"/>
        </w:rPr>
        <w:t xml:space="preserve">which </w:t>
      </w:r>
      <w:r w:rsidR="002C2F52" w:rsidRPr="00252CDE">
        <w:rPr>
          <w:rFonts w:ascii="Calibri" w:hAnsi="Calibri" w:cs="Calibri"/>
          <w:color w:val="0D0D0D" w:themeColor="text1" w:themeTint="F2"/>
        </w:rPr>
        <w:t>is considered important to</w:t>
      </w:r>
      <w:r w:rsidRPr="00252CDE">
        <w:rPr>
          <w:rFonts w:ascii="Calibri" w:hAnsi="Calibri" w:cs="Calibri"/>
          <w:color w:val="0D0D0D" w:themeColor="text1" w:themeTint="F2"/>
        </w:rPr>
        <w:t xml:space="preserve"> ensure relevance and focus</w:t>
      </w:r>
      <w:r w:rsidR="002C2F52" w:rsidRPr="00252CDE">
        <w:rPr>
          <w:rFonts w:ascii="Calibri" w:hAnsi="Calibri" w:cs="Calibri"/>
          <w:color w:val="0D0D0D" w:themeColor="text1" w:themeTint="F2"/>
        </w:rPr>
        <w:t xml:space="preserve"> </w:t>
      </w:r>
      <w:r w:rsidR="00742A53" w:rsidRPr="00252CDE">
        <w:rPr>
          <w:rFonts w:ascii="Calibri" w:hAnsi="Calibri" w:cs="Calibri"/>
          <w:color w:val="0D0D0D" w:themeColor="text1" w:themeTint="F2"/>
        </w:rPr>
        <w:t xml:space="preserve">(Patino and Ferreira, 2018; Carrera-Rivera </w:t>
      </w:r>
      <w:r w:rsidR="00742A53" w:rsidRPr="00252CDE">
        <w:rPr>
          <w:rFonts w:ascii="Calibri" w:hAnsi="Calibri" w:cs="Calibri"/>
          <w:i/>
          <w:iCs/>
          <w:color w:val="0D0D0D" w:themeColor="text1" w:themeTint="F2"/>
        </w:rPr>
        <w:t>et al.,</w:t>
      </w:r>
      <w:r w:rsidR="00742A53" w:rsidRPr="00252CDE">
        <w:rPr>
          <w:rFonts w:ascii="Calibri" w:hAnsi="Calibri" w:cs="Calibri"/>
          <w:color w:val="0D0D0D" w:themeColor="text1" w:themeTint="F2"/>
        </w:rPr>
        <w:t xml:space="preserve"> 2022)</w:t>
      </w:r>
      <w:r w:rsidRPr="00252CDE">
        <w:rPr>
          <w:rFonts w:ascii="Calibri" w:hAnsi="Calibri" w:cs="Calibri"/>
          <w:color w:val="0D0D0D" w:themeColor="text1" w:themeTint="F2"/>
        </w:rPr>
        <w:t>.</w:t>
      </w:r>
    </w:p>
    <w:p w14:paraId="66D7F389" w14:textId="343E1054" w:rsidR="00F42267" w:rsidRPr="00252CDE" w:rsidRDefault="00BB2036"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For</w:t>
      </w:r>
      <w:r w:rsidR="00597A0C" w:rsidRPr="00252CDE">
        <w:rPr>
          <w:rFonts w:ascii="Calibri" w:hAnsi="Calibri" w:cs="Calibri"/>
          <w:color w:val="0D0D0D" w:themeColor="text1" w:themeTint="F2"/>
        </w:rPr>
        <w:t xml:space="preserve"> the proposed doctoral study, the primary lens of investigation will be that of gender bias, specifically examining differences in the perceived experiences of male and female students. </w:t>
      </w:r>
      <w:r w:rsidR="00D72F68" w:rsidRPr="00252CDE">
        <w:rPr>
          <w:rFonts w:ascii="Calibri" w:hAnsi="Calibri" w:cs="Calibri"/>
          <w:color w:val="0D0D0D" w:themeColor="text1" w:themeTint="F2"/>
        </w:rPr>
        <w:t xml:space="preserve"> </w:t>
      </w:r>
      <w:r w:rsidR="00597A0C" w:rsidRPr="00252CDE">
        <w:rPr>
          <w:rFonts w:ascii="Calibri" w:hAnsi="Calibri" w:cs="Calibri"/>
          <w:color w:val="0D0D0D" w:themeColor="text1" w:themeTint="F2"/>
        </w:rPr>
        <w:t>While acknowledging the important and evolving societal developments around gender diversity, these broader considerations currently lie outside the direct scope of the proposed research.</w:t>
      </w:r>
      <w:r w:rsidR="00D72F68" w:rsidRPr="00252CDE">
        <w:rPr>
          <w:rFonts w:ascii="Calibri" w:hAnsi="Calibri" w:cs="Calibri"/>
          <w:color w:val="0D0D0D" w:themeColor="text1" w:themeTint="F2"/>
        </w:rPr>
        <w:t xml:space="preserve">  F</w:t>
      </w:r>
      <w:r w:rsidR="00597A0C" w:rsidRPr="00252CDE">
        <w:rPr>
          <w:rFonts w:ascii="Calibri" w:hAnsi="Calibri" w:cs="Calibri"/>
          <w:color w:val="0D0D0D" w:themeColor="text1" w:themeTint="F2"/>
        </w:rPr>
        <w:t xml:space="preserve">or the purposes of this literature review, </w:t>
      </w:r>
      <w:r w:rsidR="00D72F68" w:rsidRPr="00252CDE">
        <w:rPr>
          <w:rFonts w:ascii="Calibri" w:hAnsi="Calibri" w:cs="Calibri"/>
          <w:color w:val="0D0D0D" w:themeColor="text1" w:themeTint="F2"/>
        </w:rPr>
        <w:t xml:space="preserve">however, </w:t>
      </w:r>
      <w:r w:rsidR="00597A0C" w:rsidRPr="00252CDE">
        <w:rPr>
          <w:rFonts w:ascii="Calibri" w:hAnsi="Calibri" w:cs="Calibri"/>
          <w:color w:val="0D0D0D" w:themeColor="text1" w:themeTint="F2"/>
        </w:rPr>
        <w:t>all documentation relating to gender will be considered</w:t>
      </w:r>
      <w:r w:rsidR="00D72F68" w:rsidRPr="00252CDE">
        <w:rPr>
          <w:rFonts w:ascii="Calibri" w:hAnsi="Calibri" w:cs="Calibri"/>
          <w:color w:val="0D0D0D" w:themeColor="text1" w:themeTint="F2"/>
        </w:rPr>
        <w:t>, t</w:t>
      </w:r>
      <w:r w:rsidR="00597A0C" w:rsidRPr="00252CDE">
        <w:rPr>
          <w:rFonts w:ascii="Calibri" w:hAnsi="Calibri" w:cs="Calibri"/>
          <w:color w:val="0D0D0D" w:themeColor="text1" w:themeTint="F2"/>
        </w:rPr>
        <w:t>his is because literature exploring diverse gender perspectives may highlight areas or issues that warrant further examination within the context of male underrepresentation and attrition in nursing education.</w:t>
      </w:r>
    </w:p>
    <w:p w14:paraId="3FEC1E8A" w14:textId="7B516316" w:rsidR="00CB0EA1" w:rsidRPr="00252CDE" w:rsidRDefault="00CB0EA1"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lastRenderedPageBreak/>
        <w:t>Studies were primarily included if they were published in English, focused on higher education settings</w:t>
      </w:r>
      <w:r w:rsidR="00D72F68" w:rsidRPr="00252CDE">
        <w:rPr>
          <w:rFonts w:ascii="Calibri" w:hAnsi="Calibri" w:cs="Calibri"/>
          <w:color w:val="0D0D0D" w:themeColor="text1" w:themeTint="F2"/>
        </w:rPr>
        <w:t xml:space="preserve">, </w:t>
      </w:r>
      <w:r w:rsidRPr="00252CDE">
        <w:rPr>
          <w:rFonts w:ascii="Calibri" w:hAnsi="Calibri" w:cs="Calibri"/>
          <w:color w:val="0D0D0D" w:themeColor="text1" w:themeTint="F2"/>
        </w:rPr>
        <w:t>particularly university-level nursing programmes, and addressed issues related to gender</w:t>
      </w:r>
      <w:r w:rsidR="00D72F68" w:rsidRPr="00252CDE">
        <w:rPr>
          <w:rFonts w:ascii="Calibri" w:hAnsi="Calibri" w:cs="Calibri"/>
          <w:color w:val="0D0D0D" w:themeColor="text1" w:themeTint="F2"/>
        </w:rPr>
        <w:t xml:space="preserve">, </w:t>
      </w:r>
      <w:r w:rsidRPr="00252CDE">
        <w:rPr>
          <w:rFonts w:ascii="Calibri" w:hAnsi="Calibri" w:cs="Calibri"/>
          <w:color w:val="0D0D0D" w:themeColor="text1" w:themeTint="F2"/>
        </w:rPr>
        <w:t>specifically the experiences of men</w:t>
      </w:r>
      <w:r w:rsidR="00D72F68" w:rsidRPr="00252CDE">
        <w:rPr>
          <w:rFonts w:ascii="Calibri" w:hAnsi="Calibri" w:cs="Calibri"/>
          <w:color w:val="0D0D0D" w:themeColor="text1" w:themeTint="F2"/>
        </w:rPr>
        <w:t>,</w:t>
      </w:r>
      <w:r w:rsidRPr="00252CDE">
        <w:rPr>
          <w:rFonts w:ascii="Calibri" w:hAnsi="Calibri" w:cs="Calibri"/>
          <w:color w:val="0D0D0D" w:themeColor="text1" w:themeTint="F2"/>
        </w:rPr>
        <w:t xml:space="preserve"> within nursing education or the nursing profession more broadly.</w:t>
      </w:r>
      <w:r w:rsidR="00D72F68"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A publication date range from 2000 onwards was initially considered to ensure the literature was relatively contemporary, although seminal older works identified as foundational to the topic were also included. </w:t>
      </w:r>
      <w:r w:rsidR="005606F2" w:rsidRPr="00252CDE">
        <w:rPr>
          <w:rFonts w:ascii="Calibri" w:hAnsi="Calibri" w:cs="Calibri"/>
          <w:color w:val="0D0D0D" w:themeColor="text1" w:themeTint="F2"/>
        </w:rPr>
        <w:t xml:space="preserve"> The inclusion of older literature proved </w:t>
      </w:r>
      <w:r w:rsidR="0017621A" w:rsidRPr="00252CDE">
        <w:rPr>
          <w:rFonts w:ascii="Calibri" w:hAnsi="Calibri" w:cs="Calibri"/>
          <w:color w:val="0D0D0D" w:themeColor="text1" w:themeTint="F2"/>
        </w:rPr>
        <w:t xml:space="preserve">contextually </w:t>
      </w:r>
      <w:r w:rsidR="005606F2" w:rsidRPr="00252CDE">
        <w:rPr>
          <w:rFonts w:ascii="Calibri" w:hAnsi="Calibri" w:cs="Calibri"/>
          <w:color w:val="0D0D0D" w:themeColor="text1" w:themeTint="F2"/>
        </w:rPr>
        <w:t xml:space="preserve">vital when considering the </w:t>
      </w:r>
      <w:r w:rsidR="0017621A" w:rsidRPr="00252CDE">
        <w:rPr>
          <w:rFonts w:ascii="Calibri" w:hAnsi="Calibri" w:cs="Calibri"/>
          <w:color w:val="0D0D0D" w:themeColor="text1" w:themeTint="F2"/>
        </w:rPr>
        <w:t xml:space="preserve">historic contributions of men within the field.  </w:t>
      </w:r>
      <w:r w:rsidRPr="00252CDE">
        <w:rPr>
          <w:rFonts w:ascii="Calibri" w:hAnsi="Calibri" w:cs="Calibri"/>
          <w:color w:val="0D0D0D" w:themeColor="text1" w:themeTint="F2"/>
        </w:rPr>
        <w:t>Both quantitative and qualitative research studies, as well as systematic reviews and theoretical papers, were considered.</w:t>
      </w:r>
    </w:p>
    <w:p w14:paraId="52F20CFD" w14:textId="277203F1" w:rsidR="00CB0EA1" w:rsidRPr="00252CDE" w:rsidRDefault="00CB0EA1"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Exclusion criteria included studies that focused solely on other healthcare professions</w:t>
      </w:r>
      <w:r w:rsidR="00365690" w:rsidRPr="00252CDE">
        <w:rPr>
          <w:rFonts w:ascii="Calibri" w:hAnsi="Calibri" w:cs="Calibri"/>
          <w:color w:val="0D0D0D" w:themeColor="text1" w:themeTint="F2"/>
        </w:rPr>
        <w:t xml:space="preserve">, </w:t>
      </w:r>
      <w:r w:rsidRPr="00252CDE">
        <w:rPr>
          <w:rFonts w:ascii="Calibri" w:hAnsi="Calibri" w:cs="Calibri"/>
          <w:color w:val="0D0D0D" w:themeColor="text1" w:themeTint="F2"/>
        </w:rPr>
        <w:t>unless directly relevant to nursing, those not in higher education settings</w:t>
      </w:r>
      <w:r w:rsidR="00365690" w:rsidRPr="00252CDE">
        <w:rPr>
          <w:rFonts w:ascii="Calibri" w:hAnsi="Calibri" w:cs="Calibri"/>
          <w:color w:val="0D0D0D" w:themeColor="text1" w:themeTint="F2"/>
        </w:rPr>
        <w:t xml:space="preserve">, for </w:t>
      </w:r>
      <w:r w:rsidR="00130938" w:rsidRPr="00252CDE">
        <w:rPr>
          <w:rFonts w:ascii="Calibri" w:hAnsi="Calibri" w:cs="Calibri"/>
          <w:color w:val="0D0D0D" w:themeColor="text1" w:themeTint="F2"/>
        </w:rPr>
        <w:t>example vocational</w:t>
      </w:r>
      <w:r w:rsidRPr="00252CDE">
        <w:rPr>
          <w:rFonts w:ascii="Calibri" w:hAnsi="Calibri" w:cs="Calibri"/>
          <w:color w:val="0D0D0D" w:themeColor="text1" w:themeTint="F2"/>
        </w:rPr>
        <w:t xml:space="preserve"> training, and those that did not have a clear focus on gender-related issues. Literature published in languages other than English was also excluded due to the practical limitations of translation within the scope of this review. </w:t>
      </w:r>
      <w:r w:rsidR="00130938" w:rsidRPr="00252CDE">
        <w:rPr>
          <w:rFonts w:ascii="Calibri" w:hAnsi="Calibri" w:cs="Calibri"/>
          <w:color w:val="0D0D0D" w:themeColor="text1" w:themeTint="F2"/>
        </w:rPr>
        <w:t xml:space="preserve"> </w:t>
      </w:r>
      <w:r w:rsidRPr="00252CDE">
        <w:rPr>
          <w:rFonts w:ascii="Calibri" w:hAnsi="Calibri" w:cs="Calibri"/>
          <w:color w:val="0D0D0D" w:themeColor="text1" w:themeTint="F2"/>
        </w:rPr>
        <w:t>While grey literature such as policy documents and reports from professional bodies was considered valuable for contextual understanding, primary research studies formed the core of the analytical component of this review.</w:t>
      </w:r>
      <w:r w:rsidR="001D6515"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The application of these criteria aimed to yield a body of literature directly pertinent to understanding the underrepresentation and attrition of men in nursing</w:t>
      </w:r>
      <w:r w:rsidR="006D0E4F" w:rsidRPr="00252CDE">
        <w:rPr>
          <w:rFonts w:ascii="Calibri" w:hAnsi="Calibri" w:cs="Calibri"/>
          <w:color w:val="0D0D0D" w:themeColor="text1" w:themeTint="F2"/>
        </w:rPr>
        <w:t xml:space="preserve"> degree level</w:t>
      </w:r>
      <w:r w:rsidRPr="00252CDE">
        <w:rPr>
          <w:rFonts w:ascii="Calibri" w:hAnsi="Calibri" w:cs="Calibri"/>
          <w:color w:val="0D0D0D" w:themeColor="text1" w:themeTint="F2"/>
        </w:rPr>
        <w:t xml:space="preserve"> education.</w:t>
      </w:r>
    </w:p>
    <w:p w14:paraId="42691746" w14:textId="77777777" w:rsidR="009A5762" w:rsidRPr="00252CDE" w:rsidRDefault="009A5762" w:rsidP="00D51D2A">
      <w:pPr>
        <w:spacing w:line="360" w:lineRule="auto"/>
        <w:rPr>
          <w:rFonts w:ascii="Calibri" w:hAnsi="Calibri" w:cs="Calibri"/>
          <w:color w:val="0D0D0D" w:themeColor="text1" w:themeTint="F2"/>
        </w:rPr>
      </w:pPr>
    </w:p>
    <w:p w14:paraId="6EDE004F" w14:textId="70E86114" w:rsidR="00373356" w:rsidRPr="00252CDE" w:rsidRDefault="00BD7687" w:rsidP="00D51D2A">
      <w:pPr>
        <w:spacing w:line="360" w:lineRule="auto"/>
        <w:rPr>
          <w:rFonts w:ascii="Calibri" w:hAnsi="Calibri" w:cs="Calibri"/>
          <w:b/>
          <w:bCs/>
          <w:color w:val="0D0D0D" w:themeColor="text1" w:themeTint="F2"/>
          <w:u w:val="single"/>
        </w:rPr>
      </w:pPr>
      <w:r w:rsidRPr="00252CDE">
        <w:rPr>
          <w:rFonts w:ascii="Calibri" w:hAnsi="Calibri" w:cs="Calibri"/>
          <w:b/>
          <w:bCs/>
          <w:color w:val="0D0D0D" w:themeColor="text1" w:themeTint="F2"/>
          <w:u w:val="single"/>
        </w:rPr>
        <w:t>3. Critical Analysis of Background Literature: Themes</w:t>
      </w:r>
    </w:p>
    <w:p w14:paraId="4A8A3E7C" w14:textId="3F064921" w:rsidR="00BD7687" w:rsidRPr="00252CDE" w:rsidRDefault="00BD7687" w:rsidP="00D51D2A">
      <w:pPr>
        <w:spacing w:line="360" w:lineRule="auto"/>
        <w:rPr>
          <w:rFonts w:ascii="Calibri" w:hAnsi="Calibri" w:cs="Calibri"/>
          <w:color w:val="0D0D0D" w:themeColor="text1" w:themeTint="F2"/>
        </w:rPr>
      </w:pPr>
      <w:r w:rsidRPr="00252CDE">
        <w:rPr>
          <w:rFonts w:ascii="Calibri" w:hAnsi="Calibri" w:cs="Calibri"/>
          <w:b/>
          <w:bCs/>
          <w:color w:val="0D0D0D" w:themeColor="text1" w:themeTint="F2"/>
        </w:rPr>
        <w:t>3.1 The Historical Context and Underacknowledged Contributions of Men in Nursing</w:t>
      </w:r>
    </w:p>
    <w:p w14:paraId="48A59154" w14:textId="21528B1C" w:rsidR="00F26A52" w:rsidRPr="00252CDE" w:rsidRDefault="00BD7687"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The prevailing image of nursing as a predominantly female profession often overshadows the significant historical presence and contributions of men to the field.</w:t>
      </w:r>
      <w:r w:rsidR="004C6FF4"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Examining historical accounts reveals that men have been integral to the provision of care throughout centuries</w:t>
      </w:r>
      <w:r w:rsidR="00190FFF" w:rsidRPr="00252CDE">
        <w:rPr>
          <w:rFonts w:ascii="Calibri" w:hAnsi="Calibri" w:cs="Calibri"/>
          <w:color w:val="0D0D0D" w:themeColor="text1" w:themeTint="F2"/>
        </w:rPr>
        <w:t xml:space="preserve"> </w:t>
      </w:r>
      <w:r w:rsidR="00965624" w:rsidRPr="00252CDE">
        <w:rPr>
          <w:rFonts w:ascii="Calibri" w:hAnsi="Calibri" w:cs="Calibri"/>
          <w:color w:val="0D0D0D" w:themeColor="text1" w:themeTint="F2"/>
        </w:rPr>
        <w:t xml:space="preserve">(Abel-Smith, 1960; </w:t>
      </w:r>
      <w:r w:rsidR="00601B43" w:rsidRPr="00252CDE">
        <w:rPr>
          <w:rFonts w:ascii="Calibri" w:hAnsi="Calibri" w:cs="Calibri"/>
          <w:color w:val="0D0D0D" w:themeColor="text1" w:themeTint="F2"/>
        </w:rPr>
        <w:t xml:space="preserve">Holten, 1984; </w:t>
      </w:r>
      <w:r w:rsidR="005500C3" w:rsidRPr="00252CDE">
        <w:rPr>
          <w:rFonts w:ascii="Calibri" w:hAnsi="Calibri" w:cs="Calibri"/>
          <w:color w:val="0D0D0D" w:themeColor="text1" w:themeTint="F2"/>
        </w:rPr>
        <w:t>Ross, 2017)</w:t>
      </w:r>
      <w:r w:rsidRPr="00252CDE">
        <w:rPr>
          <w:rFonts w:ascii="Calibri" w:hAnsi="Calibri" w:cs="Calibri"/>
          <w:color w:val="0D0D0D" w:themeColor="text1" w:themeTint="F2"/>
        </w:rPr>
        <w:t>, particularly in roles associated with religious orders</w:t>
      </w:r>
      <w:r w:rsidR="001B07B9" w:rsidRPr="00252CDE">
        <w:rPr>
          <w:rFonts w:ascii="Calibri" w:hAnsi="Calibri" w:cs="Calibri"/>
          <w:color w:val="0D0D0D" w:themeColor="text1" w:themeTint="F2"/>
        </w:rPr>
        <w:t xml:space="preserve"> (Brown and Stone, 1973)</w:t>
      </w:r>
      <w:r w:rsidRPr="00252CDE">
        <w:rPr>
          <w:rFonts w:ascii="Calibri" w:hAnsi="Calibri" w:cs="Calibri"/>
          <w:color w:val="0D0D0D" w:themeColor="text1" w:themeTint="F2"/>
        </w:rPr>
        <w:t>, military nursing</w:t>
      </w:r>
      <w:r w:rsidR="001B07B9" w:rsidRPr="00252CDE">
        <w:rPr>
          <w:rFonts w:ascii="Calibri" w:hAnsi="Calibri" w:cs="Calibri"/>
          <w:color w:val="0D0D0D" w:themeColor="text1" w:themeTint="F2"/>
        </w:rPr>
        <w:t xml:space="preserve"> </w:t>
      </w:r>
      <w:r w:rsidR="00BA2A8C" w:rsidRPr="00252CDE">
        <w:rPr>
          <w:rFonts w:ascii="Calibri" w:hAnsi="Calibri" w:cs="Calibri"/>
          <w:color w:val="0D0D0D" w:themeColor="text1" w:themeTint="F2"/>
        </w:rPr>
        <w:t>(Verger, 1986)</w:t>
      </w:r>
      <w:r w:rsidRPr="00252CDE">
        <w:rPr>
          <w:rFonts w:ascii="Calibri" w:hAnsi="Calibri" w:cs="Calibri"/>
          <w:color w:val="0D0D0D" w:themeColor="text1" w:themeTint="F2"/>
        </w:rPr>
        <w:t>, and the care of specific populations (</w:t>
      </w:r>
      <w:r w:rsidR="000110A6" w:rsidRPr="00252CDE">
        <w:rPr>
          <w:rFonts w:ascii="Calibri" w:hAnsi="Calibri" w:cs="Calibri"/>
          <w:color w:val="0D0D0D" w:themeColor="text1" w:themeTint="F2"/>
        </w:rPr>
        <w:t>Riva and Cesana</w:t>
      </w:r>
      <w:r w:rsidR="00F62710" w:rsidRPr="00252CDE">
        <w:rPr>
          <w:rFonts w:ascii="Calibri" w:hAnsi="Calibri" w:cs="Calibri"/>
          <w:color w:val="0D0D0D" w:themeColor="text1" w:themeTint="F2"/>
        </w:rPr>
        <w:t>, 2013</w:t>
      </w:r>
      <w:r w:rsidR="00BA1C2A"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Reverby, 1987). </w:t>
      </w:r>
      <w:r w:rsidR="00666D5C" w:rsidRPr="00252CDE">
        <w:rPr>
          <w:rFonts w:ascii="Calibri" w:hAnsi="Calibri" w:cs="Calibri"/>
          <w:color w:val="0D0D0D" w:themeColor="text1" w:themeTint="F2"/>
        </w:rPr>
        <w:t xml:space="preserve"> </w:t>
      </w:r>
      <w:r w:rsidR="00443D08" w:rsidRPr="00252CDE">
        <w:rPr>
          <w:rFonts w:ascii="Calibri" w:hAnsi="Calibri" w:cs="Calibri"/>
          <w:color w:val="0D0D0D" w:themeColor="text1" w:themeTint="F2"/>
        </w:rPr>
        <w:t>Historically, men have fulfilled caregiving roles, evidenced as far back as biblical times when societal norms excluded women deemed 'un-pure' from the then 'male only' nursing schools</w:t>
      </w:r>
      <w:r w:rsidR="006A2DE6" w:rsidRPr="00252CDE">
        <w:rPr>
          <w:rFonts w:ascii="Calibri" w:hAnsi="Calibri" w:cs="Calibri"/>
          <w:color w:val="0D0D0D" w:themeColor="text1" w:themeTint="F2"/>
        </w:rPr>
        <w:t>, t</w:t>
      </w:r>
      <w:r w:rsidR="0040159D" w:rsidRPr="00252CDE">
        <w:rPr>
          <w:rFonts w:ascii="Calibri" w:hAnsi="Calibri" w:cs="Calibri"/>
          <w:color w:val="0D0D0D" w:themeColor="text1" w:themeTint="F2"/>
        </w:rPr>
        <w:t xml:space="preserve">he first of which </w:t>
      </w:r>
      <w:r w:rsidR="006A2DE6" w:rsidRPr="00252CDE">
        <w:rPr>
          <w:rFonts w:ascii="Calibri" w:hAnsi="Calibri" w:cs="Calibri"/>
          <w:color w:val="0D0D0D" w:themeColor="text1" w:themeTint="F2"/>
        </w:rPr>
        <w:lastRenderedPageBreak/>
        <w:t xml:space="preserve">documented </w:t>
      </w:r>
      <w:r w:rsidR="00FD77D7" w:rsidRPr="00252CDE">
        <w:rPr>
          <w:rFonts w:ascii="Calibri" w:hAnsi="Calibri" w:cs="Calibri"/>
          <w:color w:val="0D0D0D" w:themeColor="text1" w:themeTint="F2"/>
        </w:rPr>
        <w:t>by Kearns and Mahon (2021)</w:t>
      </w:r>
      <w:r w:rsidR="002645F3" w:rsidRPr="00252CDE">
        <w:rPr>
          <w:rFonts w:ascii="Calibri" w:hAnsi="Calibri" w:cs="Calibri"/>
          <w:color w:val="0D0D0D" w:themeColor="text1" w:themeTint="F2"/>
        </w:rPr>
        <w:t>,</w:t>
      </w:r>
      <w:r w:rsidR="00FD77D7" w:rsidRPr="00252CDE">
        <w:rPr>
          <w:rFonts w:ascii="Calibri" w:hAnsi="Calibri" w:cs="Calibri"/>
          <w:color w:val="0D0D0D" w:themeColor="text1" w:themeTint="F2"/>
        </w:rPr>
        <w:t xml:space="preserve"> </w:t>
      </w:r>
      <w:r w:rsidR="00946EDE" w:rsidRPr="00252CDE">
        <w:rPr>
          <w:rFonts w:ascii="Calibri" w:hAnsi="Calibri" w:cs="Calibri"/>
          <w:color w:val="0D0D0D" w:themeColor="text1" w:themeTint="F2"/>
        </w:rPr>
        <w:t xml:space="preserve">in </w:t>
      </w:r>
      <w:r w:rsidR="00FD77D7" w:rsidRPr="00252CDE">
        <w:rPr>
          <w:rFonts w:ascii="Calibri" w:hAnsi="Calibri" w:cs="Calibri"/>
          <w:color w:val="0D0D0D" w:themeColor="text1" w:themeTint="F2"/>
        </w:rPr>
        <w:t xml:space="preserve">their </w:t>
      </w:r>
      <w:r w:rsidR="00DC0943" w:rsidRPr="00252CDE">
        <w:rPr>
          <w:rFonts w:ascii="Calibri" w:hAnsi="Calibri" w:cs="Calibri"/>
          <w:color w:val="0D0D0D" w:themeColor="text1" w:themeTint="F2"/>
        </w:rPr>
        <w:t>timeline study of nursing</w:t>
      </w:r>
      <w:r w:rsidR="00352311" w:rsidRPr="00252CDE">
        <w:rPr>
          <w:rFonts w:ascii="Calibri" w:hAnsi="Calibri" w:cs="Calibri"/>
          <w:color w:val="0D0D0D" w:themeColor="text1" w:themeTint="F2"/>
        </w:rPr>
        <w:t xml:space="preserve"> origins</w:t>
      </w:r>
      <w:r w:rsidR="002645F3" w:rsidRPr="00252CDE">
        <w:rPr>
          <w:rFonts w:ascii="Calibri" w:hAnsi="Calibri" w:cs="Calibri"/>
          <w:color w:val="0D0D0D" w:themeColor="text1" w:themeTint="F2"/>
        </w:rPr>
        <w:t>,</w:t>
      </w:r>
      <w:r w:rsidR="00DC0943" w:rsidRPr="00252CDE">
        <w:rPr>
          <w:rFonts w:ascii="Calibri" w:hAnsi="Calibri" w:cs="Calibri"/>
          <w:color w:val="0D0D0D" w:themeColor="text1" w:themeTint="F2"/>
        </w:rPr>
        <w:t xml:space="preserve"> </w:t>
      </w:r>
      <w:r w:rsidR="006A2DE6" w:rsidRPr="00252CDE">
        <w:rPr>
          <w:rFonts w:ascii="Calibri" w:hAnsi="Calibri" w:cs="Calibri"/>
          <w:color w:val="0D0D0D" w:themeColor="text1" w:themeTint="F2"/>
        </w:rPr>
        <w:t xml:space="preserve">as starting in </w:t>
      </w:r>
      <w:r w:rsidR="0055607F" w:rsidRPr="00252CDE">
        <w:rPr>
          <w:rFonts w:ascii="Calibri" w:hAnsi="Calibri" w:cs="Calibri"/>
          <w:color w:val="0D0D0D" w:themeColor="text1" w:themeTint="F2"/>
        </w:rPr>
        <w:t>India in 250 BC</w:t>
      </w:r>
      <w:r w:rsidR="00FD77D7" w:rsidRPr="00252CDE">
        <w:rPr>
          <w:rFonts w:ascii="Calibri" w:hAnsi="Calibri" w:cs="Calibri"/>
          <w:color w:val="0D0D0D" w:themeColor="text1" w:themeTint="F2"/>
        </w:rPr>
        <w:t xml:space="preserve">.  </w:t>
      </w:r>
      <w:r w:rsidR="00443D08" w:rsidRPr="00252CDE">
        <w:rPr>
          <w:rFonts w:ascii="Calibri" w:hAnsi="Calibri" w:cs="Calibri"/>
          <w:color w:val="0D0D0D" w:themeColor="text1" w:themeTint="F2"/>
        </w:rPr>
        <w:t>Indeed, Bullough (1994) highlights that men were the dominant gender in the early development of nursing, playing a significant role in shaping the vocation from its beginnings</w:t>
      </w:r>
      <w:r w:rsidR="00747FE1" w:rsidRPr="00252CDE">
        <w:rPr>
          <w:rFonts w:ascii="Calibri" w:hAnsi="Calibri" w:cs="Calibri"/>
          <w:color w:val="0D0D0D" w:themeColor="text1" w:themeTint="F2"/>
        </w:rPr>
        <w:t xml:space="preserve">.  </w:t>
      </w:r>
      <w:r w:rsidR="005155CB" w:rsidRPr="00252CDE">
        <w:rPr>
          <w:rFonts w:ascii="Calibri" w:hAnsi="Calibri" w:cs="Calibri"/>
          <w:color w:val="0D0D0D" w:themeColor="text1" w:themeTint="F2"/>
        </w:rPr>
        <w:t>Historical archives</w:t>
      </w:r>
      <w:r w:rsidR="00D86D20" w:rsidRPr="00252CDE">
        <w:rPr>
          <w:rFonts w:ascii="Calibri" w:hAnsi="Calibri" w:cs="Calibri"/>
          <w:color w:val="0D0D0D" w:themeColor="text1" w:themeTint="F2"/>
        </w:rPr>
        <w:t>, as reported by Miller (1978)</w:t>
      </w:r>
      <w:r w:rsidR="005155CB" w:rsidRPr="00252CDE">
        <w:rPr>
          <w:rFonts w:ascii="Calibri" w:hAnsi="Calibri" w:cs="Calibri"/>
          <w:color w:val="0D0D0D" w:themeColor="text1" w:themeTint="F2"/>
        </w:rPr>
        <w:t xml:space="preserve"> dating back to </w:t>
      </w:r>
      <w:r w:rsidR="0006678A" w:rsidRPr="00252CDE">
        <w:rPr>
          <w:rFonts w:ascii="Calibri" w:hAnsi="Calibri" w:cs="Calibri"/>
          <w:color w:val="0D0D0D" w:themeColor="text1" w:themeTint="F2"/>
        </w:rPr>
        <w:t xml:space="preserve">the early </w:t>
      </w:r>
      <w:r w:rsidR="005155CB" w:rsidRPr="00252CDE">
        <w:rPr>
          <w:rFonts w:ascii="Calibri" w:hAnsi="Calibri" w:cs="Calibri"/>
          <w:color w:val="0D0D0D" w:themeColor="text1" w:themeTint="F2"/>
        </w:rPr>
        <w:t>190</w:t>
      </w:r>
      <w:r w:rsidR="001804C9" w:rsidRPr="00252CDE">
        <w:rPr>
          <w:rFonts w:ascii="Calibri" w:hAnsi="Calibri" w:cs="Calibri"/>
          <w:color w:val="0D0D0D" w:themeColor="text1" w:themeTint="F2"/>
        </w:rPr>
        <w:t>0’s</w:t>
      </w:r>
      <w:r w:rsidR="005155CB" w:rsidRPr="00252CDE">
        <w:rPr>
          <w:rFonts w:ascii="Calibri" w:hAnsi="Calibri" w:cs="Calibri"/>
          <w:color w:val="0D0D0D" w:themeColor="text1" w:themeTint="F2"/>
        </w:rPr>
        <w:t>, document the contributions of monastic movements such as the Knight Hospitallers of Saint John of Jerusalem and the founding of the Teutonic Knights.</w:t>
      </w:r>
      <w:r w:rsidR="001804C9" w:rsidRPr="00252CDE">
        <w:rPr>
          <w:rFonts w:ascii="Calibri" w:hAnsi="Calibri" w:cs="Calibri"/>
          <w:color w:val="0D0D0D" w:themeColor="text1" w:themeTint="F2"/>
        </w:rPr>
        <w:t xml:space="preserve"> </w:t>
      </w:r>
      <w:r w:rsidR="005155CB" w:rsidRPr="00252CDE">
        <w:rPr>
          <w:rFonts w:ascii="Calibri" w:hAnsi="Calibri" w:cs="Calibri"/>
          <w:color w:val="0D0D0D" w:themeColor="text1" w:themeTint="F2"/>
        </w:rPr>
        <w:t xml:space="preserve"> Verger (1986) notes that the dissolution of monasteries in the 16th century led to the loss of further</w:t>
      </w:r>
      <w:r w:rsidR="00427AB2" w:rsidRPr="00252CDE">
        <w:rPr>
          <w:rFonts w:ascii="Calibri" w:hAnsi="Calibri" w:cs="Calibri"/>
          <w:color w:val="0D0D0D" w:themeColor="text1" w:themeTint="F2"/>
        </w:rPr>
        <w:t xml:space="preserve"> written accounts</w:t>
      </w:r>
      <w:r w:rsidR="005155CB" w:rsidRPr="00252CDE">
        <w:rPr>
          <w:rFonts w:ascii="Calibri" w:hAnsi="Calibri" w:cs="Calibri"/>
          <w:color w:val="0D0D0D" w:themeColor="text1" w:themeTint="F2"/>
        </w:rPr>
        <w:t xml:space="preserve">. </w:t>
      </w:r>
      <w:r w:rsidR="00CB2456" w:rsidRPr="00252CDE">
        <w:rPr>
          <w:rFonts w:ascii="Calibri" w:hAnsi="Calibri" w:cs="Calibri"/>
          <w:color w:val="0D0D0D" w:themeColor="text1" w:themeTint="F2"/>
        </w:rPr>
        <w:t xml:space="preserve"> </w:t>
      </w:r>
      <w:r w:rsidR="005155CB" w:rsidRPr="00252CDE">
        <w:rPr>
          <w:rFonts w:ascii="Calibri" w:hAnsi="Calibri" w:cs="Calibri"/>
          <w:color w:val="0D0D0D" w:themeColor="text1" w:themeTint="F2"/>
        </w:rPr>
        <w:t xml:space="preserve">Monks from the Benedictine Order were also significant in providing care during periods such as the Black Death and other epidemics, a tradition that Jezuit </w:t>
      </w:r>
      <w:r w:rsidR="005155CB" w:rsidRPr="00252CDE">
        <w:rPr>
          <w:rFonts w:ascii="Calibri" w:hAnsi="Calibri" w:cs="Calibri"/>
          <w:i/>
          <w:iCs/>
          <w:color w:val="0D0D0D" w:themeColor="text1" w:themeTint="F2"/>
        </w:rPr>
        <w:t>et al</w:t>
      </w:r>
      <w:r w:rsidR="005155CB" w:rsidRPr="00252CDE">
        <w:rPr>
          <w:rFonts w:ascii="Calibri" w:hAnsi="Calibri" w:cs="Calibri"/>
          <w:color w:val="0D0D0D" w:themeColor="text1" w:themeTint="F2"/>
        </w:rPr>
        <w:t>. (2020) indicate continues in some form today.</w:t>
      </w:r>
      <w:r w:rsidR="00427AB2" w:rsidRPr="00252CDE">
        <w:rPr>
          <w:rFonts w:ascii="Calibri" w:hAnsi="Calibri" w:cs="Calibri"/>
          <w:color w:val="0D0D0D" w:themeColor="text1" w:themeTint="F2"/>
        </w:rPr>
        <w:t xml:space="preserve"> </w:t>
      </w:r>
      <w:r w:rsidR="005155CB" w:rsidRPr="00252CDE">
        <w:rPr>
          <w:rFonts w:ascii="Calibri" w:hAnsi="Calibri" w:cs="Calibri"/>
          <w:color w:val="0D0D0D" w:themeColor="text1" w:themeTint="F2"/>
        </w:rPr>
        <w:t xml:space="preserve"> Furthermore, historical accounts of the Crusades reveal that soldiers wounded on the battlefield were often cared for by other men, irrespective of the specific nursing care needed</w:t>
      </w:r>
      <w:r w:rsidR="00561DBA" w:rsidRPr="00252CDE">
        <w:rPr>
          <w:rFonts w:ascii="Calibri" w:hAnsi="Calibri" w:cs="Calibri"/>
          <w:color w:val="0D0D0D" w:themeColor="text1" w:themeTint="F2"/>
        </w:rPr>
        <w:t xml:space="preserve"> (D’Antonio, 2002)</w:t>
      </w:r>
      <w:r w:rsidR="005155CB" w:rsidRPr="00252CDE">
        <w:rPr>
          <w:rFonts w:ascii="Calibri" w:hAnsi="Calibri" w:cs="Calibri"/>
          <w:color w:val="0D0D0D" w:themeColor="text1" w:themeTint="F2"/>
        </w:rPr>
        <w:t>.</w:t>
      </w:r>
      <w:r w:rsidR="00062447" w:rsidRPr="00252CDE">
        <w:rPr>
          <w:rFonts w:ascii="Calibri" w:hAnsi="Calibri" w:cs="Calibri"/>
          <w:color w:val="0D0D0D" w:themeColor="text1" w:themeTint="F2"/>
        </w:rPr>
        <w:t xml:space="preserve">  </w:t>
      </w:r>
      <w:r w:rsidR="00B774E1" w:rsidRPr="00252CDE">
        <w:rPr>
          <w:rFonts w:ascii="Calibri" w:hAnsi="Calibri" w:cs="Calibri"/>
          <w:color w:val="0D0D0D" w:themeColor="text1" w:themeTint="F2"/>
        </w:rPr>
        <w:t>Armstrong and Hegarty (2024), however, contend that the provision of care by male soldiers to their comrades during conflicts was likely driven by an ethical imperative to prioritise those nearest to them amidst combat casualties, rather than being indicative of a specific gender role.</w:t>
      </w:r>
    </w:p>
    <w:p w14:paraId="2C86A050" w14:textId="4F0E1C2A" w:rsidR="00662EF5" w:rsidRPr="00252CDE" w:rsidRDefault="00662EF5"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Unfortunately, Nightingale's declaration in 1863, stating that military personnel made the "worst nurses" and that "men and their horny hands were detrimental to caring" (Cude </w:t>
      </w:r>
      <w:r w:rsidR="00DE6D87" w:rsidRPr="00252CDE">
        <w:rPr>
          <w:rFonts w:ascii="Calibri" w:hAnsi="Calibri" w:cs="Calibri"/>
          <w:color w:val="0D0D0D" w:themeColor="text1" w:themeTint="F2"/>
        </w:rPr>
        <w:t>and</w:t>
      </w:r>
      <w:r w:rsidRPr="00252CDE">
        <w:rPr>
          <w:rFonts w:ascii="Calibri" w:hAnsi="Calibri" w:cs="Calibri"/>
          <w:color w:val="0D0D0D" w:themeColor="text1" w:themeTint="F2"/>
        </w:rPr>
        <w:t xml:space="preserve"> Winfrey, 2007), led to veterans being actively discouraged from entering the profession based on the belief that they lacked the necessary empathy or care.</w:t>
      </w:r>
      <w:r w:rsidR="000517E6"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Carpenter (1980), however, notes that men's involvement in nursing was still apparent in the 18th century with the emergence of voluntary hospitals, although they were often viewed more as </w:t>
      </w:r>
      <w:r w:rsidR="008E1CA8" w:rsidRPr="00252CDE">
        <w:rPr>
          <w:rFonts w:ascii="Calibri" w:hAnsi="Calibri" w:cs="Calibri"/>
          <w:color w:val="0D0D0D" w:themeColor="text1" w:themeTint="F2"/>
        </w:rPr>
        <w:t>‘</w:t>
      </w:r>
      <w:r w:rsidRPr="00252CDE">
        <w:rPr>
          <w:rFonts w:ascii="Calibri" w:hAnsi="Calibri" w:cs="Calibri"/>
          <w:color w:val="0D0D0D" w:themeColor="text1" w:themeTint="F2"/>
        </w:rPr>
        <w:t>attendants</w:t>
      </w:r>
      <w:r w:rsidR="008E1CA8" w:rsidRPr="00252CDE">
        <w:rPr>
          <w:rFonts w:ascii="Calibri" w:hAnsi="Calibri" w:cs="Calibri"/>
          <w:color w:val="0D0D0D" w:themeColor="text1" w:themeTint="F2"/>
        </w:rPr>
        <w:t xml:space="preserve"> or warders’ </w:t>
      </w:r>
      <w:r w:rsidR="003E6765" w:rsidRPr="00252CDE">
        <w:rPr>
          <w:rFonts w:ascii="Calibri" w:hAnsi="Calibri" w:cs="Calibri"/>
          <w:color w:val="0D0D0D" w:themeColor="text1" w:themeTint="F2"/>
        </w:rPr>
        <w:t>(Brown, Nolan and Crawford, 2000)</w:t>
      </w:r>
      <w:r w:rsidRPr="00252CDE">
        <w:rPr>
          <w:rFonts w:ascii="Calibri" w:hAnsi="Calibri" w:cs="Calibri"/>
          <w:color w:val="0D0D0D" w:themeColor="text1" w:themeTint="F2"/>
        </w:rPr>
        <w:t xml:space="preserve">, frequently within </w:t>
      </w:r>
      <w:r w:rsidR="000111F3" w:rsidRPr="00252CDE">
        <w:rPr>
          <w:rFonts w:ascii="Calibri" w:hAnsi="Calibri" w:cs="Calibri"/>
          <w:color w:val="0D0D0D" w:themeColor="text1" w:themeTint="F2"/>
        </w:rPr>
        <w:t xml:space="preserve">workhouses or </w:t>
      </w:r>
      <w:r w:rsidRPr="00252CDE">
        <w:rPr>
          <w:rFonts w:ascii="Calibri" w:hAnsi="Calibri" w:cs="Calibri"/>
          <w:color w:val="0D0D0D" w:themeColor="text1" w:themeTint="F2"/>
        </w:rPr>
        <w:t>mental asylums.</w:t>
      </w:r>
      <w:r w:rsidR="000111F3" w:rsidRPr="00252CDE">
        <w:rPr>
          <w:rFonts w:ascii="Calibri" w:hAnsi="Calibri" w:cs="Calibri"/>
          <w:color w:val="0D0D0D" w:themeColor="text1" w:themeTint="F2"/>
        </w:rPr>
        <w:t xml:space="preserve">  </w:t>
      </w:r>
      <w:r w:rsidR="00197050" w:rsidRPr="00252CDE">
        <w:rPr>
          <w:rFonts w:ascii="Calibri" w:hAnsi="Calibri" w:cs="Calibri"/>
          <w:color w:val="0D0D0D" w:themeColor="text1" w:themeTint="F2"/>
        </w:rPr>
        <w:t xml:space="preserve">Building on that, it could be argued that the historical acceptability of men in nursing roles within mental health settings, as Carpenter (1980) noted, might </w:t>
      </w:r>
      <w:r w:rsidR="00555425" w:rsidRPr="00252CDE">
        <w:rPr>
          <w:rFonts w:ascii="Calibri" w:hAnsi="Calibri" w:cs="Calibri"/>
          <w:color w:val="0D0D0D" w:themeColor="text1" w:themeTint="F2"/>
        </w:rPr>
        <w:t>ironically</w:t>
      </w:r>
      <w:r w:rsidR="00197050" w:rsidRPr="00252CDE">
        <w:rPr>
          <w:rFonts w:ascii="Calibri" w:hAnsi="Calibri" w:cs="Calibri"/>
          <w:color w:val="0D0D0D" w:themeColor="text1" w:themeTint="F2"/>
        </w:rPr>
        <w:t xml:space="preserve"> stem from and reinforce certain masculine stereotypes.</w:t>
      </w:r>
      <w:r w:rsidR="004C0287" w:rsidRPr="00252CDE">
        <w:rPr>
          <w:rFonts w:ascii="Calibri" w:hAnsi="Calibri" w:cs="Calibri"/>
          <w:color w:val="0D0D0D" w:themeColor="text1" w:themeTint="F2"/>
        </w:rPr>
        <w:t xml:space="preserve"> </w:t>
      </w:r>
      <w:r w:rsidR="00197050" w:rsidRPr="00252CDE">
        <w:rPr>
          <w:rFonts w:ascii="Calibri" w:hAnsi="Calibri" w:cs="Calibri"/>
          <w:color w:val="0D0D0D" w:themeColor="text1" w:themeTint="F2"/>
        </w:rPr>
        <w:t xml:space="preserve"> The management of individuals experiencing mental health crises, particularly in historical contexts, could be </w:t>
      </w:r>
      <w:r w:rsidR="00904A09" w:rsidRPr="00252CDE">
        <w:rPr>
          <w:rFonts w:ascii="Calibri" w:hAnsi="Calibri" w:cs="Calibri"/>
          <w:color w:val="0D0D0D" w:themeColor="text1" w:themeTint="F2"/>
        </w:rPr>
        <w:t>interpreted</w:t>
      </w:r>
      <w:r w:rsidR="00197050" w:rsidRPr="00252CDE">
        <w:rPr>
          <w:rFonts w:ascii="Calibri" w:hAnsi="Calibri" w:cs="Calibri"/>
          <w:color w:val="0D0D0D" w:themeColor="text1" w:themeTint="F2"/>
        </w:rPr>
        <w:t xml:space="preserve"> as requiring physical strength and a more directive, perhaps traditionally 'masculine', approach to maintaining order and safety (</w:t>
      </w:r>
      <w:r w:rsidR="0084291B" w:rsidRPr="00252CDE">
        <w:rPr>
          <w:rFonts w:ascii="Calibri" w:hAnsi="Calibri" w:cs="Calibri"/>
          <w:color w:val="0D0D0D" w:themeColor="text1" w:themeTint="F2"/>
        </w:rPr>
        <w:t>Berdida</w:t>
      </w:r>
      <w:r w:rsidR="006D25C4" w:rsidRPr="00252CDE">
        <w:rPr>
          <w:rFonts w:ascii="Calibri" w:hAnsi="Calibri" w:cs="Calibri"/>
          <w:color w:val="0D0D0D" w:themeColor="text1" w:themeTint="F2"/>
        </w:rPr>
        <w:t>, 2023</w:t>
      </w:r>
      <w:r w:rsidR="005259AF" w:rsidRPr="00252CDE">
        <w:rPr>
          <w:rFonts w:ascii="Calibri" w:hAnsi="Calibri" w:cs="Calibri"/>
          <w:color w:val="0D0D0D" w:themeColor="text1" w:themeTint="F2"/>
        </w:rPr>
        <w:t>; Reedy</w:t>
      </w:r>
      <w:r w:rsidR="005259AF" w:rsidRPr="00252CDE">
        <w:rPr>
          <w:rFonts w:ascii="Calibri" w:hAnsi="Calibri" w:cs="Calibri"/>
          <w:i/>
          <w:iCs/>
          <w:color w:val="0D0D0D" w:themeColor="text1" w:themeTint="F2"/>
        </w:rPr>
        <w:t xml:space="preserve"> et al</w:t>
      </w:r>
      <w:r w:rsidR="001C1F1D" w:rsidRPr="00252CDE">
        <w:rPr>
          <w:rFonts w:ascii="Calibri" w:hAnsi="Calibri" w:cs="Calibri"/>
          <w:i/>
          <w:iCs/>
          <w:color w:val="0D0D0D" w:themeColor="text1" w:themeTint="F2"/>
        </w:rPr>
        <w:t>.</w:t>
      </w:r>
      <w:r w:rsidR="005259AF" w:rsidRPr="00252CDE">
        <w:rPr>
          <w:rFonts w:ascii="Calibri" w:hAnsi="Calibri" w:cs="Calibri"/>
          <w:i/>
          <w:iCs/>
          <w:color w:val="0D0D0D" w:themeColor="text1" w:themeTint="F2"/>
        </w:rPr>
        <w:t xml:space="preserve">, </w:t>
      </w:r>
      <w:r w:rsidR="005259AF" w:rsidRPr="00252CDE">
        <w:rPr>
          <w:rFonts w:ascii="Calibri" w:hAnsi="Calibri" w:cs="Calibri"/>
          <w:color w:val="0D0D0D" w:themeColor="text1" w:themeTint="F2"/>
        </w:rPr>
        <w:t>2025</w:t>
      </w:r>
      <w:r w:rsidR="00197050" w:rsidRPr="00252CDE">
        <w:rPr>
          <w:rFonts w:ascii="Calibri" w:hAnsi="Calibri" w:cs="Calibri"/>
          <w:color w:val="0D0D0D" w:themeColor="text1" w:themeTint="F2"/>
        </w:rPr>
        <w:t xml:space="preserve">). </w:t>
      </w:r>
      <w:r w:rsidR="004C0287" w:rsidRPr="00252CDE">
        <w:rPr>
          <w:rFonts w:ascii="Calibri" w:hAnsi="Calibri" w:cs="Calibri"/>
          <w:color w:val="0D0D0D" w:themeColor="text1" w:themeTint="F2"/>
        </w:rPr>
        <w:t xml:space="preserve"> </w:t>
      </w:r>
      <w:r w:rsidR="00197050" w:rsidRPr="00252CDE">
        <w:rPr>
          <w:rFonts w:ascii="Calibri" w:hAnsi="Calibri" w:cs="Calibri"/>
          <w:color w:val="0D0D0D" w:themeColor="text1" w:themeTint="F2"/>
        </w:rPr>
        <w:t xml:space="preserve">This perception may have made it more 'acceptable' for men to occupy these roles compared to the more 'feminine' image associated with general medical and surgical nursing, which was </w:t>
      </w:r>
      <w:r w:rsidR="00197050" w:rsidRPr="00252CDE">
        <w:rPr>
          <w:rFonts w:ascii="Calibri" w:hAnsi="Calibri" w:cs="Calibri"/>
          <w:color w:val="0D0D0D" w:themeColor="text1" w:themeTint="F2"/>
        </w:rPr>
        <w:lastRenderedPageBreak/>
        <w:t xml:space="preserve">increasingly framed around nurturing and delicate care, as per Nightingale's views (Cude </w:t>
      </w:r>
      <w:r w:rsidR="00DE6D87" w:rsidRPr="00252CDE">
        <w:rPr>
          <w:rFonts w:ascii="Calibri" w:hAnsi="Calibri" w:cs="Calibri"/>
          <w:color w:val="0D0D0D" w:themeColor="text1" w:themeTint="F2"/>
        </w:rPr>
        <w:t>and</w:t>
      </w:r>
      <w:r w:rsidR="00197050" w:rsidRPr="00252CDE">
        <w:rPr>
          <w:rFonts w:ascii="Calibri" w:hAnsi="Calibri" w:cs="Calibri"/>
          <w:color w:val="0D0D0D" w:themeColor="text1" w:themeTint="F2"/>
        </w:rPr>
        <w:t xml:space="preserve"> Winfrey, 2007).</w:t>
      </w:r>
    </w:p>
    <w:p w14:paraId="3C2D15DC" w14:textId="25372CC6" w:rsidR="00F25936" w:rsidRPr="00F25936" w:rsidRDefault="00EE5C04" w:rsidP="00F25936">
      <w:pPr>
        <w:spacing w:line="360" w:lineRule="auto"/>
        <w:rPr>
          <w:rFonts w:ascii="Calibri" w:hAnsi="Calibri" w:cs="Calibri"/>
          <w:color w:val="0D0D0D" w:themeColor="text1" w:themeTint="F2"/>
        </w:rPr>
      </w:pPr>
      <w:r w:rsidRPr="00252CDE">
        <w:rPr>
          <w:rFonts w:ascii="Calibri" w:hAnsi="Calibri" w:cs="Calibri"/>
          <w:color w:val="0D0D0D" w:themeColor="text1" w:themeTint="F2"/>
        </w:rPr>
        <w:t>Recent s</w:t>
      </w:r>
      <w:r w:rsidR="002044DA" w:rsidRPr="00252CDE">
        <w:rPr>
          <w:rFonts w:ascii="Calibri" w:hAnsi="Calibri" w:cs="Calibri"/>
          <w:color w:val="0D0D0D" w:themeColor="text1" w:themeTint="F2"/>
        </w:rPr>
        <w:t xml:space="preserve">tudies </w:t>
      </w:r>
      <w:r w:rsidRPr="00252CDE">
        <w:rPr>
          <w:rFonts w:ascii="Calibri" w:hAnsi="Calibri" w:cs="Calibri"/>
          <w:color w:val="0D0D0D" w:themeColor="text1" w:themeTint="F2"/>
        </w:rPr>
        <w:t xml:space="preserve">also </w:t>
      </w:r>
      <w:r w:rsidR="002044DA" w:rsidRPr="00252CDE">
        <w:rPr>
          <w:rFonts w:ascii="Calibri" w:hAnsi="Calibri" w:cs="Calibri"/>
          <w:color w:val="0D0D0D" w:themeColor="text1" w:themeTint="F2"/>
        </w:rPr>
        <w:t>suggest that mental health nursing is still sometimes viewed as more amenable to men compared to other areas</w:t>
      </w:r>
      <w:r w:rsidR="00992497" w:rsidRPr="00252CDE">
        <w:rPr>
          <w:rFonts w:ascii="Calibri" w:hAnsi="Calibri" w:cs="Calibri"/>
          <w:color w:val="0D0D0D" w:themeColor="text1" w:themeTint="F2"/>
        </w:rPr>
        <w:t xml:space="preserve">.  </w:t>
      </w:r>
      <w:r w:rsidR="00F25936" w:rsidRPr="00F25936">
        <w:rPr>
          <w:rFonts w:ascii="Calibri" w:hAnsi="Calibri" w:cs="Calibri"/>
          <w:color w:val="0D0D0D" w:themeColor="text1" w:themeTint="F2"/>
        </w:rPr>
        <w:t xml:space="preserve">For example, a </w:t>
      </w:r>
      <w:r w:rsidR="00D02F5E" w:rsidRPr="00252CDE">
        <w:rPr>
          <w:rFonts w:ascii="Calibri" w:hAnsi="Calibri" w:cs="Calibri"/>
          <w:color w:val="0D0D0D" w:themeColor="text1" w:themeTint="F2"/>
        </w:rPr>
        <w:t xml:space="preserve">recent </w:t>
      </w:r>
      <w:r w:rsidR="005423A8" w:rsidRPr="00252CDE">
        <w:rPr>
          <w:rFonts w:ascii="Calibri" w:hAnsi="Calibri" w:cs="Calibri"/>
          <w:color w:val="0D0D0D" w:themeColor="text1" w:themeTint="F2"/>
        </w:rPr>
        <w:t xml:space="preserve">cross sectional survey </w:t>
      </w:r>
      <w:r w:rsidR="00F25936" w:rsidRPr="00F25936">
        <w:rPr>
          <w:rFonts w:ascii="Calibri" w:hAnsi="Calibri" w:cs="Calibri"/>
          <w:color w:val="0D0D0D" w:themeColor="text1" w:themeTint="F2"/>
        </w:rPr>
        <w:t>study by</w:t>
      </w:r>
      <w:r w:rsidR="00D02F5E" w:rsidRPr="00252CDE">
        <w:rPr>
          <w:rFonts w:ascii="Calibri" w:hAnsi="Calibri" w:cs="Calibri"/>
          <w:color w:val="0D0D0D" w:themeColor="text1" w:themeTint="F2"/>
        </w:rPr>
        <w:t xml:space="preserve"> Carter </w:t>
      </w:r>
      <w:r w:rsidR="00D02F5E" w:rsidRPr="00252CDE">
        <w:rPr>
          <w:rFonts w:ascii="Calibri" w:hAnsi="Calibri" w:cs="Calibri"/>
          <w:i/>
          <w:iCs/>
          <w:color w:val="0D0D0D" w:themeColor="text1" w:themeTint="F2"/>
        </w:rPr>
        <w:t>et al</w:t>
      </w:r>
      <w:r w:rsidR="00D02F5E" w:rsidRPr="00252CDE">
        <w:rPr>
          <w:rFonts w:ascii="Calibri" w:hAnsi="Calibri" w:cs="Calibri"/>
          <w:color w:val="0D0D0D" w:themeColor="text1" w:themeTint="F2"/>
        </w:rPr>
        <w:t>. (2025)</w:t>
      </w:r>
      <w:r w:rsidR="00F25936" w:rsidRPr="00F25936">
        <w:rPr>
          <w:rFonts w:ascii="Calibri" w:hAnsi="Calibri" w:cs="Calibri"/>
          <w:color w:val="0D0D0D" w:themeColor="text1" w:themeTint="F2"/>
        </w:rPr>
        <w:t xml:space="preserve"> </w:t>
      </w:r>
      <w:r w:rsidR="005423A8" w:rsidRPr="00252CDE">
        <w:rPr>
          <w:rFonts w:ascii="Calibri" w:hAnsi="Calibri" w:cs="Calibri"/>
          <w:color w:val="0D0D0D" w:themeColor="text1" w:themeTint="F2"/>
        </w:rPr>
        <w:t xml:space="preserve">on </w:t>
      </w:r>
      <w:r w:rsidR="009F29D8" w:rsidRPr="00252CDE">
        <w:rPr>
          <w:rFonts w:ascii="Calibri" w:hAnsi="Calibri" w:cs="Calibri"/>
          <w:color w:val="0D0D0D" w:themeColor="text1" w:themeTint="F2"/>
        </w:rPr>
        <w:t>the perceptions of male accessibility to the fields of nursing practice</w:t>
      </w:r>
      <w:r w:rsidR="00F25936" w:rsidRPr="00F25936">
        <w:rPr>
          <w:rFonts w:ascii="Calibri" w:hAnsi="Calibri" w:cs="Calibri"/>
          <w:color w:val="0D0D0D" w:themeColor="text1" w:themeTint="F2"/>
        </w:rPr>
        <w:t xml:space="preserve"> found that mental health nursing w</w:t>
      </w:r>
      <w:r w:rsidR="008B4717" w:rsidRPr="00252CDE">
        <w:rPr>
          <w:rFonts w:ascii="Calibri" w:hAnsi="Calibri" w:cs="Calibri"/>
          <w:color w:val="0D0D0D" w:themeColor="text1" w:themeTint="F2"/>
        </w:rPr>
        <w:t xml:space="preserve">as </w:t>
      </w:r>
      <w:r w:rsidR="00031EBC" w:rsidRPr="00252CDE">
        <w:rPr>
          <w:rFonts w:ascii="Calibri" w:hAnsi="Calibri" w:cs="Calibri"/>
          <w:color w:val="0D0D0D" w:themeColor="text1" w:themeTint="F2"/>
        </w:rPr>
        <w:t xml:space="preserve">considered </w:t>
      </w:r>
      <w:r w:rsidR="00F25936" w:rsidRPr="00F25936">
        <w:rPr>
          <w:rFonts w:ascii="Calibri" w:hAnsi="Calibri" w:cs="Calibri"/>
          <w:color w:val="0D0D0D" w:themeColor="text1" w:themeTint="F2"/>
        </w:rPr>
        <w:t xml:space="preserve">the most accessible field of nursing practice to men, while child nursing was seen as the least accessible. </w:t>
      </w:r>
      <w:r w:rsidR="008B4717" w:rsidRPr="00252CDE">
        <w:rPr>
          <w:rFonts w:ascii="Calibri" w:hAnsi="Calibri" w:cs="Calibri"/>
          <w:color w:val="0D0D0D" w:themeColor="text1" w:themeTint="F2"/>
        </w:rPr>
        <w:t xml:space="preserve"> </w:t>
      </w:r>
      <w:r w:rsidR="00F25936" w:rsidRPr="00F25936">
        <w:rPr>
          <w:rFonts w:ascii="Calibri" w:hAnsi="Calibri" w:cs="Calibri"/>
          <w:color w:val="0D0D0D" w:themeColor="text1" w:themeTint="F2"/>
        </w:rPr>
        <w:t>The reasons cited</w:t>
      </w:r>
      <w:r w:rsidR="007E56B2" w:rsidRPr="00252CDE">
        <w:rPr>
          <w:rFonts w:ascii="Calibri" w:hAnsi="Calibri" w:cs="Calibri"/>
          <w:color w:val="0D0D0D" w:themeColor="text1" w:themeTint="F2"/>
        </w:rPr>
        <w:t>,</w:t>
      </w:r>
      <w:r w:rsidR="00F25936" w:rsidRPr="00F25936">
        <w:rPr>
          <w:rFonts w:ascii="Calibri" w:hAnsi="Calibri" w:cs="Calibri"/>
          <w:color w:val="0D0D0D" w:themeColor="text1" w:themeTint="F2"/>
        </w:rPr>
        <w:t xml:space="preserve"> </w:t>
      </w:r>
      <w:r w:rsidR="00FF6F1D" w:rsidRPr="00F25936">
        <w:rPr>
          <w:rFonts w:ascii="Calibri" w:hAnsi="Calibri" w:cs="Calibri"/>
          <w:color w:val="0D0D0D" w:themeColor="text1" w:themeTint="F2"/>
        </w:rPr>
        <w:t xml:space="preserve">by </w:t>
      </w:r>
      <w:r w:rsidR="00FF6F1D" w:rsidRPr="00252CDE">
        <w:rPr>
          <w:rFonts w:ascii="Calibri" w:hAnsi="Calibri" w:cs="Calibri"/>
          <w:color w:val="0D0D0D" w:themeColor="text1" w:themeTint="F2"/>
        </w:rPr>
        <w:t xml:space="preserve">those studying or teaching nursing </w:t>
      </w:r>
      <w:r w:rsidR="00FF6F1D" w:rsidRPr="00F25936">
        <w:rPr>
          <w:rFonts w:ascii="Calibri" w:hAnsi="Calibri" w:cs="Calibri"/>
          <w:color w:val="0D0D0D" w:themeColor="text1" w:themeTint="F2"/>
        </w:rPr>
        <w:t>in England</w:t>
      </w:r>
      <w:r w:rsidR="00DB4660" w:rsidRPr="00252CDE">
        <w:rPr>
          <w:rFonts w:ascii="Calibri" w:hAnsi="Calibri" w:cs="Calibri"/>
          <w:color w:val="0D0D0D" w:themeColor="text1" w:themeTint="F2"/>
        </w:rPr>
        <w:t xml:space="preserve"> via the online questionnaire,</w:t>
      </w:r>
      <w:r w:rsidR="00FF6F1D" w:rsidRPr="00252CDE">
        <w:rPr>
          <w:rFonts w:ascii="Calibri" w:hAnsi="Calibri" w:cs="Calibri"/>
          <w:color w:val="0D0D0D" w:themeColor="text1" w:themeTint="F2"/>
        </w:rPr>
        <w:t xml:space="preserve"> </w:t>
      </w:r>
      <w:r w:rsidR="00F25936" w:rsidRPr="00F25936">
        <w:rPr>
          <w:rFonts w:ascii="Calibri" w:hAnsi="Calibri" w:cs="Calibri"/>
          <w:color w:val="0D0D0D" w:themeColor="text1" w:themeTint="F2"/>
        </w:rPr>
        <w:t>included societal stereotyping and stigma, particularly a distrust of men in child nursing.</w:t>
      </w:r>
    </w:p>
    <w:p w14:paraId="7C39C34F" w14:textId="2C2E5C21" w:rsidR="00F25936" w:rsidRPr="00F25936" w:rsidRDefault="00367251" w:rsidP="00F25936">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Supported by the </w:t>
      </w:r>
      <w:r w:rsidR="00F25936" w:rsidRPr="00F25936">
        <w:rPr>
          <w:rFonts w:ascii="Calibri" w:hAnsi="Calibri" w:cs="Calibri"/>
          <w:color w:val="0D0D0D" w:themeColor="text1" w:themeTint="F2"/>
        </w:rPr>
        <w:t>historical context</w:t>
      </w:r>
      <w:r w:rsidRPr="00252CDE">
        <w:rPr>
          <w:rFonts w:ascii="Calibri" w:hAnsi="Calibri" w:cs="Calibri"/>
          <w:color w:val="0D0D0D" w:themeColor="text1" w:themeTint="F2"/>
        </w:rPr>
        <w:t>, the</w:t>
      </w:r>
      <w:r w:rsidR="00F25936" w:rsidRPr="00F25936">
        <w:rPr>
          <w:rFonts w:ascii="Calibri" w:hAnsi="Calibri" w:cs="Calibri"/>
          <w:color w:val="0D0D0D" w:themeColor="text1" w:themeTint="F2"/>
        </w:rPr>
        <w:t xml:space="preserve"> association might have contributed to a lingering perception that mental health nursing is a field where men are more readily accepted or perhaps even expected due to stereotypes around managing aggression or providing a more 'firm' presence (</w:t>
      </w:r>
      <w:r w:rsidR="00BC56B9" w:rsidRPr="00252CDE">
        <w:rPr>
          <w:rFonts w:ascii="Calibri" w:hAnsi="Calibri" w:cs="Calibri"/>
          <w:color w:val="0D0D0D" w:themeColor="text1" w:themeTint="F2"/>
        </w:rPr>
        <w:t xml:space="preserve">Teresa-Morales </w:t>
      </w:r>
      <w:r w:rsidR="00BC56B9" w:rsidRPr="00252CDE">
        <w:rPr>
          <w:rFonts w:ascii="Calibri" w:hAnsi="Calibri" w:cs="Calibri"/>
          <w:i/>
          <w:iCs/>
          <w:color w:val="0D0D0D" w:themeColor="text1" w:themeTint="F2"/>
        </w:rPr>
        <w:t>et al</w:t>
      </w:r>
      <w:r w:rsidR="00BC56B9" w:rsidRPr="00252CDE">
        <w:rPr>
          <w:rFonts w:ascii="Calibri" w:hAnsi="Calibri" w:cs="Calibri"/>
          <w:color w:val="0D0D0D" w:themeColor="text1" w:themeTint="F2"/>
        </w:rPr>
        <w:t>., 2022)</w:t>
      </w:r>
      <w:r w:rsidR="00F25936" w:rsidRPr="00F25936">
        <w:rPr>
          <w:rFonts w:ascii="Calibri" w:hAnsi="Calibri" w:cs="Calibri"/>
          <w:color w:val="0D0D0D" w:themeColor="text1" w:themeTint="F2"/>
        </w:rPr>
        <w:t>.</w:t>
      </w:r>
      <w:r w:rsidR="00441599" w:rsidRPr="00252CDE">
        <w:rPr>
          <w:rFonts w:ascii="Calibri" w:hAnsi="Calibri" w:cs="Calibri"/>
          <w:color w:val="0D0D0D" w:themeColor="text1" w:themeTint="F2"/>
        </w:rPr>
        <w:t xml:space="preserve">  </w:t>
      </w:r>
      <w:r w:rsidR="006B032F" w:rsidRPr="00252CDE">
        <w:rPr>
          <w:rFonts w:ascii="Calibri" w:hAnsi="Calibri" w:cs="Calibri"/>
          <w:color w:val="0D0D0D" w:themeColor="text1" w:themeTint="F2"/>
        </w:rPr>
        <w:t>L</w:t>
      </w:r>
      <w:r w:rsidR="00F25936" w:rsidRPr="00F25936">
        <w:rPr>
          <w:rFonts w:ascii="Calibri" w:hAnsi="Calibri" w:cs="Calibri"/>
          <w:color w:val="0D0D0D" w:themeColor="text1" w:themeTint="F2"/>
        </w:rPr>
        <w:t>iterature</w:t>
      </w:r>
      <w:r w:rsidR="006B032F" w:rsidRPr="00252CDE">
        <w:rPr>
          <w:rFonts w:ascii="Calibri" w:hAnsi="Calibri" w:cs="Calibri"/>
          <w:color w:val="0D0D0D" w:themeColor="text1" w:themeTint="F2"/>
        </w:rPr>
        <w:t xml:space="preserve"> (Ghimire and Qui, 2025; </w:t>
      </w:r>
      <w:r w:rsidR="00EF47FA" w:rsidRPr="00252CDE">
        <w:rPr>
          <w:rFonts w:ascii="Calibri" w:hAnsi="Calibri" w:cs="Calibri"/>
          <w:color w:val="0D0D0D" w:themeColor="text1" w:themeTint="F2"/>
        </w:rPr>
        <w:t>Woo, Goh and Zhou, 2022;</w:t>
      </w:r>
      <w:r w:rsidR="00951FA5" w:rsidRPr="00252CDE">
        <w:rPr>
          <w:rFonts w:ascii="Calibri" w:hAnsi="Calibri" w:cs="Calibri"/>
          <w:color w:val="0D0D0D" w:themeColor="text1" w:themeTint="F2"/>
        </w:rPr>
        <w:t xml:space="preserve"> Vere-Jones, 2008</w:t>
      </w:r>
      <w:r w:rsidR="000E490E" w:rsidRPr="00252CDE">
        <w:rPr>
          <w:rFonts w:ascii="Calibri" w:hAnsi="Calibri" w:cs="Calibri"/>
          <w:color w:val="0D0D0D" w:themeColor="text1" w:themeTint="F2"/>
        </w:rPr>
        <w:t>)</w:t>
      </w:r>
      <w:r w:rsidR="00F25936" w:rsidRPr="00F25936">
        <w:rPr>
          <w:rFonts w:ascii="Calibri" w:hAnsi="Calibri" w:cs="Calibri"/>
          <w:color w:val="0D0D0D" w:themeColor="text1" w:themeTint="F2"/>
        </w:rPr>
        <w:t xml:space="preserve"> also suggests that male nurses might gravitate towards or be encouraged into specialties like mental health, emergency care, or intensive care</w:t>
      </w:r>
      <w:r w:rsidR="000E490E" w:rsidRPr="00252CDE">
        <w:rPr>
          <w:rFonts w:ascii="Calibri" w:hAnsi="Calibri" w:cs="Calibri"/>
          <w:color w:val="0D0D0D" w:themeColor="text1" w:themeTint="F2"/>
        </w:rPr>
        <w:t>;</w:t>
      </w:r>
      <w:r w:rsidR="00F25936" w:rsidRPr="00F25936">
        <w:rPr>
          <w:rFonts w:ascii="Calibri" w:hAnsi="Calibri" w:cs="Calibri"/>
          <w:color w:val="0D0D0D" w:themeColor="text1" w:themeTint="F2"/>
        </w:rPr>
        <w:t xml:space="preserve"> sometimes based on stereotypical assumptions about men being better suited to high-pressure or physically demanding environments (Meadus </w:t>
      </w:r>
      <w:r w:rsidR="00DE6D87" w:rsidRPr="00252CDE">
        <w:rPr>
          <w:rFonts w:ascii="Calibri" w:hAnsi="Calibri" w:cs="Calibri"/>
          <w:color w:val="0D0D0D" w:themeColor="text1" w:themeTint="F2"/>
        </w:rPr>
        <w:t>and</w:t>
      </w:r>
      <w:r w:rsidR="00F25936" w:rsidRPr="00F25936">
        <w:rPr>
          <w:rFonts w:ascii="Calibri" w:hAnsi="Calibri" w:cs="Calibri"/>
          <w:color w:val="0D0D0D" w:themeColor="text1" w:themeTint="F2"/>
        </w:rPr>
        <w:t xml:space="preserve"> Twomey, 2011</w:t>
      </w:r>
      <w:r w:rsidR="000E490E" w:rsidRPr="00252CDE">
        <w:rPr>
          <w:rFonts w:ascii="Calibri" w:hAnsi="Calibri" w:cs="Calibri"/>
          <w:color w:val="0D0D0D" w:themeColor="text1" w:themeTint="F2"/>
        </w:rPr>
        <w:t xml:space="preserve">; </w:t>
      </w:r>
      <w:r w:rsidR="00951FA5" w:rsidRPr="00252CDE">
        <w:rPr>
          <w:rFonts w:ascii="Calibri" w:hAnsi="Calibri" w:cs="Calibri"/>
          <w:color w:val="0D0D0D" w:themeColor="text1" w:themeTint="F2"/>
        </w:rPr>
        <w:t>Romem and Rozani, 2024</w:t>
      </w:r>
      <w:r w:rsidR="00F25936" w:rsidRPr="00F25936">
        <w:rPr>
          <w:rFonts w:ascii="Calibri" w:hAnsi="Calibri" w:cs="Calibri"/>
          <w:color w:val="0D0D0D" w:themeColor="text1" w:themeTint="F2"/>
        </w:rPr>
        <w:t>).</w:t>
      </w:r>
    </w:p>
    <w:p w14:paraId="40EF008F" w14:textId="1F3AEDD1" w:rsidR="00D82E86" w:rsidRPr="00252CDE" w:rsidRDefault="00D82E86"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The reshaping of nursing commenced in the mid-19th century with the increasing employment of women, although at the time, the prevailing view was that these women were unsuitable for other forms of employment. </w:t>
      </w:r>
      <w:r w:rsidR="00604C7B" w:rsidRPr="00252CDE">
        <w:rPr>
          <w:rFonts w:ascii="Calibri" w:hAnsi="Calibri" w:cs="Calibri"/>
          <w:color w:val="0D0D0D" w:themeColor="text1" w:themeTint="F2"/>
        </w:rPr>
        <w:t xml:space="preserve"> I</w:t>
      </w:r>
      <w:r w:rsidRPr="00252CDE">
        <w:rPr>
          <w:rFonts w:ascii="Calibri" w:hAnsi="Calibri" w:cs="Calibri"/>
          <w:color w:val="0D0D0D" w:themeColor="text1" w:themeTint="F2"/>
        </w:rPr>
        <w:t xml:space="preserve">n 1848, </w:t>
      </w:r>
      <w:r w:rsidRPr="00252CDE">
        <w:rPr>
          <w:rFonts w:ascii="Calibri" w:hAnsi="Calibri" w:cs="Calibri"/>
          <w:i/>
          <w:iCs/>
          <w:color w:val="0D0D0D" w:themeColor="text1" w:themeTint="F2"/>
        </w:rPr>
        <w:t>Fraser's Magazine</w:t>
      </w:r>
      <w:r w:rsidRPr="00252CDE">
        <w:rPr>
          <w:rFonts w:ascii="Calibri" w:hAnsi="Calibri" w:cs="Calibri"/>
          <w:color w:val="0D0D0D" w:themeColor="text1" w:themeTint="F2"/>
        </w:rPr>
        <w:t xml:space="preserve"> famously commented on the perceived shortcomings of contemporary hospital nurses, stating they did not meet the ideal of "women of patience, gentleness and self-devotion" (Williams, 1978). </w:t>
      </w:r>
      <w:r w:rsidR="00604C7B" w:rsidRPr="00252CDE">
        <w:rPr>
          <w:rFonts w:ascii="Calibri" w:hAnsi="Calibri" w:cs="Calibri"/>
          <w:color w:val="0D0D0D" w:themeColor="text1" w:themeTint="F2"/>
        </w:rPr>
        <w:t xml:space="preserve"> </w:t>
      </w:r>
      <w:r w:rsidRPr="00252CDE">
        <w:rPr>
          <w:rFonts w:ascii="Calibri" w:hAnsi="Calibri" w:cs="Calibri"/>
          <w:color w:val="0D0D0D" w:themeColor="text1" w:themeTint="F2"/>
        </w:rPr>
        <w:t>Subsequently, the 20th century saw nursing schools implement strict 'female only' policies (</w:t>
      </w:r>
      <w:r w:rsidR="007F1F28" w:rsidRPr="00252CDE">
        <w:rPr>
          <w:rFonts w:ascii="Calibri" w:hAnsi="Calibri" w:cs="Calibri"/>
          <w:color w:val="0D0D0D" w:themeColor="text1" w:themeTint="F2"/>
        </w:rPr>
        <w:t>Hardy, 1986; Mellish, 1984</w:t>
      </w:r>
      <w:r w:rsidRPr="00252CDE">
        <w:rPr>
          <w:rFonts w:ascii="Calibri" w:hAnsi="Calibri" w:cs="Calibri"/>
          <w:color w:val="0D0D0D" w:themeColor="text1" w:themeTint="F2"/>
        </w:rPr>
        <w:t xml:space="preserve">), </w:t>
      </w:r>
      <w:r w:rsidR="00560BBC" w:rsidRPr="00252CDE">
        <w:rPr>
          <w:rFonts w:ascii="Calibri" w:hAnsi="Calibri" w:cs="Calibri"/>
          <w:color w:val="0D0D0D" w:themeColor="text1" w:themeTint="F2"/>
        </w:rPr>
        <w:t>introducing</w:t>
      </w:r>
      <w:r w:rsidRPr="00252CDE">
        <w:rPr>
          <w:rFonts w:ascii="Calibri" w:hAnsi="Calibri" w:cs="Calibri"/>
          <w:color w:val="0D0D0D" w:themeColor="text1" w:themeTint="F2"/>
        </w:rPr>
        <w:t xml:space="preserve"> a new </w:t>
      </w:r>
      <w:r w:rsidR="00560BBC" w:rsidRPr="00252CDE">
        <w:rPr>
          <w:rFonts w:ascii="Calibri" w:hAnsi="Calibri" w:cs="Calibri"/>
          <w:color w:val="0D0D0D" w:themeColor="text1" w:themeTint="F2"/>
        </w:rPr>
        <w:t>chapter</w:t>
      </w:r>
      <w:r w:rsidRPr="00252CDE">
        <w:rPr>
          <w:rFonts w:ascii="Calibri" w:hAnsi="Calibri" w:cs="Calibri"/>
          <w:color w:val="0D0D0D" w:themeColor="text1" w:themeTint="F2"/>
        </w:rPr>
        <w:t xml:space="preserve"> for the profession. </w:t>
      </w:r>
      <w:r w:rsidR="00560BBC" w:rsidRPr="00252CDE">
        <w:rPr>
          <w:rFonts w:ascii="Calibri" w:hAnsi="Calibri" w:cs="Calibri"/>
          <w:color w:val="0D0D0D" w:themeColor="text1" w:themeTint="F2"/>
        </w:rPr>
        <w:t xml:space="preserve"> </w:t>
      </w:r>
      <w:r w:rsidRPr="00252CDE">
        <w:rPr>
          <w:rFonts w:ascii="Calibri" w:hAnsi="Calibri" w:cs="Calibri"/>
          <w:color w:val="0D0D0D" w:themeColor="text1" w:themeTint="F2"/>
        </w:rPr>
        <w:t>Consequently, nursing organisations became predominantly governed by women, and men increasingly sought employment in other fields.</w:t>
      </w:r>
      <w:r w:rsidR="00B57C28" w:rsidRPr="00252CDE">
        <w:rPr>
          <w:rFonts w:ascii="Calibri" w:hAnsi="Calibri" w:cs="Calibri"/>
          <w:color w:val="0D0D0D" w:themeColor="text1" w:themeTint="F2"/>
        </w:rPr>
        <w:t xml:space="preserve">  </w:t>
      </w:r>
      <w:r w:rsidR="0012763D" w:rsidRPr="00252CDE">
        <w:rPr>
          <w:rFonts w:ascii="Calibri" w:hAnsi="Calibri" w:cs="Calibri"/>
          <w:color w:val="0D0D0D" w:themeColor="text1" w:themeTint="F2"/>
        </w:rPr>
        <w:t xml:space="preserve">Legislative changes </w:t>
      </w:r>
      <w:r w:rsidR="00B57C28" w:rsidRPr="00252CDE">
        <w:rPr>
          <w:rFonts w:ascii="Calibri" w:hAnsi="Calibri" w:cs="Calibri"/>
          <w:color w:val="0D0D0D" w:themeColor="text1" w:themeTint="F2"/>
        </w:rPr>
        <w:t>ensued;</w:t>
      </w:r>
      <w:r w:rsidR="0012763D" w:rsidRPr="00252CDE">
        <w:rPr>
          <w:rFonts w:ascii="Calibri" w:hAnsi="Calibri" w:cs="Calibri"/>
          <w:color w:val="0D0D0D" w:themeColor="text1" w:themeTint="F2"/>
        </w:rPr>
        <w:t xml:space="preserve"> the prohibition of American men from </w:t>
      </w:r>
      <w:r w:rsidR="008848AC" w:rsidRPr="00252CDE">
        <w:rPr>
          <w:rFonts w:ascii="Calibri" w:hAnsi="Calibri" w:cs="Calibri"/>
          <w:color w:val="0D0D0D" w:themeColor="text1" w:themeTint="F2"/>
        </w:rPr>
        <w:t>enlisting in the US Army Nursing Corps</w:t>
      </w:r>
      <w:r w:rsidR="00735CDC" w:rsidRPr="00252CDE">
        <w:rPr>
          <w:rFonts w:ascii="Calibri" w:hAnsi="Calibri" w:cs="Calibri"/>
          <w:color w:val="0D0D0D" w:themeColor="text1" w:themeTint="F2"/>
        </w:rPr>
        <w:t>,</w:t>
      </w:r>
      <w:r w:rsidR="00DE2229" w:rsidRPr="00252CDE">
        <w:rPr>
          <w:rFonts w:ascii="Calibri" w:hAnsi="Calibri" w:cs="Calibri"/>
          <w:color w:val="0D0D0D" w:themeColor="text1" w:themeTint="F2"/>
        </w:rPr>
        <w:t xml:space="preserve"> </w:t>
      </w:r>
      <w:r w:rsidR="00735CDC" w:rsidRPr="00252CDE">
        <w:rPr>
          <w:rFonts w:ascii="Calibri" w:hAnsi="Calibri" w:cs="Calibri"/>
          <w:color w:val="0D0D0D" w:themeColor="text1" w:themeTint="F2"/>
        </w:rPr>
        <w:t xml:space="preserve">during 1914 to 1918, </w:t>
      </w:r>
      <w:r w:rsidR="00DE2229" w:rsidRPr="00252CDE">
        <w:rPr>
          <w:rFonts w:ascii="Calibri" w:hAnsi="Calibri" w:cs="Calibri"/>
          <w:color w:val="0D0D0D" w:themeColor="text1" w:themeTint="F2"/>
        </w:rPr>
        <w:t>coincid</w:t>
      </w:r>
      <w:r w:rsidR="00735CDC" w:rsidRPr="00252CDE">
        <w:rPr>
          <w:rFonts w:ascii="Calibri" w:hAnsi="Calibri" w:cs="Calibri"/>
          <w:color w:val="0D0D0D" w:themeColor="text1" w:themeTint="F2"/>
        </w:rPr>
        <w:t>ing</w:t>
      </w:r>
      <w:r w:rsidR="00DE2229" w:rsidRPr="00252CDE">
        <w:rPr>
          <w:rFonts w:ascii="Calibri" w:hAnsi="Calibri" w:cs="Calibri"/>
          <w:color w:val="0D0D0D" w:themeColor="text1" w:themeTint="F2"/>
        </w:rPr>
        <w:t xml:space="preserve"> with the Nurse</w:t>
      </w:r>
      <w:r w:rsidR="004D5727" w:rsidRPr="00252CDE">
        <w:rPr>
          <w:rFonts w:ascii="Calibri" w:hAnsi="Calibri" w:cs="Calibri"/>
          <w:color w:val="0D0D0D" w:themeColor="text1" w:themeTint="F2"/>
        </w:rPr>
        <w:t xml:space="preserve"> Registration</w:t>
      </w:r>
      <w:r w:rsidR="00DE2229" w:rsidRPr="00252CDE">
        <w:rPr>
          <w:rFonts w:ascii="Calibri" w:hAnsi="Calibri" w:cs="Calibri"/>
          <w:color w:val="0D0D0D" w:themeColor="text1" w:themeTint="F2"/>
        </w:rPr>
        <w:t xml:space="preserve"> Act </w:t>
      </w:r>
      <w:r w:rsidR="00454B32" w:rsidRPr="00252CDE">
        <w:rPr>
          <w:rFonts w:ascii="Calibri" w:hAnsi="Calibri" w:cs="Calibri"/>
          <w:color w:val="0D0D0D" w:themeColor="text1" w:themeTint="F2"/>
        </w:rPr>
        <w:t xml:space="preserve">(1919) </w:t>
      </w:r>
      <w:r w:rsidR="00DE2229" w:rsidRPr="00252CDE">
        <w:rPr>
          <w:rFonts w:ascii="Calibri" w:hAnsi="Calibri" w:cs="Calibri"/>
          <w:color w:val="0D0D0D" w:themeColor="text1" w:themeTint="F2"/>
        </w:rPr>
        <w:t xml:space="preserve">in </w:t>
      </w:r>
      <w:r w:rsidR="00124CF2" w:rsidRPr="00252CDE">
        <w:rPr>
          <w:rFonts w:ascii="Calibri" w:hAnsi="Calibri" w:cs="Calibri"/>
          <w:color w:val="0D0D0D" w:themeColor="text1" w:themeTint="F2"/>
        </w:rPr>
        <w:t>the UK</w:t>
      </w:r>
      <w:r w:rsidR="00183811" w:rsidRPr="00252CDE">
        <w:rPr>
          <w:rFonts w:ascii="Calibri" w:hAnsi="Calibri" w:cs="Calibri"/>
          <w:color w:val="0D0D0D" w:themeColor="text1" w:themeTint="F2"/>
        </w:rPr>
        <w:t xml:space="preserve">, which </w:t>
      </w:r>
      <w:r w:rsidR="00473182" w:rsidRPr="00252CDE">
        <w:rPr>
          <w:rFonts w:ascii="Calibri" w:hAnsi="Calibri" w:cs="Calibri"/>
          <w:color w:val="0D0D0D" w:themeColor="text1" w:themeTint="F2"/>
        </w:rPr>
        <w:t>exclud</w:t>
      </w:r>
      <w:r w:rsidR="00183811" w:rsidRPr="00252CDE">
        <w:rPr>
          <w:rFonts w:ascii="Calibri" w:hAnsi="Calibri" w:cs="Calibri"/>
          <w:color w:val="0D0D0D" w:themeColor="text1" w:themeTint="F2"/>
        </w:rPr>
        <w:t>ed</w:t>
      </w:r>
      <w:r w:rsidR="003C3037" w:rsidRPr="00252CDE">
        <w:rPr>
          <w:rFonts w:ascii="Calibri" w:hAnsi="Calibri" w:cs="Calibri"/>
          <w:color w:val="0D0D0D" w:themeColor="text1" w:themeTint="F2"/>
        </w:rPr>
        <w:t xml:space="preserve"> men from entering the general register</w:t>
      </w:r>
      <w:r w:rsidR="00CB19B1" w:rsidRPr="00252CDE">
        <w:rPr>
          <w:rFonts w:ascii="Calibri" w:hAnsi="Calibri" w:cs="Calibri"/>
          <w:color w:val="0D0D0D" w:themeColor="text1" w:themeTint="F2"/>
        </w:rPr>
        <w:t xml:space="preserve"> (</w:t>
      </w:r>
      <w:r w:rsidR="00127B56" w:rsidRPr="00252CDE">
        <w:rPr>
          <w:rFonts w:ascii="Calibri" w:hAnsi="Calibri" w:cs="Calibri"/>
          <w:color w:val="0D0D0D" w:themeColor="text1" w:themeTint="F2"/>
        </w:rPr>
        <w:t xml:space="preserve">The </w:t>
      </w:r>
      <w:r w:rsidR="00CB19B1" w:rsidRPr="00252CDE">
        <w:rPr>
          <w:rFonts w:ascii="Calibri" w:hAnsi="Calibri" w:cs="Calibri"/>
          <w:color w:val="0D0D0D" w:themeColor="text1" w:themeTint="F2"/>
        </w:rPr>
        <w:t>National Archives, 2025)</w:t>
      </w:r>
      <w:r w:rsidR="00473182" w:rsidRPr="00252CDE">
        <w:rPr>
          <w:rFonts w:ascii="Calibri" w:hAnsi="Calibri" w:cs="Calibri"/>
          <w:color w:val="0D0D0D" w:themeColor="text1" w:themeTint="F2"/>
        </w:rPr>
        <w:t>,</w:t>
      </w:r>
      <w:r w:rsidR="003C3037" w:rsidRPr="00252CDE">
        <w:rPr>
          <w:rFonts w:ascii="Calibri" w:hAnsi="Calibri" w:cs="Calibri"/>
          <w:color w:val="0D0D0D" w:themeColor="text1" w:themeTint="F2"/>
        </w:rPr>
        <w:t xml:space="preserve"> made it diffic</w:t>
      </w:r>
      <w:r w:rsidR="00473182" w:rsidRPr="00252CDE">
        <w:rPr>
          <w:rFonts w:ascii="Calibri" w:hAnsi="Calibri" w:cs="Calibri"/>
          <w:color w:val="0D0D0D" w:themeColor="text1" w:themeTint="F2"/>
        </w:rPr>
        <w:t>ult for males to access any formal nurse training</w:t>
      </w:r>
      <w:r w:rsidR="005C0477" w:rsidRPr="00252CDE">
        <w:rPr>
          <w:rFonts w:ascii="Calibri" w:hAnsi="Calibri" w:cs="Calibri"/>
          <w:color w:val="0D0D0D" w:themeColor="text1" w:themeTint="F2"/>
        </w:rPr>
        <w:t xml:space="preserve"> </w:t>
      </w:r>
      <w:r w:rsidR="00AD3AD8" w:rsidRPr="00252CDE">
        <w:rPr>
          <w:rFonts w:ascii="Calibri" w:hAnsi="Calibri" w:cs="Calibri"/>
          <w:color w:val="0D0D0D" w:themeColor="text1" w:themeTint="F2"/>
        </w:rPr>
        <w:t>(Sasa, 2019)</w:t>
      </w:r>
      <w:r w:rsidR="00473182" w:rsidRPr="00252CDE">
        <w:rPr>
          <w:rFonts w:ascii="Calibri" w:hAnsi="Calibri" w:cs="Calibri"/>
          <w:color w:val="0D0D0D" w:themeColor="text1" w:themeTint="F2"/>
        </w:rPr>
        <w:t>.</w:t>
      </w:r>
      <w:r w:rsidR="0076420F" w:rsidRPr="00252CDE">
        <w:rPr>
          <w:rFonts w:ascii="Calibri" w:hAnsi="Calibri" w:cs="Calibri"/>
          <w:color w:val="0D0D0D" w:themeColor="text1" w:themeTint="F2"/>
        </w:rPr>
        <w:t xml:space="preserve"> </w:t>
      </w:r>
      <w:r w:rsidR="00473182" w:rsidRPr="00252CDE">
        <w:rPr>
          <w:rFonts w:ascii="Calibri" w:hAnsi="Calibri" w:cs="Calibri"/>
          <w:color w:val="0D0D0D" w:themeColor="text1" w:themeTint="F2"/>
        </w:rPr>
        <w:t xml:space="preserve"> </w:t>
      </w:r>
      <w:r w:rsidRPr="00252CDE">
        <w:rPr>
          <w:rFonts w:ascii="Calibri" w:hAnsi="Calibri" w:cs="Calibri"/>
          <w:color w:val="0D0D0D" w:themeColor="text1" w:themeTint="F2"/>
        </w:rPr>
        <w:t>Scholarly works (Dingwall, 1977; Z</w:t>
      </w:r>
      <w:r w:rsidR="008F17A7" w:rsidRPr="00252CDE">
        <w:rPr>
          <w:rFonts w:ascii="Calibri" w:hAnsi="Calibri" w:cs="Calibri"/>
          <w:color w:val="0D0D0D" w:themeColor="text1" w:themeTint="F2"/>
        </w:rPr>
        <w:t>h</w:t>
      </w:r>
      <w:r w:rsidRPr="00252CDE">
        <w:rPr>
          <w:rFonts w:ascii="Calibri" w:hAnsi="Calibri" w:cs="Calibri"/>
          <w:color w:val="0D0D0D" w:themeColor="text1" w:themeTint="F2"/>
        </w:rPr>
        <w:t xml:space="preserve">yberg </w:t>
      </w:r>
      <w:r w:rsidR="008F17A7" w:rsidRPr="00252CDE">
        <w:rPr>
          <w:rFonts w:ascii="Calibri" w:hAnsi="Calibri" w:cs="Calibri"/>
          <w:color w:val="0D0D0D" w:themeColor="text1" w:themeTint="F2"/>
        </w:rPr>
        <w:t>and</w:t>
      </w:r>
      <w:r w:rsidRPr="00252CDE">
        <w:rPr>
          <w:rFonts w:ascii="Calibri" w:hAnsi="Calibri" w:cs="Calibri"/>
          <w:color w:val="0D0D0D" w:themeColor="text1" w:themeTint="F2"/>
        </w:rPr>
        <w:t xml:space="preserve"> </w:t>
      </w:r>
      <w:r w:rsidRPr="00252CDE">
        <w:rPr>
          <w:rFonts w:ascii="Calibri" w:hAnsi="Calibri" w:cs="Calibri"/>
          <w:color w:val="0D0D0D" w:themeColor="text1" w:themeTint="F2"/>
        </w:rPr>
        <w:lastRenderedPageBreak/>
        <w:t xml:space="preserve">Berry, 2005; Carnevale </w:t>
      </w:r>
      <w:r w:rsidR="008F17A7" w:rsidRPr="00252CDE">
        <w:rPr>
          <w:rFonts w:ascii="Calibri" w:hAnsi="Calibri" w:cs="Calibri"/>
          <w:color w:val="0D0D0D" w:themeColor="text1" w:themeTint="F2"/>
        </w:rPr>
        <w:t>and</w:t>
      </w:r>
      <w:r w:rsidRPr="00252CDE">
        <w:rPr>
          <w:rFonts w:ascii="Calibri" w:hAnsi="Calibri" w:cs="Calibri"/>
          <w:color w:val="0D0D0D" w:themeColor="text1" w:themeTint="F2"/>
        </w:rPr>
        <w:t xml:space="preserve"> Priode, 2018) suggest that as the role of the nurse evolved and became more stereotypically associated with femininity, the significant contributions men had made to the profession were gradually overlooked</w:t>
      </w:r>
      <w:r w:rsidR="000D0CEC" w:rsidRPr="00252CDE">
        <w:rPr>
          <w:rFonts w:ascii="Calibri" w:hAnsi="Calibri" w:cs="Calibri"/>
          <w:color w:val="0D0D0D" w:themeColor="text1" w:themeTint="F2"/>
        </w:rPr>
        <w:t>.</w:t>
      </w:r>
    </w:p>
    <w:p w14:paraId="348BFF14" w14:textId="065CF1EA" w:rsidR="00BD7687" w:rsidRPr="00252CDE" w:rsidRDefault="00F56ED4"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It can be interpreted</w:t>
      </w:r>
      <w:r w:rsidR="00D26271" w:rsidRPr="00252CDE">
        <w:rPr>
          <w:rFonts w:ascii="Calibri" w:hAnsi="Calibri" w:cs="Calibri"/>
          <w:color w:val="0D0D0D" w:themeColor="text1" w:themeTint="F2"/>
        </w:rPr>
        <w:t xml:space="preserve"> that t</w:t>
      </w:r>
      <w:r w:rsidR="00BD7687" w:rsidRPr="00252CDE">
        <w:rPr>
          <w:rFonts w:ascii="Calibri" w:hAnsi="Calibri" w:cs="Calibri"/>
          <w:color w:val="0D0D0D" w:themeColor="text1" w:themeTint="F2"/>
        </w:rPr>
        <w:t xml:space="preserve">he narrative of nursing's professionalisation in the 19th and 20th centuries, particularly with the rise of Florence Nightingale, often </w:t>
      </w:r>
      <w:r w:rsidR="00D26271" w:rsidRPr="00252CDE">
        <w:rPr>
          <w:rFonts w:ascii="Calibri" w:hAnsi="Calibri" w:cs="Calibri"/>
          <w:color w:val="0D0D0D" w:themeColor="text1" w:themeTint="F2"/>
        </w:rPr>
        <w:t>portrays</w:t>
      </w:r>
      <w:r w:rsidR="00BD7687" w:rsidRPr="00252CDE">
        <w:rPr>
          <w:rFonts w:ascii="Calibri" w:hAnsi="Calibri" w:cs="Calibri"/>
          <w:color w:val="0D0D0D" w:themeColor="text1" w:themeTint="F2"/>
        </w:rPr>
        <w:t xml:space="preserve"> a distinctly feminine ideal, </w:t>
      </w:r>
      <w:r w:rsidR="00D36BDE" w:rsidRPr="00252CDE">
        <w:rPr>
          <w:rFonts w:ascii="Calibri" w:hAnsi="Calibri" w:cs="Calibri"/>
          <w:color w:val="0D0D0D" w:themeColor="text1" w:themeTint="F2"/>
        </w:rPr>
        <w:t xml:space="preserve">which </w:t>
      </w:r>
      <w:r w:rsidR="002E43EF" w:rsidRPr="00252CDE">
        <w:rPr>
          <w:rFonts w:ascii="Calibri" w:hAnsi="Calibri" w:cs="Calibri"/>
          <w:color w:val="0D0D0D" w:themeColor="text1" w:themeTint="F2"/>
        </w:rPr>
        <w:t xml:space="preserve">Stanley </w:t>
      </w:r>
      <w:r w:rsidR="002E43EF" w:rsidRPr="00252CDE">
        <w:rPr>
          <w:rFonts w:ascii="Calibri" w:hAnsi="Calibri" w:cs="Calibri"/>
          <w:i/>
          <w:iCs/>
          <w:color w:val="0D0D0D" w:themeColor="text1" w:themeTint="F2"/>
        </w:rPr>
        <w:t>et al.,</w:t>
      </w:r>
      <w:r w:rsidR="002E43EF" w:rsidRPr="00252CDE">
        <w:rPr>
          <w:rFonts w:ascii="Calibri" w:hAnsi="Calibri" w:cs="Calibri"/>
          <w:color w:val="0D0D0D" w:themeColor="text1" w:themeTint="F2"/>
        </w:rPr>
        <w:t xml:space="preserve"> (2016) argue will contribute</w:t>
      </w:r>
      <w:r w:rsidR="00BD7687" w:rsidRPr="00252CDE">
        <w:rPr>
          <w:rFonts w:ascii="Calibri" w:hAnsi="Calibri" w:cs="Calibri"/>
          <w:color w:val="0D0D0D" w:themeColor="text1" w:themeTint="F2"/>
        </w:rPr>
        <w:t xml:space="preserve"> to the gradual marginalisation of men within the collective perception of the nurse</w:t>
      </w:r>
      <w:r w:rsidR="002E43EF" w:rsidRPr="00252CDE">
        <w:rPr>
          <w:rFonts w:ascii="Calibri" w:hAnsi="Calibri" w:cs="Calibri"/>
          <w:color w:val="0D0D0D" w:themeColor="text1" w:themeTint="F2"/>
        </w:rPr>
        <w:t>.</w:t>
      </w:r>
    </w:p>
    <w:p w14:paraId="24C407AB" w14:textId="68073B75" w:rsidR="00344699" w:rsidRPr="00252CDE" w:rsidRDefault="003D4B1A"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While some historical analyses acknowledge the presence of men, the dominant discourse frequently centres on the challenges women faced in establishing nursing as a legitimate profession</w:t>
      </w:r>
      <w:r w:rsidR="00E9687D" w:rsidRPr="00252CDE">
        <w:rPr>
          <w:rFonts w:ascii="Calibri" w:hAnsi="Calibri" w:cs="Calibri"/>
          <w:color w:val="0D0D0D" w:themeColor="text1" w:themeTint="F2"/>
        </w:rPr>
        <w:t xml:space="preserve"> (Evans, 20</w:t>
      </w:r>
      <w:r w:rsidR="004D0961" w:rsidRPr="00252CDE">
        <w:rPr>
          <w:rFonts w:ascii="Calibri" w:hAnsi="Calibri" w:cs="Calibri"/>
          <w:color w:val="0D0D0D" w:themeColor="text1" w:themeTint="F2"/>
        </w:rPr>
        <w:t>17</w:t>
      </w:r>
      <w:r w:rsidR="00E9687D" w:rsidRPr="00252CDE">
        <w:rPr>
          <w:rFonts w:ascii="Calibri" w:hAnsi="Calibri" w:cs="Calibri"/>
          <w:color w:val="0D0D0D" w:themeColor="text1" w:themeTint="F2"/>
        </w:rPr>
        <w:t>; Ross, 2017)</w:t>
      </w:r>
      <w:r w:rsidRPr="00252CDE">
        <w:rPr>
          <w:rFonts w:ascii="Calibri" w:hAnsi="Calibri" w:cs="Calibri"/>
          <w:color w:val="0D0D0D" w:themeColor="text1" w:themeTint="F2"/>
        </w:rPr>
        <w:t>, inadvertently obscuring the experiences and contributions of their male counterparts (</w:t>
      </w:r>
      <w:r w:rsidR="005D7B5E" w:rsidRPr="00252CDE">
        <w:rPr>
          <w:rFonts w:ascii="Calibri" w:hAnsi="Calibri" w:cs="Calibri"/>
          <w:color w:val="0D0D0D" w:themeColor="text1" w:themeTint="F2"/>
        </w:rPr>
        <w:t>Meadus and Twomey, 2011</w:t>
      </w:r>
      <w:r w:rsidR="00427ACD"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D’Antonio, 2010). </w:t>
      </w:r>
      <w:r w:rsidR="0087197A"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This historical framing has arguably contributed to a contemporary lack of awareness regarding men's long-standing involvement and their diverse roles within nursing. </w:t>
      </w:r>
      <w:r w:rsidR="0087197A" w:rsidRPr="00252CDE">
        <w:rPr>
          <w:rFonts w:ascii="Calibri" w:hAnsi="Calibri" w:cs="Calibri"/>
          <w:color w:val="0D0D0D" w:themeColor="text1" w:themeTint="F2"/>
        </w:rPr>
        <w:t xml:space="preserve"> </w:t>
      </w:r>
      <w:r w:rsidRPr="00252CDE">
        <w:rPr>
          <w:rFonts w:ascii="Calibri" w:hAnsi="Calibri" w:cs="Calibri"/>
          <w:color w:val="0D0D0D" w:themeColor="text1" w:themeTint="F2"/>
        </w:rPr>
        <w:t>For instance, the historical significance of male military nurses, who often provided critical care in arduous conditions, is frequently less prominent in mainstream accounts of nursing history.</w:t>
      </w:r>
      <w:r w:rsidR="002D0C97" w:rsidRPr="00252CDE">
        <w:rPr>
          <w:rFonts w:ascii="Calibri" w:hAnsi="Calibri" w:cs="Calibri"/>
          <w:color w:val="0D0D0D" w:themeColor="text1" w:themeTint="F2"/>
        </w:rPr>
        <w:t xml:space="preserve">  </w:t>
      </w:r>
      <w:r w:rsidR="00B23A13" w:rsidRPr="00252CDE">
        <w:rPr>
          <w:rFonts w:ascii="Calibri" w:hAnsi="Calibri" w:cs="Calibri"/>
          <w:color w:val="0D0D0D" w:themeColor="text1" w:themeTint="F2"/>
        </w:rPr>
        <w:t xml:space="preserve">The lack of awareness regarding </w:t>
      </w:r>
      <w:r w:rsidR="00273419" w:rsidRPr="00252CDE">
        <w:rPr>
          <w:rFonts w:ascii="Calibri" w:hAnsi="Calibri" w:cs="Calibri"/>
          <w:color w:val="0D0D0D" w:themeColor="text1" w:themeTint="F2"/>
        </w:rPr>
        <w:t>men’s contributions to the field,</w:t>
      </w:r>
      <w:r w:rsidR="00B23A13" w:rsidRPr="00252CDE">
        <w:rPr>
          <w:rFonts w:ascii="Calibri" w:hAnsi="Calibri" w:cs="Calibri"/>
          <w:color w:val="0D0D0D" w:themeColor="text1" w:themeTint="F2"/>
        </w:rPr>
        <w:t xml:space="preserve"> may reinforce the stereotype of nursing as 'woman's </w:t>
      </w:r>
      <w:r w:rsidR="003B3722" w:rsidRPr="00252CDE">
        <w:rPr>
          <w:rFonts w:ascii="Calibri" w:hAnsi="Calibri" w:cs="Calibri"/>
          <w:color w:val="0D0D0D" w:themeColor="text1" w:themeTint="F2"/>
        </w:rPr>
        <w:t>work</w:t>
      </w:r>
      <w:r w:rsidR="00B23A13" w:rsidRPr="00252CDE">
        <w:rPr>
          <w:rFonts w:ascii="Calibri" w:hAnsi="Calibri" w:cs="Calibri"/>
          <w:color w:val="0D0D0D" w:themeColor="text1" w:themeTint="F2"/>
        </w:rPr>
        <w:t>', potentially leading to feelings of being an anomaly and depriving them of male role models and a sense of belonging (</w:t>
      </w:r>
      <w:r w:rsidR="00672377" w:rsidRPr="00252CDE">
        <w:rPr>
          <w:rFonts w:ascii="Calibri" w:hAnsi="Calibri" w:cs="Calibri"/>
          <w:color w:val="0D0D0D" w:themeColor="text1" w:themeTint="F2"/>
        </w:rPr>
        <w:t xml:space="preserve">Hodges </w:t>
      </w:r>
      <w:r w:rsidR="00672377" w:rsidRPr="00252CDE">
        <w:rPr>
          <w:rFonts w:ascii="Calibri" w:hAnsi="Calibri" w:cs="Calibri"/>
          <w:i/>
          <w:iCs/>
          <w:color w:val="0D0D0D" w:themeColor="text1" w:themeTint="F2"/>
        </w:rPr>
        <w:t>et al</w:t>
      </w:r>
      <w:r w:rsidR="00672377" w:rsidRPr="00252CDE">
        <w:rPr>
          <w:rFonts w:ascii="Calibri" w:hAnsi="Calibri" w:cs="Calibri"/>
          <w:color w:val="0D0D0D" w:themeColor="text1" w:themeTint="F2"/>
        </w:rPr>
        <w:t>., 2017</w:t>
      </w:r>
      <w:r w:rsidR="00B23A13" w:rsidRPr="00252CDE">
        <w:rPr>
          <w:rFonts w:ascii="Calibri" w:hAnsi="Calibri" w:cs="Calibri"/>
          <w:color w:val="0D0D0D" w:themeColor="text1" w:themeTint="F2"/>
        </w:rPr>
        <w:t xml:space="preserve">). </w:t>
      </w:r>
      <w:r w:rsidR="00CB4121" w:rsidRPr="00252CDE">
        <w:rPr>
          <w:rFonts w:ascii="Calibri" w:hAnsi="Calibri" w:cs="Calibri"/>
          <w:color w:val="0D0D0D" w:themeColor="text1" w:themeTint="F2"/>
        </w:rPr>
        <w:t xml:space="preserve"> </w:t>
      </w:r>
      <w:r w:rsidR="00B23A13" w:rsidRPr="00252CDE">
        <w:rPr>
          <w:rFonts w:ascii="Calibri" w:hAnsi="Calibri" w:cs="Calibri"/>
          <w:color w:val="0D0D0D" w:themeColor="text1" w:themeTint="F2"/>
        </w:rPr>
        <w:t>This lack of awareness extends within the profession itself, with Anthony (2004) suggesting that nurse educators unaware of men's historical roles may inadvertently perpetuate gender bias.</w:t>
      </w:r>
      <w:r w:rsidR="00730D12" w:rsidRPr="00252CDE">
        <w:rPr>
          <w:rFonts w:ascii="Calibri" w:hAnsi="Calibri" w:cs="Calibri"/>
          <w:color w:val="0D0D0D" w:themeColor="text1" w:themeTint="F2"/>
        </w:rPr>
        <w:t xml:space="preserve">  Evans </w:t>
      </w:r>
      <w:r w:rsidR="00B23A13" w:rsidRPr="00252CDE">
        <w:rPr>
          <w:rFonts w:ascii="Calibri" w:hAnsi="Calibri" w:cs="Calibri"/>
          <w:color w:val="0D0D0D" w:themeColor="text1" w:themeTint="F2"/>
        </w:rPr>
        <w:t>(20</w:t>
      </w:r>
      <w:r w:rsidR="00D86F82" w:rsidRPr="00252CDE">
        <w:rPr>
          <w:rFonts w:ascii="Calibri" w:hAnsi="Calibri" w:cs="Calibri"/>
          <w:color w:val="0D0D0D" w:themeColor="text1" w:themeTint="F2"/>
        </w:rPr>
        <w:t>17</w:t>
      </w:r>
      <w:r w:rsidR="00B23A13" w:rsidRPr="00252CDE">
        <w:rPr>
          <w:rFonts w:ascii="Calibri" w:hAnsi="Calibri" w:cs="Calibri"/>
          <w:color w:val="0D0D0D" w:themeColor="text1" w:themeTint="F2"/>
        </w:rPr>
        <w:t>) further argues that the dominant narrative of nursing history, often focusing almost exclusively on women's achievements, reinforces the perception of male nurses as exceptions, thereby negatively affecting male students' sense of legitimacy and belonging.</w:t>
      </w:r>
      <w:r w:rsidR="00E20959" w:rsidRPr="00252CDE">
        <w:rPr>
          <w:rFonts w:ascii="Calibri" w:hAnsi="Calibri" w:cs="Calibri"/>
          <w:color w:val="0D0D0D" w:themeColor="text1" w:themeTint="F2"/>
        </w:rPr>
        <w:t xml:space="preserve">  Chad (2016) </w:t>
      </w:r>
      <w:r w:rsidR="00085748" w:rsidRPr="00252CDE">
        <w:rPr>
          <w:rFonts w:ascii="Calibri" w:hAnsi="Calibri" w:cs="Calibri"/>
          <w:color w:val="0D0D0D" w:themeColor="text1" w:themeTint="F2"/>
        </w:rPr>
        <w:t>reasons</w:t>
      </w:r>
      <w:r w:rsidR="00E20959" w:rsidRPr="00252CDE">
        <w:rPr>
          <w:rFonts w:ascii="Calibri" w:hAnsi="Calibri" w:cs="Calibri"/>
          <w:color w:val="0D0D0D" w:themeColor="text1" w:themeTint="F2"/>
        </w:rPr>
        <w:t xml:space="preserve"> that it is fundamentally important for men in nursing to be aware of historical contributions to foster pride in their professional identity. </w:t>
      </w:r>
      <w:r w:rsidR="00085748" w:rsidRPr="00252CDE">
        <w:rPr>
          <w:rFonts w:ascii="Calibri" w:hAnsi="Calibri" w:cs="Calibri"/>
          <w:color w:val="0D0D0D" w:themeColor="text1" w:themeTint="F2"/>
        </w:rPr>
        <w:t xml:space="preserve"> </w:t>
      </w:r>
      <w:r w:rsidR="00E20959" w:rsidRPr="00252CDE">
        <w:rPr>
          <w:rFonts w:ascii="Calibri" w:hAnsi="Calibri" w:cs="Calibri"/>
          <w:color w:val="0D0D0D" w:themeColor="text1" w:themeTint="F2"/>
        </w:rPr>
        <w:t>Similarly, Wildman and Hewison (2009) suggest that male student nurses would gain more from detailed lessons on their rich history, rather than brief overviews, as this would provide opportunities to identify both historical and contemporary role models.</w:t>
      </w:r>
    </w:p>
    <w:p w14:paraId="3173DB14" w14:textId="08DB9AFD" w:rsidR="00BD7687" w:rsidRPr="00252CDE" w:rsidRDefault="00BD7687"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Critically analysing the historical literature reveals a complex picture. While men have historically participated in nursing, their contributions have often been less visible in the dominant historical accounts, potentially impacting contemporary perceptions and the </w:t>
      </w:r>
      <w:r w:rsidRPr="00252CDE">
        <w:rPr>
          <w:rFonts w:ascii="Calibri" w:hAnsi="Calibri" w:cs="Calibri"/>
          <w:color w:val="0D0D0D" w:themeColor="text1" w:themeTint="F2"/>
        </w:rPr>
        <w:lastRenderedPageBreak/>
        <w:t>experiences of male students.</w:t>
      </w:r>
      <w:r w:rsidR="00E84E3E"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This theme </w:t>
      </w:r>
      <w:r w:rsidR="00E84E3E" w:rsidRPr="00252CDE">
        <w:rPr>
          <w:rFonts w:ascii="Calibri" w:hAnsi="Calibri" w:cs="Calibri"/>
          <w:color w:val="0D0D0D" w:themeColor="text1" w:themeTint="F2"/>
        </w:rPr>
        <w:t>emphasises</w:t>
      </w:r>
      <w:r w:rsidRPr="00252CDE">
        <w:rPr>
          <w:rFonts w:ascii="Calibri" w:hAnsi="Calibri" w:cs="Calibri"/>
          <w:color w:val="0D0D0D" w:themeColor="text1" w:themeTint="F2"/>
        </w:rPr>
        <w:t xml:space="preserve"> the importance of a more inclusive and accurate portrayal of nursing history to challenge gender stereotypes and foster a greater sense of belonging for men within the profession from its very foundations.</w:t>
      </w:r>
    </w:p>
    <w:p w14:paraId="2A749E78" w14:textId="77777777" w:rsidR="00C16896" w:rsidRPr="00252CDE" w:rsidRDefault="00C16896" w:rsidP="00D51D2A">
      <w:pPr>
        <w:spacing w:line="360" w:lineRule="auto"/>
        <w:rPr>
          <w:rFonts w:ascii="Calibri" w:hAnsi="Calibri" w:cs="Calibri"/>
          <w:color w:val="0D0D0D" w:themeColor="text1" w:themeTint="F2"/>
        </w:rPr>
      </w:pPr>
    </w:p>
    <w:p w14:paraId="601E5202" w14:textId="68FA3ADB" w:rsidR="009A0080" w:rsidRPr="00252CDE" w:rsidRDefault="009A0080" w:rsidP="00D51D2A">
      <w:pPr>
        <w:spacing w:line="360" w:lineRule="auto"/>
        <w:rPr>
          <w:rFonts w:ascii="Calibri" w:hAnsi="Calibri" w:cs="Calibri"/>
          <w:color w:val="0D0D0D" w:themeColor="text1" w:themeTint="F2"/>
        </w:rPr>
      </w:pPr>
      <w:r w:rsidRPr="00252CDE">
        <w:rPr>
          <w:rFonts w:ascii="Calibri" w:hAnsi="Calibri" w:cs="Calibri"/>
          <w:b/>
          <w:bCs/>
          <w:color w:val="0D0D0D" w:themeColor="text1" w:themeTint="F2"/>
        </w:rPr>
        <w:t>3.2 Sociocultural and Gender Stereotypes</w:t>
      </w:r>
    </w:p>
    <w:p w14:paraId="4C173C77" w14:textId="21F05E14" w:rsidR="00BD7687" w:rsidRPr="00252CDE" w:rsidRDefault="00BD7687"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The persistent underrepresentation of men in nursing is significantly influenced by deeply ingrained sociocultural and gender stereotypes that frame nursing as a predominantly feminine occupation</w:t>
      </w:r>
      <w:r w:rsidR="005D6683" w:rsidRPr="00252CDE">
        <w:rPr>
          <w:rFonts w:ascii="Calibri" w:hAnsi="Calibri" w:cs="Calibri"/>
          <w:color w:val="0D0D0D" w:themeColor="text1" w:themeTint="F2"/>
        </w:rPr>
        <w:t xml:space="preserve"> (Whitford </w:t>
      </w:r>
      <w:r w:rsidR="005D6683" w:rsidRPr="00252CDE">
        <w:rPr>
          <w:rFonts w:ascii="Calibri" w:hAnsi="Calibri" w:cs="Calibri"/>
          <w:i/>
          <w:iCs/>
          <w:color w:val="0D0D0D" w:themeColor="text1" w:themeTint="F2"/>
        </w:rPr>
        <w:t>et al.,</w:t>
      </w:r>
      <w:r w:rsidR="005D6683" w:rsidRPr="00252CDE">
        <w:rPr>
          <w:rFonts w:ascii="Calibri" w:hAnsi="Calibri" w:cs="Calibri"/>
          <w:color w:val="0D0D0D" w:themeColor="text1" w:themeTint="F2"/>
        </w:rPr>
        <w:t xml:space="preserve"> 2019; Entwistle, 2004)</w:t>
      </w:r>
      <w:r w:rsidRPr="00252CDE">
        <w:rPr>
          <w:rFonts w:ascii="Calibri" w:hAnsi="Calibri" w:cs="Calibri"/>
          <w:color w:val="0D0D0D" w:themeColor="text1" w:themeTint="F2"/>
        </w:rPr>
        <w:t xml:space="preserve">. </w:t>
      </w:r>
      <w:r w:rsidR="00B54189" w:rsidRPr="00252CDE">
        <w:rPr>
          <w:rFonts w:ascii="Calibri" w:hAnsi="Calibri" w:cs="Calibri"/>
          <w:color w:val="0D0D0D" w:themeColor="text1" w:themeTint="F2"/>
        </w:rPr>
        <w:t xml:space="preserve"> Terry </w:t>
      </w:r>
      <w:r w:rsidR="00B54189" w:rsidRPr="00252CDE">
        <w:rPr>
          <w:rFonts w:ascii="Calibri" w:hAnsi="Calibri" w:cs="Calibri"/>
          <w:i/>
          <w:iCs/>
          <w:color w:val="0D0D0D" w:themeColor="text1" w:themeTint="F2"/>
        </w:rPr>
        <w:t>et al.</w:t>
      </w:r>
      <w:r w:rsidR="00B54189" w:rsidRPr="00252CDE">
        <w:rPr>
          <w:rFonts w:ascii="Calibri" w:hAnsi="Calibri" w:cs="Calibri"/>
          <w:color w:val="0D0D0D" w:themeColor="text1" w:themeTint="F2"/>
        </w:rPr>
        <w:t xml:space="preserve"> (2020)</w:t>
      </w:r>
      <w:r w:rsidR="006F04D7" w:rsidRPr="00252CDE">
        <w:rPr>
          <w:rFonts w:ascii="Calibri" w:hAnsi="Calibri" w:cs="Calibri"/>
          <w:color w:val="0D0D0D" w:themeColor="text1" w:themeTint="F2"/>
        </w:rPr>
        <w:t xml:space="preserve"> in their </w:t>
      </w:r>
      <w:r w:rsidR="00487229" w:rsidRPr="00252CDE">
        <w:rPr>
          <w:rFonts w:ascii="Calibri" w:hAnsi="Calibri" w:cs="Calibri"/>
          <w:color w:val="0D0D0D" w:themeColor="text1" w:themeTint="F2"/>
        </w:rPr>
        <w:t>mixed review of both quantitative and qualitative studies,</w:t>
      </w:r>
      <w:r w:rsidR="00B54189" w:rsidRPr="00252CDE">
        <w:rPr>
          <w:rFonts w:ascii="Calibri" w:hAnsi="Calibri" w:cs="Calibri"/>
          <w:color w:val="0D0D0D" w:themeColor="text1" w:themeTint="F2"/>
        </w:rPr>
        <w:t xml:space="preserve"> </w:t>
      </w:r>
      <w:r w:rsidR="00D46C32" w:rsidRPr="00252CDE">
        <w:rPr>
          <w:rFonts w:ascii="Calibri" w:hAnsi="Calibri" w:cs="Calibri"/>
          <w:color w:val="0D0D0D" w:themeColor="text1" w:themeTint="F2"/>
        </w:rPr>
        <w:t>document</w:t>
      </w:r>
      <w:r w:rsidR="00487229" w:rsidRPr="00252CDE">
        <w:rPr>
          <w:rFonts w:ascii="Calibri" w:hAnsi="Calibri" w:cs="Calibri"/>
          <w:color w:val="0D0D0D" w:themeColor="text1" w:themeTint="F2"/>
        </w:rPr>
        <w:t>ed</w:t>
      </w:r>
      <w:r w:rsidR="00D46C32" w:rsidRPr="00252CDE">
        <w:rPr>
          <w:rFonts w:ascii="Calibri" w:hAnsi="Calibri" w:cs="Calibri"/>
          <w:color w:val="0D0D0D" w:themeColor="text1" w:themeTint="F2"/>
        </w:rPr>
        <w:t xml:space="preserve"> </w:t>
      </w:r>
      <w:r w:rsidR="00FA76F1" w:rsidRPr="00252CDE">
        <w:rPr>
          <w:rFonts w:ascii="Calibri" w:hAnsi="Calibri" w:cs="Calibri"/>
          <w:color w:val="0D0D0D" w:themeColor="text1" w:themeTint="F2"/>
        </w:rPr>
        <w:t>challenges that m</w:t>
      </w:r>
      <w:r w:rsidR="00B54189" w:rsidRPr="00252CDE">
        <w:rPr>
          <w:rFonts w:ascii="Calibri" w:hAnsi="Calibri" w:cs="Calibri"/>
          <w:color w:val="0D0D0D" w:themeColor="text1" w:themeTint="F2"/>
        </w:rPr>
        <w:t>en in nursing face</w:t>
      </w:r>
      <w:r w:rsidR="00D46C32" w:rsidRPr="00252CDE">
        <w:rPr>
          <w:rFonts w:ascii="Calibri" w:hAnsi="Calibri" w:cs="Calibri"/>
          <w:color w:val="0D0D0D" w:themeColor="text1" w:themeTint="F2"/>
        </w:rPr>
        <w:t xml:space="preserve"> as including</w:t>
      </w:r>
      <w:r w:rsidR="00B54189" w:rsidRPr="00252CDE">
        <w:rPr>
          <w:rFonts w:ascii="Calibri" w:hAnsi="Calibri" w:cs="Calibri"/>
          <w:color w:val="0D0D0D" w:themeColor="text1" w:themeTint="F2"/>
        </w:rPr>
        <w:t xml:space="preserve"> role misconception, marginali</w:t>
      </w:r>
      <w:r w:rsidR="008D36BD" w:rsidRPr="00252CDE">
        <w:rPr>
          <w:rFonts w:ascii="Calibri" w:hAnsi="Calibri" w:cs="Calibri"/>
          <w:color w:val="0D0D0D" w:themeColor="text1" w:themeTint="F2"/>
        </w:rPr>
        <w:t>s</w:t>
      </w:r>
      <w:r w:rsidR="00B54189" w:rsidRPr="00252CDE">
        <w:rPr>
          <w:rFonts w:ascii="Calibri" w:hAnsi="Calibri" w:cs="Calibri"/>
          <w:color w:val="0D0D0D" w:themeColor="text1" w:themeTint="F2"/>
        </w:rPr>
        <w:t>ation, and gender bias</w:t>
      </w:r>
      <w:r w:rsidR="00B85C1E" w:rsidRPr="00252CDE">
        <w:rPr>
          <w:rFonts w:ascii="Calibri" w:hAnsi="Calibri" w:cs="Calibri"/>
          <w:color w:val="0D0D0D" w:themeColor="text1" w:themeTint="F2"/>
        </w:rPr>
        <w:t xml:space="preserve">.  </w:t>
      </w:r>
      <w:r w:rsidRPr="00252CDE">
        <w:rPr>
          <w:rFonts w:ascii="Calibri" w:hAnsi="Calibri" w:cs="Calibri"/>
          <w:color w:val="0D0D0D" w:themeColor="text1" w:themeTint="F2"/>
        </w:rPr>
        <w:t>The stereotypes are pervasive, often portraying nursing as aligning with traditionally feminine traits such as caring, nurturing, and emotional sensitivity</w:t>
      </w:r>
      <w:r w:rsidR="001B65A6" w:rsidRPr="00252CDE">
        <w:rPr>
          <w:rFonts w:ascii="Calibri" w:hAnsi="Calibri" w:cs="Calibri"/>
          <w:color w:val="0D0D0D" w:themeColor="text1" w:themeTint="F2"/>
        </w:rPr>
        <w:t xml:space="preserve"> (</w:t>
      </w:r>
      <w:r w:rsidR="0056155D" w:rsidRPr="00252CDE">
        <w:rPr>
          <w:rFonts w:ascii="Calibri" w:hAnsi="Calibri" w:cs="Calibri"/>
          <w:color w:val="0D0D0D" w:themeColor="text1" w:themeTint="F2"/>
        </w:rPr>
        <w:t>Masibo, Masika and Kabusi, 2025</w:t>
      </w:r>
      <w:r w:rsidR="00FC0C35" w:rsidRPr="00252CDE">
        <w:rPr>
          <w:rFonts w:ascii="Calibri" w:hAnsi="Calibri" w:cs="Calibri"/>
          <w:color w:val="0D0D0D" w:themeColor="text1" w:themeTint="F2"/>
        </w:rPr>
        <w:t xml:space="preserve">; Teresa-Morales </w:t>
      </w:r>
      <w:r w:rsidR="00FC0C35" w:rsidRPr="00252CDE">
        <w:rPr>
          <w:rFonts w:ascii="Calibri" w:hAnsi="Calibri" w:cs="Calibri"/>
          <w:i/>
          <w:iCs/>
          <w:color w:val="0D0D0D" w:themeColor="text1" w:themeTint="F2"/>
        </w:rPr>
        <w:t xml:space="preserve">et </w:t>
      </w:r>
      <w:r w:rsidR="00E900B4" w:rsidRPr="00252CDE">
        <w:rPr>
          <w:rFonts w:ascii="Calibri" w:hAnsi="Calibri" w:cs="Calibri"/>
          <w:i/>
          <w:iCs/>
          <w:color w:val="0D0D0D" w:themeColor="text1" w:themeTint="F2"/>
        </w:rPr>
        <w:t>al</w:t>
      </w:r>
      <w:r w:rsidR="00FC0C35" w:rsidRPr="00252CDE">
        <w:rPr>
          <w:rFonts w:ascii="Calibri" w:hAnsi="Calibri" w:cs="Calibri"/>
          <w:i/>
          <w:iCs/>
          <w:color w:val="0D0D0D" w:themeColor="text1" w:themeTint="F2"/>
        </w:rPr>
        <w:t>.,</w:t>
      </w:r>
      <w:r w:rsidR="00FC0C35" w:rsidRPr="00252CDE">
        <w:rPr>
          <w:rFonts w:ascii="Calibri" w:hAnsi="Calibri" w:cs="Calibri"/>
          <w:color w:val="0D0D0D" w:themeColor="text1" w:themeTint="F2"/>
        </w:rPr>
        <w:t xml:space="preserve"> 2022</w:t>
      </w:r>
      <w:r w:rsidR="0056155D" w:rsidRPr="00252CDE">
        <w:rPr>
          <w:rFonts w:ascii="Calibri" w:hAnsi="Calibri" w:cs="Calibri"/>
          <w:color w:val="0D0D0D" w:themeColor="text1" w:themeTint="F2"/>
        </w:rPr>
        <w:t>)</w:t>
      </w:r>
      <w:r w:rsidR="006B45A8" w:rsidRPr="00252CDE">
        <w:rPr>
          <w:rFonts w:ascii="Calibri" w:hAnsi="Calibri" w:cs="Calibri"/>
          <w:color w:val="0D0D0D" w:themeColor="text1" w:themeTint="F2"/>
        </w:rPr>
        <w:t xml:space="preserve">, </w:t>
      </w:r>
      <w:r w:rsidRPr="00252CDE">
        <w:rPr>
          <w:rFonts w:ascii="Calibri" w:hAnsi="Calibri" w:cs="Calibri"/>
          <w:color w:val="0D0D0D" w:themeColor="text1" w:themeTint="F2"/>
        </w:rPr>
        <w:t>qualities that, while crucial to effective nursing</w:t>
      </w:r>
      <w:r w:rsidR="002D1D74" w:rsidRPr="00252CDE">
        <w:rPr>
          <w:rFonts w:ascii="Calibri" w:hAnsi="Calibri" w:cs="Calibri"/>
          <w:color w:val="0D0D0D" w:themeColor="text1" w:themeTint="F2"/>
        </w:rPr>
        <w:t xml:space="preserve"> maintains </w:t>
      </w:r>
      <w:r w:rsidR="001847AA" w:rsidRPr="00252CDE">
        <w:rPr>
          <w:rFonts w:ascii="Calibri" w:hAnsi="Calibri" w:cs="Calibri"/>
          <w:color w:val="0D0D0D" w:themeColor="text1" w:themeTint="F2"/>
        </w:rPr>
        <w:t>Prosen (2022)</w:t>
      </w:r>
      <w:r w:rsidRPr="00252CDE">
        <w:rPr>
          <w:rFonts w:ascii="Calibri" w:hAnsi="Calibri" w:cs="Calibri"/>
          <w:color w:val="0D0D0D" w:themeColor="text1" w:themeTint="F2"/>
        </w:rPr>
        <w:t>, are often stereotypically associated with women</w:t>
      </w:r>
      <w:r w:rsidR="00E87F04" w:rsidRPr="00252CDE">
        <w:rPr>
          <w:rFonts w:ascii="Calibri" w:hAnsi="Calibri" w:cs="Calibri"/>
          <w:color w:val="0D0D0D" w:themeColor="text1" w:themeTint="F2"/>
        </w:rPr>
        <w:t xml:space="preserve"> (A</w:t>
      </w:r>
      <w:r w:rsidR="00EE3BEC" w:rsidRPr="00252CDE">
        <w:rPr>
          <w:rFonts w:ascii="Calibri" w:hAnsi="Calibri" w:cs="Calibri"/>
          <w:color w:val="0D0D0D" w:themeColor="text1" w:themeTint="F2"/>
        </w:rPr>
        <w:t xml:space="preserve">ca </w:t>
      </w:r>
      <w:r w:rsidR="00EE3BEC" w:rsidRPr="00252CDE">
        <w:rPr>
          <w:rFonts w:ascii="Calibri" w:hAnsi="Calibri" w:cs="Calibri"/>
          <w:i/>
          <w:iCs/>
          <w:color w:val="0D0D0D" w:themeColor="text1" w:themeTint="F2"/>
        </w:rPr>
        <w:t xml:space="preserve">et al., </w:t>
      </w:r>
      <w:r w:rsidR="00EE3BEC" w:rsidRPr="00252CDE">
        <w:rPr>
          <w:rFonts w:ascii="Calibri" w:hAnsi="Calibri" w:cs="Calibri"/>
          <w:color w:val="0D0D0D" w:themeColor="text1" w:themeTint="F2"/>
        </w:rPr>
        <w:t>2025)</w:t>
      </w:r>
      <w:r w:rsidRPr="00252CDE">
        <w:rPr>
          <w:rFonts w:ascii="Calibri" w:hAnsi="Calibri" w:cs="Calibri"/>
          <w:color w:val="0D0D0D" w:themeColor="text1" w:themeTint="F2"/>
        </w:rPr>
        <w:t xml:space="preserve"> thereby</w:t>
      </w:r>
      <w:r w:rsidR="0091360D" w:rsidRPr="00252CDE">
        <w:rPr>
          <w:rFonts w:ascii="Calibri" w:hAnsi="Calibri" w:cs="Calibri"/>
          <w:color w:val="0D0D0D" w:themeColor="text1" w:themeTint="F2"/>
        </w:rPr>
        <w:t>,</w:t>
      </w:r>
      <w:r w:rsidRPr="00252CDE">
        <w:rPr>
          <w:rFonts w:ascii="Calibri" w:hAnsi="Calibri" w:cs="Calibri"/>
          <w:color w:val="0D0D0D" w:themeColor="text1" w:themeTint="F2"/>
        </w:rPr>
        <w:t xml:space="preserve"> implicitly or explicitly</w:t>
      </w:r>
      <w:r w:rsidR="005235BE" w:rsidRPr="00252CDE">
        <w:rPr>
          <w:rFonts w:ascii="Calibri" w:hAnsi="Calibri" w:cs="Calibri"/>
          <w:color w:val="0D0D0D" w:themeColor="text1" w:themeTint="F2"/>
        </w:rPr>
        <w:t xml:space="preserve"> </w:t>
      </w:r>
      <w:r w:rsidR="00533F75" w:rsidRPr="00252CDE">
        <w:rPr>
          <w:rFonts w:ascii="Calibri" w:hAnsi="Calibri" w:cs="Calibri"/>
          <w:color w:val="0D0D0D" w:themeColor="text1" w:themeTint="F2"/>
        </w:rPr>
        <w:t>according to Williams</w:t>
      </w:r>
      <w:r w:rsidR="000F596B" w:rsidRPr="00252CDE">
        <w:rPr>
          <w:rFonts w:ascii="Calibri" w:hAnsi="Calibri" w:cs="Calibri"/>
          <w:color w:val="0D0D0D" w:themeColor="text1" w:themeTint="F2"/>
        </w:rPr>
        <w:t xml:space="preserve"> (</w:t>
      </w:r>
      <w:r w:rsidR="00533F75" w:rsidRPr="00252CDE">
        <w:rPr>
          <w:rFonts w:ascii="Calibri" w:hAnsi="Calibri" w:cs="Calibri"/>
          <w:color w:val="0D0D0D" w:themeColor="text1" w:themeTint="F2"/>
        </w:rPr>
        <w:t>1993</w:t>
      </w:r>
      <w:r w:rsidR="000F596B" w:rsidRPr="00252CDE">
        <w:rPr>
          <w:rFonts w:ascii="Calibri" w:hAnsi="Calibri" w:cs="Calibri"/>
          <w:color w:val="0D0D0D" w:themeColor="text1" w:themeTint="F2"/>
        </w:rPr>
        <w:t>)</w:t>
      </w:r>
      <w:r w:rsidR="00EE3BEC" w:rsidRPr="00252CDE">
        <w:rPr>
          <w:rFonts w:ascii="Calibri" w:hAnsi="Calibri" w:cs="Calibri"/>
          <w:color w:val="0D0D0D" w:themeColor="text1" w:themeTint="F2"/>
        </w:rPr>
        <w:t>,</w:t>
      </w:r>
      <w:r w:rsidR="000F596B" w:rsidRPr="00252CDE">
        <w:rPr>
          <w:rFonts w:ascii="Calibri" w:hAnsi="Calibri" w:cs="Calibri"/>
          <w:color w:val="0D0D0D" w:themeColor="text1" w:themeTint="F2"/>
        </w:rPr>
        <w:t xml:space="preserve"> </w:t>
      </w:r>
      <w:r w:rsidRPr="00252CDE">
        <w:rPr>
          <w:rFonts w:ascii="Calibri" w:hAnsi="Calibri" w:cs="Calibri"/>
          <w:color w:val="0D0D0D" w:themeColor="text1" w:themeTint="F2"/>
        </w:rPr>
        <w:t>discouraging men from considering the profession.</w:t>
      </w:r>
    </w:p>
    <w:p w14:paraId="327774ED" w14:textId="23738D8D" w:rsidR="00BD7687" w:rsidRPr="00252CDE" w:rsidRDefault="00CB4B07"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Sociocultural stereotypes can also impact how male nurses' masculinity is perceived. Choosing a profession that is historically and currently dominated by women can lead to male nurses and students being viewed as not fitting traditional ideals of male identity (Connell </w:t>
      </w:r>
      <w:r w:rsidR="00DE6D87" w:rsidRPr="00252CDE">
        <w:rPr>
          <w:rFonts w:ascii="Calibri" w:hAnsi="Calibri" w:cs="Calibri"/>
          <w:color w:val="0D0D0D" w:themeColor="text1" w:themeTint="F2"/>
        </w:rPr>
        <w:t>and</w:t>
      </w:r>
      <w:r w:rsidRPr="00252CDE">
        <w:rPr>
          <w:rFonts w:ascii="Calibri" w:hAnsi="Calibri" w:cs="Calibri"/>
          <w:color w:val="0D0D0D" w:themeColor="text1" w:themeTint="F2"/>
        </w:rPr>
        <w:t xml:space="preserve"> Messerschmidt, 2005</w:t>
      </w:r>
      <w:r w:rsidR="000B7AF5" w:rsidRPr="00252CDE">
        <w:rPr>
          <w:rFonts w:ascii="Calibri" w:hAnsi="Calibri" w:cs="Calibri"/>
          <w:color w:val="0D0D0D" w:themeColor="text1" w:themeTint="F2"/>
        </w:rPr>
        <w:t xml:space="preserve">; </w:t>
      </w:r>
      <w:r w:rsidR="00435E73" w:rsidRPr="00252CDE">
        <w:rPr>
          <w:rFonts w:ascii="Calibri" w:hAnsi="Calibri" w:cs="Calibri"/>
          <w:color w:val="0D0D0D" w:themeColor="text1" w:themeTint="F2"/>
        </w:rPr>
        <w:t>Kaur, Ricciardelli and Clow, 2022</w:t>
      </w:r>
      <w:r w:rsidRPr="00252CDE">
        <w:rPr>
          <w:rFonts w:ascii="Calibri" w:hAnsi="Calibri" w:cs="Calibri"/>
          <w:color w:val="0D0D0D" w:themeColor="text1" w:themeTint="F2"/>
        </w:rPr>
        <w:t>).</w:t>
      </w:r>
      <w:r w:rsidR="00435E73"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Nursing's association with nurturing and emotional labour, traits often stereotypically linked with femininity, can result in male nurses feeling they need to negotiate or even defend their masculinity within both the profession and broader society. This might manifest as a pressure to overcompensate in other areas to assert their masculinity or a feeling of being 'less of a man' for choosing a caring role</w:t>
      </w:r>
      <w:r w:rsidR="006C4983" w:rsidRPr="00252CDE">
        <w:rPr>
          <w:rFonts w:ascii="Calibri" w:hAnsi="Calibri" w:cs="Calibri"/>
          <w:color w:val="0D0D0D" w:themeColor="text1" w:themeTint="F2"/>
        </w:rPr>
        <w:t>.</w:t>
      </w:r>
      <w:r w:rsidR="00015E02" w:rsidRPr="00252CDE">
        <w:rPr>
          <w:rFonts w:ascii="Calibri" w:hAnsi="Calibri" w:cs="Calibri"/>
          <w:color w:val="0D0D0D" w:themeColor="text1" w:themeTint="F2"/>
        </w:rPr>
        <w:t xml:space="preserve">  Connell and Messerschmidt's (2005) work on hegemonic masculinity is often used to frame this issue. Hegemonic masculinity defines a dominant form of masculinity that often values traits not traditionally associated with caring roles. Men in nursing might be seen as deviating from this dominant ideal</w:t>
      </w:r>
      <w:r w:rsidR="001B596B" w:rsidRPr="00252CDE">
        <w:rPr>
          <w:rFonts w:ascii="Calibri" w:hAnsi="Calibri" w:cs="Calibri"/>
          <w:color w:val="0D0D0D" w:themeColor="text1" w:themeTint="F2"/>
        </w:rPr>
        <w:t>.  Connell and Messerschmidt's (2005) framework, provides a lens through which to understand why</w:t>
      </w:r>
      <w:r w:rsidR="008A25EC" w:rsidRPr="00252CDE">
        <w:rPr>
          <w:rFonts w:ascii="Calibri" w:hAnsi="Calibri" w:cs="Calibri"/>
          <w:color w:val="0D0D0D" w:themeColor="text1" w:themeTint="F2"/>
        </w:rPr>
        <w:t xml:space="preserve"> the masculinity of the male nurse may be</w:t>
      </w:r>
      <w:r w:rsidR="001B596B" w:rsidRPr="00252CDE">
        <w:rPr>
          <w:rFonts w:ascii="Calibri" w:hAnsi="Calibri" w:cs="Calibri"/>
          <w:color w:val="0D0D0D" w:themeColor="text1" w:themeTint="F2"/>
        </w:rPr>
        <w:t xml:space="preserve"> questioned when entering a female-dominated </w:t>
      </w:r>
      <w:r w:rsidR="001B596B" w:rsidRPr="00252CDE">
        <w:rPr>
          <w:rFonts w:ascii="Calibri" w:hAnsi="Calibri" w:cs="Calibri"/>
          <w:color w:val="0D0D0D" w:themeColor="text1" w:themeTint="F2"/>
        </w:rPr>
        <w:lastRenderedPageBreak/>
        <w:t xml:space="preserve">profession. </w:t>
      </w:r>
      <w:r w:rsidR="005520B1" w:rsidRPr="00252CDE">
        <w:rPr>
          <w:rFonts w:ascii="Calibri" w:hAnsi="Calibri" w:cs="Calibri"/>
          <w:color w:val="0D0D0D" w:themeColor="text1" w:themeTint="F2"/>
        </w:rPr>
        <w:t xml:space="preserve"> The authors traced the origi</w:t>
      </w:r>
      <w:r w:rsidR="00942A63" w:rsidRPr="00252CDE">
        <w:rPr>
          <w:rFonts w:ascii="Calibri" w:hAnsi="Calibri" w:cs="Calibri"/>
          <w:color w:val="0D0D0D" w:themeColor="text1" w:themeTint="F2"/>
        </w:rPr>
        <w:t xml:space="preserve">ns </w:t>
      </w:r>
      <w:r w:rsidR="00135A2B" w:rsidRPr="00252CDE">
        <w:rPr>
          <w:rFonts w:ascii="Calibri" w:hAnsi="Calibri" w:cs="Calibri"/>
          <w:color w:val="0D0D0D" w:themeColor="text1" w:themeTint="F2"/>
        </w:rPr>
        <w:t>masculinity and mapped its application</w:t>
      </w:r>
      <w:r w:rsidR="00FF5D79" w:rsidRPr="00252CDE">
        <w:rPr>
          <w:rFonts w:ascii="Calibri" w:hAnsi="Calibri" w:cs="Calibri"/>
          <w:color w:val="0D0D0D" w:themeColor="text1" w:themeTint="F2"/>
        </w:rPr>
        <w:t xml:space="preserve"> within society</w:t>
      </w:r>
      <w:r w:rsidR="00771E26" w:rsidRPr="00252CDE">
        <w:rPr>
          <w:rFonts w:ascii="Calibri" w:hAnsi="Calibri" w:cs="Calibri"/>
          <w:color w:val="0D0D0D" w:themeColor="text1" w:themeTint="F2"/>
        </w:rPr>
        <w:t xml:space="preserve">; they defend the </w:t>
      </w:r>
      <w:r w:rsidR="00942A63" w:rsidRPr="00252CDE">
        <w:rPr>
          <w:rFonts w:ascii="Calibri" w:hAnsi="Calibri" w:cs="Calibri"/>
          <w:color w:val="0D0D0D" w:themeColor="text1" w:themeTint="F2"/>
        </w:rPr>
        <w:t>concept</w:t>
      </w:r>
      <w:r w:rsidR="00DF1A03" w:rsidRPr="00252CDE">
        <w:rPr>
          <w:rFonts w:ascii="Calibri" w:hAnsi="Calibri" w:cs="Calibri"/>
          <w:color w:val="0D0D0D" w:themeColor="text1" w:themeTint="F2"/>
        </w:rPr>
        <w:t xml:space="preserve">, but </w:t>
      </w:r>
      <w:r w:rsidR="001B596B" w:rsidRPr="00252CDE">
        <w:rPr>
          <w:rFonts w:ascii="Calibri" w:hAnsi="Calibri" w:cs="Calibri"/>
          <w:color w:val="0D0D0D" w:themeColor="text1" w:themeTint="F2"/>
        </w:rPr>
        <w:t>recommend</w:t>
      </w:r>
      <w:r w:rsidR="00DF1A03" w:rsidRPr="00252CDE">
        <w:rPr>
          <w:rFonts w:ascii="Calibri" w:hAnsi="Calibri" w:cs="Calibri"/>
          <w:color w:val="0D0D0D" w:themeColor="text1" w:themeTint="F2"/>
        </w:rPr>
        <w:t xml:space="preserve"> reformation</w:t>
      </w:r>
      <w:r w:rsidR="008C7FF5" w:rsidRPr="00252CDE">
        <w:rPr>
          <w:rFonts w:ascii="Calibri" w:hAnsi="Calibri" w:cs="Calibri"/>
          <w:color w:val="0D0D0D" w:themeColor="text1" w:themeTint="F2"/>
        </w:rPr>
        <w:t xml:space="preserve">, </w:t>
      </w:r>
      <w:r w:rsidR="001B596B" w:rsidRPr="00252CDE">
        <w:rPr>
          <w:rFonts w:ascii="Calibri" w:hAnsi="Calibri" w:cs="Calibri"/>
          <w:color w:val="0D0D0D" w:themeColor="text1" w:themeTint="F2"/>
        </w:rPr>
        <w:t>encourag</w:t>
      </w:r>
      <w:r w:rsidR="008C7FF5" w:rsidRPr="00252CDE">
        <w:rPr>
          <w:rFonts w:ascii="Calibri" w:hAnsi="Calibri" w:cs="Calibri"/>
          <w:color w:val="0D0D0D" w:themeColor="text1" w:themeTint="F2"/>
        </w:rPr>
        <w:t>ing</w:t>
      </w:r>
      <w:r w:rsidR="001B596B" w:rsidRPr="00252CDE">
        <w:rPr>
          <w:rFonts w:ascii="Calibri" w:hAnsi="Calibri" w:cs="Calibri"/>
          <w:color w:val="0D0D0D" w:themeColor="text1" w:themeTint="F2"/>
        </w:rPr>
        <w:t xml:space="preserve"> a more nuanced understanding of gender hierarchies and the variability of masculine ideals across contexts, which can illuminate the societal pressures and stereotypes faced by men in nursing, a key theme in this literature review.</w:t>
      </w:r>
    </w:p>
    <w:p w14:paraId="2D30C4F5" w14:textId="4E77ED19" w:rsidR="00C11AD2" w:rsidRPr="00252CDE" w:rsidRDefault="00754BB4" w:rsidP="00C11AD2">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In addition to their masculinity being scrutinised, </w:t>
      </w:r>
      <w:r w:rsidR="00AD2164" w:rsidRPr="00252CDE">
        <w:rPr>
          <w:rFonts w:ascii="Calibri" w:hAnsi="Calibri" w:cs="Calibri"/>
          <w:color w:val="0D0D0D" w:themeColor="text1" w:themeTint="F2"/>
        </w:rPr>
        <w:t xml:space="preserve">literature </w:t>
      </w:r>
      <w:r w:rsidR="00E62B77" w:rsidRPr="00252CDE">
        <w:rPr>
          <w:rFonts w:ascii="Calibri" w:hAnsi="Calibri" w:cs="Calibri"/>
          <w:color w:val="0D0D0D" w:themeColor="text1" w:themeTint="F2"/>
        </w:rPr>
        <w:t xml:space="preserve">(Adeniji </w:t>
      </w:r>
      <w:r w:rsidR="00E62B77" w:rsidRPr="00252CDE">
        <w:rPr>
          <w:rFonts w:ascii="Calibri" w:hAnsi="Calibri" w:cs="Calibri"/>
          <w:i/>
          <w:iCs/>
          <w:color w:val="0D0D0D" w:themeColor="text1" w:themeTint="F2"/>
        </w:rPr>
        <w:t>et al</w:t>
      </w:r>
      <w:r w:rsidR="0094079C" w:rsidRPr="00252CDE">
        <w:rPr>
          <w:rFonts w:ascii="Calibri" w:hAnsi="Calibri" w:cs="Calibri"/>
          <w:color w:val="0D0D0D" w:themeColor="text1" w:themeTint="F2"/>
        </w:rPr>
        <w:t>.</w:t>
      </w:r>
      <w:r w:rsidR="00E62B77" w:rsidRPr="00252CDE">
        <w:rPr>
          <w:rFonts w:ascii="Calibri" w:hAnsi="Calibri" w:cs="Calibri"/>
          <w:color w:val="0D0D0D" w:themeColor="text1" w:themeTint="F2"/>
        </w:rPr>
        <w:t xml:space="preserve">, </w:t>
      </w:r>
      <w:r w:rsidR="0094079C" w:rsidRPr="00252CDE">
        <w:rPr>
          <w:rFonts w:ascii="Calibri" w:hAnsi="Calibri" w:cs="Calibri"/>
          <w:color w:val="0D0D0D" w:themeColor="text1" w:themeTint="F2"/>
        </w:rPr>
        <w:t>2015</w:t>
      </w:r>
      <w:r w:rsidR="006124D4" w:rsidRPr="00252CDE">
        <w:rPr>
          <w:rFonts w:ascii="Calibri" w:hAnsi="Calibri" w:cs="Calibri"/>
          <w:color w:val="0D0D0D" w:themeColor="text1" w:themeTint="F2"/>
        </w:rPr>
        <w:t xml:space="preserve">; </w:t>
      </w:r>
      <w:r w:rsidR="00B23F4A" w:rsidRPr="00252CDE">
        <w:rPr>
          <w:rFonts w:ascii="Calibri" w:hAnsi="Calibri" w:cs="Calibri"/>
          <w:color w:val="0D0D0D" w:themeColor="text1" w:themeTint="F2"/>
        </w:rPr>
        <w:t xml:space="preserve">Harding, 2007; Eliason </w:t>
      </w:r>
      <w:r w:rsidR="00B23F4A" w:rsidRPr="00252CDE">
        <w:rPr>
          <w:rFonts w:ascii="Calibri" w:hAnsi="Calibri" w:cs="Calibri"/>
          <w:i/>
          <w:iCs/>
          <w:color w:val="0D0D0D" w:themeColor="text1" w:themeTint="F2"/>
        </w:rPr>
        <w:t>et al</w:t>
      </w:r>
      <w:r w:rsidR="00B23F4A" w:rsidRPr="00252CDE">
        <w:rPr>
          <w:rFonts w:ascii="Calibri" w:hAnsi="Calibri" w:cs="Calibri"/>
          <w:color w:val="0D0D0D" w:themeColor="text1" w:themeTint="F2"/>
        </w:rPr>
        <w:t>., 2011; Iheduru-Anderson and Agomoh, 2024</w:t>
      </w:r>
      <w:r w:rsidR="0094079C" w:rsidRPr="00252CDE">
        <w:rPr>
          <w:rFonts w:ascii="Calibri" w:hAnsi="Calibri" w:cs="Calibri"/>
          <w:color w:val="0D0D0D" w:themeColor="text1" w:themeTint="F2"/>
        </w:rPr>
        <w:t xml:space="preserve">) </w:t>
      </w:r>
      <w:r w:rsidR="00AD2164" w:rsidRPr="00252CDE">
        <w:rPr>
          <w:rFonts w:ascii="Calibri" w:hAnsi="Calibri" w:cs="Calibri"/>
          <w:color w:val="0D0D0D" w:themeColor="text1" w:themeTint="F2"/>
        </w:rPr>
        <w:t xml:space="preserve">suggests </w:t>
      </w:r>
      <w:r w:rsidR="00EC245F" w:rsidRPr="00252CDE">
        <w:rPr>
          <w:rFonts w:ascii="Calibri" w:hAnsi="Calibri" w:cs="Calibri"/>
          <w:color w:val="0D0D0D" w:themeColor="text1" w:themeTint="F2"/>
        </w:rPr>
        <w:t xml:space="preserve">that </w:t>
      </w:r>
      <w:r w:rsidRPr="00252CDE">
        <w:rPr>
          <w:rFonts w:ascii="Calibri" w:hAnsi="Calibri" w:cs="Calibri"/>
          <w:color w:val="0D0D0D" w:themeColor="text1" w:themeTint="F2"/>
        </w:rPr>
        <w:t xml:space="preserve">male nurses often face unwarranted assumptions and questioning about their sexual orientation. </w:t>
      </w:r>
      <w:r w:rsidR="00535059" w:rsidRPr="00252CDE">
        <w:rPr>
          <w:rFonts w:ascii="Calibri" w:hAnsi="Calibri" w:cs="Calibri"/>
          <w:color w:val="0D0D0D" w:themeColor="text1" w:themeTint="F2"/>
        </w:rPr>
        <w:t xml:space="preserve"> </w:t>
      </w:r>
      <w:r w:rsidRPr="00252CDE">
        <w:rPr>
          <w:rFonts w:ascii="Calibri" w:hAnsi="Calibri" w:cs="Calibri"/>
          <w:color w:val="0D0D0D" w:themeColor="text1" w:themeTint="F2"/>
        </w:rPr>
        <w:t>The stereotype of nursing as a feminine profession can lead to a societal assumption that men in such roles might not be heterosexual (Williams, 1993)</w:t>
      </w:r>
      <w:r w:rsidR="00455214" w:rsidRPr="00252CDE">
        <w:rPr>
          <w:rFonts w:ascii="Calibri" w:hAnsi="Calibri" w:cs="Calibri"/>
          <w:color w:val="0D0D0D" w:themeColor="text1" w:themeTint="F2"/>
        </w:rPr>
        <w:t xml:space="preserve">, </w:t>
      </w:r>
      <w:r w:rsidR="00E96C59" w:rsidRPr="00252CDE">
        <w:rPr>
          <w:rFonts w:ascii="Calibri" w:hAnsi="Calibri" w:cs="Calibri"/>
          <w:color w:val="0D0D0D" w:themeColor="text1" w:themeTint="F2"/>
        </w:rPr>
        <w:t>w</w:t>
      </w:r>
      <w:r w:rsidR="0006524C" w:rsidRPr="00252CDE">
        <w:rPr>
          <w:rFonts w:ascii="Calibri" w:hAnsi="Calibri" w:cs="Calibri"/>
          <w:color w:val="0D0D0D" w:themeColor="text1" w:themeTint="F2"/>
        </w:rPr>
        <w:t xml:space="preserve">hich </w:t>
      </w:r>
      <w:r w:rsidR="00E96C59" w:rsidRPr="00252CDE">
        <w:rPr>
          <w:rFonts w:ascii="Calibri" w:hAnsi="Calibri" w:cs="Calibri"/>
          <w:color w:val="0D0D0D" w:themeColor="text1" w:themeTint="F2"/>
        </w:rPr>
        <w:t xml:space="preserve">Adeniji </w:t>
      </w:r>
      <w:r w:rsidR="00E96C59" w:rsidRPr="00252CDE">
        <w:rPr>
          <w:rFonts w:ascii="Calibri" w:hAnsi="Calibri" w:cs="Calibri"/>
          <w:i/>
          <w:iCs/>
          <w:color w:val="0D0D0D" w:themeColor="text1" w:themeTint="F2"/>
        </w:rPr>
        <w:t>et al</w:t>
      </w:r>
      <w:r w:rsidR="00E96C59" w:rsidRPr="00252CDE">
        <w:rPr>
          <w:rFonts w:ascii="Calibri" w:hAnsi="Calibri" w:cs="Calibri"/>
          <w:color w:val="0D0D0D" w:themeColor="text1" w:themeTint="F2"/>
        </w:rPr>
        <w:t>. (2015) suggest</w:t>
      </w:r>
      <w:r w:rsidR="0006524C" w:rsidRPr="00252CDE">
        <w:rPr>
          <w:rFonts w:ascii="Calibri" w:hAnsi="Calibri" w:cs="Calibri"/>
          <w:color w:val="0D0D0D" w:themeColor="text1" w:themeTint="F2"/>
        </w:rPr>
        <w:t xml:space="preserve"> </w:t>
      </w:r>
      <w:r w:rsidRPr="00252CDE">
        <w:rPr>
          <w:rFonts w:ascii="Calibri" w:hAnsi="Calibri" w:cs="Calibri"/>
          <w:color w:val="0D0D0D" w:themeColor="text1" w:themeTint="F2"/>
        </w:rPr>
        <w:t>can range from subtle curiosity to overt questioning about their private lives.</w:t>
      </w:r>
      <w:r w:rsidR="00F62097"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Studies, such as that by Harding (2007), have shown that male nurses may feel compelled to actively assert their heterosexuality to counter these prevailing stereotypes. </w:t>
      </w:r>
      <w:r w:rsidR="0033091E" w:rsidRPr="00252CDE">
        <w:rPr>
          <w:rFonts w:ascii="Calibri" w:hAnsi="Calibri" w:cs="Calibri"/>
          <w:color w:val="0D0D0D" w:themeColor="text1" w:themeTint="F2"/>
        </w:rPr>
        <w:t xml:space="preserve"> </w:t>
      </w:r>
      <w:r w:rsidR="007F6E9A" w:rsidRPr="00252CDE">
        <w:rPr>
          <w:rFonts w:ascii="Calibri" w:hAnsi="Calibri" w:cs="Calibri"/>
          <w:color w:val="0D0D0D" w:themeColor="text1" w:themeTint="F2"/>
        </w:rPr>
        <w:t>Harding's (20</w:t>
      </w:r>
      <w:r w:rsidR="0063134E" w:rsidRPr="00252CDE">
        <w:rPr>
          <w:rFonts w:ascii="Calibri" w:hAnsi="Calibri" w:cs="Calibri"/>
          <w:color w:val="0D0D0D" w:themeColor="text1" w:themeTint="F2"/>
        </w:rPr>
        <w:t>0</w:t>
      </w:r>
      <w:r w:rsidR="007F6E9A" w:rsidRPr="00252CDE">
        <w:rPr>
          <w:rFonts w:ascii="Calibri" w:hAnsi="Calibri" w:cs="Calibri"/>
          <w:color w:val="0D0D0D" w:themeColor="text1" w:themeTint="F2"/>
        </w:rPr>
        <w:t>7) research explored how the stereotype of men in nursing as 'gay' affected the experiences of 18 heterosexual male nursing students and qualified nurses. The study</w:t>
      </w:r>
      <w:r w:rsidR="001578FB" w:rsidRPr="00252CDE">
        <w:rPr>
          <w:rFonts w:ascii="Calibri" w:hAnsi="Calibri" w:cs="Calibri"/>
          <w:color w:val="0D0D0D" w:themeColor="text1" w:themeTint="F2"/>
        </w:rPr>
        <w:t>,</w:t>
      </w:r>
      <w:r w:rsidR="007F6E9A" w:rsidRPr="00252CDE">
        <w:rPr>
          <w:rFonts w:ascii="Calibri" w:hAnsi="Calibri" w:cs="Calibri"/>
          <w:color w:val="0D0D0D" w:themeColor="text1" w:themeTint="F2"/>
        </w:rPr>
        <w:t xml:space="preserve"> </w:t>
      </w:r>
      <w:r w:rsidR="00B67A6E" w:rsidRPr="00252CDE">
        <w:rPr>
          <w:rFonts w:ascii="Calibri" w:hAnsi="Calibri" w:cs="Calibri"/>
          <w:color w:val="0D0D0D" w:themeColor="text1" w:themeTint="F2"/>
        </w:rPr>
        <w:t>undertaken in New Zealand</w:t>
      </w:r>
      <w:r w:rsidR="001578FB" w:rsidRPr="00252CDE">
        <w:rPr>
          <w:rFonts w:ascii="Calibri" w:hAnsi="Calibri" w:cs="Calibri"/>
          <w:color w:val="0D0D0D" w:themeColor="text1" w:themeTint="F2"/>
        </w:rPr>
        <w:t xml:space="preserve">, </w:t>
      </w:r>
      <w:r w:rsidR="007F6E9A" w:rsidRPr="00252CDE">
        <w:rPr>
          <w:rFonts w:ascii="Calibri" w:hAnsi="Calibri" w:cs="Calibri"/>
          <w:color w:val="0D0D0D" w:themeColor="text1" w:themeTint="F2"/>
        </w:rPr>
        <w:t>revealed</w:t>
      </w:r>
      <w:r w:rsidR="00171384" w:rsidRPr="00252CDE">
        <w:rPr>
          <w:rFonts w:ascii="Calibri" w:hAnsi="Calibri" w:cs="Calibri"/>
          <w:color w:val="0D0D0D" w:themeColor="text1" w:themeTint="F2"/>
        </w:rPr>
        <w:t>,</w:t>
      </w:r>
      <w:r w:rsidR="007F6E9A" w:rsidRPr="00252CDE">
        <w:rPr>
          <w:rFonts w:ascii="Calibri" w:hAnsi="Calibri" w:cs="Calibri"/>
          <w:color w:val="0D0D0D" w:themeColor="text1" w:themeTint="F2"/>
        </w:rPr>
        <w:t xml:space="preserve"> </w:t>
      </w:r>
      <w:r w:rsidR="00E65EF9" w:rsidRPr="00252CDE">
        <w:rPr>
          <w:rFonts w:ascii="Calibri" w:hAnsi="Calibri" w:cs="Calibri"/>
          <w:color w:val="0D0D0D" w:themeColor="text1" w:themeTint="F2"/>
        </w:rPr>
        <w:t xml:space="preserve">through </w:t>
      </w:r>
      <w:r w:rsidR="00171384" w:rsidRPr="00252CDE">
        <w:rPr>
          <w:rFonts w:ascii="Calibri" w:hAnsi="Calibri" w:cs="Calibri"/>
          <w:color w:val="0D0D0D" w:themeColor="text1" w:themeTint="F2"/>
        </w:rPr>
        <w:t xml:space="preserve">qualitative interviews, </w:t>
      </w:r>
      <w:r w:rsidR="007F6E9A" w:rsidRPr="00252CDE">
        <w:rPr>
          <w:rFonts w:ascii="Calibri" w:hAnsi="Calibri" w:cs="Calibri"/>
          <w:color w:val="0D0D0D" w:themeColor="text1" w:themeTint="F2"/>
        </w:rPr>
        <w:t xml:space="preserve">that participants encountered this stereotype throughout their careers, faced instances of homophobia in both clinical placements and employment, and felt compelled to employ strategies, such as overtly displaying masculine behaviours, to affirm their heterosexuality. </w:t>
      </w:r>
      <w:r w:rsidR="0033091E" w:rsidRPr="00252CDE">
        <w:rPr>
          <w:rFonts w:ascii="Calibri" w:hAnsi="Calibri" w:cs="Calibri"/>
          <w:color w:val="0D0D0D" w:themeColor="text1" w:themeTint="F2"/>
        </w:rPr>
        <w:t xml:space="preserve"> </w:t>
      </w:r>
      <w:r w:rsidR="007F6E9A" w:rsidRPr="00252CDE">
        <w:rPr>
          <w:rFonts w:ascii="Calibri" w:hAnsi="Calibri" w:cs="Calibri"/>
          <w:color w:val="0D0D0D" w:themeColor="text1" w:themeTint="F2"/>
        </w:rPr>
        <w:t>Baker, Fisher, and Pryor (202</w:t>
      </w:r>
      <w:r w:rsidR="009E5F4F" w:rsidRPr="00252CDE">
        <w:rPr>
          <w:rFonts w:ascii="Calibri" w:hAnsi="Calibri" w:cs="Calibri"/>
          <w:color w:val="0D0D0D" w:themeColor="text1" w:themeTint="F2"/>
        </w:rPr>
        <w:t>2</w:t>
      </w:r>
      <w:r w:rsidR="007F6E9A" w:rsidRPr="00252CDE">
        <w:rPr>
          <w:rFonts w:ascii="Calibri" w:hAnsi="Calibri" w:cs="Calibri"/>
          <w:color w:val="0D0D0D" w:themeColor="text1" w:themeTint="F2"/>
        </w:rPr>
        <w:t xml:space="preserve">) </w:t>
      </w:r>
      <w:r w:rsidR="0006298F" w:rsidRPr="00252CDE">
        <w:rPr>
          <w:rFonts w:ascii="Calibri" w:hAnsi="Calibri" w:cs="Calibri"/>
          <w:color w:val="0D0D0D" w:themeColor="text1" w:themeTint="F2"/>
        </w:rPr>
        <w:t xml:space="preserve">produced similar findings </w:t>
      </w:r>
      <w:r w:rsidR="00160973" w:rsidRPr="00252CDE">
        <w:rPr>
          <w:rFonts w:ascii="Calibri" w:hAnsi="Calibri" w:cs="Calibri"/>
          <w:color w:val="0D0D0D" w:themeColor="text1" w:themeTint="F2"/>
        </w:rPr>
        <w:t xml:space="preserve">in Australia; </w:t>
      </w:r>
      <w:r w:rsidR="00391F08" w:rsidRPr="00252CDE">
        <w:rPr>
          <w:rFonts w:ascii="Calibri" w:hAnsi="Calibri" w:cs="Calibri"/>
          <w:color w:val="0D0D0D" w:themeColor="text1" w:themeTint="F2"/>
        </w:rPr>
        <w:t>through semi-structured interviews</w:t>
      </w:r>
      <w:r w:rsidR="00BB7E34" w:rsidRPr="00252CDE">
        <w:rPr>
          <w:rFonts w:ascii="Calibri" w:hAnsi="Calibri" w:cs="Calibri"/>
          <w:color w:val="0D0D0D" w:themeColor="text1" w:themeTint="F2"/>
        </w:rPr>
        <w:t xml:space="preserve"> with </w:t>
      </w:r>
      <w:r w:rsidR="00332964" w:rsidRPr="00252CDE">
        <w:rPr>
          <w:rFonts w:ascii="Calibri" w:hAnsi="Calibri" w:cs="Calibri"/>
          <w:color w:val="0D0D0D" w:themeColor="text1" w:themeTint="F2"/>
        </w:rPr>
        <w:t xml:space="preserve">15 </w:t>
      </w:r>
      <w:r w:rsidR="00A40AA7" w:rsidRPr="00252CDE">
        <w:rPr>
          <w:rFonts w:ascii="Calibri" w:hAnsi="Calibri" w:cs="Calibri"/>
          <w:color w:val="0D0D0D" w:themeColor="text1" w:themeTint="F2"/>
        </w:rPr>
        <w:t>rehabilitation in</w:t>
      </w:r>
      <w:r w:rsidR="00BB7E34" w:rsidRPr="00252CDE">
        <w:rPr>
          <w:rFonts w:ascii="Calibri" w:hAnsi="Calibri" w:cs="Calibri"/>
          <w:color w:val="0D0D0D" w:themeColor="text1" w:themeTint="F2"/>
        </w:rPr>
        <w:t>patients</w:t>
      </w:r>
      <w:r w:rsidR="00137B4B" w:rsidRPr="00252CDE">
        <w:rPr>
          <w:rFonts w:ascii="Calibri" w:hAnsi="Calibri" w:cs="Calibri"/>
          <w:color w:val="0D0D0D" w:themeColor="text1" w:themeTint="F2"/>
        </w:rPr>
        <w:t xml:space="preserve">, and the observation over a </w:t>
      </w:r>
      <w:r w:rsidR="002B37F5" w:rsidRPr="00252CDE">
        <w:rPr>
          <w:rFonts w:ascii="Calibri" w:hAnsi="Calibri" w:cs="Calibri"/>
          <w:color w:val="0D0D0D" w:themeColor="text1" w:themeTint="F2"/>
        </w:rPr>
        <w:t>six-month</w:t>
      </w:r>
      <w:r w:rsidR="00137B4B" w:rsidRPr="00252CDE">
        <w:rPr>
          <w:rFonts w:ascii="Calibri" w:hAnsi="Calibri" w:cs="Calibri"/>
          <w:color w:val="0D0D0D" w:themeColor="text1" w:themeTint="F2"/>
        </w:rPr>
        <w:t xml:space="preserve"> period of 11 male nurses</w:t>
      </w:r>
      <w:r w:rsidR="00D679C2" w:rsidRPr="00252CDE">
        <w:rPr>
          <w:rFonts w:ascii="Calibri" w:hAnsi="Calibri" w:cs="Calibri"/>
          <w:color w:val="0D0D0D" w:themeColor="text1" w:themeTint="F2"/>
        </w:rPr>
        <w:t xml:space="preserve">, </w:t>
      </w:r>
      <w:r w:rsidR="00E9579D" w:rsidRPr="00252CDE">
        <w:rPr>
          <w:rFonts w:ascii="Calibri" w:hAnsi="Calibri" w:cs="Calibri"/>
          <w:color w:val="0D0D0D" w:themeColor="text1" w:themeTint="F2"/>
        </w:rPr>
        <w:t xml:space="preserve">the </w:t>
      </w:r>
      <w:r w:rsidR="00FE27E0" w:rsidRPr="00252CDE">
        <w:rPr>
          <w:rFonts w:ascii="Calibri" w:hAnsi="Calibri" w:cs="Calibri"/>
          <w:color w:val="0D0D0D" w:themeColor="text1" w:themeTint="F2"/>
        </w:rPr>
        <w:t xml:space="preserve">study </w:t>
      </w:r>
      <w:r w:rsidR="00E9579D" w:rsidRPr="00252CDE">
        <w:rPr>
          <w:rFonts w:ascii="Calibri" w:hAnsi="Calibri" w:cs="Calibri"/>
          <w:color w:val="0D0D0D" w:themeColor="text1" w:themeTint="F2"/>
        </w:rPr>
        <w:t xml:space="preserve">aim was to detail the common concern regarding the 'potential for misinterpretation'. This central social issue was identified in their </w:t>
      </w:r>
      <w:r w:rsidR="00FE27E0" w:rsidRPr="00252CDE">
        <w:rPr>
          <w:rFonts w:ascii="Calibri" w:hAnsi="Calibri" w:cs="Calibri"/>
          <w:color w:val="0D0D0D" w:themeColor="text1" w:themeTint="F2"/>
        </w:rPr>
        <w:t xml:space="preserve">earlier </w:t>
      </w:r>
      <w:r w:rsidR="00E9579D" w:rsidRPr="00252CDE">
        <w:rPr>
          <w:rFonts w:ascii="Calibri" w:hAnsi="Calibri" w:cs="Calibri"/>
          <w:color w:val="0D0D0D" w:themeColor="text1" w:themeTint="F2"/>
        </w:rPr>
        <w:t xml:space="preserve">grounded theory research, which explored </w:t>
      </w:r>
      <w:r w:rsidR="002B37F5" w:rsidRPr="00252CDE">
        <w:rPr>
          <w:rFonts w:ascii="Calibri" w:hAnsi="Calibri" w:cs="Calibri"/>
          <w:color w:val="0D0D0D" w:themeColor="text1" w:themeTint="F2"/>
        </w:rPr>
        <w:t xml:space="preserve">the practice of </w:t>
      </w:r>
      <w:r w:rsidR="00E9579D" w:rsidRPr="00252CDE">
        <w:rPr>
          <w:rFonts w:ascii="Calibri" w:hAnsi="Calibri" w:cs="Calibri"/>
          <w:color w:val="0D0D0D" w:themeColor="text1" w:themeTint="F2"/>
        </w:rPr>
        <w:t>male nurses</w:t>
      </w:r>
      <w:r w:rsidR="002B37F5" w:rsidRPr="00252CDE">
        <w:rPr>
          <w:rFonts w:ascii="Calibri" w:hAnsi="Calibri" w:cs="Calibri"/>
          <w:color w:val="0D0D0D" w:themeColor="text1" w:themeTint="F2"/>
        </w:rPr>
        <w:t>.</w:t>
      </w:r>
      <w:r w:rsidR="008826A9" w:rsidRPr="00252CDE">
        <w:rPr>
          <w:rFonts w:ascii="Calibri" w:hAnsi="Calibri" w:cs="Calibri"/>
          <w:color w:val="0D0D0D" w:themeColor="text1" w:themeTint="F2"/>
        </w:rPr>
        <w:t xml:space="preserve">  </w:t>
      </w:r>
      <w:r w:rsidR="009E5F4F" w:rsidRPr="00252CDE">
        <w:rPr>
          <w:rFonts w:ascii="Calibri" w:hAnsi="Calibri" w:cs="Calibri"/>
          <w:color w:val="0D0D0D" w:themeColor="text1" w:themeTint="F2"/>
        </w:rPr>
        <w:t xml:space="preserve">The 2022 </w:t>
      </w:r>
      <w:r w:rsidR="001D25F6" w:rsidRPr="00252CDE">
        <w:rPr>
          <w:rFonts w:ascii="Calibri" w:hAnsi="Calibri" w:cs="Calibri"/>
          <w:color w:val="0D0D0D" w:themeColor="text1" w:themeTint="F2"/>
        </w:rPr>
        <w:t>study</w:t>
      </w:r>
      <w:r w:rsidR="007714BC" w:rsidRPr="00252CDE">
        <w:rPr>
          <w:rFonts w:ascii="Calibri" w:hAnsi="Calibri" w:cs="Calibri"/>
          <w:color w:val="0D0D0D" w:themeColor="text1" w:themeTint="F2"/>
        </w:rPr>
        <w:t xml:space="preserve"> </w:t>
      </w:r>
      <w:r w:rsidR="001D25F6" w:rsidRPr="00252CDE">
        <w:rPr>
          <w:rFonts w:ascii="Calibri" w:hAnsi="Calibri" w:cs="Calibri"/>
          <w:color w:val="0D0D0D" w:themeColor="text1" w:themeTint="F2"/>
        </w:rPr>
        <w:t>rep</w:t>
      </w:r>
      <w:r w:rsidR="00862199" w:rsidRPr="00252CDE">
        <w:rPr>
          <w:rFonts w:ascii="Calibri" w:hAnsi="Calibri" w:cs="Calibri"/>
          <w:color w:val="0D0D0D" w:themeColor="text1" w:themeTint="F2"/>
        </w:rPr>
        <w:t>orts</w:t>
      </w:r>
      <w:r w:rsidR="00CC282D" w:rsidRPr="00252CDE">
        <w:rPr>
          <w:rFonts w:ascii="Calibri" w:hAnsi="Calibri" w:cs="Calibri"/>
          <w:color w:val="0D0D0D" w:themeColor="text1" w:themeTint="F2"/>
        </w:rPr>
        <w:t xml:space="preserve"> patient perceptions </w:t>
      </w:r>
      <w:r w:rsidR="00862199" w:rsidRPr="00252CDE">
        <w:rPr>
          <w:rFonts w:ascii="Calibri" w:hAnsi="Calibri" w:cs="Calibri"/>
          <w:color w:val="0D0D0D" w:themeColor="text1" w:themeTint="F2"/>
        </w:rPr>
        <w:t xml:space="preserve">of </w:t>
      </w:r>
      <w:r w:rsidR="00F41FFB" w:rsidRPr="00252CDE">
        <w:rPr>
          <w:rFonts w:ascii="Calibri" w:hAnsi="Calibri" w:cs="Calibri"/>
          <w:color w:val="0D0D0D" w:themeColor="text1" w:themeTint="F2"/>
        </w:rPr>
        <w:t xml:space="preserve">nursing </w:t>
      </w:r>
      <w:r w:rsidR="00862199" w:rsidRPr="00252CDE">
        <w:rPr>
          <w:rFonts w:ascii="Calibri" w:hAnsi="Calibri" w:cs="Calibri"/>
          <w:color w:val="0D0D0D" w:themeColor="text1" w:themeTint="F2"/>
        </w:rPr>
        <w:t xml:space="preserve">as </w:t>
      </w:r>
      <w:r w:rsidR="00F41FFB" w:rsidRPr="00252CDE">
        <w:rPr>
          <w:rFonts w:ascii="Calibri" w:hAnsi="Calibri" w:cs="Calibri"/>
          <w:color w:val="0D0D0D" w:themeColor="text1" w:themeTint="F2"/>
        </w:rPr>
        <w:t xml:space="preserve">the </w:t>
      </w:r>
      <w:r w:rsidR="00CC4845" w:rsidRPr="00252CDE">
        <w:rPr>
          <w:rFonts w:ascii="Calibri" w:hAnsi="Calibri" w:cs="Calibri"/>
          <w:color w:val="0D0D0D" w:themeColor="text1" w:themeTint="F2"/>
        </w:rPr>
        <w:t>‘</w:t>
      </w:r>
      <w:r w:rsidR="00F41FFB" w:rsidRPr="00252CDE">
        <w:rPr>
          <w:rFonts w:ascii="Calibri" w:hAnsi="Calibri" w:cs="Calibri"/>
          <w:color w:val="0D0D0D" w:themeColor="text1" w:themeTint="F2"/>
        </w:rPr>
        <w:t>work of women</w:t>
      </w:r>
      <w:r w:rsidR="00CC4845" w:rsidRPr="00252CDE">
        <w:rPr>
          <w:rFonts w:ascii="Calibri" w:hAnsi="Calibri" w:cs="Calibri"/>
          <w:color w:val="0D0D0D" w:themeColor="text1" w:themeTint="F2"/>
        </w:rPr>
        <w:t>’</w:t>
      </w:r>
      <w:r w:rsidR="00F41FFB" w:rsidRPr="00252CDE">
        <w:rPr>
          <w:rFonts w:ascii="Calibri" w:hAnsi="Calibri" w:cs="Calibri"/>
          <w:color w:val="0D0D0D" w:themeColor="text1" w:themeTint="F2"/>
        </w:rPr>
        <w:t xml:space="preserve">, that </w:t>
      </w:r>
      <w:r w:rsidR="00E05B5E" w:rsidRPr="00252CDE">
        <w:rPr>
          <w:rFonts w:ascii="Calibri" w:hAnsi="Calibri" w:cs="Calibri"/>
          <w:color w:val="0D0D0D" w:themeColor="text1" w:themeTint="F2"/>
        </w:rPr>
        <w:t>most</w:t>
      </w:r>
      <w:r w:rsidR="007A3CDD" w:rsidRPr="00252CDE">
        <w:rPr>
          <w:rFonts w:ascii="Calibri" w:hAnsi="Calibri" w:cs="Calibri"/>
          <w:color w:val="0D0D0D" w:themeColor="text1" w:themeTint="F2"/>
        </w:rPr>
        <w:t xml:space="preserve"> male nurses</w:t>
      </w:r>
      <w:r w:rsidR="0004444D" w:rsidRPr="00252CDE">
        <w:rPr>
          <w:rFonts w:ascii="Calibri" w:hAnsi="Calibri" w:cs="Calibri"/>
          <w:color w:val="0D0D0D" w:themeColor="text1" w:themeTint="F2"/>
        </w:rPr>
        <w:t xml:space="preserve"> were </w:t>
      </w:r>
      <w:r w:rsidR="00CC4845" w:rsidRPr="00252CDE">
        <w:rPr>
          <w:rFonts w:ascii="Calibri" w:hAnsi="Calibri" w:cs="Calibri"/>
          <w:color w:val="0D0D0D" w:themeColor="text1" w:themeTint="F2"/>
        </w:rPr>
        <w:t>‘</w:t>
      </w:r>
      <w:r w:rsidR="0004444D" w:rsidRPr="00252CDE">
        <w:rPr>
          <w:rFonts w:ascii="Calibri" w:hAnsi="Calibri" w:cs="Calibri"/>
          <w:color w:val="0D0D0D" w:themeColor="text1" w:themeTint="F2"/>
        </w:rPr>
        <w:t>not heterosexual</w:t>
      </w:r>
      <w:r w:rsidR="00CC4845" w:rsidRPr="00252CDE">
        <w:rPr>
          <w:rFonts w:ascii="Calibri" w:hAnsi="Calibri" w:cs="Calibri"/>
          <w:color w:val="0D0D0D" w:themeColor="text1" w:themeTint="F2"/>
        </w:rPr>
        <w:t>’</w:t>
      </w:r>
      <w:r w:rsidR="00F56A0E" w:rsidRPr="00252CDE">
        <w:rPr>
          <w:rFonts w:ascii="Calibri" w:hAnsi="Calibri" w:cs="Calibri"/>
          <w:color w:val="0D0D0D" w:themeColor="text1" w:themeTint="F2"/>
        </w:rPr>
        <w:t xml:space="preserve">, </w:t>
      </w:r>
      <w:r w:rsidR="0004444D" w:rsidRPr="00252CDE">
        <w:rPr>
          <w:rFonts w:ascii="Calibri" w:hAnsi="Calibri" w:cs="Calibri"/>
          <w:color w:val="0D0D0D" w:themeColor="text1" w:themeTint="F2"/>
        </w:rPr>
        <w:t>and</w:t>
      </w:r>
      <w:r w:rsidR="009E46BC" w:rsidRPr="00252CDE">
        <w:rPr>
          <w:rFonts w:ascii="Calibri" w:hAnsi="Calibri" w:cs="Calibri"/>
          <w:color w:val="0D0D0D" w:themeColor="text1" w:themeTint="F2"/>
        </w:rPr>
        <w:t xml:space="preserve"> </w:t>
      </w:r>
      <w:r w:rsidR="00F56A0E" w:rsidRPr="00252CDE">
        <w:rPr>
          <w:rFonts w:ascii="Calibri" w:hAnsi="Calibri" w:cs="Calibri"/>
          <w:color w:val="0D0D0D" w:themeColor="text1" w:themeTint="F2"/>
        </w:rPr>
        <w:t xml:space="preserve">additionally </w:t>
      </w:r>
      <w:r w:rsidR="00F41FFB" w:rsidRPr="00252CDE">
        <w:rPr>
          <w:rFonts w:ascii="Calibri" w:hAnsi="Calibri" w:cs="Calibri"/>
          <w:color w:val="0D0D0D" w:themeColor="text1" w:themeTint="F2"/>
        </w:rPr>
        <w:t xml:space="preserve">pose a </w:t>
      </w:r>
      <w:r w:rsidR="00CC4845" w:rsidRPr="00252CDE">
        <w:rPr>
          <w:rFonts w:ascii="Calibri" w:hAnsi="Calibri" w:cs="Calibri"/>
          <w:color w:val="0D0D0D" w:themeColor="text1" w:themeTint="F2"/>
        </w:rPr>
        <w:t>‘</w:t>
      </w:r>
      <w:r w:rsidR="009E5F4F" w:rsidRPr="00252CDE">
        <w:rPr>
          <w:rFonts w:ascii="Calibri" w:hAnsi="Calibri" w:cs="Calibri"/>
          <w:color w:val="0D0D0D" w:themeColor="text1" w:themeTint="F2"/>
        </w:rPr>
        <w:t>sexual threat</w:t>
      </w:r>
      <w:r w:rsidR="00CC4845" w:rsidRPr="00252CDE">
        <w:rPr>
          <w:rFonts w:ascii="Calibri" w:hAnsi="Calibri" w:cs="Calibri"/>
          <w:color w:val="0D0D0D" w:themeColor="text1" w:themeTint="F2"/>
        </w:rPr>
        <w:t>’</w:t>
      </w:r>
      <w:r w:rsidR="007C6700" w:rsidRPr="00252CDE">
        <w:rPr>
          <w:rFonts w:ascii="Calibri" w:hAnsi="Calibri" w:cs="Calibri"/>
          <w:color w:val="0D0D0D" w:themeColor="text1" w:themeTint="F2"/>
        </w:rPr>
        <w:t>; the</w:t>
      </w:r>
      <w:r w:rsidR="003E1962" w:rsidRPr="00252CDE">
        <w:rPr>
          <w:rFonts w:ascii="Calibri" w:hAnsi="Calibri" w:cs="Calibri"/>
          <w:color w:val="0D0D0D" w:themeColor="text1" w:themeTint="F2"/>
        </w:rPr>
        <w:t xml:space="preserve"> researchers</w:t>
      </w:r>
      <w:r w:rsidR="007C6700" w:rsidRPr="00252CDE">
        <w:rPr>
          <w:rFonts w:ascii="Calibri" w:hAnsi="Calibri" w:cs="Calibri"/>
          <w:color w:val="0D0D0D" w:themeColor="text1" w:themeTint="F2"/>
        </w:rPr>
        <w:t xml:space="preserve"> also noted </w:t>
      </w:r>
      <w:r w:rsidR="00CC4845" w:rsidRPr="00252CDE">
        <w:rPr>
          <w:rFonts w:ascii="Calibri" w:hAnsi="Calibri" w:cs="Calibri"/>
          <w:color w:val="0D0D0D" w:themeColor="text1" w:themeTint="F2"/>
        </w:rPr>
        <w:t>an</w:t>
      </w:r>
      <w:r w:rsidR="007C6700" w:rsidRPr="00252CDE">
        <w:rPr>
          <w:rFonts w:ascii="Calibri" w:hAnsi="Calibri" w:cs="Calibri"/>
          <w:color w:val="0D0D0D" w:themeColor="text1" w:themeTint="F2"/>
        </w:rPr>
        <w:t xml:space="preserve"> </w:t>
      </w:r>
      <w:r w:rsidR="002D3C78" w:rsidRPr="00252CDE">
        <w:rPr>
          <w:rFonts w:ascii="Calibri" w:hAnsi="Calibri" w:cs="Calibri"/>
          <w:color w:val="0D0D0D" w:themeColor="text1" w:themeTint="F2"/>
        </w:rPr>
        <w:t>understanding</w:t>
      </w:r>
      <w:r w:rsidR="007C6700" w:rsidRPr="00252CDE">
        <w:rPr>
          <w:rFonts w:ascii="Calibri" w:hAnsi="Calibri" w:cs="Calibri"/>
          <w:color w:val="0D0D0D" w:themeColor="text1" w:themeTint="F2"/>
        </w:rPr>
        <w:t xml:space="preserve"> </w:t>
      </w:r>
      <w:r w:rsidR="00CC4845" w:rsidRPr="00252CDE">
        <w:rPr>
          <w:rFonts w:ascii="Calibri" w:hAnsi="Calibri" w:cs="Calibri"/>
          <w:color w:val="0D0D0D" w:themeColor="text1" w:themeTint="F2"/>
        </w:rPr>
        <w:t>by</w:t>
      </w:r>
      <w:r w:rsidR="007C6700" w:rsidRPr="00252CDE">
        <w:rPr>
          <w:rFonts w:ascii="Calibri" w:hAnsi="Calibri" w:cs="Calibri"/>
          <w:color w:val="0D0D0D" w:themeColor="text1" w:themeTint="F2"/>
        </w:rPr>
        <w:t xml:space="preserve"> male nurses that </w:t>
      </w:r>
      <w:r w:rsidR="00C156B2" w:rsidRPr="00252CDE">
        <w:rPr>
          <w:rFonts w:ascii="Calibri" w:hAnsi="Calibri" w:cs="Calibri"/>
          <w:color w:val="0D0D0D" w:themeColor="text1" w:themeTint="F2"/>
        </w:rPr>
        <w:t xml:space="preserve">the ‘potential for misinterpretation’ was present </w:t>
      </w:r>
      <w:r w:rsidR="005C623B" w:rsidRPr="00252CDE">
        <w:rPr>
          <w:rFonts w:ascii="Calibri" w:hAnsi="Calibri" w:cs="Calibri"/>
          <w:color w:val="0D0D0D" w:themeColor="text1" w:themeTint="F2"/>
        </w:rPr>
        <w:t>daily</w:t>
      </w:r>
      <w:r w:rsidR="00C156B2" w:rsidRPr="00252CDE">
        <w:rPr>
          <w:rFonts w:ascii="Calibri" w:hAnsi="Calibri" w:cs="Calibri"/>
          <w:color w:val="0D0D0D" w:themeColor="text1" w:themeTint="F2"/>
        </w:rPr>
        <w:t xml:space="preserve">. </w:t>
      </w:r>
      <w:r w:rsidR="00073A68" w:rsidRPr="00252CDE">
        <w:rPr>
          <w:rFonts w:ascii="Calibri" w:hAnsi="Calibri" w:cs="Calibri"/>
          <w:color w:val="0D0D0D" w:themeColor="text1" w:themeTint="F2"/>
        </w:rPr>
        <w:t xml:space="preserve"> This</w:t>
      </w:r>
      <w:r w:rsidR="007F6E9A" w:rsidRPr="00252CDE">
        <w:rPr>
          <w:rFonts w:ascii="Calibri" w:hAnsi="Calibri" w:cs="Calibri"/>
          <w:color w:val="0D0D0D" w:themeColor="text1" w:themeTint="F2"/>
        </w:rPr>
        <w:t xml:space="preserve"> unsubstantiated link made between homosexuality and sexual predation can impede the delivery of personal care, particularly to male patients</w:t>
      </w:r>
      <w:r w:rsidR="005D4F7D" w:rsidRPr="00252CDE">
        <w:rPr>
          <w:rFonts w:ascii="Calibri" w:hAnsi="Calibri" w:cs="Calibri"/>
          <w:color w:val="0D0D0D" w:themeColor="text1" w:themeTint="F2"/>
        </w:rPr>
        <w:t xml:space="preserve"> </w:t>
      </w:r>
      <w:r w:rsidR="007D5FDC" w:rsidRPr="00252CDE">
        <w:rPr>
          <w:rFonts w:ascii="Calibri" w:hAnsi="Calibri" w:cs="Calibri"/>
          <w:color w:val="0D0D0D" w:themeColor="text1" w:themeTint="F2"/>
        </w:rPr>
        <w:t>(</w:t>
      </w:r>
      <w:r w:rsidR="005D4F7D" w:rsidRPr="00252CDE">
        <w:rPr>
          <w:rFonts w:ascii="Calibri" w:hAnsi="Calibri" w:cs="Calibri"/>
          <w:color w:val="0D0D0D" w:themeColor="text1" w:themeTint="F2"/>
        </w:rPr>
        <w:t>Harding, North and Perkins, 2008</w:t>
      </w:r>
      <w:r w:rsidR="00AE2152" w:rsidRPr="00252CDE">
        <w:rPr>
          <w:rFonts w:ascii="Calibri" w:hAnsi="Calibri" w:cs="Calibri"/>
          <w:color w:val="0D0D0D" w:themeColor="text1" w:themeTint="F2"/>
        </w:rPr>
        <w:t>) and</w:t>
      </w:r>
      <w:r w:rsidR="000162AC" w:rsidRPr="00252CDE">
        <w:rPr>
          <w:rFonts w:ascii="Calibri" w:hAnsi="Calibri" w:cs="Calibri"/>
          <w:color w:val="0D0D0D" w:themeColor="text1" w:themeTint="F2"/>
        </w:rPr>
        <w:t xml:space="preserve"> can be linked to the claims made </w:t>
      </w:r>
      <w:r w:rsidR="00A44118" w:rsidRPr="00252CDE">
        <w:rPr>
          <w:rFonts w:ascii="Calibri" w:hAnsi="Calibri" w:cs="Calibri"/>
          <w:color w:val="0D0D0D" w:themeColor="text1" w:themeTint="F2"/>
        </w:rPr>
        <w:t xml:space="preserve">earlier in this literature review </w:t>
      </w:r>
      <w:r w:rsidR="00681FA5" w:rsidRPr="00252CDE">
        <w:rPr>
          <w:rFonts w:ascii="Calibri" w:hAnsi="Calibri" w:cs="Calibri"/>
          <w:color w:val="0D0D0D" w:themeColor="text1" w:themeTint="F2"/>
        </w:rPr>
        <w:t>by</w:t>
      </w:r>
      <w:r w:rsidR="00A44118" w:rsidRPr="00252CDE">
        <w:rPr>
          <w:rFonts w:ascii="Calibri" w:hAnsi="Calibri" w:cs="Calibri"/>
          <w:color w:val="0D0D0D" w:themeColor="text1" w:themeTint="F2"/>
        </w:rPr>
        <w:t xml:space="preserve"> Carter </w:t>
      </w:r>
      <w:r w:rsidR="00A44118" w:rsidRPr="00252CDE">
        <w:rPr>
          <w:rFonts w:ascii="Calibri" w:hAnsi="Calibri" w:cs="Calibri"/>
          <w:i/>
          <w:iCs/>
          <w:color w:val="0D0D0D" w:themeColor="text1" w:themeTint="F2"/>
        </w:rPr>
        <w:t>et al</w:t>
      </w:r>
      <w:r w:rsidR="00A44118" w:rsidRPr="00252CDE">
        <w:rPr>
          <w:rFonts w:ascii="Calibri" w:hAnsi="Calibri" w:cs="Calibri"/>
          <w:color w:val="0D0D0D" w:themeColor="text1" w:themeTint="F2"/>
        </w:rPr>
        <w:t>. (2025)</w:t>
      </w:r>
      <w:r w:rsidR="00A44118" w:rsidRPr="00F25936">
        <w:rPr>
          <w:rFonts w:ascii="Calibri" w:hAnsi="Calibri" w:cs="Calibri"/>
          <w:color w:val="0D0D0D" w:themeColor="text1" w:themeTint="F2"/>
        </w:rPr>
        <w:t xml:space="preserve"> </w:t>
      </w:r>
      <w:r w:rsidR="00151680" w:rsidRPr="00252CDE">
        <w:rPr>
          <w:rFonts w:ascii="Calibri" w:hAnsi="Calibri" w:cs="Calibri"/>
          <w:color w:val="0D0D0D" w:themeColor="text1" w:themeTint="F2"/>
        </w:rPr>
        <w:t xml:space="preserve">regarding </w:t>
      </w:r>
      <w:r w:rsidR="00356B46" w:rsidRPr="00252CDE">
        <w:rPr>
          <w:rFonts w:ascii="Calibri" w:hAnsi="Calibri" w:cs="Calibri"/>
          <w:color w:val="0D0D0D" w:themeColor="text1" w:themeTint="F2"/>
        </w:rPr>
        <w:t>the stigma of lack of trust of men in children’s nursing.</w:t>
      </w:r>
      <w:r w:rsidR="007F6E9A" w:rsidRPr="00252CDE">
        <w:rPr>
          <w:rFonts w:ascii="Calibri" w:hAnsi="Calibri" w:cs="Calibri"/>
          <w:color w:val="0D0D0D" w:themeColor="text1" w:themeTint="F2"/>
        </w:rPr>
        <w:t xml:space="preserve"> </w:t>
      </w:r>
      <w:r w:rsidR="00F9308F" w:rsidRPr="00252CDE">
        <w:rPr>
          <w:rFonts w:ascii="Calibri" w:hAnsi="Calibri" w:cs="Calibri"/>
          <w:color w:val="0D0D0D" w:themeColor="text1" w:themeTint="F2"/>
        </w:rPr>
        <w:t xml:space="preserve"> </w:t>
      </w:r>
      <w:r w:rsidR="007F6E9A" w:rsidRPr="00252CDE">
        <w:rPr>
          <w:rFonts w:ascii="Calibri" w:hAnsi="Calibri" w:cs="Calibri"/>
          <w:color w:val="0D0D0D" w:themeColor="text1" w:themeTint="F2"/>
        </w:rPr>
        <w:t xml:space="preserve">Furthermore, Chad </w:t>
      </w:r>
      <w:r w:rsidR="007F6E9A" w:rsidRPr="00252CDE">
        <w:rPr>
          <w:rFonts w:ascii="Calibri" w:hAnsi="Calibri" w:cs="Calibri"/>
          <w:i/>
          <w:iCs/>
          <w:color w:val="0D0D0D" w:themeColor="text1" w:themeTint="F2"/>
        </w:rPr>
        <w:t>et al</w:t>
      </w:r>
      <w:r w:rsidR="007F6E9A" w:rsidRPr="00252CDE">
        <w:rPr>
          <w:rFonts w:ascii="Calibri" w:hAnsi="Calibri" w:cs="Calibri"/>
          <w:color w:val="0D0D0D" w:themeColor="text1" w:themeTint="F2"/>
        </w:rPr>
        <w:t xml:space="preserve">. (2020) identify the presumption of </w:t>
      </w:r>
      <w:r w:rsidR="007F6E9A" w:rsidRPr="00252CDE">
        <w:rPr>
          <w:rFonts w:ascii="Calibri" w:hAnsi="Calibri" w:cs="Calibri"/>
          <w:color w:val="0D0D0D" w:themeColor="text1" w:themeTint="F2"/>
        </w:rPr>
        <w:lastRenderedPageBreak/>
        <w:t>homosexuality and the resulting marginalisation as a potential obstacle to both attracting and retaining male student</w:t>
      </w:r>
      <w:r w:rsidR="001C6552" w:rsidRPr="00252CDE">
        <w:rPr>
          <w:rFonts w:ascii="Calibri" w:hAnsi="Calibri" w:cs="Calibri"/>
          <w:color w:val="0D0D0D" w:themeColor="text1" w:themeTint="F2"/>
        </w:rPr>
        <w:t>s</w:t>
      </w:r>
      <w:r w:rsidR="00447CCA" w:rsidRPr="00252CDE">
        <w:rPr>
          <w:rFonts w:ascii="Calibri" w:hAnsi="Calibri" w:cs="Calibri"/>
          <w:color w:val="0D0D0D" w:themeColor="text1" w:themeTint="F2"/>
        </w:rPr>
        <w:t xml:space="preserve"> within</w:t>
      </w:r>
      <w:r w:rsidR="001C6552" w:rsidRPr="00252CDE">
        <w:rPr>
          <w:rFonts w:ascii="Calibri" w:hAnsi="Calibri" w:cs="Calibri"/>
          <w:color w:val="0D0D0D" w:themeColor="text1" w:themeTint="F2"/>
        </w:rPr>
        <w:t xml:space="preserve"> nurse education</w:t>
      </w:r>
      <w:r w:rsidR="007F6E9A" w:rsidRPr="00252CDE">
        <w:rPr>
          <w:rFonts w:ascii="Calibri" w:hAnsi="Calibri" w:cs="Calibri"/>
          <w:color w:val="0D0D0D" w:themeColor="text1" w:themeTint="F2"/>
        </w:rPr>
        <w:t>.</w:t>
      </w:r>
      <w:r w:rsidR="00C14431" w:rsidRPr="00252CDE">
        <w:rPr>
          <w:rFonts w:ascii="Calibri" w:hAnsi="Calibri" w:cs="Calibri"/>
          <w:color w:val="0D0D0D" w:themeColor="text1" w:themeTint="F2"/>
        </w:rPr>
        <w:t xml:space="preserve">  </w:t>
      </w:r>
      <w:r w:rsidR="00C11AD2" w:rsidRPr="00252CDE">
        <w:rPr>
          <w:rFonts w:ascii="Calibri" w:hAnsi="Calibri" w:cs="Calibri"/>
          <w:color w:val="0D0D0D" w:themeColor="text1" w:themeTint="F2"/>
        </w:rPr>
        <w:t xml:space="preserve">Adeniji </w:t>
      </w:r>
      <w:r w:rsidR="00C11AD2" w:rsidRPr="00252CDE">
        <w:rPr>
          <w:rFonts w:ascii="Calibri" w:hAnsi="Calibri" w:cs="Calibri"/>
          <w:i/>
          <w:iCs/>
          <w:color w:val="0D0D0D" w:themeColor="text1" w:themeTint="F2"/>
        </w:rPr>
        <w:t>et al.</w:t>
      </w:r>
      <w:r w:rsidR="00C11AD2" w:rsidRPr="00252CDE">
        <w:rPr>
          <w:rFonts w:ascii="Calibri" w:hAnsi="Calibri" w:cs="Calibri"/>
          <w:color w:val="0D0D0D" w:themeColor="text1" w:themeTint="F2"/>
        </w:rPr>
        <w:t xml:space="preserve"> (2015) highlighted that stereotypes contribute to higher attrition rates, with male students encountering an assumption of homosexuality from</w:t>
      </w:r>
      <w:r w:rsidR="00B53C93" w:rsidRPr="00252CDE">
        <w:rPr>
          <w:rFonts w:ascii="Calibri" w:hAnsi="Calibri" w:cs="Calibri"/>
          <w:color w:val="0D0D0D" w:themeColor="text1" w:themeTint="F2"/>
        </w:rPr>
        <w:t xml:space="preserve"> not only the</w:t>
      </w:r>
      <w:r w:rsidR="00C11AD2" w:rsidRPr="00252CDE">
        <w:rPr>
          <w:rFonts w:ascii="Calibri" w:hAnsi="Calibri" w:cs="Calibri"/>
          <w:color w:val="0D0D0D" w:themeColor="text1" w:themeTint="F2"/>
        </w:rPr>
        <w:t xml:space="preserve"> public</w:t>
      </w:r>
      <w:r w:rsidR="00B53C93" w:rsidRPr="00252CDE">
        <w:rPr>
          <w:rFonts w:ascii="Calibri" w:hAnsi="Calibri" w:cs="Calibri"/>
          <w:color w:val="0D0D0D" w:themeColor="text1" w:themeTint="F2"/>
        </w:rPr>
        <w:t>, but from their female peers</w:t>
      </w:r>
      <w:r w:rsidR="00C11AD2" w:rsidRPr="00252CDE">
        <w:rPr>
          <w:rFonts w:ascii="Calibri" w:hAnsi="Calibri" w:cs="Calibri"/>
          <w:color w:val="0D0D0D" w:themeColor="text1" w:themeTint="F2"/>
        </w:rPr>
        <w:t>.</w:t>
      </w:r>
    </w:p>
    <w:p w14:paraId="50289F5A" w14:textId="2C851C18" w:rsidR="00EE335C" w:rsidRPr="00252CDE" w:rsidRDefault="00751FF0"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When men do enter nursing education, they may encounter the lingering effects of these stereotypes</w:t>
      </w:r>
      <w:r w:rsidR="00802FE3" w:rsidRPr="00252CDE">
        <w:rPr>
          <w:rFonts w:ascii="Calibri" w:hAnsi="Calibri" w:cs="Calibri"/>
          <w:color w:val="0D0D0D" w:themeColor="text1" w:themeTint="F2"/>
        </w:rPr>
        <w:t xml:space="preserve"> (Grady </w:t>
      </w:r>
      <w:r w:rsidR="00802FE3" w:rsidRPr="00252CDE">
        <w:rPr>
          <w:rFonts w:ascii="Calibri" w:hAnsi="Calibri" w:cs="Calibri"/>
          <w:i/>
          <w:iCs/>
          <w:color w:val="0D0D0D" w:themeColor="text1" w:themeTint="F2"/>
        </w:rPr>
        <w:t>et al</w:t>
      </w:r>
      <w:r w:rsidR="00802FE3" w:rsidRPr="00252CDE">
        <w:rPr>
          <w:rFonts w:ascii="Calibri" w:hAnsi="Calibri" w:cs="Calibri"/>
          <w:color w:val="0D0D0D" w:themeColor="text1" w:themeTint="F2"/>
        </w:rPr>
        <w:t xml:space="preserve">., </w:t>
      </w:r>
      <w:r w:rsidR="00E156E7" w:rsidRPr="00252CDE">
        <w:rPr>
          <w:rFonts w:ascii="Calibri" w:hAnsi="Calibri" w:cs="Calibri"/>
          <w:color w:val="0D0D0D" w:themeColor="text1" w:themeTint="F2"/>
        </w:rPr>
        <w:t xml:space="preserve">2008; Stanley </w:t>
      </w:r>
      <w:r w:rsidR="00E156E7" w:rsidRPr="00252CDE">
        <w:rPr>
          <w:rFonts w:ascii="Calibri" w:hAnsi="Calibri" w:cs="Calibri"/>
          <w:i/>
          <w:iCs/>
          <w:color w:val="0D0D0D" w:themeColor="text1" w:themeTint="F2"/>
        </w:rPr>
        <w:t>et al</w:t>
      </w:r>
      <w:r w:rsidR="00E156E7" w:rsidRPr="00252CDE">
        <w:rPr>
          <w:rFonts w:ascii="Calibri" w:hAnsi="Calibri" w:cs="Calibri"/>
          <w:color w:val="0D0D0D" w:themeColor="text1" w:themeTint="F2"/>
        </w:rPr>
        <w:t>., 201</w:t>
      </w:r>
      <w:r w:rsidR="0094537F" w:rsidRPr="00252CDE">
        <w:rPr>
          <w:rFonts w:ascii="Calibri" w:hAnsi="Calibri" w:cs="Calibri"/>
          <w:color w:val="0D0D0D" w:themeColor="text1" w:themeTint="F2"/>
        </w:rPr>
        <w:t>6</w:t>
      </w:r>
      <w:r w:rsidR="00E156E7" w:rsidRPr="00252CDE">
        <w:rPr>
          <w:rFonts w:ascii="Calibri" w:hAnsi="Calibri" w:cs="Calibri"/>
          <w:color w:val="0D0D0D" w:themeColor="text1" w:themeTint="F2"/>
        </w:rPr>
        <w:t>)</w:t>
      </w:r>
      <w:r w:rsidRPr="00252CDE">
        <w:rPr>
          <w:rFonts w:ascii="Calibri" w:hAnsi="Calibri" w:cs="Calibri"/>
          <w:color w:val="0D0D0D" w:themeColor="text1" w:themeTint="F2"/>
        </w:rPr>
        <w:t xml:space="preserve">. </w:t>
      </w:r>
      <w:r w:rsidR="0094537F" w:rsidRPr="00252CDE">
        <w:rPr>
          <w:rFonts w:ascii="Calibri" w:hAnsi="Calibri" w:cs="Calibri"/>
          <w:color w:val="0D0D0D" w:themeColor="text1" w:themeTint="F2"/>
        </w:rPr>
        <w:t xml:space="preserve"> </w:t>
      </w:r>
      <w:r w:rsidR="00D81BFD" w:rsidRPr="00252CDE">
        <w:rPr>
          <w:rFonts w:ascii="Calibri" w:hAnsi="Calibri" w:cs="Calibri"/>
          <w:color w:val="0D0D0D" w:themeColor="text1" w:themeTint="F2"/>
        </w:rPr>
        <w:t>Meadus and Twomey (2011) cautio</w:t>
      </w:r>
      <w:r w:rsidR="003F4B78" w:rsidRPr="00252CDE">
        <w:rPr>
          <w:rFonts w:ascii="Calibri" w:hAnsi="Calibri" w:cs="Calibri"/>
          <w:color w:val="0D0D0D" w:themeColor="text1" w:themeTint="F2"/>
        </w:rPr>
        <w:t xml:space="preserve">n male nurses </w:t>
      </w:r>
      <w:r w:rsidRPr="00252CDE">
        <w:rPr>
          <w:rFonts w:ascii="Calibri" w:hAnsi="Calibri" w:cs="Calibri"/>
          <w:color w:val="0D0D0D" w:themeColor="text1" w:themeTint="F2"/>
        </w:rPr>
        <w:t xml:space="preserve">might face assumptions about their motivations for choosing a 'female' profession, </w:t>
      </w:r>
      <w:r w:rsidR="007602E1" w:rsidRPr="00252CDE">
        <w:rPr>
          <w:rFonts w:ascii="Calibri" w:hAnsi="Calibri" w:cs="Calibri"/>
          <w:color w:val="0D0D0D" w:themeColor="text1" w:themeTint="F2"/>
        </w:rPr>
        <w:t xml:space="preserve">which Harding (2007) </w:t>
      </w:r>
      <w:r w:rsidR="00493642" w:rsidRPr="00252CDE">
        <w:rPr>
          <w:rFonts w:ascii="Calibri" w:hAnsi="Calibri" w:cs="Calibri"/>
          <w:color w:val="0D0D0D" w:themeColor="text1" w:themeTint="F2"/>
        </w:rPr>
        <w:t xml:space="preserve">advises can </w:t>
      </w:r>
      <w:r w:rsidRPr="00252CDE">
        <w:rPr>
          <w:rFonts w:ascii="Calibri" w:hAnsi="Calibri" w:cs="Calibri"/>
          <w:color w:val="0D0D0D" w:themeColor="text1" w:themeTint="F2"/>
        </w:rPr>
        <w:t>rang</w:t>
      </w:r>
      <w:r w:rsidR="00493642" w:rsidRPr="00252CDE">
        <w:rPr>
          <w:rFonts w:ascii="Calibri" w:hAnsi="Calibri" w:cs="Calibri"/>
          <w:color w:val="0D0D0D" w:themeColor="text1" w:themeTint="F2"/>
        </w:rPr>
        <w:t>e</w:t>
      </w:r>
      <w:r w:rsidRPr="00252CDE">
        <w:rPr>
          <w:rFonts w:ascii="Calibri" w:hAnsi="Calibri" w:cs="Calibri"/>
          <w:color w:val="0D0D0D" w:themeColor="text1" w:themeTint="F2"/>
        </w:rPr>
        <w:t xml:space="preserve"> from genuine interest in care to less flattering stereotypes. </w:t>
      </w:r>
      <w:r w:rsidR="00493642" w:rsidRPr="00252CDE">
        <w:rPr>
          <w:rFonts w:ascii="Calibri" w:hAnsi="Calibri" w:cs="Calibri"/>
          <w:color w:val="0D0D0D" w:themeColor="text1" w:themeTint="F2"/>
        </w:rPr>
        <w:t xml:space="preserve"> </w:t>
      </w:r>
      <w:r w:rsidR="00906B42" w:rsidRPr="00252CDE">
        <w:rPr>
          <w:rFonts w:ascii="Calibri" w:hAnsi="Calibri" w:cs="Calibri"/>
          <w:color w:val="0D0D0D" w:themeColor="text1" w:themeTint="F2"/>
        </w:rPr>
        <w:t>Harding (</w:t>
      </w:r>
      <w:r w:rsidR="00E7053D" w:rsidRPr="00252CDE">
        <w:rPr>
          <w:rFonts w:ascii="Calibri" w:hAnsi="Calibri" w:cs="Calibri"/>
          <w:color w:val="0D0D0D" w:themeColor="text1" w:themeTint="F2"/>
        </w:rPr>
        <w:t>2007) s</w:t>
      </w:r>
      <w:r w:rsidRPr="00252CDE">
        <w:rPr>
          <w:rFonts w:ascii="Calibri" w:hAnsi="Calibri" w:cs="Calibri"/>
          <w:color w:val="0D0D0D" w:themeColor="text1" w:themeTint="F2"/>
        </w:rPr>
        <w:t>uggests that male nursing students can feel the need to constantly prove their competence and commitment in ways that their female peers might not, potentially leading to added psychological burden.</w:t>
      </w:r>
      <w:r w:rsidR="00E7053D" w:rsidRPr="00252CDE">
        <w:rPr>
          <w:rFonts w:ascii="Calibri" w:hAnsi="Calibri" w:cs="Calibri"/>
          <w:color w:val="0D0D0D" w:themeColor="text1" w:themeTint="F2"/>
        </w:rPr>
        <w:t xml:space="preserve">  Prosen (2022) made use of </w:t>
      </w:r>
      <w:r w:rsidR="004C5253" w:rsidRPr="00252CDE">
        <w:rPr>
          <w:rFonts w:ascii="Calibri" w:hAnsi="Calibri" w:cs="Calibri"/>
          <w:color w:val="0D0D0D" w:themeColor="text1" w:themeTint="F2"/>
        </w:rPr>
        <w:t xml:space="preserve">a descriptive qualitative design in his </w:t>
      </w:r>
      <w:r w:rsidR="00EF3456" w:rsidRPr="00252CDE">
        <w:rPr>
          <w:rFonts w:ascii="Calibri" w:hAnsi="Calibri" w:cs="Calibri"/>
          <w:color w:val="0D0D0D" w:themeColor="text1" w:themeTint="F2"/>
        </w:rPr>
        <w:t xml:space="preserve">quest to ascertain </w:t>
      </w:r>
      <w:r w:rsidR="00634152" w:rsidRPr="00252CDE">
        <w:rPr>
          <w:rFonts w:ascii="Calibri" w:hAnsi="Calibri" w:cs="Calibri"/>
          <w:color w:val="0D0D0D" w:themeColor="text1" w:themeTint="F2"/>
        </w:rPr>
        <w:t>the self-awareness of both male and female nursing students in Slovenia</w:t>
      </w:r>
      <w:r w:rsidR="00757774" w:rsidRPr="00252CDE">
        <w:rPr>
          <w:rFonts w:ascii="Calibri" w:hAnsi="Calibri" w:cs="Calibri"/>
          <w:color w:val="0D0D0D" w:themeColor="text1" w:themeTint="F2"/>
        </w:rPr>
        <w:t xml:space="preserve"> of stereotypes </w:t>
      </w:r>
      <w:r w:rsidR="00033766" w:rsidRPr="00252CDE">
        <w:rPr>
          <w:rFonts w:ascii="Calibri" w:hAnsi="Calibri" w:cs="Calibri"/>
          <w:color w:val="0D0D0D" w:themeColor="text1" w:themeTint="F2"/>
        </w:rPr>
        <w:t>relating to</w:t>
      </w:r>
      <w:r w:rsidR="00757774" w:rsidRPr="00252CDE">
        <w:rPr>
          <w:rFonts w:ascii="Calibri" w:hAnsi="Calibri" w:cs="Calibri"/>
          <w:color w:val="0D0D0D" w:themeColor="text1" w:themeTint="F2"/>
        </w:rPr>
        <w:t xml:space="preserve"> the</w:t>
      </w:r>
      <w:r w:rsidR="00033766" w:rsidRPr="00252CDE">
        <w:rPr>
          <w:rFonts w:ascii="Calibri" w:hAnsi="Calibri" w:cs="Calibri"/>
          <w:color w:val="0D0D0D" w:themeColor="text1" w:themeTint="F2"/>
        </w:rPr>
        <w:t>ir specific gender role</w:t>
      </w:r>
      <w:r w:rsidR="00997C25" w:rsidRPr="00252CDE">
        <w:rPr>
          <w:rFonts w:ascii="Calibri" w:hAnsi="Calibri" w:cs="Calibri"/>
          <w:color w:val="0D0D0D" w:themeColor="text1" w:themeTint="F2"/>
        </w:rPr>
        <w:t xml:space="preserve">, and </w:t>
      </w:r>
      <w:r w:rsidR="009B29DA" w:rsidRPr="00252CDE">
        <w:rPr>
          <w:rFonts w:ascii="Calibri" w:hAnsi="Calibri" w:cs="Calibri"/>
          <w:color w:val="0D0D0D" w:themeColor="text1" w:themeTint="F2"/>
        </w:rPr>
        <w:t>if these were a factor in t</w:t>
      </w:r>
      <w:r w:rsidR="00AE6F2A" w:rsidRPr="00252CDE">
        <w:rPr>
          <w:rFonts w:ascii="Calibri" w:hAnsi="Calibri" w:cs="Calibri"/>
          <w:color w:val="0D0D0D" w:themeColor="text1" w:themeTint="F2"/>
        </w:rPr>
        <w:t>heir pursuit of nursing as a career</w:t>
      </w:r>
      <w:r w:rsidR="00033766" w:rsidRPr="00252CDE">
        <w:rPr>
          <w:rFonts w:ascii="Calibri" w:hAnsi="Calibri" w:cs="Calibri"/>
          <w:color w:val="0D0D0D" w:themeColor="text1" w:themeTint="F2"/>
        </w:rPr>
        <w:t xml:space="preserve">. </w:t>
      </w:r>
      <w:r w:rsidR="00735F78" w:rsidRPr="00252CDE">
        <w:rPr>
          <w:rFonts w:ascii="Calibri" w:hAnsi="Calibri" w:cs="Calibri"/>
          <w:color w:val="0D0D0D" w:themeColor="text1" w:themeTint="F2"/>
        </w:rPr>
        <w:t xml:space="preserve"> Prosen (2022) interpreted</w:t>
      </w:r>
      <w:r w:rsidR="003F5243" w:rsidRPr="00252CDE">
        <w:rPr>
          <w:rFonts w:ascii="Calibri" w:hAnsi="Calibri" w:cs="Calibri"/>
          <w:color w:val="0D0D0D" w:themeColor="text1" w:themeTint="F2"/>
        </w:rPr>
        <w:t xml:space="preserve"> essay questions </w:t>
      </w:r>
      <w:r w:rsidR="00E44ACD" w:rsidRPr="00252CDE">
        <w:rPr>
          <w:rFonts w:ascii="Calibri" w:hAnsi="Calibri" w:cs="Calibri"/>
          <w:color w:val="0D0D0D" w:themeColor="text1" w:themeTint="F2"/>
        </w:rPr>
        <w:t xml:space="preserve">of 72 participants </w:t>
      </w:r>
      <w:r w:rsidR="003F5243" w:rsidRPr="00252CDE">
        <w:rPr>
          <w:rFonts w:ascii="Calibri" w:hAnsi="Calibri" w:cs="Calibri"/>
          <w:color w:val="0D0D0D" w:themeColor="text1" w:themeTint="F2"/>
        </w:rPr>
        <w:t xml:space="preserve">and asked </w:t>
      </w:r>
      <w:r w:rsidR="00E44ACD" w:rsidRPr="00252CDE">
        <w:rPr>
          <w:rFonts w:ascii="Calibri" w:hAnsi="Calibri" w:cs="Calibri"/>
          <w:color w:val="0D0D0D" w:themeColor="text1" w:themeTint="F2"/>
        </w:rPr>
        <w:t>them</w:t>
      </w:r>
      <w:r w:rsidR="003F5243" w:rsidRPr="00252CDE">
        <w:rPr>
          <w:rFonts w:ascii="Calibri" w:hAnsi="Calibri" w:cs="Calibri"/>
          <w:color w:val="0D0D0D" w:themeColor="text1" w:themeTint="F2"/>
        </w:rPr>
        <w:t xml:space="preserve"> to produce drawings </w:t>
      </w:r>
      <w:r w:rsidR="00F03087" w:rsidRPr="00252CDE">
        <w:rPr>
          <w:rFonts w:ascii="Calibri" w:hAnsi="Calibri" w:cs="Calibri"/>
          <w:color w:val="0D0D0D" w:themeColor="text1" w:themeTint="F2"/>
        </w:rPr>
        <w:t xml:space="preserve">that reflected </w:t>
      </w:r>
      <w:r w:rsidR="006D427F" w:rsidRPr="00252CDE">
        <w:rPr>
          <w:rFonts w:ascii="Calibri" w:hAnsi="Calibri" w:cs="Calibri"/>
          <w:color w:val="0D0D0D" w:themeColor="text1" w:themeTint="F2"/>
        </w:rPr>
        <w:t xml:space="preserve">both </w:t>
      </w:r>
      <w:r w:rsidR="00F03087" w:rsidRPr="00252CDE">
        <w:rPr>
          <w:rFonts w:ascii="Calibri" w:hAnsi="Calibri" w:cs="Calibri"/>
          <w:color w:val="0D0D0D" w:themeColor="text1" w:themeTint="F2"/>
        </w:rPr>
        <w:t>their</w:t>
      </w:r>
      <w:r w:rsidR="006D427F" w:rsidRPr="00252CDE">
        <w:rPr>
          <w:rFonts w:ascii="Calibri" w:hAnsi="Calibri" w:cs="Calibri"/>
          <w:color w:val="0D0D0D" w:themeColor="text1" w:themeTint="F2"/>
        </w:rPr>
        <w:t xml:space="preserve"> classroom and</w:t>
      </w:r>
      <w:r w:rsidR="00F03087" w:rsidRPr="00252CDE">
        <w:rPr>
          <w:rFonts w:ascii="Calibri" w:hAnsi="Calibri" w:cs="Calibri"/>
          <w:color w:val="0D0D0D" w:themeColor="text1" w:themeTint="F2"/>
        </w:rPr>
        <w:t xml:space="preserve"> clinical experiences</w:t>
      </w:r>
      <w:r w:rsidR="006D427F" w:rsidRPr="00252CDE">
        <w:rPr>
          <w:rFonts w:ascii="Calibri" w:hAnsi="Calibri" w:cs="Calibri"/>
          <w:color w:val="0D0D0D" w:themeColor="text1" w:themeTint="F2"/>
        </w:rPr>
        <w:t>.</w:t>
      </w:r>
      <w:r w:rsidR="00033766" w:rsidRPr="00252CDE">
        <w:rPr>
          <w:rFonts w:ascii="Calibri" w:hAnsi="Calibri" w:cs="Calibri"/>
          <w:color w:val="0D0D0D" w:themeColor="text1" w:themeTint="F2"/>
        </w:rPr>
        <w:t xml:space="preserve"> </w:t>
      </w:r>
      <w:r w:rsidR="006D427F" w:rsidRPr="00252CDE">
        <w:rPr>
          <w:rFonts w:ascii="Calibri" w:hAnsi="Calibri" w:cs="Calibri"/>
          <w:color w:val="0D0D0D" w:themeColor="text1" w:themeTint="F2"/>
        </w:rPr>
        <w:t xml:space="preserve"> </w:t>
      </w:r>
      <w:r w:rsidR="00E44ACD" w:rsidRPr="00252CDE">
        <w:rPr>
          <w:rFonts w:ascii="Calibri" w:hAnsi="Calibri" w:cs="Calibri"/>
          <w:color w:val="0D0D0D" w:themeColor="text1" w:themeTint="F2"/>
        </w:rPr>
        <w:t>Prosen's (2022) research revealed distinct perspectives between male and female nursing students</w:t>
      </w:r>
      <w:r w:rsidR="009F1CA1" w:rsidRPr="00252CDE">
        <w:rPr>
          <w:rFonts w:ascii="Calibri" w:hAnsi="Calibri" w:cs="Calibri"/>
          <w:color w:val="0D0D0D" w:themeColor="text1" w:themeTint="F2"/>
        </w:rPr>
        <w:t>; b</w:t>
      </w:r>
      <w:r w:rsidR="00E44ACD" w:rsidRPr="00252CDE">
        <w:rPr>
          <w:rFonts w:ascii="Calibri" w:hAnsi="Calibri" w:cs="Calibri"/>
          <w:color w:val="0D0D0D" w:themeColor="text1" w:themeTint="F2"/>
        </w:rPr>
        <w:t xml:space="preserve">oth genders shared motivations for choosing nursing rooted in altruism, perceived opportunities, and organisational factors. </w:t>
      </w:r>
      <w:r w:rsidR="000E30E8" w:rsidRPr="00252CDE">
        <w:rPr>
          <w:rFonts w:ascii="Calibri" w:hAnsi="Calibri" w:cs="Calibri"/>
          <w:color w:val="0D0D0D" w:themeColor="text1" w:themeTint="F2"/>
        </w:rPr>
        <w:t xml:space="preserve"> </w:t>
      </w:r>
      <w:r w:rsidR="00E44ACD" w:rsidRPr="00252CDE">
        <w:rPr>
          <w:rFonts w:ascii="Calibri" w:hAnsi="Calibri" w:cs="Calibri"/>
          <w:color w:val="0D0D0D" w:themeColor="text1" w:themeTint="F2"/>
        </w:rPr>
        <w:t xml:space="preserve">Female students also cited 'family and social incentives' as a reason. </w:t>
      </w:r>
      <w:r w:rsidR="000E30E8" w:rsidRPr="00252CDE">
        <w:rPr>
          <w:rFonts w:ascii="Calibri" w:hAnsi="Calibri" w:cs="Calibri"/>
          <w:color w:val="0D0D0D" w:themeColor="text1" w:themeTint="F2"/>
        </w:rPr>
        <w:t xml:space="preserve"> </w:t>
      </w:r>
      <w:r w:rsidR="00E44ACD" w:rsidRPr="00252CDE">
        <w:rPr>
          <w:rFonts w:ascii="Calibri" w:hAnsi="Calibri" w:cs="Calibri"/>
          <w:color w:val="0D0D0D" w:themeColor="text1" w:themeTint="F2"/>
        </w:rPr>
        <w:t xml:space="preserve">Interestingly, visions for their future professional roles differed: female students emphasised altruism and positive aspects of 'being a nurse', while male students more frequently envisioned roles in management and leadership, as well as the technical aspects of nursing. </w:t>
      </w:r>
      <w:r w:rsidR="00997C25" w:rsidRPr="00252CDE">
        <w:rPr>
          <w:rFonts w:ascii="Calibri" w:hAnsi="Calibri" w:cs="Calibri"/>
          <w:color w:val="0D0D0D" w:themeColor="text1" w:themeTint="F2"/>
        </w:rPr>
        <w:t xml:space="preserve"> </w:t>
      </w:r>
      <w:r w:rsidR="00E44ACD" w:rsidRPr="00252CDE">
        <w:rPr>
          <w:rFonts w:ascii="Calibri" w:hAnsi="Calibri" w:cs="Calibri"/>
          <w:color w:val="0D0D0D" w:themeColor="text1" w:themeTint="F2"/>
        </w:rPr>
        <w:t xml:space="preserve">Despite these gendered inclinations in their future aspirations, Prosen's </w:t>
      </w:r>
      <w:r w:rsidR="004667E2" w:rsidRPr="00252CDE">
        <w:rPr>
          <w:rFonts w:ascii="Calibri" w:hAnsi="Calibri" w:cs="Calibri"/>
          <w:color w:val="0D0D0D" w:themeColor="text1" w:themeTint="F2"/>
        </w:rPr>
        <w:t xml:space="preserve">(2022) </w:t>
      </w:r>
      <w:r w:rsidR="00E44ACD" w:rsidRPr="00252CDE">
        <w:rPr>
          <w:rFonts w:ascii="Calibri" w:hAnsi="Calibri" w:cs="Calibri"/>
          <w:color w:val="0D0D0D" w:themeColor="text1" w:themeTint="F2"/>
        </w:rPr>
        <w:t>findings also indicated that both male and female nursing students acknowledged the limitations of traditional gender roles and expressed a willingness to challenge these gender-based perceptions within the profession</w:t>
      </w:r>
      <w:r w:rsidR="004667E2" w:rsidRPr="00252CDE">
        <w:rPr>
          <w:rFonts w:ascii="Calibri" w:hAnsi="Calibri" w:cs="Calibri"/>
          <w:color w:val="0D0D0D" w:themeColor="text1" w:themeTint="F2"/>
        </w:rPr>
        <w:t>.</w:t>
      </w:r>
      <w:r w:rsidR="00EE335C" w:rsidRPr="00252CDE">
        <w:rPr>
          <w:rFonts w:ascii="Calibri" w:hAnsi="Calibri" w:cs="Calibri"/>
          <w:color w:val="0D0D0D" w:themeColor="text1" w:themeTint="F2"/>
        </w:rPr>
        <w:t xml:space="preserve">  </w:t>
      </w:r>
      <w:r w:rsidR="00BD7687" w:rsidRPr="00252CDE">
        <w:rPr>
          <w:rFonts w:ascii="Calibri" w:hAnsi="Calibri" w:cs="Calibri"/>
          <w:color w:val="0D0D0D" w:themeColor="text1" w:themeTint="F2"/>
        </w:rPr>
        <w:t>This societal construction</w:t>
      </w:r>
      <w:r w:rsidR="00584ACB" w:rsidRPr="00252CDE">
        <w:rPr>
          <w:rFonts w:ascii="Calibri" w:hAnsi="Calibri" w:cs="Calibri"/>
          <w:color w:val="0D0D0D" w:themeColor="text1" w:themeTint="F2"/>
        </w:rPr>
        <w:t xml:space="preserve"> </w:t>
      </w:r>
      <w:r w:rsidR="00BD7687" w:rsidRPr="00252CDE">
        <w:rPr>
          <w:rFonts w:ascii="Calibri" w:hAnsi="Calibri" w:cs="Calibri"/>
          <w:color w:val="0D0D0D" w:themeColor="text1" w:themeTint="F2"/>
        </w:rPr>
        <w:t>of nursing</w:t>
      </w:r>
      <w:r w:rsidR="00584ACB" w:rsidRPr="00252CDE">
        <w:rPr>
          <w:rFonts w:ascii="Calibri" w:hAnsi="Calibri" w:cs="Calibri"/>
          <w:color w:val="0D0D0D" w:themeColor="text1" w:themeTint="F2"/>
        </w:rPr>
        <w:t>, advise Masibo, Masika and Kabusi (2025),</w:t>
      </w:r>
      <w:r w:rsidR="00BD7687" w:rsidRPr="00252CDE">
        <w:rPr>
          <w:rFonts w:ascii="Calibri" w:hAnsi="Calibri" w:cs="Calibri"/>
          <w:color w:val="0D0D0D" w:themeColor="text1" w:themeTint="F2"/>
        </w:rPr>
        <w:t xml:space="preserve"> can act as a powerful deterrent for men at the initial stages of career consideration.</w:t>
      </w:r>
      <w:r w:rsidR="00A41286" w:rsidRPr="00252CDE">
        <w:rPr>
          <w:rFonts w:ascii="Calibri" w:hAnsi="Calibri" w:cs="Calibri"/>
          <w:color w:val="0D0D0D" w:themeColor="text1" w:themeTint="F2"/>
        </w:rPr>
        <w:t xml:space="preserve"> </w:t>
      </w:r>
      <w:r w:rsidR="00BD7687" w:rsidRPr="00252CDE">
        <w:rPr>
          <w:rFonts w:ascii="Calibri" w:hAnsi="Calibri" w:cs="Calibri"/>
          <w:color w:val="0D0D0D" w:themeColor="text1" w:themeTint="F2"/>
        </w:rPr>
        <w:t xml:space="preserve"> Young men may be less inclined to pursue nursing if it is perceived as a 'woman's job', fearing social stigma or a mismatch with their own gender identity as constructed by societal norms (Connell </w:t>
      </w:r>
      <w:r w:rsidR="006B0D8D" w:rsidRPr="00252CDE">
        <w:rPr>
          <w:rFonts w:ascii="Calibri" w:hAnsi="Calibri" w:cs="Calibri"/>
          <w:color w:val="0D0D0D" w:themeColor="text1" w:themeTint="F2"/>
        </w:rPr>
        <w:t>and</w:t>
      </w:r>
      <w:r w:rsidR="00BD7687" w:rsidRPr="00252CDE">
        <w:rPr>
          <w:rFonts w:ascii="Calibri" w:hAnsi="Calibri" w:cs="Calibri"/>
          <w:color w:val="0D0D0D" w:themeColor="text1" w:themeTint="F2"/>
        </w:rPr>
        <w:t xml:space="preserve"> Messerschmidt, 2005). </w:t>
      </w:r>
    </w:p>
    <w:p w14:paraId="5BD4AE57" w14:textId="0DFB6C6E" w:rsidR="00BD7687" w:rsidRPr="00252CDE" w:rsidRDefault="00701E30"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lastRenderedPageBreak/>
        <w:t xml:space="preserve">Both </w:t>
      </w:r>
      <w:r w:rsidR="00883C1E" w:rsidRPr="00252CDE">
        <w:rPr>
          <w:rFonts w:ascii="Calibri" w:hAnsi="Calibri" w:cs="Calibri"/>
          <w:color w:val="0D0D0D" w:themeColor="text1" w:themeTint="F2"/>
        </w:rPr>
        <w:t xml:space="preserve">Mohammad </w:t>
      </w:r>
      <w:r w:rsidR="00883C1E" w:rsidRPr="00252CDE">
        <w:rPr>
          <w:rFonts w:ascii="Calibri" w:hAnsi="Calibri" w:cs="Calibri"/>
          <w:i/>
          <w:iCs/>
          <w:color w:val="0D0D0D" w:themeColor="text1" w:themeTint="F2"/>
        </w:rPr>
        <w:t>et al</w:t>
      </w:r>
      <w:r w:rsidR="007D6508" w:rsidRPr="00252CDE">
        <w:rPr>
          <w:rFonts w:ascii="Calibri" w:hAnsi="Calibri" w:cs="Calibri"/>
          <w:color w:val="0D0D0D" w:themeColor="text1" w:themeTint="F2"/>
        </w:rPr>
        <w:t>.</w:t>
      </w:r>
      <w:r w:rsidR="00883C1E" w:rsidRPr="00252CDE">
        <w:rPr>
          <w:rFonts w:ascii="Calibri" w:hAnsi="Calibri" w:cs="Calibri"/>
          <w:color w:val="0D0D0D" w:themeColor="text1" w:themeTint="F2"/>
        </w:rPr>
        <w:t xml:space="preserve"> (2021)</w:t>
      </w:r>
      <w:r w:rsidR="007D6508" w:rsidRPr="00252CDE">
        <w:rPr>
          <w:rFonts w:ascii="Calibri" w:hAnsi="Calibri" w:cs="Calibri"/>
          <w:color w:val="0D0D0D" w:themeColor="text1" w:themeTint="F2"/>
        </w:rPr>
        <w:t xml:space="preserve"> </w:t>
      </w:r>
      <w:r w:rsidR="00B81D79" w:rsidRPr="00252CDE">
        <w:rPr>
          <w:rFonts w:ascii="Calibri" w:hAnsi="Calibri" w:cs="Calibri"/>
          <w:color w:val="0D0D0D" w:themeColor="text1" w:themeTint="F2"/>
        </w:rPr>
        <w:t>and Aca</w:t>
      </w:r>
      <w:r w:rsidR="00B81D79" w:rsidRPr="00252CDE">
        <w:rPr>
          <w:rFonts w:ascii="Calibri" w:hAnsi="Calibri" w:cs="Calibri"/>
          <w:i/>
          <w:iCs/>
          <w:color w:val="0D0D0D" w:themeColor="text1" w:themeTint="F2"/>
        </w:rPr>
        <w:t xml:space="preserve"> et al</w:t>
      </w:r>
      <w:r w:rsidR="00B81D79" w:rsidRPr="00252CDE">
        <w:rPr>
          <w:rFonts w:ascii="Calibri" w:hAnsi="Calibri" w:cs="Calibri"/>
          <w:color w:val="0D0D0D" w:themeColor="text1" w:themeTint="F2"/>
        </w:rPr>
        <w:t xml:space="preserve">. (2025) </w:t>
      </w:r>
      <w:r w:rsidRPr="00252CDE">
        <w:rPr>
          <w:rFonts w:ascii="Calibri" w:hAnsi="Calibri" w:cs="Calibri"/>
          <w:color w:val="0D0D0D" w:themeColor="text1" w:themeTint="F2"/>
        </w:rPr>
        <w:t>are of the opinion</w:t>
      </w:r>
      <w:r w:rsidR="00B81D79" w:rsidRPr="00252CDE">
        <w:rPr>
          <w:rFonts w:ascii="Calibri" w:hAnsi="Calibri" w:cs="Calibri"/>
          <w:color w:val="0D0D0D" w:themeColor="text1" w:themeTint="F2"/>
        </w:rPr>
        <w:t xml:space="preserve"> that</w:t>
      </w:r>
      <w:r w:rsidR="00883C1E" w:rsidRPr="00252CDE">
        <w:rPr>
          <w:rFonts w:ascii="Calibri" w:hAnsi="Calibri" w:cs="Calibri"/>
          <w:color w:val="0D0D0D" w:themeColor="text1" w:themeTint="F2"/>
        </w:rPr>
        <w:t xml:space="preserve"> </w:t>
      </w:r>
      <w:r w:rsidR="00B81D79" w:rsidRPr="00252CDE">
        <w:rPr>
          <w:rFonts w:ascii="Calibri" w:hAnsi="Calibri" w:cs="Calibri"/>
          <w:color w:val="0D0D0D" w:themeColor="text1" w:themeTint="F2"/>
        </w:rPr>
        <w:t>t</w:t>
      </w:r>
      <w:r w:rsidR="00BD7687" w:rsidRPr="00252CDE">
        <w:rPr>
          <w:rFonts w:ascii="Calibri" w:hAnsi="Calibri" w:cs="Calibri"/>
          <w:color w:val="0D0D0D" w:themeColor="text1" w:themeTint="F2"/>
        </w:rPr>
        <w:t xml:space="preserve">he lack of prominent male role models in popular media and even within some healthcare settings can further reinforce this perception, making nursing seem like an unconventional or even undesirable career path for men (Meadus </w:t>
      </w:r>
      <w:r w:rsidR="006B0D8D" w:rsidRPr="00252CDE">
        <w:rPr>
          <w:rFonts w:ascii="Calibri" w:hAnsi="Calibri" w:cs="Calibri"/>
          <w:color w:val="0D0D0D" w:themeColor="text1" w:themeTint="F2"/>
        </w:rPr>
        <w:t>and</w:t>
      </w:r>
      <w:r w:rsidR="00BD7687" w:rsidRPr="00252CDE">
        <w:rPr>
          <w:rFonts w:ascii="Calibri" w:hAnsi="Calibri" w:cs="Calibri"/>
          <w:color w:val="0D0D0D" w:themeColor="text1" w:themeTint="F2"/>
        </w:rPr>
        <w:t xml:space="preserve"> Twomey, 2011).</w:t>
      </w:r>
      <w:r w:rsidR="00A2766C" w:rsidRPr="00252CDE">
        <w:rPr>
          <w:rFonts w:ascii="Calibri" w:hAnsi="Calibri" w:cs="Calibri"/>
          <w:color w:val="0D0D0D" w:themeColor="text1" w:themeTint="F2"/>
        </w:rPr>
        <w:t xml:space="preserve">  Whitford </w:t>
      </w:r>
      <w:r w:rsidR="00A2766C" w:rsidRPr="00252CDE">
        <w:rPr>
          <w:rFonts w:ascii="Calibri" w:hAnsi="Calibri" w:cs="Calibri"/>
          <w:i/>
          <w:iCs/>
          <w:color w:val="0D0D0D" w:themeColor="text1" w:themeTint="F2"/>
        </w:rPr>
        <w:t>et al.</w:t>
      </w:r>
      <w:r w:rsidR="00A2766C" w:rsidRPr="00252CDE">
        <w:rPr>
          <w:rFonts w:ascii="Calibri" w:hAnsi="Calibri" w:cs="Calibri"/>
          <w:color w:val="0D0D0D" w:themeColor="text1" w:themeTint="F2"/>
        </w:rPr>
        <w:t xml:space="preserve"> </w:t>
      </w:r>
      <w:r w:rsidR="00B56A93" w:rsidRPr="00252CDE">
        <w:rPr>
          <w:rFonts w:ascii="Calibri" w:hAnsi="Calibri" w:cs="Calibri"/>
          <w:color w:val="0D0D0D" w:themeColor="text1" w:themeTint="F2"/>
        </w:rPr>
        <w:t>(</w:t>
      </w:r>
      <w:r w:rsidR="00A2766C" w:rsidRPr="00252CDE">
        <w:rPr>
          <w:rFonts w:ascii="Calibri" w:hAnsi="Calibri" w:cs="Calibri"/>
          <w:color w:val="0D0D0D" w:themeColor="text1" w:themeTint="F2"/>
        </w:rPr>
        <w:t>2019)</w:t>
      </w:r>
      <w:r w:rsidR="00EE335C" w:rsidRPr="00252CDE">
        <w:rPr>
          <w:rFonts w:ascii="Calibri" w:hAnsi="Calibri" w:cs="Calibri"/>
          <w:color w:val="0D0D0D" w:themeColor="text1" w:themeTint="F2"/>
        </w:rPr>
        <w:t xml:space="preserve"> </w:t>
      </w:r>
      <w:r w:rsidR="00A454A3" w:rsidRPr="00252CDE">
        <w:rPr>
          <w:rFonts w:ascii="Calibri" w:hAnsi="Calibri" w:cs="Calibri"/>
          <w:color w:val="0D0D0D" w:themeColor="text1" w:themeTint="F2"/>
        </w:rPr>
        <w:t>argue that t</w:t>
      </w:r>
      <w:r w:rsidR="00BD7687" w:rsidRPr="00252CDE">
        <w:rPr>
          <w:rFonts w:ascii="Calibri" w:hAnsi="Calibri" w:cs="Calibri"/>
          <w:color w:val="0D0D0D" w:themeColor="text1" w:themeTint="F2"/>
        </w:rPr>
        <w:t>he portrayal of male nurses in media, when it occurs, can also be problematic.</w:t>
      </w:r>
      <w:r w:rsidR="003C1F1A" w:rsidRPr="00252CDE">
        <w:rPr>
          <w:rFonts w:ascii="Calibri" w:hAnsi="Calibri" w:cs="Calibri"/>
          <w:color w:val="0D0D0D" w:themeColor="text1" w:themeTint="F2"/>
        </w:rPr>
        <w:t xml:space="preserve"> </w:t>
      </w:r>
      <w:r w:rsidR="00BD7687" w:rsidRPr="00252CDE">
        <w:rPr>
          <w:rFonts w:ascii="Calibri" w:hAnsi="Calibri" w:cs="Calibri"/>
          <w:color w:val="0D0D0D" w:themeColor="text1" w:themeTint="F2"/>
        </w:rPr>
        <w:t xml:space="preserve"> Often, male nurses are depicted in hyper-masculine roles</w:t>
      </w:r>
      <w:r w:rsidR="00F00D4B" w:rsidRPr="00252CDE">
        <w:rPr>
          <w:rFonts w:ascii="Calibri" w:hAnsi="Calibri" w:cs="Calibri"/>
          <w:color w:val="0D0D0D" w:themeColor="text1" w:themeTint="F2"/>
        </w:rPr>
        <w:t xml:space="preserve"> (</w:t>
      </w:r>
      <w:r w:rsidR="008E0852" w:rsidRPr="00252CDE">
        <w:rPr>
          <w:rFonts w:ascii="Calibri" w:hAnsi="Calibri" w:cs="Calibri"/>
          <w:color w:val="0D0D0D" w:themeColor="text1" w:themeTint="F2"/>
        </w:rPr>
        <w:t>Evans, 2017</w:t>
      </w:r>
      <w:r w:rsidR="00F00D4B" w:rsidRPr="00252CDE">
        <w:rPr>
          <w:rFonts w:ascii="Calibri" w:hAnsi="Calibri" w:cs="Calibri"/>
          <w:color w:val="0D0D0D" w:themeColor="text1" w:themeTint="F2"/>
        </w:rPr>
        <w:t xml:space="preserve">; Aca </w:t>
      </w:r>
      <w:r w:rsidR="00D16F5C" w:rsidRPr="00252CDE">
        <w:rPr>
          <w:rFonts w:ascii="Calibri" w:hAnsi="Calibri" w:cs="Calibri"/>
          <w:i/>
          <w:iCs/>
          <w:color w:val="0D0D0D" w:themeColor="text1" w:themeTint="F2"/>
        </w:rPr>
        <w:t xml:space="preserve">et al., </w:t>
      </w:r>
      <w:r w:rsidR="00D16F5C" w:rsidRPr="00252CDE">
        <w:rPr>
          <w:rFonts w:ascii="Calibri" w:hAnsi="Calibri" w:cs="Calibri"/>
          <w:color w:val="0D0D0D" w:themeColor="text1" w:themeTint="F2"/>
        </w:rPr>
        <w:t>2025)</w:t>
      </w:r>
      <w:r w:rsidR="003C1F1A" w:rsidRPr="00252CDE">
        <w:rPr>
          <w:rFonts w:ascii="Calibri" w:hAnsi="Calibri" w:cs="Calibri"/>
          <w:color w:val="0D0D0D" w:themeColor="text1" w:themeTint="F2"/>
        </w:rPr>
        <w:t>, for example</w:t>
      </w:r>
      <w:r w:rsidR="00BD7687" w:rsidRPr="00252CDE">
        <w:rPr>
          <w:rFonts w:ascii="Calibri" w:hAnsi="Calibri" w:cs="Calibri"/>
          <w:color w:val="0D0D0D" w:themeColor="text1" w:themeTint="F2"/>
        </w:rPr>
        <w:t xml:space="preserve"> in emergency medicine</w:t>
      </w:r>
      <w:r w:rsidR="003C1F1A" w:rsidRPr="00252CDE">
        <w:rPr>
          <w:rFonts w:ascii="Calibri" w:hAnsi="Calibri" w:cs="Calibri"/>
          <w:color w:val="0D0D0D" w:themeColor="text1" w:themeTint="F2"/>
        </w:rPr>
        <w:t>,</w:t>
      </w:r>
      <w:r w:rsidR="00BD7687" w:rsidRPr="00252CDE">
        <w:rPr>
          <w:rFonts w:ascii="Calibri" w:hAnsi="Calibri" w:cs="Calibri"/>
          <w:color w:val="0D0D0D" w:themeColor="text1" w:themeTint="F2"/>
        </w:rPr>
        <w:t xml:space="preserve"> or as exceptions to the norm, further reinforcing the idea that nursing is not a typical career for men (</w:t>
      </w:r>
      <w:r w:rsidR="008E0852" w:rsidRPr="00252CDE">
        <w:rPr>
          <w:rFonts w:ascii="Calibri" w:hAnsi="Calibri" w:cs="Calibri"/>
          <w:color w:val="0D0D0D" w:themeColor="text1" w:themeTint="F2"/>
        </w:rPr>
        <w:t>Mohammad</w:t>
      </w:r>
      <w:r w:rsidR="00597C0A" w:rsidRPr="00252CDE">
        <w:rPr>
          <w:rFonts w:ascii="Calibri" w:hAnsi="Calibri" w:cs="Calibri"/>
          <w:color w:val="0D0D0D" w:themeColor="text1" w:themeTint="F2"/>
        </w:rPr>
        <w:t xml:space="preserve"> </w:t>
      </w:r>
      <w:r w:rsidR="00597C0A" w:rsidRPr="00252CDE">
        <w:rPr>
          <w:rFonts w:ascii="Calibri" w:hAnsi="Calibri" w:cs="Calibri"/>
          <w:i/>
          <w:iCs/>
          <w:color w:val="0D0D0D" w:themeColor="text1" w:themeTint="F2"/>
        </w:rPr>
        <w:t>et al.,</w:t>
      </w:r>
      <w:r w:rsidR="00597C0A" w:rsidRPr="00252CDE">
        <w:rPr>
          <w:rFonts w:ascii="Calibri" w:hAnsi="Calibri" w:cs="Calibri"/>
          <w:color w:val="0D0D0D" w:themeColor="text1" w:themeTint="F2"/>
        </w:rPr>
        <w:t xml:space="preserve"> 2021</w:t>
      </w:r>
      <w:r w:rsidR="00BD7687" w:rsidRPr="00252CDE">
        <w:rPr>
          <w:rFonts w:ascii="Calibri" w:hAnsi="Calibri" w:cs="Calibri"/>
          <w:color w:val="0D0D0D" w:themeColor="text1" w:themeTint="F2"/>
        </w:rPr>
        <w:t>).</w:t>
      </w:r>
      <w:r w:rsidR="00597C0A" w:rsidRPr="00252CDE">
        <w:rPr>
          <w:rFonts w:ascii="Calibri" w:hAnsi="Calibri" w:cs="Calibri"/>
          <w:color w:val="0D0D0D" w:themeColor="text1" w:themeTint="F2"/>
        </w:rPr>
        <w:t xml:space="preserve"> </w:t>
      </w:r>
      <w:r w:rsidR="00BD7687" w:rsidRPr="00252CDE">
        <w:rPr>
          <w:rFonts w:ascii="Calibri" w:hAnsi="Calibri" w:cs="Calibri"/>
          <w:color w:val="0D0D0D" w:themeColor="text1" w:themeTint="F2"/>
        </w:rPr>
        <w:t xml:space="preserve"> This limited and often stereotypical representation does little to challenge the prevailing image of nursing as a female domain.</w:t>
      </w:r>
    </w:p>
    <w:p w14:paraId="1D33334A" w14:textId="0DD9D508" w:rsidR="004F62AA" w:rsidRPr="00252CDE" w:rsidRDefault="00311334" w:rsidP="004F62AA">
      <w:pPr>
        <w:spacing w:line="360" w:lineRule="auto"/>
        <w:rPr>
          <w:rFonts w:ascii="Calibri" w:hAnsi="Calibri" w:cs="Calibri"/>
          <w:color w:val="0D0D0D" w:themeColor="text1" w:themeTint="F2"/>
        </w:rPr>
      </w:pPr>
      <w:r w:rsidRPr="00252CDE">
        <w:rPr>
          <w:rFonts w:ascii="Calibri" w:hAnsi="Calibri" w:cs="Calibri"/>
          <w:color w:val="0D0D0D" w:themeColor="text1" w:themeTint="F2"/>
        </w:rPr>
        <w:t>It</w:t>
      </w:r>
      <w:r w:rsidR="00BD7687" w:rsidRPr="00252CDE">
        <w:rPr>
          <w:rFonts w:ascii="Calibri" w:hAnsi="Calibri" w:cs="Calibri"/>
          <w:color w:val="0D0D0D" w:themeColor="text1" w:themeTint="F2"/>
        </w:rPr>
        <w:t xml:space="preserve"> is crucial</w:t>
      </w:r>
      <w:r w:rsidRPr="00252CDE">
        <w:rPr>
          <w:rFonts w:ascii="Calibri" w:hAnsi="Calibri" w:cs="Calibri"/>
          <w:color w:val="0D0D0D" w:themeColor="text1" w:themeTint="F2"/>
        </w:rPr>
        <w:t>, however,</w:t>
      </w:r>
      <w:r w:rsidR="00BD7687" w:rsidRPr="00252CDE">
        <w:rPr>
          <w:rFonts w:ascii="Calibri" w:hAnsi="Calibri" w:cs="Calibri"/>
          <w:color w:val="0D0D0D" w:themeColor="text1" w:themeTint="F2"/>
        </w:rPr>
        <w:t xml:space="preserve"> to acknowledge that these stereotypes are not static, and there are ongoing efforts to challenge and dismantle them. Research highlighting the diverse skills required in modern nursing</w:t>
      </w:r>
      <w:r w:rsidR="00CB3D9C" w:rsidRPr="00252CDE">
        <w:rPr>
          <w:rFonts w:ascii="Calibri" w:hAnsi="Calibri" w:cs="Calibri"/>
          <w:color w:val="0D0D0D" w:themeColor="text1" w:themeTint="F2"/>
        </w:rPr>
        <w:t>,</w:t>
      </w:r>
      <w:r w:rsidR="00BD7687" w:rsidRPr="00252CDE">
        <w:rPr>
          <w:rFonts w:ascii="Calibri" w:hAnsi="Calibri" w:cs="Calibri"/>
          <w:color w:val="0D0D0D" w:themeColor="text1" w:themeTint="F2"/>
        </w:rPr>
        <w:t xml:space="preserve"> including critical thinking</w:t>
      </w:r>
      <w:r w:rsidR="000C11AE" w:rsidRPr="00252CDE">
        <w:rPr>
          <w:rFonts w:ascii="Calibri" w:hAnsi="Calibri" w:cs="Calibri"/>
          <w:color w:val="0D0D0D" w:themeColor="text1" w:themeTint="F2"/>
        </w:rPr>
        <w:t xml:space="preserve"> </w:t>
      </w:r>
      <w:r w:rsidR="00592EB7" w:rsidRPr="00252CDE">
        <w:rPr>
          <w:rFonts w:ascii="Calibri" w:hAnsi="Calibri" w:cs="Calibri"/>
          <w:color w:val="0D0D0D" w:themeColor="text1" w:themeTint="F2"/>
        </w:rPr>
        <w:t>(Kaur, Ricciardelli and Clow, 2022)</w:t>
      </w:r>
      <w:r w:rsidR="00BD7687" w:rsidRPr="00252CDE">
        <w:rPr>
          <w:rFonts w:ascii="Calibri" w:hAnsi="Calibri" w:cs="Calibri"/>
          <w:color w:val="0D0D0D" w:themeColor="text1" w:themeTint="F2"/>
        </w:rPr>
        <w:t>, leadership</w:t>
      </w:r>
      <w:r w:rsidR="00045E2B" w:rsidRPr="00252CDE">
        <w:rPr>
          <w:rFonts w:ascii="Calibri" w:hAnsi="Calibri" w:cs="Calibri"/>
          <w:color w:val="0D0D0D" w:themeColor="text1" w:themeTint="F2"/>
        </w:rPr>
        <w:t xml:space="preserve"> (Whitford </w:t>
      </w:r>
      <w:r w:rsidR="00045E2B" w:rsidRPr="00252CDE">
        <w:rPr>
          <w:rFonts w:ascii="Calibri" w:hAnsi="Calibri" w:cs="Calibri"/>
          <w:i/>
          <w:iCs/>
          <w:color w:val="0D0D0D" w:themeColor="text1" w:themeTint="F2"/>
        </w:rPr>
        <w:t>et al</w:t>
      </w:r>
      <w:r w:rsidR="000B1FEB" w:rsidRPr="00252CDE">
        <w:rPr>
          <w:rFonts w:ascii="Calibri" w:hAnsi="Calibri" w:cs="Calibri"/>
          <w:i/>
          <w:iCs/>
          <w:color w:val="0D0D0D" w:themeColor="text1" w:themeTint="F2"/>
        </w:rPr>
        <w:t>.,</w:t>
      </w:r>
      <w:r w:rsidR="000B1FEB" w:rsidRPr="00252CDE">
        <w:rPr>
          <w:rFonts w:ascii="Calibri" w:hAnsi="Calibri" w:cs="Calibri"/>
          <w:color w:val="0D0D0D" w:themeColor="text1" w:themeTint="F2"/>
        </w:rPr>
        <w:t xml:space="preserve"> 2019)</w:t>
      </w:r>
      <w:r w:rsidR="00BD7687" w:rsidRPr="00252CDE">
        <w:rPr>
          <w:rFonts w:ascii="Calibri" w:hAnsi="Calibri" w:cs="Calibri"/>
          <w:color w:val="0D0D0D" w:themeColor="text1" w:themeTint="F2"/>
        </w:rPr>
        <w:t>, and technological proficiency</w:t>
      </w:r>
      <w:r w:rsidR="000B1FEB" w:rsidRPr="00252CDE">
        <w:rPr>
          <w:rFonts w:ascii="Calibri" w:hAnsi="Calibri" w:cs="Calibri"/>
          <w:color w:val="0D0D0D" w:themeColor="text1" w:themeTint="F2"/>
        </w:rPr>
        <w:t xml:space="preserve"> (Iheduru-Anderson and A</w:t>
      </w:r>
      <w:r w:rsidR="005564F5" w:rsidRPr="00252CDE">
        <w:rPr>
          <w:rFonts w:ascii="Calibri" w:hAnsi="Calibri" w:cs="Calibri"/>
          <w:color w:val="0D0D0D" w:themeColor="text1" w:themeTint="F2"/>
        </w:rPr>
        <w:t>gomoh, 2024)</w:t>
      </w:r>
      <w:r w:rsidR="00CB3D9C" w:rsidRPr="00252CDE">
        <w:rPr>
          <w:rFonts w:ascii="Calibri" w:hAnsi="Calibri" w:cs="Calibri"/>
          <w:color w:val="0D0D0D" w:themeColor="text1" w:themeTint="F2"/>
        </w:rPr>
        <w:t xml:space="preserve">, </w:t>
      </w:r>
      <w:r w:rsidR="00BD7687" w:rsidRPr="00252CDE">
        <w:rPr>
          <w:rFonts w:ascii="Calibri" w:hAnsi="Calibri" w:cs="Calibri"/>
          <w:color w:val="0D0D0D" w:themeColor="text1" w:themeTint="F2"/>
        </w:rPr>
        <w:t>aims to broaden the perception of who can be a successful nurse</w:t>
      </w:r>
      <w:r w:rsidR="00A7559C" w:rsidRPr="00252CDE">
        <w:rPr>
          <w:rFonts w:ascii="Calibri" w:hAnsi="Calibri" w:cs="Calibri"/>
          <w:color w:val="0D0D0D" w:themeColor="text1" w:themeTint="F2"/>
        </w:rPr>
        <w:t xml:space="preserve">, </w:t>
      </w:r>
      <w:r w:rsidR="003D1A40" w:rsidRPr="00252CDE">
        <w:rPr>
          <w:rFonts w:ascii="Calibri" w:hAnsi="Calibri" w:cs="Calibri"/>
          <w:color w:val="0D0D0D" w:themeColor="text1" w:themeTint="F2"/>
        </w:rPr>
        <w:t>despite</w:t>
      </w:r>
      <w:r w:rsidR="0019134A" w:rsidRPr="00252CDE">
        <w:rPr>
          <w:rFonts w:ascii="Calibri" w:hAnsi="Calibri" w:cs="Calibri"/>
          <w:color w:val="0D0D0D" w:themeColor="text1" w:themeTint="F2"/>
        </w:rPr>
        <w:t xml:space="preserve"> being </w:t>
      </w:r>
      <w:r w:rsidR="00633F74" w:rsidRPr="00252CDE">
        <w:rPr>
          <w:rFonts w:ascii="Calibri" w:hAnsi="Calibri" w:cs="Calibri"/>
          <w:color w:val="0D0D0D" w:themeColor="text1" w:themeTint="F2"/>
        </w:rPr>
        <w:t>male or female</w:t>
      </w:r>
      <w:r w:rsidR="00A7559C" w:rsidRPr="00252CDE">
        <w:rPr>
          <w:rFonts w:ascii="Calibri" w:hAnsi="Calibri" w:cs="Calibri"/>
          <w:color w:val="0D0D0D" w:themeColor="text1" w:themeTint="F2"/>
        </w:rPr>
        <w:t>.  Connolly and Rogers (2015) argue that it is equally important for both sexes to be inspired for a more gender balanced nursing workforce</w:t>
      </w:r>
      <w:r w:rsidR="00BD7687" w:rsidRPr="00252CDE">
        <w:rPr>
          <w:rFonts w:ascii="Calibri" w:hAnsi="Calibri" w:cs="Calibri"/>
          <w:color w:val="0D0D0D" w:themeColor="text1" w:themeTint="F2"/>
        </w:rPr>
        <w:t xml:space="preserve">. </w:t>
      </w:r>
      <w:r w:rsidR="003F4A45" w:rsidRPr="00252CDE">
        <w:rPr>
          <w:rFonts w:ascii="Calibri" w:hAnsi="Calibri" w:cs="Calibri"/>
          <w:color w:val="0D0D0D" w:themeColor="text1" w:themeTint="F2"/>
        </w:rPr>
        <w:t xml:space="preserve"> </w:t>
      </w:r>
      <w:r w:rsidR="00BD7687" w:rsidRPr="00252CDE">
        <w:rPr>
          <w:rFonts w:ascii="Calibri" w:hAnsi="Calibri" w:cs="Calibri"/>
          <w:color w:val="0D0D0D" w:themeColor="text1" w:themeTint="F2"/>
        </w:rPr>
        <w:t xml:space="preserve">Furthermore, </w:t>
      </w:r>
      <w:r w:rsidR="005B7500" w:rsidRPr="00252CDE">
        <w:rPr>
          <w:rFonts w:ascii="Calibri" w:hAnsi="Calibri" w:cs="Calibri"/>
          <w:color w:val="0D0D0D" w:themeColor="text1" w:themeTint="F2"/>
        </w:rPr>
        <w:t xml:space="preserve">Whitford </w:t>
      </w:r>
      <w:r w:rsidR="005B7500" w:rsidRPr="00252CDE">
        <w:rPr>
          <w:rFonts w:ascii="Calibri" w:hAnsi="Calibri" w:cs="Calibri"/>
          <w:i/>
          <w:iCs/>
          <w:color w:val="0D0D0D" w:themeColor="text1" w:themeTint="F2"/>
        </w:rPr>
        <w:t>et al.</w:t>
      </w:r>
      <w:r w:rsidR="004925C3" w:rsidRPr="00252CDE">
        <w:rPr>
          <w:rFonts w:ascii="Calibri" w:hAnsi="Calibri" w:cs="Calibri"/>
          <w:color w:val="0D0D0D" w:themeColor="text1" w:themeTint="F2"/>
        </w:rPr>
        <w:t xml:space="preserve"> (2019) recognise </w:t>
      </w:r>
      <w:r w:rsidR="00BD7687" w:rsidRPr="00252CDE">
        <w:rPr>
          <w:rFonts w:ascii="Calibri" w:hAnsi="Calibri" w:cs="Calibri"/>
          <w:color w:val="0D0D0D" w:themeColor="text1" w:themeTint="F2"/>
        </w:rPr>
        <w:t>the increasing visibility of male nurses in various specialties and their advocacy for greater gender diversity within the profession are gradually chipping away at these long-held stereotypes.</w:t>
      </w:r>
      <w:r w:rsidR="004F62AA" w:rsidRPr="00252CDE">
        <w:rPr>
          <w:rFonts w:ascii="Calibri" w:hAnsi="Calibri" w:cs="Calibri"/>
          <w:color w:val="0D0D0D" w:themeColor="text1" w:themeTint="F2"/>
        </w:rPr>
        <w:t xml:space="preserve">  Mohammad</w:t>
      </w:r>
      <w:r w:rsidR="007E6728" w:rsidRPr="00252CDE">
        <w:rPr>
          <w:rFonts w:ascii="Calibri" w:hAnsi="Calibri" w:cs="Calibri"/>
          <w:color w:val="0D0D0D" w:themeColor="text1" w:themeTint="F2"/>
        </w:rPr>
        <w:t xml:space="preserve"> </w:t>
      </w:r>
      <w:r w:rsidR="007E6728" w:rsidRPr="00252CDE">
        <w:rPr>
          <w:rFonts w:ascii="Calibri" w:hAnsi="Calibri" w:cs="Calibri"/>
          <w:i/>
          <w:iCs/>
          <w:color w:val="0D0D0D" w:themeColor="text1" w:themeTint="F2"/>
        </w:rPr>
        <w:t>et al.</w:t>
      </w:r>
      <w:r w:rsidR="007E6728" w:rsidRPr="00252CDE">
        <w:rPr>
          <w:rFonts w:ascii="Calibri" w:hAnsi="Calibri" w:cs="Calibri"/>
          <w:color w:val="0D0D0D" w:themeColor="text1" w:themeTint="F2"/>
        </w:rPr>
        <w:t xml:space="preserve"> </w:t>
      </w:r>
      <w:r w:rsidR="004F62AA" w:rsidRPr="00252CDE">
        <w:rPr>
          <w:rFonts w:ascii="Calibri" w:hAnsi="Calibri" w:cs="Calibri"/>
          <w:color w:val="0D0D0D" w:themeColor="text1" w:themeTint="F2"/>
        </w:rPr>
        <w:t xml:space="preserve">(2021) propose that nurses have become role-models across the globe since </w:t>
      </w:r>
      <w:r w:rsidR="003F4A45" w:rsidRPr="00252CDE">
        <w:rPr>
          <w:rFonts w:ascii="Calibri" w:hAnsi="Calibri" w:cs="Calibri"/>
          <w:color w:val="0D0D0D" w:themeColor="text1" w:themeTint="F2"/>
        </w:rPr>
        <w:t>the Covid-19 pandemic</w:t>
      </w:r>
      <w:r w:rsidR="004F62AA" w:rsidRPr="00252CDE">
        <w:rPr>
          <w:rFonts w:ascii="Calibri" w:hAnsi="Calibri" w:cs="Calibri"/>
          <w:color w:val="0D0D0D" w:themeColor="text1" w:themeTint="F2"/>
        </w:rPr>
        <w:t>, regardless of gender.</w:t>
      </w:r>
    </w:p>
    <w:p w14:paraId="30BC46F0" w14:textId="47327481" w:rsidR="00BD7687" w:rsidRPr="00252CDE" w:rsidRDefault="00BD7687"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Critically, the literature on sociocultural and gender stereotypes consistently points to their significant impact on men's entry into and experiences within nursing. </w:t>
      </w:r>
      <w:r w:rsidR="00721884"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These ingrained societal beliefs not only deter some men from considering nursing but can also create challenges for those who do, potentially contributing to feelings of being an outsider and influencing attrition rates. </w:t>
      </w:r>
      <w:r w:rsidR="00592D07"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Addressing these deeply rooted stereotypes requires a multifaceted approach involving </w:t>
      </w:r>
      <w:r w:rsidR="00893A8F" w:rsidRPr="00252CDE">
        <w:rPr>
          <w:rFonts w:ascii="Calibri" w:hAnsi="Calibri" w:cs="Calibri"/>
          <w:color w:val="0D0D0D" w:themeColor="text1" w:themeTint="F2"/>
        </w:rPr>
        <w:t xml:space="preserve">strategies </w:t>
      </w:r>
      <w:r w:rsidR="00C8781C" w:rsidRPr="00252CDE">
        <w:rPr>
          <w:rFonts w:ascii="Calibri" w:hAnsi="Calibri" w:cs="Calibri"/>
          <w:color w:val="0D0D0D" w:themeColor="text1" w:themeTint="F2"/>
        </w:rPr>
        <w:t>suggested by Kaur, Ricciardelli and Clow (2022)</w:t>
      </w:r>
      <w:r w:rsidR="003918E4" w:rsidRPr="00252CDE">
        <w:rPr>
          <w:rFonts w:ascii="Calibri" w:hAnsi="Calibri" w:cs="Calibri"/>
          <w:color w:val="0D0D0D" w:themeColor="text1" w:themeTint="F2"/>
        </w:rPr>
        <w:t xml:space="preserve">, </w:t>
      </w:r>
      <w:r w:rsidR="00E4434D" w:rsidRPr="00252CDE">
        <w:rPr>
          <w:rFonts w:ascii="Calibri" w:hAnsi="Calibri" w:cs="Calibri"/>
          <w:color w:val="0D0D0D" w:themeColor="text1" w:themeTint="F2"/>
        </w:rPr>
        <w:t xml:space="preserve">Terry </w:t>
      </w:r>
      <w:r w:rsidR="00E4434D" w:rsidRPr="00252CDE">
        <w:rPr>
          <w:rFonts w:ascii="Calibri" w:hAnsi="Calibri" w:cs="Calibri"/>
          <w:i/>
          <w:iCs/>
          <w:color w:val="0D0D0D" w:themeColor="text1" w:themeTint="F2"/>
        </w:rPr>
        <w:t>et al.</w:t>
      </w:r>
      <w:r w:rsidR="00E4434D" w:rsidRPr="00252CDE">
        <w:rPr>
          <w:rFonts w:ascii="Calibri" w:hAnsi="Calibri" w:cs="Calibri"/>
          <w:color w:val="0D0D0D" w:themeColor="text1" w:themeTint="F2"/>
        </w:rPr>
        <w:t xml:space="preserve"> (2020), and Entwistle (2004) to name a few, </w:t>
      </w:r>
      <w:r w:rsidR="004F17A3" w:rsidRPr="00252CDE">
        <w:rPr>
          <w:rFonts w:ascii="Calibri" w:hAnsi="Calibri" w:cs="Calibri"/>
          <w:color w:val="0D0D0D" w:themeColor="text1" w:themeTint="F2"/>
        </w:rPr>
        <w:t xml:space="preserve">to include </w:t>
      </w:r>
      <w:r w:rsidRPr="00252CDE">
        <w:rPr>
          <w:rFonts w:ascii="Calibri" w:hAnsi="Calibri" w:cs="Calibri"/>
          <w:color w:val="0D0D0D" w:themeColor="text1" w:themeTint="F2"/>
        </w:rPr>
        <w:t>challenging media portrayals, promoting male role models, and actively working to create a more inclusive image of nursing that values the contributions of individuals regardless of their gender.</w:t>
      </w:r>
    </w:p>
    <w:p w14:paraId="17CA136B" w14:textId="77777777" w:rsidR="00E2457A" w:rsidRPr="00252CDE" w:rsidRDefault="00E2457A" w:rsidP="00D51D2A">
      <w:pPr>
        <w:spacing w:line="360" w:lineRule="auto"/>
        <w:rPr>
          <w:rFonts w:ascii="Calibri" w:hAnsi="Calibri" w:cs="Calibri"/>
          <w:color w:val="0D0D0D" w:themeColor="text1" w:themeTint="F2"/>
        </w:rPr>
      </w:pPr>
    </w:p>
    <w:p w14:paraId="396F3293" w14:textId="0FC1B151" w:rsidR="0000152D" w:rsidRPr="00252CDE" w:rsidRDefault="0000152D" w:rsidP="00D51D2A">
      <w:pPr>
        <w:spacing w:line="360" w:lineRule="auto"/>
        <w:rPr>
          <w:rFonts w:ascii="Calibri" w:hAnsi="Calibri" w:cs="Calibri"/>
          <w:color w:val="0D0D0D" w:themeColor="text1" w:themeTint="F2"/>
        </w:rPr>
      </w:pPr>
      <w:r w:rsidRPr="00252CDE">
        <w:rPr>
          <w:rFonts w:ascii="Calibri" w:hAnsi="Calibri" w:cs="Calibri"/>
          <w:b/>
          <w:bCs/>
          <w:color w:val="0D0D0D" w:themeColor="text1" w:themeTint="F2"/>
        </w:rPr>
        <w:lastRenderedPageBreak/>
        <w:t>3.3 The Learning Environment and Curriculum</w:t>
      </w:r>
    </w:p>
    <w:p w14:paraId="06C77DE6" w14:textId="60B12277" w:rsidR="006B107B" w:rsidRPr="00252CDE" w:rsidRDefault="0000152D"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The learning environment and curriculum within nursing education have been scrutinised for potential inherent biases that may disproportionately affect male students.</w:t>
      </w:r>
      <w:r w:rsidR="00604BE9"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Given the historical and ongoing dominance of women in nursing, there are concerns that pedagogical approaches, learning resources, and even the language used within curricul</w:t>
      </w:r>
      <w:r w:rsidR="00B26906" w:rsidRPr="00252CDE">
        <w:rPr>
          <w:rFonts w:ascii="Calibri" w:hAnsi="Calibri" w:cs="Calibri"/>
          <w:color w:val="0D0D0D" w:themeColor="text1" w:themeTint="F2"/>
        </w:rPr>
        <w:t>um</w:t>
      </w:r>
      <w:r w:rsidRPr="00252CDE">
        <w:rPr>
          <w:rFonts w:ascii="Calibri" w:hAnsi="Calibri" w:cs="Calibri"/>
          <w:color w:val="0D0D0D" w:themeColor="text1" w:themeTint="F2"/>
        </w:rPr>
        <w:t xml:space="preserve"> might inadvertently reflect a predominantly female perspective, potentially creating a less inclusive or engaging experience for male students</w:t>
      </w:r>
      <w:r w:rsidR="00AE565B" w:rsidRPr="00252CDE">
        <w:rPr>
          <w:rFonts w:ascii="Calibri" w:hAnsi="Calibri" w:cs="Calibri"/>
          <w:color w:val="0D0D0D" w:themeColor="text1" w:themeTint="F2"/>
        </w:rPr>
        <w:t xml:space="preserve"> and therefore perpetuati</w:t>
      </w:r>
      <w:r w:rsidR="00126B9B" w:rsidRPr="00252CDE">
        <w:rPr>
          <w:rFonts w:ascii="Calibri" w:hAnsi="Calibri" w:cs="Calibri"/>
          <w:color w:val="0D0D0D" w:themeColor="text1" w:themeTint="F2"/>
        </w:rPr>
        <w:t>ng gender</w:t>
      </w:r>
      <w:r w:rsidR="00CD54F7" w:rsidRPr="00252CDE">
        <w:rPr>
          <w:rFonts w:ascii="Calibri" w:hAnsi="Calibri" w:cs="Calibri"/>
          <w:color w:val="0D0D0D" w:themeColor="text1" w:themeTint="F2"/>
        </w:rPr>
        <w:t>-</w:t>
      </w:r>
      <w:r w:rsidR="00126B9B" w:rsidRPr="00252CDE">
        <w:rPr>
          <w:rFonts w:ascii="Calibri" w:hAnsi="Calibri" w:cs="Calibri"/>
          <w:color w:val="0D0D0D" w:themeColor="text1" w:themeTint="F2"/>
        </w:rPr>
        <w:t>bias</w:t>
      </w:r>
      <w:r w:rsidR="00AE565B" w:rsidRPr="00252CDE">
        <w:rPr>
          <w:rFonts w:ascii="Calibri" w:hAnsi="Calibri" w:cs="Calibri"/>
          <w:color w:val="0D0D0D" w:themeColor="text1" w:themeTint="F2"/>
        </w:rPr>
        <w:t xml:space="preserve"> </w:t>
      </w:r>
      <w:r w:rsidR="006B107B" w:rsidRPr="00252CDE">
        <w:rPr>
          <w:rFonts w:ascii="Calibri" w:hAnsi="Calibri" w:cs="Calibri"/>
          <w:color w:val="0D0D0D" w:themeColor="text1" w:themeTint="F2"/>
        </w:rPr>
        <w:t>(Arif and Khokhar, 2017</w:t>
      </w:r>
      <w:r w:rsidR="0071592C" w:rsidRPr="00252CDE">
        <w:rPr>
          <w:rFonts w:ascii="Calibri" w:hAnsi="Calibri" w:cs="Calibri"/>
          <w:color w:val="0D0D0D" w:themeColor="text1" w:themeTint="F2"/>
        </w:rPr>
        <w:t>; Evans, 2004</w:t>
      </w:r>
      <w:r w:rsidR="003D02F7" w:rsidRPr="00252CDE">
        <w:rPr>
          <w:rFonts w:ascii="Calibri" w:hAnsi="Calibri" w:cs="Calibri"/>
          <w:color w:val="0D0D0D" w:themeColor="text1" w:themeTint="F2"/>
        </w:rPr>
        <w:t xml:space="preserve">; Paterson </w:t>
      </w:r>
      <w:r w:rsidR="003D02F7" w:rsidRPr="00252CDE">
        <w:rPr>
          <w:rFonts w:ascii="Calibri" w:hAnsi="Calibri" w:cs="Calibri"/>
          <w:i/>
          <w:iCs/>
          <w:color w:val="0D0D0D" w:themeColor="text1" w:themeTint="F2"/>
        </w:rPr>
        <w:t>et al.</w:t>
      </w:r>
      <w:r w:rsidR="003D02F7" w:rsidRPr="00252CDE">
        <w:rPr>
          <w:rFonts w:ascii="Calibri" w:hAnsi="Calibri" w:cs="Calibri"/>
          <w:color w:val="0D0D0D" w:themeColor="text1" w:themeTint="F2"/>
        </w:rPr>
        <w:t xml:space="preserve"> 1995</w:t>
      </w:r>
      <w:r w:rsidRPr="00252CDE">
        <w:rPr>
          <w:rFonts w:ascii="Calibri" w:hAnsi="Calibri" w:cs="Calibri"/>
          <w:color w:val="0D0D0D" w:themeColor="text1" w:themeTint="F2"/>
        </w:rPr>
        <w:t>).</w:t>
      </w:r>
      <w:r w:rsidR="00CD54F7" w:rsidRPr="00252CDE">
        <w:rPr>
          <w:rFonts w:ascii="Calibri" w:hAnsi="Calibri" w:cs="Calibri"/>
          <w:color w:val="0D0D0D" w:themeColor="text1" w:themeTint="F2"/>
        </w:rPr>
        <w:t xml:space="preserve"> </w:t>
      </w:r>
    </w:p>
    <w:p w14:paraId="1A9BD565" w14:textId="46D8DD05" w:rsidR="0063154D" w:rsidRPr="00252CDE" w:rsidRDefault="00DF3455"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It</w:t>
      </w:r>
      <w:r w:rsidR="001A79A5" w:rsidRPr="00252CDE">
        <w:rPr>
          <w:rFonts w:ascii="Calibri" w:hAnsi="Calibri" w:cs="Calibri"/>
          <w:color w:val="0D0D0D" w:themeColor="text1" w:themeTint="F2"/>
        </w:rPr>
        <w:t xml:space="preserve"> has been over three decades since </w:t>
      </w:r>
      <w:r w:rsidR="00126B9B" w:rsidRPr="00252CDE">
        <w:rPr>
          <w:rFonts w:ascii="Calibri" w:hAnsi="Calibri" w:cs="Calibri"/>
          <w:color w:val="0D0D0D" w:themeColor="text1" w:themeTint="F2"/>
        </w:rPr>
        <w:t>Villanueve</w:t>
      </w:r>
      <w:r w:rsidR="001A79A5" w:rsidRPr="00252CDE">
        <w:rPr>
          <w:rFonts w:ascii="Calibri" w:hAnsi="Calibri" w:cs="Calibri"/>
          <w:color w:val="0D0D0D" w:themeColor="text1" w:themeTint="F2"/>
        </w:rPr>
        <w:t>’s</w:t>
      </w:r>
      <w:r w:rsidR="00126B9B" w:rsidRPr="00252CDE">
        <w:rPr>
          <w:rFonts w:ascii="Calibri" w:hAnsi="Calibri" w:cs="Calibri"/>
          <w:color w:val="0D0D0D" w:themeColor="text1" w:themeTint="F2"/>
        </w:rPr>
        <w:t xml:space="preserve"> (1994) </w:t>
      </w:r>
      <w:r w:rsidR="001A79A5" w:rsidRPr="00252CDE">
        <w:rPr>
          <w:rFonts w:ascii="Calibri" w:hAnsi="Calibri" w:cs="Calibri"/>
          <w:color w:val="0D0D0D" w:themeColor="text1" w:themeTint="F2"/>
        </w:rPr>
        <w:t xml:space="preserve">claims </w:t>
      </w:r>
      <w:r w:rsidR="00126B9B" w:rsidRPr="00252CDE">
        <w:rPr>
          <w:rFonts w:ascii="Calibri" w:hAnsi="Calibri" w:cs="Calibri"/>
          <w:color w:val="0D0D0D" w:themeColor="text1" w:themeTint="F2"/>
        </w:rPr>
        <w:t xml:space="preserve">that nursing practice had become </w:t>
      </w:r>
      <w:r w:rsidR="002029A2" w:rsidRPr="00252CDE">
        <w:rPr>
          <w:rFonts w:ascii="Calibri" w:hAnsi="Calibri" w:cs="Calibri"/>
          <w:color w:val="0D0D0D" w:themeColor="text1" w:themeTint="F2"/>
        </w:rPr>
        <w:t>“</w:t>
      </w:r>
      <w:r w:rsidR="00126B9B" w:rsidRPr="00252CDE">
        <w:rPr>
          <w:rFonts w:ascii="Calibri" w:hAnsi="Calibri" w:cs="Calibri"/>
          <w:color w:val="0D0D0D" w:themeColor="text1" w:themeTint="F2"/>
        </w:rPr>
        <w:t>sexualised</w:t>
      </w:r>
      <w:r w:rsidR="002029A2" w:rsidRPr="00252CDE">
        <w:rPr>
          <w:rFonts w:ascii="Calibri" w:hAnsi="Calibri" w:cs="Calibri"/>
          <w:color w:val="0D0D0D" w:themeColor="text1" w:themeTint="F2"/>
        </w:rPr>
        <w:t>”</w:t>
      </w:r>
      <w:r w:rsidR="00126B9B" w:rsidRPr="00252CDE">
        <w:rPr>
          <w:rFonts w:ascii="Calibri" w:hAnsi="Calibri" w:cs="Calibri"/>
          <w:color w:val="0D0D0D" w:themeColor="text1" w:themeTint="F2"/>
        </w:rPr>
        <w:t xml:space="preserve"> through the historical context and </w:t>
      </w:r>
      <w:r w:rsidR="00FA0AC5" w:rsidRPr="00252CDE">
        <w:rPr>
          <w:rFonts w:ascii="Calibri" w:hAnsi="Calibri" w:cs="Calibri"/>
          <w:color w:val="0D0D0D" w:themeColor="text1" w:themeTint="F2"/>
        </w:rPr>
        <w:t>written</w:t>
      </w:r>
      <w:r w:rsidR="00126B9B" w:rsidRPr="00252CDE">
        <w:rPr>
          <w:rFonts w:ascii="Calibri" w:hAnsi="Calibri" w:cs="Calibri"/>
          <w:color w:val="0D0D0D" w:themeColor="text1" w:themeTint="F2"/>
        </w:rPr>
        <w:t xml:space="preserve"> </w:t>
      </w:r>
      <w:r w:rsidR="004C0B75" w:rsidRPr="00252CDE">
        <w:rPr>
          <w:rFonts w:ascii="Calibri" w:hAnsi="Calibri" w:cs="Calibri"/>
          <w:color w:val="0D0D0D" w:themeColor="text1" w:themeTint="F2"/>
        </w:rPr>
        <w:t>word</w:t>
      </w:r>
      <w:r w:rsidR="00126B9B" w:rsidRPr="00252CDE">
        <w:rPr>
          <w:rFonts w:ascii="Calibri" w:hAnsi="Calibri" w:cs="Calibri"/>
          <w:color w:val="0D0D0D" w:themeColor="text1" w:themeTint="F2"/>
        </w:rPr>
        <w:t xml:space="preserve"> that designated the </w:t>
      </w:r>
      <w:r w:rsidR="0060224E" w:rsidRPr="00252CDE">
        <w:rPr>
          <w:rFonts w:ascii="Calibri" w:hAnsi="Calibri" w:cs="Calibri"/>
          <w:color w:val="0D0D0D" w:themeColor="text1" w:themeTint="F2"/>
        </w:rPr>
        <w:t>profession</w:t>
      </w:r>
      <w:r w:rsidR="00126B9B" w:rsidRPr="00252CDE">
        <w:rPr>
          <w:rFonts w:ascii="Calibri" w:hAnsi="Calibri" w:cs="Calibri"/>
          <w:color w:val="0D0D0D" w:themeColor="text1" w:themeTint="F2"/>
        </w:rPr>
        <w:t xml:space="preserve"> as "women's work"</w:t>
      </w:r>
      <w:r w:rsidR="00B45148" w:rsidRPr="00252CDE">
        <w:rPr>
          <w:rFonts w:ascii="Calibri" w:hAnsi="Calibri" w:cs="Calibri"/>
          <w:color w:val="0D0D0D" w:themeColor="text1" w:themeTint="F2"/>
        </w:rPr>
        <w:t xml:space="preserve">; </w:t>
      </w:r>
      <w:r w:rsidR="00B729AC" w:rsidRPr="00252CDE">
        <w:rPr>
          <w:rFonts w:ascii="Calibri" w:hAnsi="Calibri" w:cs="Calibri"/>
          <w:color w:val="0D0D0D" w:themeColor="text1" w:themeTint="F2"/>
        </w:rPr>
        <w:t>s</w:t>
      </w:r>
      <w:r w:rsidR="00126B9B" w:rsidRPr="00252CDE">
        <w:rPr>
          <w:rFonts w:ascii="Calibri" w:hAnsi="Calibri" w:cs="Calibri"/>
          <w:color w:val="0D0D0D" w:themeColor="text1" w:themeTint="F2"/>
        </w:rPr>
        <w:t xml:space="preserve">ubsequent research </w:t>
      </w:r>
      <w:r w:rsidR="00C81C4E" w:rsidRPr="00252CDE">
        <w:rPr>
          <w:rFonts w:ascii="Calibri" w:hAnsi="Calibri" w:cs="Calibri"/>
          <w:color w:val="0D0D0D" w:themeColor="text1" w:themeTint="F2"/>
        </w:rPr>
        <w:t>(</w:t>
      </w:r>
      <w:r w:rsidR="001C261A" w:rsidRPr="00252CDE">
        <w:rPr>
          <w:rFonts w:ascii="Calibri" w:hAnsi="Calibri" w:cs="Calibri"/>
          <w:color w:val="0D0D0D" w:themeColor="text1" w:themeTint="F2"/>
        </w:rPr>
        <w:t>Kangethe, L</w:t>
      </w:r>
      <w:r w:rsidR="00C81C4E" w:rsidRPr="00252CDE">
        <w:rPr>
          <w:rFonts w:ascii="Calibri" w:hAnsi="Calibri" w:cs="Calibri"/>
          <w:color w:val="0D0D0D" w:themeColor="text1" w:themeTint="F2"/>
        </w:rPr>
        <w:t xml:space="preserve">yria and Nyamamga, 2014; Keogh </w:t>
      </w:r>
      <w:r w:rsidR="007F0FE7" w:rsidRPr="00252CDE">
        <w:rPr>
          <w:rFonts w:ascii="Calibri" w:hAnsi="Calibri" w:cs="Calibri"/>
          <w:color w:val="0D0D0D" w:themeColor="text1" w:themeTint="F2"/>
        </w:rPr>
        <w:t>and</w:t>
      </w:r>
      <w:r w:rsidR="00C81C4E" w:rsidRPr="00252CDE">
        <w:rPr>
          <w:rFonts w:ascii="Calibri" w:hAnsi="Calibri" w:cs="Calibri"/>
          <w:color w:val="0D0D0D" w:themeColor="text1" w:themeTint="F2"/>
        </w:rPr>
        <w:t xml:space="preserve"> O’Lynn, 2007; </w:t>
      </w:r>
      <w:r w:rsidR="005B4919" w:rsidRPr="00252CDE">
        <w:rPr>
          <w:rFonts w:ascii="Calibri" w:hAnsi="Calibri" w:cs="Calibri"/>
          <w:color w:val="0D0D0D" w:themeColor="text1" w:themeTint="F2"/>
        </w:rPr>
        <w:t xml:space="preserve">Hill, </w:t>
      </w:r>
      <w:r w:rsidR="00C81C4E" w:rsidRPr="00252CDE">
        <w:rPr>
          <w:rFonts w:ascii="Calibri" w:hAnsi="Calibri" w:cs="Calibri"/>
          <w:color w:val="0D0D0D" w:themeColor="text1" w:themeTint="F2"/>
        </w:rPr>
        <w:t xml:space="preserve">Corbett </w:t>
      </w:r>
      <w:r w:rsidR="007F0FE7" w:rsidRPr="00252CDE">
        <w:rPr>
          <w:rFonts w:ascii="Calibri" w:hAnsi="Calibri" w:cs="Calibri"/>
          <w:color w:val="0D0D0D" w:themeColor="text1" w:themeTint="F2"/>
        </w:rPr>
        <w:t>and</w:t>
      </w:r>
      <w:r w:rsidR="00C81C4E" w:rsidRPr="00252CDE">
        <w:rPr>
          <w:rFonts w:ascii="Calibri" w:hAnsi="Calibri" w:cs="Calibri"/>
          <w:color w:val="0D0D0D" w:themeColor="text1" w:themeTint="F2"/>
        </w:rPr>
        <w:t xml:space="preserve"> Rose, 2015; </w:t>
      </w:r>
      <w:r w:rsidR="00A27B74" w:rsidRPr="00252CDE">
        <w:rPr>
          <w:rFonts w:ascii="Calibri" w:hAnsi="Calibri" w:cs="Calibri"/>
          <w:color w:val="0D0D0D" w:themeColor="text1" w:themeTint="F2"/>
        </w:rPr>
        <w:t>Institute for Women’s Policy Research, 2013</w:t>
      </w:r>
      <w:r w:rsidR="00E247F3" w:rsidRPr="00252CDE">
        <w:rPr>
          <w:rFonts w:ascii="Calibri" w:hAnsi="Calibri" w:cs="Calibri"/>
          <w:color w:val="0D0D0D" w:themeColor="text1" w:themeTint="F2"/>
        </w:rPr>
        <w:t xml:space="preserve">) </w:t>
      </w:r>
      <w:r w:rsidR="00126B9B" w:rsidRPr="00252CDE">
        <w:rPr>
          <w:rFonts w:ascii="Calibri" w:hAnsi="Calibri" w:cs="Calibri"/>
          <w:color w:val="0D0D0D" w:themeColor="text1" w:themeTint="F2"/>
        </w:rPr>
        <w:t xml:space="preserve">has frequently </w:t>
      </w:r>
      <w:r w:rsidR="00202024" w:rsidRPr="00252CDE">
        <w:rPr>
          <w:rFonts w:ascii="Calibri" w:hAnsi="Calibri" w:cs="Calibri"/>
          <w:color w:val="0D0D0D" w:themeColor="text1" w:themeTint="F2"/>
        </w:rPr>
        <w:t>supported the idea</w:t>
      </w:r>
      <w:r w:rsidR="00126B9B" w:rsidRPr="00252CDE">
        <w:rPr>
          <w:rFonts w:ascii="Calibri" w:hAnsi="Calibri" w:cs="Calibri"/>
          <w:color w:val="0D0D0D" w:themeColor="text1" w:themeTint="F2"/>
        </w:rPr>
        <w:t xml:space="preserve"> that men</w:t>
      </w:r>
      <w:r w:rsidR="00375322" w:rsidRPr="00252CDE">
        <w:rPr>
          <w:rFonts w:ascii="Calibri" w:hAnsi="Calibri" w:cs="Calibri"/>
          <w:color w:val="0D0D0D" w:themeColor="text1" w:themeTint="F2"/>
        </w:rPr>
        <w:t xml:space="preserve"> </w:t>
      </w:r>
      <w:r w:rsidR="00A51554" w:rsidRPr="00252CDE">
        <w:rPr>
          <w:rFonts w:ascii="Calibri" w:hAnsi="Calibri" w:cs="Calibri"/>
          <w:color w:val="0D0D0D" w:themeColor="text1" w:themeTint="F2"/>
        </w:rPr>
        <w:t>often</w:t>
      </w:r>
      <w:r w:rsidR="00126B9B" w:rsidRPr="00252CDE">
        <w:rPr>
          <w:rFonts w:ascii="Calibri" w:hAnsi="Calibri" w:cs="Calibri"/>
          <w:color w:val="0D0D0D" w:themeColor="text1" w:themeTint="F2"/>
        </w:rPr>
        <w:t xml:space="preserve"> encounter both gender</w:t>
      </w:r>
      <w:r w:rsidR="007B77B2" w:rsidRPr="00252CDE">
        <w:rPr>
          <w:rFonts w:ascii="Calibri" w:hAnsi="Calibri" w:cs="Calibri"/>
          <w:color w:val="0D0D0D" w:themeColor="text1" w:themeTint="F2"/>
        </w:rPr>
        <w:t>-</w:t>
      </w:r>
      <w:r w:rsidR="00126B9B" w:rsidRPr="00252CDE">
        <w:rPr>
          <w:rFonts w:ascii="Calibri" w:hAnsi="Calibri" w:cs="Calibri"/>
          <w:color w:val="0D0D0D" w:themeColor="text1" w:themeTint="F2"/>
        </w:rPr>
        <w:t>bias and gender-based barriers within nurse education</w:t>
      </w:r>
      <w:r w:rsidR="005B4919" w:rsidRPr="00252CDE">
        <w:rPr>
          <w:rFonts w:ascii="Calibri" w:hAnsi="Calibri" w:cs="Calibri"/>
          <w:color w:val="0D0D0D" w:themeColor="text1" w:themeTint="F2"/>
        </w:rPr>
        <w:t xml:space="preserve">.  </w:t>
      </w:r>
      <w:r w:rsidR="00126B9B" w:rsidRPr="00252CDE">
        <w:rPr>
          <w:rFonts w:ascii="Calibri" w:hAnsi="Calibri" w:cs="Calibri"/>
          <w:color w:val="0D0D0D" w:themeColor="text1" w:themeTint="F2"/>
        </w:rPr>
        <w:t>Authors such as O’Lynn and Tranbarger (2007)</w:t>
      </w:r>
      <w:r w:rsidR="00514E22" w:rsidRPr="00252CDE">
        <w:rPr>
          <w:rFonts w:ascii="Calibri" w:hAnsi="Calibri" w:cs="Calibri"/>
          <w:color w:val="0D0D0D" w:themeColor="text1" w:themeTint="F2"/>
        </w:rPr>
        <w:t>, Loughry (2008)</w:t>
      </w:r>
      <w:r w:rsidR="00126B9B" w:rsidRPr="00252CDE">
        <w:rPr>
          <w:rFonts w:ascii="Calibri" w:hAnsi="Calibri" w:cs="Calibri"/>
          <w:color w:val="0D0D0D" w:themeColor="text1" w:themeTint="F2"/>
        </w:rPr>
        <w:t xml:space="preserve"> and Scriber (2008) have identified a link between the dominance </w:t>
      </w:r>
      <w:r w:rsidR="00F44126" w:rsidRPr="00252CDE">
        <w:rPr>
          <w:rFonts w:ascii="Calibri" w:hAnsi="Calibri" w:cs="Calibri"/>
          <w:color w:val="0D0D0D" w:themeColor="text1" w:themeTint="F2"/>
        </w:rPr>
        <w:t xml:space="preserve">of females </w:t>
      </w:r>
      <w:r w:rsidR="00126B9B" w:rsidRPr="00252CDE">
        <w:rPr>
          <w:rFonts w:ascii="Calibri" w:hAnsi="Calibri" w:cs="Calibri"/>
          <w:color w:val="0D0D0D" w:themeColor="text1" w:themeTint="F2"/>
        </w:rPr>
        <w:t xml:space="preserve">in nursing and the </w:t>
      </w:r>
      <w:r w:rsidR="001C57D5" w:rsidRPr="00252CDE">
        <w:rPr>
          <w:rFonts w:ascii="Calibri" w:hAnsi="Calibri" w:cs="Calibri"/>
          <w:color w:val="0D0D0D" w:themeColor="text1" w:themeTint="F2"/>
        </w:rPr>
        <w:t>primarily</w:t>
      </w:r>
      <w:r w:rsidR="00126B9B" w:rsidRPr="00252CDE">
        <w:rPr>
          <w:rFonts w:ascii="Calibri" w:hAnsi="Calibri" w:cs="Calibri"/>
          <w:color w:val="0D0D0D" w:themeColor="text1" w:themeTint="F2"/>
        </w:rPr>
        <w:t xml:space="preserve"> female authorship of texts often promoted as </w:t>
      </w:r>
      <w:r w:rsidR="001C57D5" w:rsidRPr="00252CDE">
        <w:rPr>
          <w:rFonts w:ascii="Calibri" w:hAnsi="Calibri" w:cs="Calibri"/>
          <w:color w:val="0D0D0D" w:themeColor="text1" w:themeTint="F2"/>
        </w:rPr>
        <w:t>‘</w:t>
      </w:r>
      <w:r w:rsidR="00126B9B" w:rsidRPr="00252CDE">
        <w:rPr>
          <w:rFonts w:ascii="Calibri" w:hAnsi="Calibri" w:cs="Calibri"/>
          <w:color w:val="0D0D0D" w:themeColor="text1" w:themeTint="F2"/>
        </w:rPr>
        <w:t>essential reading</w:t>
      </w:r>
      <w:r w:rsidR="001C57D5" w:rsidRPr="00252CDE">
        <w:rPr>
          <w:rFonts w:ascii="Calibri" w:hAnsi="Calibri" w:cs="Calibri"/>
          <w:color w:val="0D0D0D" w:themeColor="text1" w:themeTint="F2"/>
        </w:rPr>
        <w:t>’</w:t>
      </w:r>
      <w:r w:rsidR="00126B9B" w:rsidRPr="00252CDE">
        <w:rPr>
          <w:rFonts w:ascii="Calibri" w:hAnsi="Calibri" w:cs="Calibri"/>
          <w:color w:val="0D0D0D" w:themeColor="text1" w:themeTint="F2"/>
        </w:rPr>
        <w:t xml:space="preserve"> </w:t>
      </w:r>
      <w:r w:rsidR="00496E05" w:rsidRPr="00252CDE">
        <w:rPr>
          <w:rFonts w:ascii="Calibri" w:hAnsi="Calibri" w:cs="Calibri"/>
          <w:color w:val="0D0D0D" w:themeColor="text1" w:themeTint="F2"/>
        </w:rPr>
        <w:t>within the curriculum of</w:t>
      </w:r>
      <w:r w:rsidR="00126B9B" w:rsidRPr="00252CDE">
        <w:rPr>
          <w:rFonts w:ascii="Calibri" w:hAnsi="Calibri" w:cs="Calibri"/>
          <w:color w:val="0D0D0D" w:themeColor="text1" w:themeTint="F2"/>
        </w:rPr>
        <w:t xml:space="preserve"> nurs</w:t>
      </w:r>
      <w:r w:rsidR="00EC3B50" w:rsidRPr="00252CDE">
        <w:rPr>
          <w:rFonts w:ascii="Calibri" w:hAnsi="Calibri" w:cs="Calibri"/>
          <w:color w:val="0D0D0D" w:themeColor="text1" w:themeTint="F2"/>
        </w:rPr>
        <w:t>ing degree programmes</w:t>
      </w:r>
      <w:r w:rsidR="008B7D30" w:rsidRPr="00252CDE">
        <w:rPr>
          <w:rFonts w:ascii="Calibri" w:hAnsi="Calibri" w:cs="Calibri"/>
          <w:color w:val="0D0D0D" w:themeColor="text1" w:themeTint="F2"/>
        </w:rPr>
        <w:t xml:space="preserve">; Evans (2004) shares a similar view, </w:t>
      </w:r>
      <w:r w:rsidR="00216BF4" w:rsidRPr="00252CDE">
        <w:rPr>
          <w:rFonts w:ascii="Calibri" w:hAnsi="Calibri" w:cs="Calibri"/>
          <w:color w:val="0D0D0D" w:themeColor="text1" w:themeTint="F2"/>
        </w:rPr>
        <w:t>add</w:t>
      </w:r>
      <w:r w:rsidR="00834253" w:rsidRPr="00252CDE">
        <w:rPr>
          <w:rFonts w:ascii="Calibri" w:hAnsi="Calibri" w:cs="Calibri"/>
          <w:color w:val="0D0D0D" w:themeColor="text1" w:themeTint="F2"/>
        </w:rPr>
        <w:t xml:space="preserve">ing that the language used in early </w:t>
      </w:r>
      <w:r w:rsidR="006E4DCB" w:rsidRPr="00252CDE">
        <w:rPr>
          <w:rFonts w:ascii="Calibri" w:hAnsi="Calibri" w:cs="Calibri"/>
          <w:color w:val="0D0D0D" w:themeColor="text1" w:themeTint="F2"/>
        </w:rPr>
        <w:t xml:space="preserve">nursing texts perpetuates the idea of </w:t>
      </w:r>
      <w:r w:rsidR="00A10EAC" w:rsidRPr="00252CDE">
        <w:rPr>
          <w:rFonts w:ascii="Calibri" w:hAnsi="Calibri" w:cs="Calibri"/>
          <w:color w:val="0D0D0D" w:themeColor="text1" w:themeTint="F2"/>
        </w:rPr>
        <w:t xml:space="preserve">a feminine vocation. </w:t>
      </w:r>
      <w:r w:rsidR="00216BF4" w:rsidRPr="00252CDE">
        <w:rPr>
          <w:rFonts w:ascii="Calibri" w:hAnsi="Calibri" w:cs="Calibri"/>
          <w:color w:val="0D0D0D" w:themeColor="text1" w:themeTint="F2"/>
        </w:rPr>
        <w:t xml:space="preserve"> </w:t>
      </w:r>
      <w:r w:rsidR="00126B9B" w:rsidRPr="00252CDE">
        <w:rPr>
          <w:rFonts w:ascii="Calibri" w:hAnsi="Calibri" w:cs="Calibri"/>
          <w:color w:val="0D0D0D" w:themeColor="text1" w:themeTint="F2"/>
        </w:rPr>
        <w:t xml:space="preserve">While some </w:t>
      </w:r>
      <w:r w:rsidR="00502650" w:rsidRPr="00252CDE">
        <w:rPr>
          <w:rFonts w:ascii="Calibri" w:hAnsi="Calibri" w:cs="Calibri"/>
          <w:color w:val="0D0D0D" w:themeColor="text1" w:themeTint="F2"/>
        </w:rPr>
        <w:t>former</w:t>
      </w:r>
      <w:r w:rsidR="00126B9B" w:rsidRPr="00252CDE">
        <w:rPr>
          <w:rFonts w:ascii="Calibri" w:hAnsi="Calibri" w:cs="Calibri"/>
          <w:color w:val="0D0D0D" w:themeColor="text1" w:themeTint="F2"/>
        </w:rPr>
        <w:t xml:space="preserve"> </w:t>
      </w:r>
      <w:r w:rsidR="00750256" w:rsidRPr="00252CDE">
        <w:rPr>
          <w:rFonts w:ascii="Calibri" w:hAnsi="Calibri" w:cs="Calibri"/>
          <w:color w:val="0D0D0D" w:themeColor="text1" w:themeTint="F2"/>
        </w:rPr>
        <w:t>publications</w:t>
      </w:r>
      <w:r w:rsidR="00126B9B" w:rsidRPr="00252CDE">
        <w:rPr>
          <w:rFonts w:ascii="Calibri" w:hAnsi="Calibri" w:cs="Calibri"/>
          <w:color w:val="0D0D0D" w:themeColor="text1" w:themeTint="F2"/>
        </w:rPr>
        <w:t xml:space="preserve"> (Nutting </w:t>
      </w:r>
      <w:r w:rsidR="007F0FE7" w:rsidRPr="00252CDE">
        <w:rPr>
          <w:rFonts w:ascii="Calibri" w:hAnsi="Calibri" w:cs="Calibri"/>
          <w:color w:val="0D0D0D" w:themeColor="text1" w:themeTint="F2"/>
        </w:rPr>
        <w:t>and</w:t>
      </w:r>
      <w:r w:rsidR="00126B9B" w:rsidRPr="00252CDE">
        <w:rPr>
          <w:rFonts w:ascii="Calibri" w:hAnsi="Calibri" w:cs="Calibri"/>
          <w:color w:val="0D0D0D" w:themeColor="text1" w:themeTint="F2"/>
        </w:rPr>
        <w:t xml:space="preserve"> Dock, 1935; Sire, 1994; Donahue, 1996) gave little attention to the role of men in nursing, more recent explicit considerations of </w:t>
      </w:r>
      <w:r w:rsidR="00952CE2" w:rsidRPr="00252CDE">
        <w:rPr>
          <w:rFonts w:ascii="Calibri" w:hAnsi="Calibri" w:cs="Calibri"/>
          <w:color w:val="0D0D0D" w:themeColor="text1" w:themeTint="F2"/>
        </w:rPr>
        <w:t xml:space="preserve">the </w:t>
      </w:r>
      <w:r w:rsidR="00731856" w:rsidRPr="00252CDE">
        <w:rPr>
          <w:rFonts w:ascii="Calibri" w:hAnsi="Calibri" w:cs="Calibri"/>
          <w:color w:val="0D0D0D" w:themeColor="text1" w:themeTint="F2"/>
        </w:rPr>
        <w:t xml:space="preserve">phrase </w:t>
      </w:r>
      <w:r w:rsidR="00952CE2" w:rsidRPr="00252CDE">
        <w:rPr>
          <w:rFonts w:ascii="Calibri" w:hAnsi="Calibri" w:cs="Calibri"/>
          <w:color w:val="0D0D0D" w:themeColor="text1" w:themeTint="F2"/>
        </w:rPr>
        <w:t>‘male nurse’</w:t>
      </w:r>
      <w:r w:rsidR="00126B9B" w:rsidRPr="00252CDE">
        <w:rPr>
          <w:rFonts w:ascii="Calibri" w:hAnsi="Calibri" w:cs="Calibri"/>
          <w:color w:val="0D0D0D" w:themeColor="text1" w:themeTint="F2"/>
        </w:rPr>
        <w:t xml:space="preserve"> </w:t>
      </w:r>
      <w:r w:rsidR="001B6627" w:rsidRPr="00252CDE">
        <w:rPr>
          <w:rFonts w:ascii="Calibri" w:hAnsi="Calibri" w:cs="Calibri"/>
          <w:color w:val="0D0D0D" w:themeColor="text1" w:themeTint="F2"/>
        </w:rPr>
        <w:t xml:space="preserve">within </w:t>
      </w:r>
      <w:r w:rsidR="00126B9B" w:rsidRPr="00252CDE">
        <w:rPr>
          <w:rFonts w:ascii="Calibri" w:hAnsi="Calibri" w:cs="Calibri"/>
          <w:color w:val="0D0D0D" w:themeColor="text1" w:themeTint="F2"/>
        </w:rPr>
        <w:t>textbooks</w:t>
      </w:r>
      <w:r w:rsidR="001B6627" w:rsidRPr="00252CDE">
        <w:rPr>
          <w:rFonts w:ascii="Calibri" w:hAnsi="Calibri" w:cs="Calibri"/>
          <w:color w:val="0D0D0D" w:themeColor="text1" w:themeTint="F2"/>
        </w:rPr>
        <w:t>,</w:t>
      </w:r>
      <w:r w:rsidR="00126B9B" w:rsidRPr="00252CDE">
        <w:rPr>
          <w:rFonts w:ascii="Calibri" w:hAnsi="Calibri" w:cs="Calibri"/>
          <w:color w:val="0D0D0D" w:themeColor="text1" w:themeTint="F2"/>
        </w:rPr>
        <w:t xml:space="preserve"> </w:t>
      </w:r>
      <w:r w:rsidR="00952CE2" w:rsidRPr="00252CDE">
        <w:rPr>
          <w:rFonts w:ascii="Calibri" w:hAnsi="Calibri" w:cs="Calibri"/>
          <w:color w:val="0D0D0D" w:themeColor="text1" w:themeTint="F2"/>
        </w:rPr>
        <w:t>ha</w:t>
      </w:r>
      <w:r w:rsidR="009268AC" w:rsidRPr="00252CDE">
        <w:rPr>
          <w:rFonts w:ascii="Calibri" w:hAnsi="Calibri" w:cs="Calibri"/>
          <w:color w:val="0D0D0D" w:themeColor="text1" w:themeTint="F2"/>
        </w:rPr>
        <w:t>ve</w:t>
      </w:r>
      <w:r w:rsidR="00126B9B" w:rsidRPr="00252CDE">
        <w:rPr>
          <w:rFonts w:ascii="Calibri" w:hAnsi="Calibri" w:cs="Calibri"/>
          <w:color w:val="0D0D0D" w:themeColor="text1" w:themeTint="F2"/>
        </w:rPr>
        <w:t xml:space="preserve"> been criticised as </w:t>
      </w:r>
      <w:r w:rsidR="00FC0215" w:rsidRPr="00252CDE">
        <w:rPr>
          <w:rFonts w:ascii="Calibri" w:hAnsi="Calibri" w:cs="Calibri"/>
          <w:color w:val="0D0D0D" w:themeColor="text1" w:themeTint="F2"/>
        </w:rPr>
        <w:t xml:space="preserve">both </w:t>
      </w:r>
      <w:r w:rsidR="00126B9B" w:rsidRPr="00252CDE">
        <w:rPr>
          <w:rFonts w:ascii="Calibri" w:hAnsi="Calibri" w:cs="Calibri"/>
          <w:color w:val="0D0D0D" w:themeColor="text1" w:themeTint="F2"/>
        </w:rPr>
        <w:t xml:space="preserve">sexist </w:t>
      </w:r>
      <w:r w:rsidR="00FC0215" w:rsidRPr="00252CDE">
        <w:rPr>
          <w:rFonts w:ascii="Calibri" w:hAnsi="Calibri" w:cs="Calibri"/>
          <w:color w:val="0D0D0D" w:themeColor="text1" w:themeTint="F2"/>
        </w:rPr>
        <w:t xml:space="preserve">and dated </w:t>
      </w:r>
      <w:r w:rsidR="00126B9B" w:rsidRPr="00252CDE">
        <w:rPr>
          <w:rFonts w:ascii="Calibri" w:hAnsi="Calibri" w:cs="Calibri"/>
          <w:color w:val="0D0D0D" w:themeColor="text1" w:themeTint="F2"/>
        </w:rPr>
        <w:t xml:space="preserve">(Smith </w:t>
      </w:r>
      <w:r w:rsidR="007F0FE7" w:rsidRPr="00252CDE">
        <w:rPr>
          <w:rFonts w:ascii="Calibri" w:hAnsi="Calibri" w:cs="Calibri"/>
          <w:color w:val="0D0D0D" w:themeColor="text1" w:themeTint="F2"/>
        </w:rPr>
        <w:t>and</w:t>
      </w:r>
      <w:r w:rsidR="00126B9B" w:rsidRPr="00252CDE">
        <w:rPr>
          <w:rFonts w:ascii="Calibri" w:hAnsi="Calibri" w:cs="Calibri"/>
          <w:color w:val="0D0D0D" w:themeColor="text1" w:themeTint="F2"/>
        </w:rPr>
        <w:t xml:space="preserve"> Field, 2018; </w:t>
      </w:r>
      <w:r w:rsidR="00536E60" w:rsidRPr="00252CDE">
        <w:rPr>
          <w:rFonts w:ascii="Calibri" w:hAnsi="Calibri" w:cs="Calibri"/>
          <w:color w:val="0D0D0D" w:themeColor="text1" w:themeTint="F2"/>
        </w:rPr>
        <w:t>Sasa, 2019</w:t>
      </w:r>
      <w:r w:rsidR="00930C38" w:rsidRPr="00252CDE">
        <w:rPr>
          <w:rFonts w:ascii="Calibri" w:hAnsi="Calibri" w:cs="Calibri"/>
          <w:color w:val="0D0D0D" w:themeColor="text1" w:themeTint="F2"/>
        </w:rPr>
        <w:t xml:space="preserve">; </w:t>
      </w:r>
      <w:r w:rsidR="00126B9B" w:rsidRPr="00252CDE">
        <w:rPr>
          <w:rFonts w:ascii="Calibri" w:hAnsi="Calibri" w:cs="Calibri"/>
          <w:color w:val="0D0D0D" w:themeColor="text1" w:themeTint="F2"/>
        </w:rPr>
        <w:t xml:space="preserve">Story </w:t>
      </w:r>
      <w:r w:rsidR="007F0FE7" w:rsidRPr="00252CDE">
        <w:rPr>
          <w:rFonts w:ascii="Calibri" w:hAnsi="Calibri" w:cs="Calibri"/>
          <w:color w:val="0D0D0D" w:themeColor="text1" w:themeTint="F2"/>
        </w:rPr>
        <w:t>and</w:t>
      </w:r>
      <w:r w:rsidR="00126B9B" w:rsidRPr="00252CDE">
        <w:rPr>
          <w:rFonts w:ascii="Calibri" w:hAnsi="Calibri" w:cs="Calibri"/>
          <w:color w:val="0D0D0D" w:themeColor="text1" w:themeTint="F2"/>
        </w:rPr>
        <w:t xml:space="preserve"> Last, 2021). </w:t>
      </w:r>
      <w:r w:rsidR="009268AC" w:rsidRPr="00252CDE">
        <w:rPr>
          <w:rFonts w:ascii="Calibri" w:hAnsi="Calibri" w:cs="Calibri"/>
          <w:color w:val="0D0D0D" w:themeColor="text1" w:themeTint="F2"/>
        </w:rPr>
        <w:t xml:space="preserve">  </w:t>
      </w:r>
      <w:r w:rsidR="00573E2E" w:rsidRPr="00252CDE">
        <w:rPr>
          <w:rFonts w:ascii="Calibri" w:hAnsi="Calibri" w:cs="Calibri"/>
          <w:color w:val="0D0D0D" w:themeColor="text1" w:themeTint="F2"/>
        </w:rPr>
        <w:t>T</w:t>
      </w:r>
      <w:r w:rsidR="008F01DE" w:rsidRPr="00252CDE">
        <w:rPr>
          <w:rFonts w:ascii="Calibri" w:hAnsi="Calibri" w:cs="Calibri"/>
          <w:color w:val="0D0D0D" w:themeColor="text1" w:themeTint="F2"/>
        </w:rPr>
        <w:t>he language prevalent in nursing text</w:t>
      </w:r>
      <w:r w:rsidR="00516F27" w:rsidRPr="00252CDE">
        <w:rPr>
          <w:rFonts w:ascii="Calibri" w:hAnsi="Calibri" w:cs="Calibri"/>
          <w:color w:val="0D0D0D" w:themeColor="text1" w:themeTint="F2"/>
        </w:rPr>
        <w:t>s</w:t>
      </w:r>
      <w:r w:rsidR="008F01DE" w:rsidRPr="00252CDE">
        <w:rPr>
          <w:rFonts w:ascii="Calibri" w:hAnsi="Calibri" w:cs="Calibri"/>
          <w:color w:val="0D0D0D" w:themeColor="text1" w:themeTint="F2"/>
        </w:rPr>
        <w:t xml:space="preserve"> </w:t>
      </w:r>
      <w:r w:rsidR="00E37598" w:rsidRPr="00252CDE">
        <w:rPr>
          <w:rFonts w:ascii="Calibri" w:hAnsi="Calibri" w:cs="Calibri"/>
          <w:color w:val="0D0D0D" w:themeColor="text1" w:themeTint="F2"/>
        </w:rPr>
        <w:t>is identified by authors including Sed</w:t>
      </w:r>
      <w:r w:rsidR="00351BFF" w:rsidRPr="00252CDE">
        <w:rPr>
          <w:rFonts w:ascii="Calibri" w:hAnsi="Calibri" w:cs="Calibri"/>
          <w:color w:val="0D0D0D" w:themeColor="text1" w:themeTint="F2"/>
        </w:rPr>
        <w:t xml:space="preserve">gwick and Kellet (2015) and Kouta and Kaite (2011) </w:t>
      </w:r>
      <w:r w:rsidR="00D65FB8" w:rsidRPr="00252CDE">
        <w:rPr>
          <w:rFonts w:ascii="Calibri" w:hAnsi="Calibri" w:cs="Calibri"/>
          <w:color w:val="0D0D0D" w:themeColor="text1" w:themeTint="F2"/>
        </w:rPr>
        <w:t xml:space="preserve">as </w:t>
      </w:r>
      <w:r w:rsidR="008F01DE" w:rsidRPr="00252CDE">
        <w:rPr>
          <w:rFonts w:ascii="Calibri" w:hAnsi="Calibri" w:cs="Calibri"/>
          <w:color w:val="0D0D0D" w:themeColor="text1" w:themeTint="F2"/>
        </w:rPr>
        <w:t xml:space="preserve">frequently </w:t>
      </w:r>
      <w:r w:rsidR="00D95BB8" w:rsidRPr="00252CDE">
        <w:rPr>
          <w:rFonts w:ascii="Calibri" w:hAnsi="Calibri" w:cs="Calibri"/>
          <w:color w:val="0D0D0D" w:themeColor="text1" w:themeTint="F2"/>
        </w:rPr>
        <w:t>utilising</w:t>
      </w:r>
      <w:r w:rsidR="008F01DE" w:rsidRPr="00252CDE">
        <w:rPr>
          <w:rFonts w:ascii="Calibri" w:hAnsi="Calibri" w:cs="Calibri"/>
          <w:color w:val="0D0D0D" w:themeColor="text1" w:themeTint="F2"/>
        </w:rPr>
        <w:t xml:space="preserve"> feminine pronouns when referring to </w:t>
      </w:r>
      <w:r w:rsidR="00516F27" w:rsidRPr="00252CDE">
        <w:rPr>
          <w:rFonts w:ascii="Calibri" w:hAnsi="Calibri" w:cs="Calibri"/>
          <w:color w:val="0D0D0D" w:themeColor="text1" w:themeTint="F2"/>
        </w:rPr>
        <w:t xml:space="preserve">the </w:t>
      </w:r>
      <w:r w:rsidR="008F01DE" w:rsidRPr="00252CDE">
        <w:rPr>
          <w:rFonts w:ascii="Calibri" w:hAnsi="Calibri" w:cs="Calibri"/>
          <w:color w:val="0D0D0D" w:themeColor="text1" w:themeTint="F2"/>
        </w:rPr>
        <w:t>nurse</w:t>
      </w:r>
      <w:r w:rsidR="00962E29" w:rsidRPr="00252CDE">
        <w:rPr>
          <w:rFonts w:ascii="Calibri" w:hAnsi="Calibri" w:cs="Calibri"/>
          <w:color w:val="0D0D0D" w:themeColor="text1" w:themeTint="F2"/>
        </w:rPr>
        <w:t xml:space="preserve">. </w:t>
      </w:r>
      <w:r w:rsidR="008F01DE" w:rsidRPr="00252CDE">
        <w:rPr>
          <w:rFonts w:ascii="Calibri" w:hAnsi="Calibri" w:cs="Calibri"/>
          <w:color w:val="0D0D0D" w:themeColor="text1" w:themeTint="F2"/>
        </w:rPr>
        <w:t xml:space="preserve"> Group and Roberts (2001) </w:t>
      </w:r>
      <w:r w:rsidR="00FD1551" w:rsidRPr="00252CDE">
        <w:rPr>
          <w:rFonts w:ascii="Calibri" w:hAnsi="Calibri" w:cs="Calibri"/>
          <w:color w:val="0D0D0D" w:themeColor="text1" w:themeTint="F2"/>
        </w:rPr>
        <w:t xml:space="preserve">also </w:t>
      </w:r>
      <w:r w:rsidR="0064595F" w:rsidRPr="00252CDE">
        <w:rPr>
          <w:rFonts w:ascii="Calibri" w:hAnsi="Calibri" w:cs="Calibri"/>
          <w:color w:val="0D0D0D" w:themeColor="text1" w:themeTint="F2"/>
        </w:rPr>
        <w:t xml:space="preserve">highlight </w:t>
      </w:r>
      <w:r w:rsidR="008F01DE" w:rsidRPr="00252CDE">
        <w:rPr>
          <w:rFonts w:ascii="Calibri" w:hAnsi="Calibri" w:cs="Calibri"/>
          <w:color w:val="0D0D0D" w:themeColor="text1" w:themeTint="F2"/>
        </w:rPr>
        <w:t xml:space="preserve">the lack of gender-neutrality in </w:t>
      </w:r>
      <w:r w:rsidR="0064595F" w:rsidRPr="00252CDE">
        <w:rPr>
          <w:rFonts w:ascii="Calibri" w:hAnsi="Calibri" w:cs="Calibri"/>
          <w:color w:val="0D0D0D" w:themeColor="text1" w:themeTint="F2"/>
        </w:rPr>
        <w:t xml:space="preserve">nursing texts with </w:t>
      </w:r>
      <w:r w:rsidR="00B0308E" w:rsidRPr="00252CDE">
        <w:rPr>
          <w:rFonts w:ascii="Calibri" w:hAnsi="Calibri" w:cs="Calibri"/>
          <w:color w:val="0D0D0D" w:themeColor="text1" w:themeTint="F2"/>
        </w:rPr>
        <w:t>the</w:t>
      </w:r>
      <w:r w:rsidR="0064595F" w:rsidRPr="00252CDE">
        <w:rPr>
          <w:rFonts w:ascii="Calibri" w:hAnsi="Calibri" w:cs="Calibri"/>
          <w:color w:val="0D0D0D" w:themeColor="text1" w:themeTint="F2"/>
        </w:rPr>
        <w:t xml:space="preserve"> </w:t>
      </w:r>
      <w:r w:rsidR="00B0308E" w:rsidRPr="00252CDE">
        <w:rPr>
          <w:rFonts w:ascii="Calibri" w:hAnsi="Calibri" w:cs="Calibri"/>
          <w:color w:val="0D0D0D" w:themeColor="text1" w:themeTint="F2"/>
        </w:rPr>
        <w:t xml:space="preserve">significant </w:t>
      </w:r>
      <w:r w:rsidR="0064595F" w:rsidRPr="00252CDE">
        <w:rPr>
          <w:rFonts w:ascii="Calibri" w:hAnsi="Calibri" w:cs="Calibri"/>
          <w:color w:val="0D0D0D" w:themeColor="text1" w:themeTint="F2"/>
        </w:rPr>
        <w:t xml:space="preserve">use of </w:t>
      </w:r>
      <w:r w:rsidR="00B0308E" w:rsidRPr="00252CDE">
        <w:rPr>
          <w:rFonts w:ascii="Calibri" w:hAnsi="Calibri" w:cs="Calibri"/>
          <w:color w:val="0D0D0D" w:themeColor="text1" w:themeTint="F2"/>
        </w:rPr>
        <w:t xml:space="preserve">the terms </w:t>
      </w:r>
      <w:r w:rsidR="0024480B" w:rsidRPr="00252CDE">
        <w:rPr>
          <w:rFonts w:ascii="Calibri" w:hAnsi="Calibri" w:cs="Calibri"/>
          <w:color w:val="0D0D0D" w:themeColor="text1" w:themeTint="F2"/>
        </w:rPr>
        <w:t>‘she’ and ‘her’</w:t>
      </w:r>
      <w:r w:rsidR="00C71B57" w:rsidRPr="00252CDE">
        <w:rPr>
          <w:rFonts w:ascii="Calibri" w:hAnsi="Calibri" w:cs="Calibri"/>
          <w:color w:val="0D0D0D" w:themeColor="text1" w:themeTint="F2"/>
        </w:rPr>
        <w:t xml:space="preserve">, whilst </w:t>
      </w:r>
      <w:r w:rsidR="008F01DE" w:rsidRPr="00252CDE">
        <w:rPr>
          <w:rFonts w:ascii="Calibri" w:hAnsi="Calibri" w:cs="Calibri"/>
          <w:color w:val="0D0D0D" w:themeColor="text1" w:themeTint="F2"/>
        </w:rPr>
        <w:t xml:space="preserve">Grady </w:t>
      </w:r>
      <w:r w:rsidR="008F01DE" w:rsidRPr="00252CDE">
        <w:rPr>
          <w:rFonts w:ascii="Calibri" w:hAnsi="Calibri" w:cs="Calibri"/>
          <w:i/>
          <w:iCs/>
          <w:color w:val="0D0D0D" w:themeColor="text1" w:themeTint="F2"/>
        </w:rPr>
        <w:t>et al.</w:t>
      </w:r>
      <w:r w:rsidR="008F01DE" w:rsidRPr="00252CDE">
        <w:rPr>
          <w:rFonts w:ascii="Calibri" w:hAnsi="Calibri" w:cs="Calibri"/>
          <w:color w:val="0D0D0D" w:themeColor="text1" w:themeTint="F2"/>
        </w:rPr>
        <w:t xml:space="preserve"> (2008) found that the history of men in the nursing profession is often notably absent from educational content</w:t>
      </w:r>
      <w:r w:rsidR="00126B9B" w:rsidRPr="00252CDE">
        <w:rPr>
          <w:rFonts w:ascii="Calibri" w:hAnsi="Calibri" w:cs="Calibri"/>
          <w:color w:val="0D0D0D" w:themeColor="text1" w:themeTint="F2"/>
        </w:rPr>
        <w:t>.</w:t>
      </w:r>
      <w:r w:rsidR="000D2CAC" w:rsidRPr="00252CDE">
        <w:rPr>
          <w:rFonts w:ascii="Calibri" w:hAnsi="Calibri" w:cs="Calibri"/>
          <w:color w:val="0D0D0D" w:themeColor="text1" w:themeTint="F2"/>
        </w:rPr>
        <w:t xml:space="preserve">  </w:t>
      </w:r>
      <w:r w:rsidR="00D14C5F" w:rsidRPr="00252CDE">
        <w:rPr>
          <w:rFonts w:ascii="Calibri" w:hAnsi="Calibri" w:cs="Calibri"/>
          <w:color w:val="0D0D0D" w:themeColor="text1" w:themeTint="F2"/>
        </w:rPr>
        <w:t>It is important to consider that more r</w:t>
      </w:r>
      <w:r w:rsidR="000D2CAC" w:rsidRPr="00252CDE">
        <w:rPr>
          <w:rFonts w:ascii="Calibri" w:hAnsi="Calibri" w:cs="Calibri"/>
          <w:color w:val="0D0D0D" w:themeColor="text1" w:themeTint="F2"/>
        </w:rPr>
        <w:t>ecent professional nursing texts</w:t>
      </w:r>
      <w:r w:rsidR="00EA43BA" w:rsidRPr="00252CDE">
        <w:rPr>
          <w:rFonts w:ascii="Calibri" w:hAnsi="Calibri" w:cs="Calibri"/>
          <w:color w:val="0D0D0D" w:themeColor="text1" w:themeTint="F2"/>
        </w:rPr>
        <w:t>,</w:t>
      </w:r>
      <w:r w:rsidR="000D2CAC" w:rsidRPr="00252CDE">
        <w:rPr>
          <w:rFonts w:ascii="Calibri" w:hAnsi="Calibri" w:cs="Calibri"/>
          <w:color w:val="0D0D0D" w:themeColor="text1" w:themeTint="F2"/>
        </w:rPr>
        <w:t xml:space="preserve"> </w:t>
      </w:r>
      <w:r w:rsidR="00865DD2" w:rsidRPr="00252CDE">
        <w:rPr>
          <w:rFonts w:ascii="Calibri" w:hAnsi="Calibri" w:cs="Calibri"/>
          <w:color w:val="0D0D0D" w:themeColor="text1" w:themeTint="F2"/>
        </w:rPr>
        <w:t>inc</w:t>
      </w:r>
      <w:r w:rsidR="00EA43BA" w:rsidRPr="00252CDE">
        <w:rPr>
          <w:rFonts w:ascii="Calibri" w:hAnsi="Calibri" w:cs="Calibri"/>
          <w:color w:val="0D0D0D" w:themeColor="text1" w:themeTint="F2"/>
        </w:rPr>
        <w:t xml:space="preserve">luding those by </w:t>
      </w:r>
      <w:r w:rsidR="00362DD9" w:rsidRPr="00252CDE">
        <w:rPr>
          <w:rFonts w:ascii="Calibri" w:hAnsi="Calibri" w:cs="Calibri"/>
          <w:color w:val="0D0D0D" w:themeColor="text1" w:themeTint="F2"/>
        </w:rPr>
        <w:t>Huston (</w:t>
      </w:r>
      <w:r w:rsidR="00746EBE" w:rsidRPr="00252CDE">
        <w:rPr>
          <w:rFonts w:ascii="Calibri" w:hAnsi="Calibri" w:cs="Calibri"/>
          <w:color w:val="0D0D0D" w:themeColor="text1" w:themeTint="F2"/>
        </w:rPr>
        <w:t xml:space="preserve">2018) and Xavier </w:t>
      </w:r>
      <w:r w:rsidR="00746EBE" w:rsidRPr="00252CDE">
        <w:rPr>
          <w:rFonts w:ascii="Calibri" w:hAnsi="Calibri" w:cs="Calibri"/>
          <w:i/>
          <w:iCs/>
          <w:color w:val="0D0D0D" w:themeColor="text1" w:themeTint="F2"/>
        </w:rPr>
        <w:t>et al.</w:t>
      </w:r>
      <w:r w:rsidR="00746EBE" w:rsidRPr="00252CDE">
        <w:rPr>
          <w:rFonts w:ascii="Calibri" w:hAnsi="Calibri" w:cs="Calibri"/>
          <w:color w:val="0D0D0D" w:themeColor="text1" w:themeTint="F2"/>
        </w:rPr>
        <w:t xml:space="preserve"> (2019) </w:t>
      </w:r>
      <w:r w:rsidR="000D2CAC" w:rsidRPr="00252CDE">
        <w:rPr>
          <w:rFonts w:ascii="Calibri" w:hAnsi="Calibri" w:cs="Calibri"/>
          <w:color w:val="0D0D0D" w:themeColor="text1" w:themeTint="F2"/>
        </w:rPr>
        <w:t xml:space="preserve">have begun to frame male nurses as a needed solution to workforce shortages and lack of diversity, </w:t>
      </w:r>
      <w:r w:rsidR="00A10BA3" w:rsidRPr="00252CDE">
        <w:rPr>
          <w:rFonts w:ascii="Calibri" w:hAnsi="Calibri" w:cs="Calibri"/>
          <w:color w:val="0D0D0D" w:themeColor="text1" w:themeTint="F2"/>
        </w:rPr>
        <w:t>however</w:t>
      </w:r>
      <w:r w:rsidR="000D2CAC" w:rsidRPr="00252CDE">
        <w:rPr>
          <w:rFonts w:ascii="Calibri" w:hAnsi="Calibri" w:cs="Calibri"/>
          <w:color w:val="0D0D0D" w:themeColor="text1" w:themeTint="F2"/>
        </w:rPr>
        <w:t xml:space="preserve"> this approach has been critici</w:t>
      </w:r>
      <w:r w:rsidR="00314420" w:rsidRPr="00252CDE">
        <w:rPr>
          <w:rFonts w:ascii="Calibri" w:hAnsi="Calibri" w:cs="Calibri"/>
          <w:color w:val="0D0D0D" w:themeColor="text1" w:themeTint="F2"/>
        </w:rPr>
        <w:t>s</w:t>
      </w:r>
      <w:r w:rsidR="000D2CAC" w:rsidRPr="00252CDE">
        <w:rPr>
          <w:rFonts w:ascii="Calibri" w:hAnsi="Calibri" w:cs="Calibri"/>
          <w:color w:val="0D0D0D" w:themeColor="text1" w:themeTint="F2"/>
        </w:rPr>
        <w:t xml:space="preserve">ed </w:t>
      </w:r>
      <w:r w:rsidR="00777987" w:rsidRPr="00252CDE">
        <w:rPr>
          <w:rFonts w:ascii="Calibri" w:hAnsi="Calibri" w:cs="Calibri"/>
          <w:color w:val="0D0D0D" w:themeColor="text1" w:themeTint="F2"/>
        </w:rPr>
        <w:t xml:space="preserve">by </w:t>
      </w:r>
      <w:r w:rsidR="00777987" w:rsidRPr="00252CDE">
        <w:rPr>
          <w:rFonts w:ascii="Calibri" w:hAnsi="Calibri" w:cs="Calibri"/>
          <w:color w:val="0D0D0D" w:themeColor="text1" w:themeTint="F2"/>
        </w:rPr>
        <w:lastRenderedPageBreak/>
        <w:t xml:space="preserve">Cottingham (2020) </w:t>
      </w:r>
      <w:r w:rsidR="000D2CAC" w:rsidRPr="00252CDE">
        <w:rPr>
          <w:rFonts w:ascii="Calibri" w:hAnsi="Calibri" w:cs="Calibri"/>
          <w:color w:val="0D0D0D" w:themeColor="text1" w:themeTint="F2"/>
        </w:rPr>
        <w:t xml:space="preserve">for appropriating equality rhetoric while ignoring men's historical </w:t>
      </w:r>
      <w:r w:rsidR="00A33ABA" w:rsidRPr="00252CDE">
        <w:rPr>
          <w:rFonts w:ascii="Calibri" w:hAnsi="Calibri" w:cs="Calibri"/>
          <w:color w:val="0D0D0D" w:themeColor="text1" w:themeTint="F2"/>
        </w:rPr>
        <w:t>contributions</w:t>
      </w:r>
      <w:r w:rsidR="00777987" w:rsidRPr="00252CDE">
        <w:rPr>
          <w:rFonts w:ascii="Calibri" w:hAnsi="Calibri" w:cs="Calibri"/>
          <w:color w:val="0D0D0D" w:themeColor="text1" w:themeTint="F2"/>
        </w:rPr>
        <w:t>.</w:t>
      </w:r>
    </w:p>
    <w:p w14:paraId="283190EB" w14:textId="0F75A518" w:rsidR="00C9165D" w:rsidRPr="00252CDE" w:rsidRDefault="005E6704"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Research examining the experiences of male nursing students</w:t>
      </w:r>
      <w:r w:rsidR="00556516" w:rsidRPr="00252CDE">
        <w:rPr>
          <w:rFonts w:ascii="Calibri" w:hAnsi="Calibri" w:cs="Calibri"/>
          <w:color w:val="0D0D0D" w:themeColor="text1" w:themeTint="F2"/>
        </w:rPr>
        <w:t xml:space="preserve"> within the classroom environment</w:t>
      </w:r>
      <w:r w:rsidRPr="00252CDE">
        <w:rPr>
          <w:rFonts w:ascii="Calibri" w:hAnsi="Calibri" w:cs="Calibri"/>
          <w:color w:val="0D0D0D" w:themeColor="text1" w:themeTint="F2"/>
        </w:rPr>
        <w:t xml:space="preserve"> has highlighted challenges akin to those faced by their registered counterparts, including feelings of isolation, exploitation, and scrutiny regarding their motivations for choosing nursing (Anthony, 2004; Mohammed, 2012). </w:t>
      </w:r>
      <w:r w:rsidR="000A50FB" w:rsidRPr="00252CDE">
        <w:rPr>
          <w:rFonts w:ascii="Calibri" w:hAnsi="Calibri" w:cs="Calibri"/>
          <w:color w:val="0D0D0D" w:themeColor="text1" w:themeTint="F2"/>
        </w:rPr>
        <w:t xml:space="preserve"> </w:t>
      </w:r>
      <w:r w:rsidRPr="00252CDE">
        <w:rPr>
          <w:rFonts w:ascii="Calibri" w:hAnsi="Calibri" w:cs="Calibri"/>
          <w:color w:val="0D0D0D" w:themeColor="text1" w:themeTint="F2"/>
        </w:rPr>
        <w:t>For instance, in Christensen and Knight's (2015) thematic analysis, one male student reported being told numerous times that "nursing is no place for men"</w:t>
      </w:r>
      <w:r w:rsidR="004232B9" w:rsidRPr="00252CDE">
        <w:rPr>
          <w:rFonts w:ascii="Calibri" w:hAnsi="Calibri" w:cs="Calibri"/>
          <w:color w:val="0D0D0D" w:themeColor="text1" w:themeTint="F2"/>
        </w:rPr>
        <w:t>; t</w:t>
      </w:r>
      <w:r w:rsidR="002E5424" w:rsidRPr="00252CDE">
        <w:rPr>
          <w:rFonts w:ascii="Calibri" w:hAnsi="Calibri" w:cs="Calibri"/>
          <w:color w:val="0D0D0D" w:themeColor="text1" w:themeTint="F2"/>
        </w:rPr>
        <w:t xml:space="preserve">he study, undertaken in New Zealand </w:t>
      </w:r>
      <w:r w:rsidR="006F404A" w:rsidRPr="00252CDE">
        <w:rPr>
          <w:rFonts w:ascii="Calibri" w:hAnsi="Calibri" w:cs="Calibri"/>
          <w:color w:val="0D0D0D" w:themeColor="text1" w:themeTint="F2"/>
        </w:rPr>
        <w:t>assumed</w:t>
      </w:r>
      <w:r w:rsidR="008B1A69" w:rsidRPr="00252CDE">
        <w:rPr>
          <w:rFonts w:ascii="Calibri" w:hAnsi="Calibri" w:cs="Calibri"/>
          <w:color w:val="0D0D0D" w:themeColor="text1" w:themeTint="F2"/>
        </w:rPr>
        <w:t xml:space="preserve"> a narrative analysis approach</w:t>
      </w:r>
      <w:r w:rsidR="00223395" w:rsidRPr="00252CDE">
        <w:rPr>
          <w:rFonts w:ascii="Calibri" w:hAnsi="Calibri" w:cs="Calibri"/>
          <w:color w:val="0D0D0D" w:themeColor="text1" w:themeTint="F2"/>
        </w:rPr>
        <w:t xml:space="preserve">, </w:t>
      </w:r>
      <w:r w:rsidR="00302211" w:rsidRPr="00252CDE">
        <w:rPr>
          <w:rFonts w:ascii="Calibri" w:hAnsi="Calibri" w:cs="Calibri"/>
          <w:color w:val="0D0D0D" w:themeColor="text1" w:themeTint="F2"/>
        </w:rPr>
        <w:t>conducting</w:t>
      </w:r>
      <w:r w:rsidR="00223395" w:rsidRPr="00252CDE">
        <w:rPr>
          <w:rFonts w:ascii="Calibri" w:hAnsi="Calibri" w:cs="Calibri"/>
          <w:color w:val="0D0D0D" w:themeColor="text1" w:themeTint="F2"/>
        </w:rPr>
        <w:t xml:space="preserve"> interviews </w:t>
      </w:r>
      <w:r w:rsidR="00A73BA6" w:rsidRPr="00252CDE">
        <w:rPr>
          <w:rFonts w:ascii="Calibri" w:hAnsi="Calibri" w:cs="Calibri"/>
          <w:color w:val="0D0D0D" w:themeColor="text1" w:themeTint="F2"/>
        </w:rPr>
        <w:t>with five</w:t>
      </w:r>
      <w:r w:rsidR="00223395" w:rsidRPr="00252CDE">
        <w:rPr>
          <w:rFonts w:ascii="Calibri" w:hAnsi="Calibri" w:cs="Calibri"/>
          <w:color w:val="0D0D0D" w:themeColor="text1" w:themeTint="F2"/>
        </w:rPr>
        <w:t xml:space="preserve"> male nursing students</w:t>
      </w:r>
      <w:r w:rsidR="004232B9" w:rsidRPr="00252CDE">
        <w:rPr>
          <w:rFonts w:ascii="Calibri" w:hAnsi="Calibri" w:cs="Calibri"/>
          <w:color w:val="0D0D0D" w:themeColor="text1" w:themeTint="F2"/>
        </w:rPr>
        <w:t xml:space="preserve">.  </w:t>
      </w:r>
      <w:r w:rsidR="00915F28" w:rsidRPr="00252CDE">
        <w:rPr>
          <w:rFonts w:ascii="Calibri" w:hAnsi="Calibri" w:cs="Calibri"/>
          <w:color w:val="0D0D0D" w:themeColor="text1" w:themeTint="F2"/>
        </w:rPr>
        <w:t xml:space="preserve">With the </w:t>
      </w:r>
      <w:r w:rsidR="00CA1131" w:rsidRPr="00252CDE">
        <w:rPr>
          <w:rFonts w:ascii="Calibri" w:hAnsi="Calibri" w:cs="Calibri"/>
          <w:color w:val="0D0D0D" w:themeColor="text1" w:themeTint="F2"/>
        </w:rPr>
        <w:t>aim of gathering the student’s pe</w:t>
      </w:r>
      <w:r w:rsidR="00F908D6" w:rsidRPr="00252CDE">
        <w:rPr>
          <w:rFonts w:ascii="Calibri" w:hAnsi="Calibri" w:cs="Calibri"/>
          <w:color w:val="0D0D0D" w:themeColor="text1" w:themeTint="F2"/>
        </w:rPr>
        <w:t xml:space="preserve">rceptions of their learning experiences, </w:t>
      </w:r>
      <w:r w:rsidR="00573E1A" w:rsidRPr="00252CDE">
        <w:rPr>
          <w:rFonts w:ascii="Calibri" w:hAnsi="Calibri" w:cs="Calibri"/>
          <w:color w:val="0D0D0D" w:themeColor="text1" w:themeTint="F2"/>
        </w:rPr>
        <w:t xml:space="preserve">the duo found </w:t>
      </w:r>
      <w:r w:rsidR="00F214B0" w:rsidRPr="00252CDE">
        <w:rPr>
          <w:rFonts w:ascii="Calibri" w:hAnsi="Calibri" w:cs="Calibri"/>
          <w:color w:val="0D0D0D" w:themeColor="text1" w:themeTint="F2"/>
        </w:rPr>
        <w:t>t</w:t>
      </w:r>
      <w:r w:rsidR="004232B9" w:rsidRPr="00252CDE">
        <w:rPr>
          <w:rFonts w:ascii="Calibri" w:hAnsi="Calibri" w:cs="Calibri"/>
          <w:color w:val="0D0D0D" w:themeColor="text1" w:themeTint="F2"/>
        </w:rPr>
        <w:t>he</w:t>
      </w:r>
      <w:r w:rsidR="00F214B0" w:rsidRPr="00252CDE">
        <w:rPr>
          <w:rFonts w:ascii="Calibri" w:hAnsi="Calibri" w:cs="Calibri"/>
          <w:color w:val="0D0D0D" w:themeColor="text1" w:themeTint="F2"/>
        </w:rPr>
        <w:t xml:space="preserve"> learners expressing feelings of exclusion and marginalisation reportedly due to </w:t>
      </w:r>
      <w:r w:rsidR="00117F38" w:rsidRPr="00252CDE">
        <w:rPr>
          <w:rFonts w:ascii="Calibri" w:hAnsi="Calibri" w:cs="Calibri"/>
          <w:color w:val="0D0D0D" w:themeColor="text1" w:themeTint="F2"/>
        </w:rPr>
        <w:t>being a minority group</w:t>
      </w:r>
      <w:r w:rsidR="004232B9" w:rsidRPr="00252CDE">
        <w:rPr>
          <w:rFonts w:ascii="Calibri" w:hAnsi="Calibri" w:cs="Calibri"/>
          <w:color w:val="0D0D0D" w:themeColor="text1" w:themeTint="F2"/>
        </w:rPr>
        <w:t xml:space="preserve"> </w:t>
      </w:r>
      <w:r w:rsidR="00A52724" w:rsidRPr="00252CDE">
        <w:rPr>
          <w:rFonts w:ascii="Calibri" w:hAnsi="Calibri" w:cs="Calibri"/>
          <w:color w:val="0D0D0D" w:themeColor="text1" w:themeTint="F2"/>
        </w:rPr>
        <w:t xml:space="preserve">and what they </w:t>
      </w:r>
      <w:r w:rsidR="00364435" w:rsidRPr="00252CDE">
        <w:rPr>
          <w:rFonts w:ascii="Calibri" w:hAnsi="Calibri" w:cs="Calibri"/>
          <w:color w:val="0D0D0D" w:themeColor="text1" w:themeTint="F2"/>
        </w:rPr>
        <w:t xml:space="preserve">interpreted </w:t>
      </w:r>
      <w:r w:rsidR="005621E2" w:rsidRPr="00252CDE">
        <w:rPr>
          <w:rFonts w:ascii="Calibri" w:hAnsi="Calibri" w:cs="Calibri"/>
          <w:color w:val="0D0D0D" w:themeColor="text1" w:themeTint="F2"/>
        </w:rPr>
        <w:t xml:space="preserve">as a feminine curriculum.  </w:t>
      </w:r>
      <w:r w:rsidR="00097F90" w:rsidRPr="00252CDE">
        <w:rPr>
          <w:rFonts w:ascii="Calibri" w:hAnsi="Calibri" w:cs="Calibri"/>
          <w:color w:val="0D0D0D" w:themeColor="text1" w:themeTint="F2"/>
        </w:rPr>
        <w:t xml:space="preserve">The students admitted seeing nursing as a viable and portable </w:t>
      </w:r>
      <w:r w:rsidR="00237EAA" w:rsidRPr="00252CDE">
        <w:rPr>
          <w:rFonts w:ascii="Calibri" w:hAnsi="Calibri" w:cs="Calibri"/>
          <w:color w:val="0D0D0D" w:themeColor="text1" w:themeTint="F2"/>
        </w:rPr>
        <w:t>career</w:t>
      </w:r>
      <w:r w:rsidR="00804AEE" w:rsidRPr="00252CDE">
        <w:rPr>
          <w:rFonts w:ascii="Calibri" w:hAnsi="Calibri" w:cs="Calibri"/>
          <w:color w:val="0D0D0D" w:themeColor="text1" w:themeTint="F2"/>
        </w:rPr>
        <w:t>,</w:t>
      </w:r>
      <w:r w:rsidR="00237EAA" w:rsidRPr="00252CDE">
        <w:rPr>
          <w:rFonts w:ascii="Calibri" w:hAnsi="Calibri" w:cs="Calibri"/>
          <w:color w:val="0D0D0D" w:themeColor="text1" w:themeTint="F2"/>
        </w:rPr>
        <w:t xml:space="preserve"> but reported </w:t>
      </w:r>
      <w:r w:rsidR="00804AEE" w:rsidRPr="00252CDE">
        <w:rPr>
          <w:rFonts w:ascii="Calibri" w:hAnsi="Calibri" w:cs="Calibri"/>
          <w:color w:val="0D0D0D" w:themeColor="text1" w:themeTint="F2"/>
        </w:rPr>
        <w:t>a</w:t>
      </w:r>
      <w:r w:rsidR="00474851" w:rsidRPr="00252CDE">
        <w:rPr>
          <w:rFonts w:ascii="Calibri" w:hAnsi="Calibri" w:cs="Calibri"/>
          <w:color w:val="0D0D0D" w:themeColor="text1" w:themeTint="F2"/>
        </w:rPr>
        <w:t xml:space="preserve"> high</w:t>
      </w:r>
      <w:r w:rsidR="00804AEE" w:rsidRPr="00252CDE">
        <w:rPr>
          <w:rFonts w:ascii="Calibri" w:hAnsi="Calibri" w:cs="Calibri"/>
          <w:color w:val="0D0D0D" w:themeColor="text1" w:themeTint="F2"/>
        </w:rPr>
        <w:t xml:space="preserve"> attrition rate</w:t>
      </w:r>
      <w:r w:rsidR="00474851" w:rsidRPr="00252CDE">
        <w:rPr>
          <w:rFonts w:ascii="Calibri" w:hAnsi="Calibri" w:cs="Calibri"/>
          <w:color w:val="0D0D0D" w:themeColor="text1" w:themeTint="F2"/>
        </w:rPr>
        <w:t>, where</w:t>
      </w:r>
      <w:r w:rsidR="00804AEE" w:rsidRPr="00252CDE">
        <w:rPr>
          <w:rFonts w:ascii="Calibri" w:hAnsi="Calibri" w:cs="Calibri"/>
          <w:color w:val="0D0D0D" w:themeColor="text1" w:themeTint="F2"/>
        </w:rPr>
        <w:t xml:space="preserve"> </w:t>
      </w:r>
      <w:r w:rsidR="00237EAA" w:rsidRPr="00252CDE">
        <w:rPr>
          <w:rFonts w:ascii="Calibri" w:hAnsi="Calibri" w:cs="Calibri"/>
          <w:color w:val="0D0D0D" w:themeColor="text1" w:themeTint="F2"/>
        </w:rPr>
        <w:t>50% of their male cohort</w:t>
      </w:r>
      <w:r w:rsidR="00C52C42" w:rsidRPr="00252CDE">
        <w:rPr>
          <w:rFonts w:ascii="Calibri" w:hAnsi="Calibri" w:cs="Calibri"/>
          <w:color w:val="0D0D0D" w:themeColor="text1" w:themeTint="F2"/>
        </w:rPr>
        <w:t xml:space="preserve"> had left their programme of study citing</w:t>
      </w:r>
      <w:r w:rsidR="009074AF" w:rsidRPr="00252CDE">
        <w:rPr>
          <w:rFonts w:ascii="Calibri" w:hAnsi="Calibri" w:cs="Calibri"/>
          <w:color w:val="0D0D0D" w:themeColor="text1" w:themeTint="F2"/>
        </w:rPr>
        <w:t xml:space="preserve"> feelings of vulnerability within their career</w:t>
      </w:r>
      <w:r w:rsidR="00A52724" w:rsidRPr="00252CDE">
        <w:rPr>
          <w:rFonts w:ascii="Calibri" w:hAnsi="Calibri" w:cs="Calibri"/>
          <w:color w:val="0D0D0D" w:themeColor="text1" w:themeTint="F2"/>
        </w:rPr>
        <w:t xml:space="preserve">.  </w:t>
      </w:r>
    </w:p>
    <w:p w14:paraId="02F94EA9" w14:textId="0B880F39" w:rsidR="005E6704" w:rsidRPr="00252CDE" w:rsidRDefault="005E6704"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Similarly, O'Lynn's (2004) </w:t>
      </w:r>
      <w:r w:rsidR="00446B45" w:rsidRPr="00252CDE">
        <w:rPr>
          <w:rFonts w:ascii="Calibri" w:hAnsi="Calibri" w:cs="Calibri"/>
          <w:color w:val="0D0D0D" w:themeColor="text1" w:themeTint="F2"/>
        </w:rPr>
        <w:t>aim to</w:t>
      </w:r>
      <w:r w:rsidR="00C455B1" w:rsidRPr="00252CDE">
        <w:rPr>
          <w:rFonts w:ascii="Calibri" w:hAnsi="Calibri" w:cs="Calibri"/>
          <w:color w:val="0D0D0D" w:themeColor="text1" w:themeTint="F2"/>
        </w:rPr>
        <w:t xml:space="preserve"> measure the ‘male friendliness’</w:t>
      </w:r>
      <w:r w:rsidR="00E2627E" w:rsidRPr="00252CDE">
        <w:rPr>
          <w:rFonts w:ascii="Calibri" w:hAnsi="Calibri" w:cs="Calibri"/>
          <w:color w:val="0D0D0D" w:themeColor="text1" w:themeTint="F2"/>
        </w:rPr>
        <w:t xml:space="preserve"> of nursing programmes, produced </w:t>
      </w:r>
      <w:r w:rsidR="00726981" w:rsidRPr="00252CDE">
        <w:rPr>
          <w:rFonts w:ascii="Calibri" w:hAnsi="Calibri" w:cs="Calibri"/>
          <w:color w:val="0D0D0D" w:themeColor="text1" w:themeTint="F2"/>
        </w:rPr>
        <w:t>comparable</w:t>
      </w:r>
      <w:r w:rsidR="00E2627E" w:rsidRPr="00252CDE">
        <w:rPr>
          <w:rFonts w:ascii="Calibri" w:hAnsi="Calibri" w:cs="Calibri"/>
          <w:color w:val="0D0D0D" w:themeColor="text1" w:themeTint="F2"/>
        </w:rPr>
        <w:t xml:space="preserve"> results</w:t>
      </w:r>
      <w:r w:rsidR="0081637D" w:rsidRPr="00252CDE">
        <w:rPr>
          <w:rFonts w:ascii="Calibri" w:hAnsi="Calibri" w:cs="Calibri"/>
          <w:color w:val="0D0D0D" w:themeColor="text1" w:themeTint="F2"/>
        </w:rPr>
        <w:t xml:space="preserve"> </w:t>
      </w:r>
      <w:r w:rsidR="006818F8" w:rsidRPr="00252CDE">
        <w:rPr>
          <w:rFonts w:ascii="Calibri" w:hAnsi="Calibri" w:cs="Calibri"/>
          <w:color w:val="0D0D0D" w:themeColor="text1" w:themeTint="F2"/>
        </w:rPr>
        <w:t xml:space="preserve">from his </w:t>
      </w:r>
      <w:r w:rsidR="002408CB" w:rsidRPr="00252CDE">
        <w:rPr>
          <w:rFonts w:ascii="Calibri" w:hAnsi="Calibri" w:cs="Calibri"/>
          <w:color w:val="0D0D0D" w:themeColor="text1" w:themeTint="F2"/>
        </w:rPr>
        <w:t>analysis</w:t>
      </w:r>
      <w:r w:rsidR="006818F8" w:rsidRPr="00252CDE">
        <w:rPr>
          <w:rFonts w:ascii="Calibri" w:hAnsi="Calibri" w:cs="Calibri"/>
          <w:color w:val="0D0D0D" w:themeColor="text1" w:themeTint="F2"/>
        </w:rPr>
        <w:t>.</w:t>
      </w:r>
      <w:r w:rsidR="00712657" w:rsidRPr="00252CDE">
        <w:rPr>
          <w:rFonts w:ascii="Calibri" w:hAnsi="Calibri" w:cs="Calibri"/>
          <w:color w:val="0D0D0D" w:themeColor="text1" w:themeTint="F2"/>
        </w:rPr>
        <w:t xml:space="preserve">  </w:t>
      </w:r>
      <w:r w:rsidR="00846409" w:rsidRPr="00252CDE">
        <w:rPr>
          <w:rFonts w:ascii="Calibri" w:hAnsi="Calibri" w:cs="Calibri"/>
          <w:color w:val="0D0D0D" w:themeColor="text1" w:themeTint="F2"/>
        </w:rPr>
        <w:t>O’Lynn (2004) emailed a li</w:t>
      </w:r>
      <w:r w:rsidR="004B1C2D" w:rsidRPr="00252CDE">
        <w:rPr>
          <w:rFonts w:ascii="Calibri" w:hAnsi="Calibri" w:cs="Calibri"/>
          <w:color w:val="0D0D0D" w:themeColor="text1" w:themeTint="F2"/>
        </w:rPr>
        <w:t>s</w:t>
      </w:r>
      <w:r w:rsidR="00846409" w:rsidRPr="00252CDE">
        <w:rPr>
          <w:rFonts w:ascii="Calibri" w:hAnsi="Calibri" w:cs="Calibri"/>
          <w:color w:val="0D0D0D" w:themeColor="text1" w:themeTint="F2"/>
        </w:rPr>
        <w:t xml:space="preserve">t of 33 </w:t>
      </w:r>
      <w:r w:rsidR="002408CB" w:rsidRPr="00252CDE">
        <w:rPr>
          <w:rFonts w:ascii="Calibri" w:hAnsi="Calibri" w:cs="Calibri"/>
          <w:color w:val="0D0D0D" w:themeColor="text1" w:themeTint="F2"/>
        </w:rPr>
        <w:t>‘</w:t>
      </w:r>
      <w:r w:rsidR="00846409" w:rsidRPr="00252CDE">
        <w:rPr>
          <w:rFonts w:ascii="Calibri" w:hAnsi="Calibri" w:cs="Calibri"/>
          <w:color w:val="0D0D0D" w:themeColor="text1" w:themeTint="F2"/>
        </w:rPr>
        <w:t>barriers to</w:t>
      </w:r>
      <w:r w:rsidR="002D4D5A" w:rsidRPr="00252CDE">
        <w:rPr>
          <w:rFonts w:ascii="Calibri" w:hAnsi="Calibri" w:cs="Calibri"/>
          <w:color w:val="0D0D0D" w:themeColor="text1" w:themeTint="F2"/>
        </w:rPr>
        <w:t xml:space="preserve"> learning</w:t>
      </w:r>
      <w:r w:rsidR="002408CB" w:rsidRPr="00252CDE">
        <w:rPr>
          <w:rFonts w:ascii="Calibri" w:hAnsi="Calibri" w:cs="Calibri"/>
          <w:color w:val="0D0D0D" w:themeColor="text1" w:themeTint="F2"/>
        </w:rPr>
        <w:t>’</w:t>
      </w:r>
      <w:r w:rsidR="00781D48" w:rsidRPr="00252CDE">
        <w:rPr>
          <w:rFonts w:ascii="Calibri" w:hAnsi="Calibri" w:cs="Calibri"/>
          <w:color w:val="0D0D0D" w:themeColor="text1" w:themeTint="F2"/>
        </w:rPr>
        <w:t xml:space="preserve"> to</w:t>
      </w:r>
      <w:r w:rsidR="00846409" w:rsidRPr="00252CDE">
        <w:rPr>
          <w:rFonts w:ascii="Calibri" w:hAnsi="Calibri" w:cs="Calibri"/>
          <w:color w:val="0D0D0D" w:themeColor="text1" w:themeTint="F2"/>
        </w:rPr>
        <w:t xml:space="preserve"> 200 male nurses </w:t>
      </w:r>
      <w:r w:rsidR="00BC0606" w:rsidRPr="00252CDE">
        <w:rPr>
          <w:rFonts w:ascii="Calibri" w:hAnsi="Calibri" w:cs="Calibri"/>
          <w:color w:val="0D0D0D" w:themeColor="text1" w:themeTint="F2"/>
        </w:rPr>
        <w:t xml:space="preserve">employed </w:t>
      </w:r>
      <w:r w:rsidR="00846409" w:rsidRPr="00252CDE">
        <w:rPr>
          <w:rFonts w:ascii="Calibri" w:hAnsi="Calibri" w:cs="Calibri"/>
          <w:color w:val="0D0D0D" w:themeColor="text1" w:themeTint="F2"/>
        </w:rPr>
        <w:t xml:space="preserve">within </w:t>
      </w:r>
      <w:r w:rsidR="00BC0606" w:rsidRPr="00252CDE">
        <w:rPr>
          <w:rFonts w:ascii="Calibri" w:hAnsi="Calibri" w:cs="Calibri"/>
          <w:color w:val="0D0D0D" w:themeColor="text1" w:themeTint="F2"/>
        </w:rPr>
        <w:t>his local</w:t>
      </w:r>
      <w:r w:rsidR="00846409" w:rsidRPr="00252CDE">
        <w:rPr>
          <w:rFonts w:ascii="Calibri" w:hAnsi="Calibri" w:cs="Calibri"/>
          <w:color w:val="0D0D0D" w:themeColor="text1" w:themeTint="F2"/>
        </w:rPr>
        <w:t xml:space="preserve"> Oregon hospital</w:t>
      </w:r>
      <w:r w:rsidR="00446B45" w:rsidRPr="00252CDE">
        <w:rPr>
          <w:rFonts w:ascii="Calibri" w:hAnsi="Calibri" w:cs="Calibri"/>
          <w:color w:val="0D0D0D" w:themeColor="text1" w:themeTint="F2"/>
        </w:rPr>
        <w:t xml:space="preserve"> </w:t>
      </w:r>
      <w:r w:rsidR="008C1426" w:rsidRPr="00252CDE">
        <w:rPr>
          <w:rFonts w:ascii="Calibri" w:hAnsi="Calibri" w:cs="Calibri"/>
          <w:color w:val="0D0D0D" w:themeColor="text1" w:themeTint="F2"/>
        </w:rPr>
        <w:t xml:space="preserve">to </w:t>
      </w:r>
      <w:r w:rsidR="00A53441" w:rsidRPr="00252CDE">
        <w:rPr>
          <w:rFonts w:ascii="Calibri" w:hAnsi="Calibri" w:cs="Calibri"/>
          <w:color w:val="0D0D0D" w:themeColor="text1" w:themeTint="F2"/>
        </w:rPr>
        <w:t>ascertain</w:t>
      </w:r>
      <w:r w:rsidR="008C1426" w:rsidRPr="00252CDE">
        <w:rPr>
          <w:rFonts w:ascii="Calibri" w:hAnsi="Calibri" w:cs="Calibri"/>
          <w:color w:val="0D0D0D" w:themeColor="text1" w:themeTint="F2"/>
        </w:rPr>
        <w:t xml:space="preserve"> the</w:t>
      </w:r>
      <w:r w:rsidR="00CD1B47" w:rsidRPr="00252CDE">
        <w:rPr>
          <w:rFonts w:ascii="Calibri" w:hAnsi="Calibri" w:cs="Calibri"/>
          <w:color w:val="0D0D0D" w:themeColor="text1" w:themeTint="F2"/>
        </w:rPr>
        <w:t>ir</w:t>
      </w:r>
      <w:r w:rsidR="008C1426" w:rsidRPr="00252CDE">
        <w:rPr>
          <w:rFonts w:ascii="Calibri" w:hAnsi="Calibri" w:cs="Calibri"/>
          <w:color w:val="0D0D0D" w:themeColor="text1" w:themeTint="F2"/>
        </w:rPr>
        <w:t xml:space="preserve"> </w:t>
      </w:r>
      <w:r w:rsidR="00CD1B47" w:rsidRPr="00252CDE">
        <w:rPr>
          <w:rFonts w:ascii="Calibri" w:hAnsi="Calibri" w:cs="Calibri"/>
          <w:color w:val="0D0D0D" w:themeColor="text1" w:themeTint="F2"/>
        </w:rPr>
        <w:t xml:space="preserve">student </w:t>
      </w:r>
      <w:r w:rsidR="008C1426" w:rsidRPr="00252CDE">
        <w:rPr>
          <w:rFonts w:ascii="Calibri" w:hAnsi="Calibri" w:cs="Calibri"/>
          <w:color w:val="0D0D0D" w:themeColor="text1" w:themeTint="F2"/>
        </w:rPr>
        <w:t xml:space="preserve">experience </w:t>
      </w:r>
      <w:r w:rsidR="00CD1B47" w:rsidRPr="00252CDE">
        <w:rPr>
          <w:rFonts w:ascii="Calibri" w:hAnsi="Calibri" w:cs="Calibri"/>
          <w:color w:val="0D0D0D" w:themeColor="text1" w:themeTint="F2"/>
        </w:rPr>
        <w:t>whilst undertaking their qualification.</w:t>
      </w:r>
      <w:r w:rsidR="00067ADC" w:rsidRPr="00252CDE">
        <w:rPr>
          <w:rFonts w:ascii="Calibri" w:hAnsi="Calibri" w:cs="Calibri"/>
          <w:color w:val="0D0D0D" w:themeColor="text1" w:themeTint="F2"/>
        </w:rPr>
        <w:t xml:space="preserve"> </w:t>
      </w:r>
      <w:r w:rsidR="00CD1B47" w:rsidRPr="00252CDE">
        <w:rPr>
          <w:rFonts w:ascii="Calibri" w:hAnsi="Calibri" w:cs="Calibri"/>
          <w:color w:val="0D0D0D" w:themeColor="text1" w:themeTint="F2"/>
        </w:rPr>
        <w:t xml:space="preserve"> </w:t>
      </w:r>
      <w:r w:rsidR="00A52453" w:rsidRPr="00252CDE">
        <w:rPr>
          <w:rFonts w:ascii="Calibri" w:hAnsi="Calibri" w:cs="Calibri"/>
          <w:color w:val="0D0D0D" w:themeColor="text1" w:themeTint="F2"/>
        </w:rPr>
        <w:t xml:space="preserve">O’Lynn </w:t>
      </w:r>
      <w:r w:rsidR="00235F6F" w:rsidRPr="00252CDE">
        <w:rPr>
          <w:rFonts w:ascii="Calibri" w:hAnsi="Calibri" w:cs="Calibri"/>
          <w:color w:val="0D0D0D" w:themeColor="text1" w:themeTint="F2"/>
        </w:rPr>
        <w:t xml:space="preserve">(2004) reported that regardless of </w:t>
      </w:r>
      <w:r w:rsidR="008D3F6E" w:rsidRPr="00252CDE">
        <w:rPr>
          <w:rFonts w:ascii="Calibri" w:hAnsi="Calibri" w:cs="Calibri"/>
          <w:color w:val="0D0D0D" w:themeColor="text1" w:themeTint="F2"/>
        </w:rPr>
        <w:t>geography, educational institution,</w:t>
      </w:r>
      <w:r w:rsidR="00196455" w:rsidRPr="00252CDE">
        <w:rPr>
          <w:rFonts w:ascii="Calibri" w:hAnsi="Calibri" w:cs="Calibri"/>
          <w:color w:val="0D0D0D" w:themeColor="text1" w:themeTint="F2"/>
        </w:rPr>
        <w:t xml:space="preserve"> </w:t>
      </w:r>
      <w:r w:rsidR="00EC78AD" w:rsidRPr="00252CDE">
        <w:rPr>
          <w:rFonts w:ascii="Calibri" w:hAnsi="Calibri" w:cs="Calibri"/>
          <w:color w:val="0D0D0D" w:themeColor="text1" w:themeTint="F2"/>
        </w:rPr>
        <w:t>year of graduation, or age</w:t>
      </w:r>
      <w:r w:rsidR="004F0730" w:rsidRPr="00252CDE">
        <w:rPr>
          <w:rFonts w:ascii="Calibri" w:hAnsi="Calibri" w:cs="Calibri"/>
          <w:color w:val="0D0D0D" w:themeColor="text1" w:themeTint="F2"/>
        </w:rPr>
        <w:t xml:space="preserve">, the responses were overwhelmingly similar.  </w:t>
      </w:r>
      <w:r w:rsidR="006D3FA9" w:rsidRPr="00252CDE">
        <w:rPr>
          <w:rFonts w:ascii="Calibri" w:hAnsi="Calibri" w:cs="Calibri"/>
          <w:color w:val="0D0D0D" w:themeColor="text1" w:themeTint="F2"/>
        </w:rPr>
        <w:t xml:space="preserve">Over 90% of respondents </w:t>
      </w:r>
      <w:r w:rsidR="00A44F98" w:rsidRPr="00252CDE">
        <w:rPr>
          <w:rFonts w:ascii="Calibri" w:hAnsi="Calibri" w:cs="Calibri"/>
          <w:color w:val="0D0D0D" w:themeColor="text1" w:themeTint="F2"/>
        </w:rPr>
        <w:t>perceived their educational setting as</w:t>
      </w:r>
      <w:r w:rsidRPr="00252CDE">
        <w:rPr>
          <w:rFonts w:ascii="Calibri" w:hAnsi="Calibri" w:cs="Calibri"/>
          <w:color w:val="0D0D0D" w:themeColor="text1" w:themeTint="F2"/>
        </w:rPr>
        <w:t xml:space="preserve"> outwardly unwelcoming to male students</w:t>
      </w:r>
      <w:r w:rsidR="00D6123C" w:rsidRPr="00252CDE">
        <w:rPr>
          <w:rFonts w:ascii="Calibri" w:hAnsi="Calibri" w:cs="Calibri"/>
          <w:color w:val="0D0D0D" w:themeColor="text1" w:themeTint="F2"/>
        </w:rPr>
        <w:t>, and</w:t>
      </w:r>
      <w:r w:rsidR="00151AE1" w:rsidRPr="00252CDE">
        <w:rPr>
          <w:rFonts w:ascii="Calibri" w:hAnsi="Calibri" w:cs="Calibri"/>
          <w:color w:val="0D0D0D" w:themeColor="text1" w:themeTint="F2"/>
        </w:rPr>
        <w:t xml:space="preserve"> worryingly</w:t>
      </w:r>
      <w:r w:rsidRPr="00252CDE">
        <w:rPr>
          <w:rFonts w:ascii="Calibri" w:hAnsi="Calibri" w:cs="Calibri"/>
          <w:color w:val="0D0D0D" w:themeColor="text1" w:themeTint="F2"/>
        </w:rPr>
        <w:t>, 89%</w:t>
      </w:r>
      <w:r w:rsidR="003E7DC8"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reported </w:t>
      </w:r>
      <w:r w:rsidR="0061438B" w:rsidRPr="00252CDE">
        <w:rPr>
          <w:rFonts w:ascii="Calibri" w:hAnsi="Calibri" w:cs="Calibri"/>
          <w:color w:val="0D0D0D" w:themeColor="text1" w:themeTint="F2"/>
        </w:rPr>
        <w:t xml:space="preserve">the existence of </w:t>
      </w:r>
      <w:r w:rsidR="00E23568" w:rsidRPr="00252CDE">
        <w:rPr>
          <w:rFonts w:ascii="Calibri" w:hAnsi="Calibri" w:cs="Calibri"/>
          <w:color w:val="0D0D0D" w:themeColor="text1" w:themeTint="F2"/>
        </w:rPr>
        <w:t>openly</w:t>
      </w:r>
      <w:r w:rsidRPr="00252CDE">
        <w:rPr>
          <w:rFonts w:ascii="Calibri" w:hAnsi="Calibri" w:cs="Calibri"/>
          <w:color w:val="0D0D0D" w:themeColor="text1" w:themeTint="F2"/>
        </w:rPr>
        <w:t xml:space="preserve"> anti-male remarks from nurs</w:t>
      </w:r>
      <w:r w:rsidR="00E23568" w:rsidRPr="00252CDE">
        <w:rPr>
          <w:rFonts w:ascii="Calibri" w:hAnsi="Calibri" w:cs="Calibri"/>
          <w:color w:val="0D0D0D" w:themeColor="text1" w:themeTint="F2"/>
        </w:rPr>
        <w:t xml:space="preserve">e educators </w:t>
      </w:r>
      <w:r w:rsidRPr="00252CDE">
        <w:rPr>
          <w:rFonts w:ascii="Calibri" w:hAnsi="Calibri" w:cs="Calibri"/>
          <w:color w:val="0D0D0D" w:themeColor="text1" w:themeTint="F2"/>
        </w:rPr>
        <w:t xml:space="preserve">directed towards </w:t>
      </w:r>
      <w:r w:rsidR="00E23568" w:rsidRPr="00252CDE">
        <w:rPr>
          <w:rFonts w:ascii="Calibri" w:hAnsi="Calibri" w:cs="Calibri"/>
          <w:color w:val="0D0D0D" w:themeColor="text1" w:themeTint="F2"/>
        </w:rPr>
        <w:t xml:space="preserve">the </w:t>
      </w:r>
      <w:r w:rsidRPr="00252CDE">
        <w:rPr>
          <w:rFonts w:ascii="Calibri" w:hAnsi="Calibri" w:cs="Calibri"/>
          <w:color w:val="0D0D0D" w:themeColor="text1" w:themeTint="F2"/>
        </w:rPr>
        <w:t>male</w:t>
      </w:r>
      <w:r w:rsidR="00E23568" w:rsidRPr="00252CDE">
        <w:rPr>
          <w:rFonts w:ascii="Calibri" w:hAnsi="Calibri" w:cs="Calibri"/>
          <w:color w:val="0D0D0D" w:themeColor="text1" w:themeTint="F2"/>
        </w:rPr>
        <w:t xml:space="preserve"> students</w:t>
      </w:r>
      <w:r w:rsidRPr="00252CDE">
        <w:rPr>
          <w:rFonts w:ascii="Calibri" w:hAnsi="Calibri" w:cs="Calibri"/>
          <w:color w:val="0D0D0D" w:themeColor="text1" w:themeTint="F2"/>
        </w:rPr>
        <w:t xml:space="preserve">. </w:t>
      </w:r>
      <w:r w:rsidR="00A615E4"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More recently, </w:t>
      </w:r>
      <w:r w:rsidR="00E74A47" w:rsidRPr="00252CDE">
        <w:rPr>
          <w:rFonts w:ascii="Calibri" w:hAnsi="Calibri" w:cs="Calibri"/>
          <w:color w:val="0D0D0D" w:themeColor="text1" w:themeTint="F2"/>
        </w:rPr>
        <w:t xml:space="preserve">a group of third year male nursing student </w:t>
      </w:r>
      <w:r w:rsidRPr="00252CDE">
        <w:rPr>
          <w:rFonts w:ascii="Calibri" w:hAnsi="Calibri" w:cs="Calibri"/>
          <w:color w:val="0D0D0D" w:themeColor="text1" w:themeTint="F2"/>
        </w:rPr>
        <w:t>participants in Christensen</w:t>
      </w:r>
      <w:r w:rsidR="002A3D68" w:rsidRPr="00252CDE">
        <w:rPr>
          <w:rFonts w:ascii="Calibri" w:hAnsi="Calibri" w:cs="Calibri"/>
          <w:color w:val="0D0D0D" w:themeColor="text1" w:themeTint="F2"/>
        </w:rPr>
        <w:t>, Welch a</w:t>
      </w:r>
      <w:r w:rsidR="00F95FA7" w:rsidRPr="00252CDE">
        <w:rPr>
          <w:rFonts w:ascii="Calibri" w:hAnsi="Calibri" w:cs="Calibri"/>
          <w:color w:val="0D0D0D" w:themeColor="text1" w:themeTint="F2"/>
        </w:rPr>
        <w:t>nd Barr’s</w:t>
      </w:r>
      <w:r w:rsidRPr="00252CDE">
        <w:rPr>
          <w:rFonts w:ascii="Calibri" w:hAnsi="Calibri" w:cs="Calibri"/>
          <w:color w:val="0D0D0D" w:themeColor="text1" w:themeTint="F2"/>
        </w:rPr>
        <w:t xml:space="preserve"> (201</w:t>
      </w:r>
      <w:r w:rsidR="002A3D68" w:rsidRPr="00252CDE">
        <w:rPr>
          <w:rFonts w:ascii="Calibri" w:hAnsi="Calibri" w:cs="Calibri"/>
          <w:color w:val="0D0D0D" w:themeColor="text1" w:themeTint="F2"/>
        </w:rPr>
        <w:t>8</w:t>
      </w:r>
      <w:r w:rsidRPr="00252CDE">
        <w:rPr>
          <w:rFonts w:ascii="Calibri" w:hAnsi="Calibri" w:cs="Calibri"/>
          <w:color w:val="0D0D0D" w:themeColor="text1" w:themeTint="F2"/>
        </w:rPr>
        <w:t>)</w:t>
      </w:r>
      <w:r w:rsidR="00137EEE" w:rsidRPr="00252CDE">
        <w:rPr>
          <w:rFonts w:ascii="Calibri" w:hAnsi="Calibri" w:cs="Calibri"/>
          <w:color w:val="0D0D0D" w:themeColor="text1" w:themeTint="F2"/>
        </w:rPr>
        <w:t xml:space="preserve"> </w:t>
      </w:r>
      <w:r w:rsidRPr="00252CDE">
        <w:rPr>
          <w:rFonts w:ascii="Calibri" w:hAnsi="Calibri" w:cs="Calibri"/>
          <w:color w:val="0D0D0D" w:themeColor="text1" w:themeTint="F2"/>
        </w:rPr>
        <w:t>phenomenological stu</w:t>
      </w:r>
      <w:r w:rsidR="00147077" w:rsidRPr="00252CDE">
        <w:rPr>
          <w:rFonts w:ascii="Calibri" w:hAnsi="Calibri" w:cs="Calibri"/>
          <w:color w:val="0D0D0D" w:themeColor="text1" w:themeTint="F2"/>
        </w:rPr>
        <w:t>dy</w:t>
      </w:r>
      <w:r w:rsidR="00D94962" w:rsidRPr="00252CDE">
        <w:rPr>
          <w:rFonts w:ascii="Calibri" w:hAnsi="Calibri" w:cs="Calibri"/>
          <w:color w:val="0D0D0D" w:themeColor="text1" w:themeTint="F2"/>
        </w:rPr>
        <w:t xml:space="preserve">, </w:t>
      </w:r>
      <w:r w:rsidR="006070B3" w:rsidRPr="00252CDE">
        <w:rPr>
          <w:rFonts w:ascii="Calibri" w:hAnsi="Calibri" w:cs="Calibri"/>
          <w:color w:val="0D0D0D" w:themeColor="text1" w:themeTint="F2"/>
        </w:rPr>
        <w:t>conveyed</w:t>
      </w:r>
      <w:r w:rsidR="00D94962" w:rsidRPr="00252CDE">
        <w:rPr>
          <w:rFonts w:ascii="Calibri" w:hAnsi="Calibri" w:cs="Calibri"/>
          <w:color w:val="0D0D0D" w:themeColor="text1" w:themeTint="F2"/>
        </w:rPr>
        <w:t xml:space="preserve"> </w:t>
      </w:r>
      <w:r w:rsidRPr="00252CDE">
        <w:rPr>
          <w:rFonts w:ascii="Calibri" w:hAnsi="Calibri" w:cs="Calibri"/>
          <w:color w:val="0D0D0D" w:themeColor="text1" w:themeTint="F2"/>
        </w:rPr>
        <w:t>feeling</w:t>
      </w:r>
      <w:r w:rsidR="00F57F28" w:rsidRPr="00252CDE">
        <w:rPr>
          <w:rFonts w:ascii="Calibri" w:hAnsi="Calibri" w:cs="Calibri"/>
          <w:color w:val="0D0D0D" w:themeColor="text1" w:themeTint="F2"/>
        </w:rPr>
        <w:t xml:space="preserve"> </w:t>
      </w:r>
      <w:r w:rsidR="009848A6" w:rsidRPr="00252CDE">
        <w:rPr>
          <w:rFonts w:ascii="Calibri" w:hAnsi="Calibri" w:cs="Calibri"/>
          <w:color w:val="0D0D0D" w:themeColor="text1" w:themeTint="F2"/>
        </w:rPr>
        <w:t>vulnerable</w:t>
      </w:r>
      <w:r w:rsidR="00FB187E" w:rsidRPr="00252CDE">
        <w:rPr>
          <w:rFonts w:ascii="Calibri" w:hAnsi="Calibri" w:cs="Calibri"/>
          <w:color w:val="0D0D0D" w:themeColor="text1" w:themeTint="F2"/>
        </w:rPr>
        <w:t>,</w:t>
      </w:r>
      <w:r w:rsidR="009848A6"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labelled, </w:t>
      </w:r>
      <w:r w:rsidR="00FB187E" w:rsidRPr="00252CDE">
        <w:rPr>
          <w:rFonts w:ascii="Calibri" w:hAnsi="Calibri" w:cs="Calibri"/>
          <w:color w:val="0D0D0D" w:themeColor="text1" w:themeTint="F2"/>
        </w:rPr>
        <w:t>excluded and</w:t>
      </w:r>
      <w:r w:rsidR="00646168" w:rsidRPr="00252CDE">
        <w:rPr>
          <w:rFonts w:ascii="Calibri" w:hAnsi="Calibri" w:cs="Calibri"/>
          <w:color w:val="0D0D0D" w:themeColor="text1" w:themeTint="F2"/>
        </w:rPr>
        <w:t xml:space="preserve"> </w:t>
      </w:r>
      <w:r w:rsidRPr="00252CDE">
        <w:rPr>
          <w:rFonts w:ascii="Calibri" w:hAnsi="Calibri" w:cs="Calibri"/>
          <w:color w:val="0D0D0D" w:themeColor="text1" w:themeTint="F2"/>
        </w:rPr>
        <w:t>exposed.</w:t>
      </w:r>
      <w:r w:rsidR="00F57F28" w:rsidRPr="00252CDE">
        <w:rPr>
          <w:rFonts w:ascii="Calibri" w:hAnsi="Calibri" w:cs="Calibri"/>
          <w:color w:val="0D0D0D" w:themeColor="text1" w:themeTint="F2"/>
        </w:rPr>
        <w:t xml:space="preserve">  </w:t>
      </w:r>
    </w:p>
    <w:p w14:paraId="219D15EA" w14:textId="354C227C" w:rsidR="0063154D" w:rsidRPr="00252CDE" w:rsidRDefault="00C9165D"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Interestingly</w:t>
      </w:r>
      <w:r w:rsidR="00105461" w:rsidRPr="00252CDE">
        <w:rPr>
          <w:rFonts w:ascii="Calibri" w:hAnsi="Calibri" w:cs="Calibri"/>
          <w:color w:val="0D0D0D" w:themeColor="text1" w:themeTint="F2"/>
        </w:rPr>
        <w:t xml:space="preserve">, </w:t>
      </w:r>
      <w:r w:rsidR="00AF6774" w:rsidRPr="00252CDE">
        <w:rPr>
          <w:rFonts w:ascii="Calibri" w:hAnsi="Calibri" w:cs="Calibri"/>
          <w:color w:val="0D0D0D" w:themeColor="text1" w:themeTint="F2"/>
        </w:rPr>
        <w:t xml:space="preserve">the same researcher, </w:t>
      </w:r>
      <w:r w:rsidR="00105461" w:rsidRPr="00252CDE">
        <w:rPr>
          <w:rFonts w:ascii="Calibri" w:hAnsi="Calibri" w:cs="Calibri"/>
          <w:color w:val="0D0D0D" w:themeColor="text1" w:themeTint="F2"/>
        </w:rPr>
        <w:t>Christensen</w:t>
      </w:r>
      <w:r w:rsidR="00AF6774" w:rsidRPr="00252CDE">
        <w:rPr>
          <w:rFonts w:ascii="Calibri" w:hAnsi="Calibri" w:cs="Calibri"/>
          <w:color w:val="0D0D0D" w:themeColor="text1" w:themeTint="F2"/>
        </w:rPr>
        <w:t>,</w:t>
      </w:r>
      <w:r w:rsidR="00105461" w:rsidRPr="00252CDE">
        <w:rPr>
          <w:rFonts w:ascii="Calibri" w:hAnsi="Calibri" w:cs="Calibri"/>
          <w:color w:val="0D0D0D" w:themeColor="text1" w:themeTint="F2"/>
        </w:rPr>
        <w:t xml:space="preserve"> </w:t>
      </w:r>
      <w:r w:rsidR="005F4683" w:rsidRPr="00252CDE">
        <w:rPr>
          <w:rFonts w:ascii="Calibri" w:hAnsi="Calibri" w:cs="Calibri"/>
          <w:color w:val="0D0D0D" w:themeColor="text1" w:themeTint="F2"/>
        </w:rPr>
        <w:t>participated in a compar</w:t>
      </w:r>
      <w:r w:rsidR="00846D59" w:rsidRPr="00252CDE">
        <w:rPr>
          <w:rFonts w:ascii="Calibri" w:hAnsi="Calibri" w:cs="Calibri"/>
          <w:color w:val="0D0D0D" w:themeColor="text1" w:themeTint="F2"/>
        </w:rPr>
        <w:t>a</w:t>
      </w:r>
      <w:r w:rsidR="005F4683" w:rsidRPr="00252CDE">
        <w:rPr>
          <w:rFonts w:ascii="Calibri" w:hAnsi="Calibri" w:cs="Calibri"/>
          <w:color w:val="0D0D0D" w:themeColor="text1" w:themeTint="F2"/>
        </w:rPr>
        <w:t>t</w:t>
      </w:r>
      <w:r w:rsidR="00846D59" w:rsidRPr="00252CDE">
        <w:rPr>
          <w:rFonts w:ascii="Calibri" w:hAnsi="Calibri" w:cs="Calibri"/>
          <w:color w:val="0D0D0D" w:themeColor="text1" w:themeTint="F2"/>
        </w:rPr>
        <w:t>i</w:t>
      </w:r>
      <w:r w:rsidR="005F4683" w:rsidRPr="00252CDE">
        <w:rPr>
          <w:rFonts w:ascii="Calibri" w:hAnsi="Calibri" w:cs="Calibri"/>
          <w:color w:val="0D0D0D" w:themeColor="text1" w:themeTint="F2"/>
        </w:rPr>
        <w:t>ve</w:t>
      </w:r>
      <w:r w:rsidR="00846D59" w:rsidRPr="00252CDE">
        <w:rPr>
          <w:rFonts w:ascii="Calibri" w:hAnsi="Calibri" w:cs="Calibri"/>
          <w:color w:val="0D0D0D" w:themeColor="text1" w:themeTint="F2"/>
        </w:rPr>
        <w:t xml:space="preserve"> study </w:t>
      </w:r>
      <w:r w:rsidR="00592FFA" w:rsidRPr="00252CDE">
        <w:rPr>
          <w:rFonts w:ascii="Calibri" w:hAnsi="Calibri" w:cs="Calibri"/>
          <w:color w:val="0D0D0D" w:themeColor="text1" w:themeTint="F2"/>
        </w:rPr>
        <w:t xml:space="preserve">a few years </w:t>
      </w:r>
      <w:r w:rsidR="00AF6774" w:rsidRPr="00252CDE">
        <w:rPr>
          <w:rFonts w:ascii="Calibri" w:hAnsi="Calibri" w:cs="Calibri"/>
          <w:color w:val="0D0D0D" w:themeColor="text1" w:themeTint="F2"/>
        </w:rPr>
        <w:t>later</w:t>
      </w:r>
      <w:r w:rsidR="00A54088" w:rsidRPr="00252CDE">
        <w:rPr>
          <w:rFonts w:ascii="Calibri" w:hAnsi="Calibri" w:cs="Calibri"/>
          <w:color w:val="0D0D0D" w:themeColor="text1" w:themeTint="F2"/>
        </w:rPr>
        <w:t xml:space="preserve">; </w:t>
      </w:r>
      <w:r w:rsidR="00592FFA" w:rsidRPr="00252CDE">
        <w:rPr>
          <w:rFonts w:ascii="Calibri" w:hAnsi="Calibri" w:cs="Calibri"/>
          <w:color w:val="0D0D0D" w:themeColor="text1" w:themeTint="F2"/>
        </w:rPr>
        <w:t xml:space="preserve">Christensen </w:t>
      </w:r>
      <w:r w:rsidR="00592FFA" w:rsidRPr="00252CDE">
        <w:rPr>
          <w:rFonts w:ascii="Calibri" w:hAnsi="Calibri" w:cs="Calibri"/>
          <w:i/>
          <w:iCs/>
          <w:color w:val="0D0D0D" w:themeColor="text1" w:themeTint="F2"/>
        </w:rPr>
        <w:t>et al.</w:t>
      </w:r>
      <w:r w:rsidR="00592FFA" w:rsidRPr="00252CDE">
        <w:rPr>
          <w:rFonts w:ascii="Calibri" w:hAnsi="Calibri" w:cs="Calibri"/>
          <w:color w:val="0D0D0D" w:themeColor="text1" w:themeTint="F2"/>
        </w:rPr>
        <w:t xml:space="preserve"> (2021)</w:t>
      </w:r>
      <w:r w:rsidR="00CD6D7A" w:rsidRPr="00252CDE">
        <w:rPr>
          <w:rFonts w:ascii="Calibri" w:hAnsi="Calibri" w:cs="Calibri"/>
          <w:color w:val="0D0D0D" w:themeColor="text1" w:themeTint="F2"/>
        </w:rPr>
        <w:t xml:space="preserve"> undertook a quantitative study</w:t>
      </w:r>
      <w:r w:rsidR="00EF1C8C" w:rsidRPr="00252CDE">
        <w:rPr>
          <w:rFonts w:ascii="Calibri" w:hAnsi="Calibri" w:cs="Calibri"/>
          <w:color w:val="0D0D0D" w:themeColor="text1" w:themeTint="F2"/>
        </w:rPr>
        <w:t xml:space="preserve"> </w:t>
      </w:r>
      <w:r w:rsidR="00876EEC" w:rsidRPr="00252CDE">
        <w:rPr>
          <w:rFonts w:ascii="Calibri" w:hAnsi="Calibri" w:cs="Calibri"/>
          <w:color w:val="0D0D0D" w:themeColor="text1" w:themeTint="F2"/>
        </w:rPr>
        <w:t>of the experiences of first year male nursing students</w:t>
      </w:r>
      <w:r w:rsidR="00D31FCA" w:rsidRPr="00252CDE">
        <w:rPr>
          <w:rFonts w:ascii="Calibri" w:hAnsi="Calibri" w:cs="Calibri"/>
          <w:color w:val="0D0D0D" w:themeColor="text1" w:themeTint="F2"/>
        </w:rPr>
        <w:t>.  The 22 participants</w:t>
      </w:r>
      <w:r w:rsidR="00D76C32" w:rsidRPr="00252CDE">
        <w:rPr>
          <w:rFonts w:ascii="Calibri" w:hAnsi="Calibri" w:cs="Calibri"/>
          <w:color w:val="0D0D0D" w:themeColor="text1" w:themeTint="F2"/>
        </w:rPr>
        <w:t xml:space="preserve">, who </w:t>
      </w:r>
      <w:r w:rsidR="00273FF5" w:rsidRPr="00252CDE">
        <w:rPr>
          <w:rFonts w:ascii="Calibri" w:hAnsi="Calibri" w:cs="Calibri"/>
          <w:color w:val="0D0D0D" w:themeColor="text1" w:themeTint="F2"/>
        </w:rPr>
        <w:t>were reportedly diverse in age, culture and previous health experience</w:t>
      </w:r>
      <w:r w:rsidR="00B554D4" w:rsidRPr="00252CDE">
        <w:rPr>
          <w:rFonts w:ascii="Calibri" w:hAnsi="Calibri" w:cs="Calibri"/>
          <w:color w:val="0D0D0D" w:themeColor="text1" w:themeTint="F2"/>
        </w:rPr>
        <w:t>,</w:t>
      </w:r>
      <w:r w:rsidR="00D31FCA" w:rsidRPr="00252CDE">
        <w:rPr>
          <w:rFonts w:ascii="Calibri" w:hAnsi="Calibri" w:cs="Calibri"/>
          <w:color w:val="0D0D0D" w:themeColor="text1" w:themeTint="F2"/>
        </w:rPr>
        <w:t xml:space="preserve"> were emailed a Likert scale </w:t>
      </w:r>
      <w:r w:rsidR="00D76C32" w:rsidRPr="00252CDE">
        <w:rPr>
          <w:rFonts w:ascii="Calibri" w:hAnsi="Calibri" w:cs="Calibri"/>
          <w:color w:val="0D0D0D" w:themeColor="text1" w:themeTint="F2"/>
        </w:rPr>
        <w:t>survey</w:t>
      </w:r>
      <w:r w:rsidR="007A3EC1" w:rsidRPr="00252CDE">
        <w:rPr>
          <w:rFonts w:ascii="Calibri" w:hAnsi="Calibri" w:cs="Calibri"/>
          <w:color w:val="0D0D0D" w:themeColor="text1" w:themeTint="F2"/>
        </w:rPr>
        <w:t xml:space="preserve">; </w:t>
      </w:r>
      <w:r w:rsidR="0064277A" w:rsidRPr="00252CDE">
        <w:rPr>
          <w:rFonts w:ascii="Calibri" w:hAnsi="Calibri" w:cs="Calibri"/>
          <w:color w:val="0D0D0D" w:themeColor="text1" w:themeTint="F2"/>
        </w:rPr>
        <w:t xml:space="preserve">findings did not </w:t>
      </w:r>
      <w:r w:rsidR="00A66F71" w:rsidRPr="00252CDE">
        <w:rPr>
          <w:rFonts w:ascii="Calibri" w:hAnsi="Calibri" w:cs="Calibri"/>
          <w:color w:val="0D0D0D" w:themeColor="text1" w:themeTint="F2"/>
        </w:rPr>
        <w:t xml:space="preserve">necessarily </w:t>
      </w:r>
      <w:r w:rsidR="0064277A" w:rsidRPr="00252CDE">
        <w:rPr>
          <w:rFonts w:ascii="Calibri" w:hAnsi="Calibri" w:cs="Calibri"/>
          <w:color w:val="0D0D0D" w:themeColor="text1" w:themeTint="F2"/>
        </w:rPr>
        <w:t xml:space="preserve">correlate with </w:t>
      </w:r>
      <w:r w:rsidR="00A66F71" w:rsidRPr="00252CDE">
        <w:rPr>
          <w:rFonts w:ascii="Calibri" w:hAnsi="Calibri" w:cs="Calibri"/>
          <w:color w:val="0D0D0D" w:themeColor="text1" w:themeTint="F2"/>
        </w:rPr>
        <w:t xml:space="preserve">inequitable behaviours or gender-biased practices that are </w:t>
      </w:r>
      <w:r w:rsidR="00A66F71" w:rsidRPr="00252CDE">
        <w:rPr>
          <w:rFonts w:ascii="Calibri" w:hAnsi="Calibri" w:cs="Calibri"/>
          <w:color w:val="0D0D0D" w:themeColor="text1" w:themeTint="F2"/>
        </w:rPr>
        <w:lastRenderedPageBreak/>
        <w:t>reported in the literature</w:t>
      </w:r>
      <w:r w:rsidR="001A45B0" w:rsidRPr="00252CDE">
        <w:rPr>
          <w:rFonts w:ascii="Calibri" w:hAnsi="Calibri" w:cs="Calibri"/>
          <w:color w:val="0D0D0D" w:themeColor="text1" w:themeTint="F2"/>
        </w:rPr>
        <w:t xml:space="preserve">, instead the students expressed </w:t>
      </w:r>
      <w:r w:rsidR="00847DCA" w:rsidRPr="00252CDE">
        <w:rPr>
          <w:rFonts w:ascii="Calibri" w:hAnsi="Calibri" w:cs="Calibri"/>
          <w:color w:val="0D0D0D" w:themeColor="text1" w:themeTint="F2"/>
        </w:rPr>
        <w:t>they had felt accepted and supported in their studies.</w:t>
      </w:r>
      <w:r w:rsidR="00946474" w:rsidRPr="00252CDE">
        <w:rPr>
          <w:rFonts w:ascii="Calibri" w:hAnsi="Calibri" w:cs="Calibri"/>
          <w:color w:val="0D0D0D" w:themeColor="text1" w:themeTint="F2"/>
        </w:rPr>
        <w:t xml:space="preserve">  </w:t>
      </w:r>
      <w:r w:rsidR="00B2776B" w:rsidRPr="00252CDE">
        <w:rPr>
          <w:rFonts w:ascii="Calibri" w:hAnsi="Calibri" w:cs="Calibri"/>
          <w:color w:val="0D0D0D" w:themeColor="text1" w:themeTint="F2"/>
        </w:rPr>
        <w:t>Considering these divergent findings, where studies involving third-year male nursing students indicate experiences of marginalisation and gender bias, while research with first-year male nursing students does not report such outcomes, a significant question arises: at what stage in their educational journey do male student nurses begin to encounter discriminatory practices?</w:t>
      </w:r>
      <w:r w:rsidR="000C5DC2" w:rsidRPr="00252CDE">
        <w:rPr>
          <w:rFonts w:ascii="Calibri" w:hAnsi="Calibri" w:cs="Calibri"/>
          <w:color w:val="0D0D0D" w:themeColor="text1" w:themeTint="F2"/>
        </w:rPr>
        <w:t xml:space="preserve">  A</w:t>
      </w:r>
      <w:r w:rsidR="00B2776B" w:rsidRPr="00252CDE">
        <w:rPr>
          <w:rFonts w:ascii="Calibri" w:hAnsi="Calibri" w:cs="Calibri"/>
          <w:color w:val="0D0D0D" w:themeColor="text1" w:themeTint="F2"/>
        </w:rPr>
        <w:t xml:space="preserve"> discrepancy</w:t>
      </w:r>
      <w:r w:rsidR="000C5DC2" w:rsidRPr="00252CDE">
        <w:rPr>
          <w:rFonts w:ascii="Calibri" w:hAnsi="Calibri" w:cs="Calibri"/>
          <w:color w:val="0D0D0D" w:themeColor="text1" w:themeTint="F2"/>
        </w:rPr>
        <w:t xml:space="preserve"> that</w:t>
      </w:r>
      <w:r w:rsidR="00B2776B" w:rsidRPr="00252CDE">
        <w:rPr>
          <w:rFonts w:ascii="Calibri" w:hAnsi="Calibri" w:cs="Calibri"/>
          <w:color w:val="0D0D0D" w:themeColor="text1" w:themeTint="F2"/>
        </w:rPr>
        <w:t xml:space="preserve"> warrants further consideration.</w:t>
      </w:r>
    </w:p>
    <w:p w14:paraId="1E51A448" w14:textId="1071CB4C" w:rsidR="00D57381" w:rsidRPr="00D57381" w:rsidRDefault="00942834" w:rsidP="00D57381">
      <w:pPr>
        <w:spacing w:line="360" w:lineRule="auto"/>
        <w:rPr>
          <w:rFonts w:ascii="Calibri" w:hAnsi="Calibri" w:cs="Calibri"/>
          <w:color w:val="0D0D0D" w:themeColor="text1" w:themeTint="F2"/>
        </w:rPr>
      </w:pPr>
      <w:r w:rsidRPr="00252CDE">
        <w:rPr>
          <w:rFonts w:ascii="Calibri" w:hAnsi="Calibri" w:cs="Calibri"/>
          <w:color w:val="0D0D0D" w:themeColor="text1" w:themeTint="F2"/>
        </w:rPr>
        <w:t>An</w:t>
      </w:r>
      <w:r w:rsidR="00D57381" w:rsidRPr="00D57381">
        <w:rPr>
          <w:rFonts w:ascii="Calibri" w:hAnsi="Calibri" w:cs="Calibri"/>
          <w:color w:val="0D0D0D" w:themeColor="text1" w:themeTint="F2"/>
        </w:rPr>
        <w:t xml:space="preserve"> area of concern highlighted in the literature pertains to the potential for teaching methodologies within nursing education to favour learning styles more commonly associated with female students (Drennan </w:t>
      </w:r>
      <w:r w:rsidR="00D57381" w:rsidRPr="00D57381">
        <w:rPr>
          <w:rFonts w:ascii="Calibri" w:hAnsi="Calibri" w:cs="Calibri"/>
          <w:i/>
          <w:iCs/>
          <w:color w:val="0D0D0D" w:themeColor="text1" w:themeTint="F2"/>
        </w:rPr>
        <w:t>et al</w:t>
      </w:r>
      <w:r w:rsidR="00D57381" w:rsidRPr="00D57381">
        <w:rPr>
          <w:rFonts w:ascii="Calibri" w:hAnsi="Calibri" w:cs="Calibri"/>
          <w:color w:val="0D0D0D" w:themeColor="text1" w:themeTint="F2"/>
        </w:rPr>
        <w:t xml:space="preserve">., 2016; Lamin </w:t>
      </w:r>
      <w:r w:rsidR="00D57381" w:rsidRPr="00D57381">
        <w:rPr>
          <w:rFonts w:ascii="Calibri" w:hAnsi="Calibri" w:cs="Calibri"/>
          <w:i/>
          <w:iCs/>
          <w:color w:val="0D0D0D" w:themeColor="text1" w:themeTint="F2"/>
        </w:rPr>
        <w:t>et al</w:t>
      </w:r>
      <w:r w:rsidR="00D57381" w:rsidRPr="00D57381">
        <w:rPr>
          <w:rFonts w:ascii="Calibri" w:hAnsi="Calibri" w:cs="Calibri"/>
          <w:color w:val="0D0D0D" w:themeColor="text1" w:themeTint="F2"/>
        </w:rPr>
        <w:t xml:space="preserve">., 2020). </w:t>
      </w:r>
      <w:r w:rsidR="00334065" w:rsidRPr="00252CDE">
        <w:rPr>
          <w:rFonts w:ascii="Calibri" w:hAnsi="Calibri" w:cs="Calibri"/>
          <w:color w:val="0D0D0D" w:themeColor="text1" w:themeTint="F2"/>
        </w:rPr>
        <w:t xml:space="preserve"> </w:t>
      </w:r>
      <w:r w:rsidR="00D57381" w:rsidRPr="00D57381">
        <w:rPr>
          <w:rFonts w:ascii="Calibri" w:hAnsi="Calibri" w:cs="Calibri"/>
          <w:color w:val="0D0D0D" w:themeColor="text1" w:themeTint="F2"/>
        </w:rPr>
        <w:t>Historically, male and female characteristics have often been presented as binary opposites (Gray, 1992), with women historically portrayed as physically weaker, more emotional, and less intellectually capable than men, who were typically perceived as strong, rational, and mentally superior (Keller, 1985).</w:t>
      </w:r>
    </w:p>
    <w:p w14:paraId="3D18171A" w14:textId="13F0050C" w:rsidR="00D57381" w:rsidRPr="00D57381" w:rsidRDefault="00D57381" w:rsidP="00D57381">
      <w:pPr>
        <w:spacing w:line="360" w:lineRule="auto"/>
        <w:rPr>
          <w:rFonts w:ascii="Calibri" w:hAnsi="Calibri" w:cs="Calibri"/>
          <w:color w:val="0D0D0D" w:themeColor="text1" w:themeTint="F2"/>
        </w:rPr>
      </w:pPr>
      <w:r w:rsidRPr="00D57381">
        <w:rPr>
          <w:rFonts w:ascii="Calibri" w:hAnsi="Calibri" w:cs="Calibri"/>
          <w:color w:val="0D0D0D" w:themeColor="text1" w:themeTint="F2"/>
        </w:rPr>
        <w:t xml:space="preserve">While research on gendered learning styles is complex and contested (Coffield </w:t>
      </w:r>
      <w:r w:rsidRPr="00D57381">
        <w:rPr>
          <w:rFonts w:ascii="Calibri" w:hAnsi="Calibri" w:cs="Calibri"/>
          <w:i/>
          <w:iCs/>
          <w:color w:val="0D0D0D" w:themeColor="text1" w:themeTint="F2"/>
        </w:rPr>
        <w:t>et al.,</w:t>
      </w:r>
      <w:r w:rsidRPr="00D57381">
        <w:rPr>
          <w:rFonts w:ascii="Calibri" w:hAnsi="Calibri" w:cs="Calibri"/>
          <w:color w:val="0D0D0D" w:themeColor="text1" w:themeTint="F2"/>
        </w:rPr>
        <w:t xml:space="preserve"> 2004), a body of literature (Lachenmayer, 1997; Heffler, 2001; Kol</w:t>
      </w:r>
      <w:r w:rsidR="00D10734" w:rsidRPr="00252CDE">
        <w:rPr>
          <w:rFonts w:ascii="Calibri" w:hAnsi="Calibri" w:cs="Calibri"/>
          <w:color w:val="0D0D0D" w:themeColor="text1" w:themeTint="F2"/>
        </w:rPr>
        <w:t>b</w:t>
      </w:r>
      <w:r w:rsidRPr="00D57381">
        <w:rPr>
          <w:rFonts w:ascii="Calibri" w:hAnsi="Calibri" w:cs="Calibri"/>
          <w:color w:val="0D0D0D" w:themeColor="text1" w:themeTint="F2"/>
        </w:rPr>
        <w:t xml:space="preserve"> </w:t>
      </w:r>
      <w:r w:rsidR="007F0FE7" w:rsidRPr="00252CDE">
        <w:rPr>
          <w:rFonts w:ascii="Calibri" w:hAnsi="Calibri" w:cs="Calibri"/>
          <w:color w:val="0D0D0D" w:themeColor="text1" w:themeTint="F2"/>
        </w:rPr>
        <w:t>and</w:t>
      </w:r>
      <w:r w:rsidRPr="00D57381">
        <w:rPr>
          <w:rFonts w:ascii="Calibri" w:hAnsi="Calibri" w:cs="Calibri"/>
          <w:color w:val="0D0D0D" w:themeColor="text1" w:themeTint="F2"/>
        </w:rPr>
        <w:t xml:space="preserve"> Kolb, 2005) suggests distinctions in the preferred learning styles of males and females.</w:t>
      </w:r>
      <w:r w:rsidR="00457E70" w:rsidRPr="00252CDE">
        <w:rPr>
          <w:rFonts w:ascii="Calibri" w:hAnsi="Calibri" w:cs="Calibri"/>
          <w:color w:val="0D0D0D" w:themeColor="text1" w:themeTint="F2"/>
        </w:rPr>
        <w:t xml:space="preserve"> </w:t>
      </w:r>
      <w:r w:rsidRPr="00D57381">
        <w:rPr>
          <w:rFonts w:ascii="Calibri" w:hAnsi="Calibri" w:cs="Calibri"/>
          <w:color w:val="0D0D0D" w:themeColor="text1" w:themeTint="F2"/>
        </w:rPr>
        <w:t xml:space="preserve"> Lamin </w:t>
      </w:r>
      <w:r w:rsidRPr="00D57381">
        <w:rPr>
          <w:rFonts w:ascii="Calibri" w:hAnsi="Calibri" w:cs="Calibri"/>
          <w:i/>
          <w:iCs/>
          <w:color w:val="0D0D0D" w:themeColor="text1" w:themeTint="F2"/>
        </w:rPr>
        <w:t>et al.</w:t>
      </w:r>
      <w:r w:rsidRPr="00D57381">
        <w:rPr>
          <w:rFonts w:ascii="Calibri" w:hAnsi="Calibri" w:cs="Calibri"/>
          <w:color w:val="0D0D0D" w:themeColor="text1" w:themeTint="F2"/>
        </w:rPr>
        <w:t xml:space="preserve"> (2020) propose that women often favour a hands-on approach to learning and are therefore well-suited to the practical placement element of nursing studies. </w:t>
      </w:r>
      <w:r w:rsidR="00457E70" w:rsidRPr="00252CDE">
        <w:rPr>
          <w:rFonts w:ascii="Calibri" w:hAnsi="Calibri" w:cs="Calibri"/>
          <w:color w:val="0D0D0D" w:themeColor="text1" w:themeTint="F2"/>
        </w:rPr>
        <w:t xml:space="preserve"> </w:t>
      </w:r>
      <w:r w:rsidRPr="00D57381">
        <w:rPr>
          <w:rFonts w:ascii="Calibri" w:hAnsi="Calibri" w:cs="Calibri"/>
          <w:color w:val="0D0D0D" w:themeColor="text1" w:themeTint="F2"/>
        </w:rPr>
        <w:t xml:space="preserve">Ibrahim and Hussein (2016) suggest that reflection on experiences, understanding behaviour, problem-solving, and creative thinking or brainstorming are learning strategies effectively utilised in nursing practice, which Sarabi-Abiasar </w:t>
      </w:r>
      <w:r w:rsidRPr="00D57381">
        <w:rPr>
          <w:rFonts w:ascii="Calibri" w:hAnsi="Calibri" w:cs="Calibri"/>
          <w:i/>
          <w:iCs/>
          <w:color w:val="0D0D0D" w:themeColor="text1" w:themeTint="F2"/>
        </w:rPr>
        <w:t>et al.</w:t>
      </w:r>
      <w:r w:rsidRPr="00D57381">
        <w:rPr>
          <w:rFonts w:ascii="Calibri" w:hAnsi="Calibri" w:cs="Calibri"/>
          <w:color w:val="0D0D0D" w:themeColor="text1" w:themeTint="F2"/>
        </w:rPr>
        <w:t xml:space="preserve"> (2014) and Mangold </w:t>
      </w:r>
      <w:r w:rsidRPr="00D57381">
        <w:rPr>
          <w:rFonts w:ascii="Calibri" w:hAnsi="Calibri" w:cs="Calibri"/>
          <w:i/>
          <w:iCs/>
          <w:color w:val="0D0D0D" w:themeColor="text1" w:themeTint="F2"/>
        </w:rPr>
        <w:t xml:space="preserve">et al. </w:t>
      </w:r>
      <w:r w:rsidRPr="00D57381">
        <w:rPr>
          <w:rFonts w:ascii="Calibri" w:hAnsi="Calibri" w:cs="Calibri"/>
          <w:color w:val="0D0D0D" w:themeColor="text1" w:themeTint="F2"/>
        </w:rPr>
        <w:t xml:space="preserve">(2018) report align with how women often excel academically. </w:t>
      </w:r>
      <w:r w:rsidR="00D8222A" w:rsidRPr="00252CDE">
        <w:rPr>
          <w:rFonts w:ascii="Calibri" w:hAnsi="Calibri" w:cs="Calibri"/>
          <w:color w:val="0D0D0D" w:themeColor="text1" w:themeTint="F2"/>
        </w:rPr>
        <w:t xml:space="preserve"> </w:t>
      </w:r>
      <w:r w:rsidRPr="00D57381">
        <w:rPr>
          <w:rFonts w:ascii="Calibri" w:hAnsi="Calibri" w:cs="Calibri"/>
          <w:color w:val="0D0D0D" w:themeColor="text1" w:themeTint="F2"/>
        </w:rPr>
        <w:t>Conversely, Li, Chen, and Tsai (2008), and McIntosh (2002) suggest that men tend to align well with subjects in science, technology, engineering, and mathematics, attributed by Sherrod (2003) to a more ‘logical brain’, leading to success in structured analytical subjects and an enjoyment of working with calculations and symbols</w:t>
      </w:r>
      <w:r w:rsidR="00FE69BC" w:rsidRPr="00252CDE">
        <w:rPr>
          <w:rFonts w:ascii="Calibri" w:hAnsi="Calibri" w:cs="Calibri"/>
          <w:color w:val="0D0D0D" w:themeColor="text1" w:themeTint="F2"/>
        </w:rPr>
        <w:t>;</w:t>
      </w:r>
      <w:r w:rsidRPr="00D57381">
        <w:rPr>
          <w:rFonts w:ascii="Calibri" w:hAnsi="Calibri" w:cs="Calibri"/>
          <w:color w:val="0D0D0D" w:themeColor="text1" w:themeTint="F2"/>
        </w:rPr>
        <w:t xml:space="preserve"> strategies not frequently employed within nursing studies.</w:t>
      </w:r>
    </w:p>
    <w:p w14:paraId="603B1C15" w14:textId="093FAE48" w:rsidR="00D57381" w:rsidRPr="00D57381" w:rsidRDefault="00D57381" w:rsidP="00D57381">
      <w:pPr>
        <w:spacing w:line="360" w:lineRule="auto"/>
        <w:rPr>
          <w:rFonts w:ascii="Calibri" w:hAnsi="Calibri" w:cs="Calibri"/>
          <w:color w:val="0D0D0D" w:themeColor="text1" w:themeTint="F2"/>
        </w:rPr>
      </w:pPr>
      <w:r w:rsidRPr="00D57381">
        <w:rPr>
          <w:rFonts w:ascii="Calibri" w:hAnsi="Calibri" w:cs="Calibri"/>
          <w:color w:val="0D0D0D" w:themeColor="text1" w:themeTint="F2"/>
        </w:rPr>
        <w:t>Critically evaluating the literature, Sherrod's (2003) views could be considered unsubstantiated, outdated, and potentially sexist.</w:t>
      </w:r>
      <w:r w:rsidR="00560B6B" w:rsidRPr="00252CDE">
        <w:rPr>
          <w:rFonts w:ascii="Calibri" w:hAnsi="Calibri" w:cs="Calibri"/>
          <w:color w:val="0D0D0D" w:themeColor="text1" w:themeTint="F2"/>
        </w:rPr>
        <w:t xml:space="preserve"> </w:t>
      </w:r>
      <w:r w:rsidRPr="00D57381">
        <w:rPr>
          <w:rFonts w:ascii="Calibri" w:hAnsi="Calibri" w:cs="Calibri"/>
          <w:color w:val="0D0D0D" w:themeColor="text1" w:themeTint="F2"/>
        </w:rPr>
        <w:t xml:space="preserve"> Deeper scrutiny of Sherrod’s (2003) work reveals a reliance on dated sources, including Belenky </w:t>
      </w:r>
      <w:r w:rsidRPr="00D57381">
        <w:rPr>
          <w:rFonts w:ascii="Calibri" w:hAnsi="Calibri" w:cs="Calibri"/>
          <w:i/>
          <w:iCs/>
          <w:color w:val="0D0D0D" w:themeColor="text1" w:themeTint="F2"/>
        </w:rPr>
        <w:t>et al</w:t>
      </w:r>
      <w:r w:rsidRPr="00D57381">
        <w:rPr>
          <w:rFonts w:ascii="Calibri" w:hAnsi="Calibri" w:cs="Calibri"/>
          <w:color w:val="0D0D0D" w:themeColor="text1" w:themeTint="F2"/>
        </w:rPr>
        <w:t xml:space="preserve">. (1986), whose writings also appear not only old-fashioned and sexist but also derogatory towards women, whom they </w:t>
      </w:r>
      <w:r w:rsidRPr="00D57381">
        <w:rPr>
          <w:rFonts w:ascii="Calibri" w:hAnsi="Calibri" w:cs="Calibri"/>
          <w:color w:val="0D0D0D" w:themeColor="text1" w:themeTint="F2"/>
        </w:rPr>
        <w:lastRenderedPageBreak/>
        <w:t xml:space="preserve">characterise as less capable of effective public expression and less likely to be respected by others. </w:t>
      </w:r>
      <w:r w:rsidR="00560B6B" w:rsidRPr="00252CDE">
        <w:rPr>
          <w:rFonts w:ascii="Calibri" w:hAnsi="Calibri" w:cs="Calibri"/>
          <w:color w:val="0D0D0D" w:themeColor="text1" w:themeTint="F2"/>
        </w:rPr>
        <w:t xml:space="preserve"> </w:t>
      </w:r>
      <w:r w:rsidRPr="00D57381">
        <w:rPr>
          <w:rFonts w:ascii="Calibri" w:hAnsi="Calibri" w:cs="Calibri"/>
          <w:color w:val="0D0D0D" w:themeColor="text1" w:themeTint="F2"/>
        </w:rPr>
        <w:t>The publication of Sherrod's (2003) article in the reputable ‘Journal of Nursing’ might, in retrospect, suggest the promotion of gender bias.</w:t>
      </w:r>
    </w:p>
    <w:p w14:paraId="5FFED580" w14:textId="303B87B4" w:rsidR="00FB4787" w:rsidRPr="00252CDE" w:rsidRDefault="00D57381" w:rsidP="00D51D2A">
      <w:pPr>
        <w:spacing w:line="360" w:lineRule="auto"/>
        <w:rPr>
          <w:rFonts w:ascii="Calibri" w:hAnsi="Calibri" w:cs="Calibri"/>
          <w:color w:val="0D0D0D" w:themeColor="text1" w:themeTint="F2"/>
        </w:rPr>
      </w:pPr>
      <w:r w:rsidRPr="00D57381">
        <w:rPr>
          <w:rFonts w:ascii="Calibri" w:hAnsi="Calibri" w:cs="Calibri"/>
          <w:color w:val="0D0D0D" w:themeColor="text1" w:themeTint="F2"/>
        </w:rPr>
        <w:t xml:space="preserve">The notion of men and women possessing such innate skills is, thankfully, increasingly challenged in contemporary writings, with authors including Gouifrane </w:t>
      </w:r>
      <w:r w:rsidRPr="00D57381">
        <w:rPr>
          <w:rFonts w:ascii="Calibri" w:hAnsi="Calibri" w:cs="Calibri"/>
          <w:i/>
          <w:iCs/>
          <w:color w:val="0D0D0D" w:themeColor="text1" w:themeTint="F2"/>
        </w:rPr>
        <w:t>et al.</w:t>
      </w:r>
      <w:r w:rsidRPr="00D57381">
        <w:rPr>
          <w:rFonts w:ascii="Calibri" w:hAnsi="Calibri" w:cs="Calibri"/>
          <w:color w:val="0D0D0D" w:themeColor="text1" w:themeTint="F2"/>
        </w:rPr>
        <w:t xml:space="preserve"> (2020), Koch </w:t>
      </w:r>
      <w:r w:rsidRPr="00D57381">
        <w:rPr>
          <w:rFonts w:ascii="Calibri" w:hAnsi="Calibri" w:cs="Calibri"/>
          <w:i/>
          <w:iCs/>
          <w:color w:val="0D0D0D" w:themeColor="text1" w:themeTint="F2"/>
        </w:rPr>
        <w:t xml:space="preserve">et al. </w:t>
      </w:r>
      <w:r w:rsidRPr="00D57381">
        <w:rPr>
          <w:rFonts w:ascii="Calibri" w:hAnsi="Calibri" w:cs="Calibri"/>
          <w:color w:val="0D0D0D" w:themeColor="text1" w:themeTint="F2"/>
        </w:rPr>
        <w:t xml:space="preserve">(2020), and Rudberg </w:t>
      </w:r>
      <w:r w:rsidRPr="00D57381">
        <w:rPr>
          <w:rFonts w:ascii="Calibri" w:hAnsi="Calibri" w:cs="Calibri"/>
          <w:i/>
          <w:iCs/>
          <w:color w:val="0D0D0D" w:themeColor="text1" w:themeTint="F2"/>
        </w:rPr>
        <w:t>et al.</w:t>
      </w:r>
      <w:r w:rsidRPr="00D57381">
        <w:rPr>
          <w:rFonts w:ascii="Calibri" w:hAnsi="Calibri" w:cs="Calibri"/>
          <w:color w:val="0D0D0D" w:themeColor="text1" w:themeTint="F2"/>
        </w:rPr>
        <w:t xml:space="preserve"> (2023) dispelling the dated notions of Keller (1985), Belenky </w:t>
      </w:r>
      <w:r w:rsidRPr="00D57381">
        <w:rPr>
          <w:rFonts w:ascii="Calibri" w:hAnsi="Calibri" w:cs="Calibri"/>
          <w:i/>
          <w:iCs/>
          <w:color w:val="0D0D0D" w:themeColor="text1" w:themeTint="F2"/>
        </w:rPr>
        <w:t xml:space="preserve">et al. </w:t>
      </w:r>
      <w:r w:rsidRPr="00D57381">
        <w:rPr>
          <w:rFonts w:ascii="Calibri" w:hAnsi="Calibri" w:cs="Calibri"/>
          <w:color w:val="0D0D0D" w:themeColor="text1" w:themeTint="F2"/>
        </w:rPr>
        <w:t xml:space="preserve">(1986), and Sherrod (2003), advocating the view that learning preferences are developed through experience rather than being inherent. </w:t>
      </w:r>
      <w:r w:rsidR="00DC25BE" w:rsidRPr="00252CDE">
        <w:rPr>
          <w:rFonts w:ascii="Calibri" w:hAnsi="Calibri" w:cs="Calibri"/>
          <w:color w:val="0D0D0D" w:themeColor="text1" w:themeTint="F2"/>
        </w:rPr>
        <w:t xml:space="preserve"> </w:t>
      </w:r>
      <w:r w:rsidRPr="00D57381">
        <w:rPr>
          <w:rFonts w:ascii="Calibri" w:hAnsi="Calibri" w:cs="Calibri"/>
          <w:color w:val="0D0D0D" w:themeColor="text1" w:themeTint="F2"/>
        </w:rPr>
        <w:t xml:space="preserve">McKenna </w:t>
      </w:r>
      <w:r w:rsidRPr="00D57381">
        <w:rPr>
          <w:rFonts w:ascii="Calibri" w:hAnsi="Calibri" w:cs="Calibri"/>
          <w:i/>
          <w:iCs/>
          <w:color w:val="0D0D0D" w:themeColor="text1" w:themeTint="F2"/>
        </w:rPr>
        <w:t xml:space="preserve">et al. </w:t>
      </w:r>
      <w:r w:rsidRPr="00D57381">
        <w:rPr>
          <w:rFonts w:ascii="Calibri" w:hAnsi="Calibri" w:cs="Calibri"/>
          <w:color w:val="0D0D0D" w:themeColor="text1" w:themeTint="F2"/>
        </w:rPr>
        <w:t>(2018) and Esewe and Ogunleye (2021) do, however, concede that collaborative working, integral to nursing, may be more aligned with women than men, who are often perceived as more competitive.</w:t>
      </w:r>
      <w:r w:rsidR="00247CC0" w:rsidRPr="00252CDE">
        <w:rPr>
          <w:rFonts w:ascii="Calibri" w:hAnsi="Calibri" w:cs="Calibri"/>
          <w:color w:val="0D0D0D" w:themeColor="text1" w:themeTint="F2"/>
        </w:rPr>
        <w:t xml:space="preserve">  </w:t>
      </w:r>
      <w:r w:rsidRPr="00D57381">
        <w:rPr>
          <w:rFonts w:ascii="Calibri" w:hAnsi="Calibri" w:cs="Calibri"/>
          <w:color w:val="0D0D0D" w:themeColor="text1" w:themeTint="F2"/>
        </w:rPr>
        <w:t xml:space="preserve">While Philbin </w:t>
      </w:r>
      <w:r w:rsidRPr="00D57381">
        <w:rPr>
          <w:rFonts w:ascii="Calibri" w:hAnsi="Calibri" w:cs="Calibri"/>
          <w:i/>
          <w:iCs/>
          <w:color w:val="0D0D0D" w:themeColor="text1" w:themeTint="F2"/>
        </w:rPr>
        <w:t>et al.</w:t>
      </w:r>
      <w:r w:rsidRPr="00D57381">
        <w:rPr>
          <w:rFonts w:ascii="Calibri" w:hAnsi="Calibri" w:cs="Calibri"/>
          <w:color w:val="0D0D0D" w:themeColor="text1" w:themeTint="F2"/>
        </w:rPr>
        <w:t xml:space="preserve"> (1985) suggest an advantage in students selecting courses aligning with their learning style, Kulturel-Kovak, D’Angello, and Dickens (2011) argue that students, particularly those new to higher education, often lack the self-awareness to identify their learning style until later in their studies, potentially when it is too late.</w:t>
      </w:r>
      <w:r w:rsidR="006A39DE" w:rsidRPr="00252CDE">
        <w:rPr>
          <w:rFonts w:ascii="Calibri" w:hAnsi="Calibri" w:cs="Calibri"/>
          <w:color w:val="0D0D0D" w:themeColor="text1" w:themeTint="F2"/>
        </w:rPr>
        <w:t xml:space="preserve"> </w:t>
      </w:r>
      <w:r w:rsidRPr="00D57381">
        <w:rPr>
          <w:rFonts w:ascii="Calibri" w:hAnsi="Calibri" w:cs="Calibri"/>
          <w:color w:val="0D0D0D" w:themeColor="text1" w:themeTint="F2"/>
        </w:rPr>
        <w:t xml:space="preserve"> Mangold </w:t>
      </w:r>
      <w:r w:rsidRPr="00D57381">
        <w:rPr>
          <w:rFonts w:ascii="Calibri" w:hAnsi="Calibri" w:cs="Calibri"/>
          <w:i/>
          <w:iCs/>
          <w:color w:val="0D0D0D" w:themeColor="text1" w:themeTint="F2"/>
        </w:rPr>
        <w:t>et al</w:t>
      </w:r>
      <w:r w:rsidRPr="00D57381">
        <w:rPr>
          <w:rFonts w:ascii="Calibri" w:hAnsi="Calibri" w:cs="Calibri"/>
          <w:color w:val="0D0D0D" w:themeColor="text1" w:themeTint="F2"/>
        </w:rPr>
        <w:t>. (2018) report a lack of concrete evidence supporting gendered learning styles; however, their qualitative study involving semi-structured interviews with four nurse educators found that the teachers tended to employ teaching and learning strategies that reflected their own preferred learning methods.</w:t>
      </w:r>
      <w:r w:rsidR="006A39DE" w:rsidRPr="00252CDE">
        <w:rPr>
          <w:rFonts w:ascii="Calibri" w:hAnsi="Calibri" w:cs="Calibri"/>
          <w:color w:val="0D0D0D" w:themeColor="text1" w:themeTint="F2"/>
        </w:rPr>
        <w:t xml:space="preserve"> </w:t>
      </w:r>
      <w:r w:rsidRPr="00D57381">
        <w:rPr>
          <w:rFonts w:ascii="Calibri" w:hAnsi="Calibri" w:cs="Calibri"/>
          <w:color w:val="0D0D0D" w:themeColor="text1" w:themeTint="F2"/>
        </w:rPr>
        <w:t xml:space="preserve"> It is pertinent to note that nurse educators in the UK are predominantly female (Zamanzadeh, 2013; Mao </w:t>
      </w:r>
      <w:r w:rsidRPr="00D57381">
        <w:rPr>
          <w:rFonts w:ascii="Calibri" w:hAnsi="Calibri" w:cs="Calibri"/>
          <w:i/>
          <w:iCs/>
          <w:color w:val="0D0D0D" w:themeColor="text1" w:themeTint="F2"/>
        </w:rPr>
        <w:t>et al.,</w:t>
      </w:r>
      <w:r w:rsidRPr="00D57381">
        <w:rPr>
          <w:rFonts w:ascii="Calibri" w:hAnsi="Calibri" w:cs="Calibri"/>
          <w:color w:val="0D0D0D" w:themeColor="text1" w:themeTint="F2"/>
        </w:rPr>
        <w:t xml:space="preserve"> 2021; Esewe </w:t>
      </w:r>
      <w:r w:rsidR="007F0FE7" w:rsidRPr="00252CDE">
        <w:rPr>
          <w:rFonts w:ascii="Calibri" w:hAnsi="Calibri" w:cs="Calibri"/>
          <w:color w:val="0D0D0D" w:themeColor="text1" w:themeTint="F2"/>
        </w:rPr>
        <w:t>and</w:t>
      </w:r>
      <w:r w:rsidRPr="00D57381">
        <w:rPr>
          <w:rFonts w:ascii="Calibri" w:hAnsi="Calibri" w:cs="Calibri"/>
          <w:color w:val="0D0D0D" w:themeColor="text1" w:themeTint="F2"/>
        </w:rPr>
        <w:t xml:space="preserve"> Ogunleye, 2021), with the Royal College of Nursing (2024</w:t>
      </w:r>
      <w:r w:rsidR="00334065" w:rsidRPr="00252CDE">
        <w:rPr>
          <w:rFonts w:ascii="Calibri" w:hAnsi="Calibri" w:cs="Calibri"/>
          <w:color w:val="0D0D0D" w:themeColor="text1" w:themeTint="F2"/>
        </w:rPr>
        <w:t>b</w:t>
      </w:r>
      <w:r w:rsidRPr="00D57381">
        <w:rPr>
          <w:rFonts w:ascii="Calibri" w:hAnsi="Calibri" w:cs="Calibri"/>
          <w:color w:val="0D0D0D" w:themeColor="text1" w:themeTint="F2"/>
        </w:rPr>
        <w:t xml:space="preserve">) reporting this figure to be 70%. </w:t>
      </w:r>
      <w:r w:rsidR="00F11C0D" w:rsidRPr="00252CDE">
        <w:rPr>
          <w:rFonts w:ascii="Calibri" w:hAnsi="Calibri" w:cs="Calibri"/>
          <w:color w:val="0D0D0D" w:themeColor="text1" w:themeTint="F2"/>
        </w:rPr>
        <w:t xml:space="preserve"> </w:t>
      </w:r>
      <w:r w:rsidRPr="00D57381">
        <w:rPr>
          <w:rFonts w:ascii="Calibri" w:hAnsi="Calibri" w:cs="Calibri"/>
          <w:color w:val="0D0D0D" w:themeColor="text1" w:themeTint="F2"/>
        </w:rPr>
        <w:t>Barratt (2006) highlights that learning styles can significantly impact both retention and attrition rates within educational courses.</w:t>
      </w:r>
    </w:p>
    <w:p w14:paraId="4496ED14" w14:textId="7C54FFBA" w:rsidR="00BD7687" w:rsidRPr="00252CDE" w:rsidRDefault="00D40627"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While many nurse educators actively strive to create inclusive learning environments, and research on male nursing students' outcomes is not uniformly negative, the perception of a potentially female-centric learning environment can still affect male students' belonging and engagement. Even subtle cues in language or teaching might foster feelings of being an outsider. Therefore, a continuous critical evaluation of the learning environment and curriculum, with active feedback from male students, remains essential to mitigate unintended gender biases and ensure inclusivity for all.</w:t>
      </w:r>
    </w:p>
    <w:p w14:paraId="7F14ABC9" w14:textId="77777777" w:rsidR="00CB0EA1" w:rsidRPr="00252CDE" w:rsidRDefault="00CB0EA1" w:rsidP="00D51D2A">
      <w:pPr>
        <w:spacing w:line="360" w:lineRule="auto"/>
        <w:rPr>
          <w:rFonts w:ascii="Calibri" w:hAnsi="Calibri" w:cs="Calibri"/>
          <w:color w:val="0D0D0D" w:themeColor="text1" w:themeTint="F2"/>
        </w:rPr>
      </w:pPr>
    </w:p>
    <w:p w14:paraId="090DB700" w14:textId="027C3E1B" w:rsidR="0000152D" w:rsidRPr="00252CDE" w:rsidRDefault="0000152D" w:rsidP="00D51D2A">
      <w:pPr>
        <w:spacing w:line="360" w:lineRule="auto"/>
        <w:rPr>
          <w:rFonts w:ascii="Calibri" w:hAnsi="Calibri" w:cs="Calibri"/>
          <w:color w:val="0D0D0D" w:themeColor="text1" w:themeTint="F2"/>
          <w:u w:val="single"/>
        </w:rPr>
      </w:pPr>
      <w:r w:rsidRPr="00252CDE">
        <w:rPr>
          <w:rFonts w:ascii="Calibri" w:hAnsi="Calibri" w:cs="Calibri"/>
          <w:b/>
          <w:bCs/>
          <w:color w:val="0D0D0D" w:themeColor="text1" w:themeTint="F2"/>
          <w:u w:val="single"/>
        </w:rPr>
        <w:lastRenderedPageBreak/>
        <w:t>4. Gaps in the Literature</w:t>
      </w:r>
    </w:p>
    <w:p w14:paraId="6E3240FB" w14:textId="0BA4E98E" w:rsidR="0000152D" w:rsidRPr="00252CDE" w:rsidRDefault="0000152D"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The critical analysis of the existing literature across the themes of historical context, sociocultural stereotypes, </w:t>
      </w:r>
      <w:r w:rsidR="00A957DD" w:rsidRPr="00252CDE">
        <w:rPr>
          <w:rFonts w:ascii="Calibri" w:hAnsi="Calibri" w:cs="Calibri"/>
          <w:color w:val="0D0D0D" w:themeColor="text1" w:themeTint="F2"/>
        </w:rPr>
        <w:t>and the</w:t>
      </w:r>
      <w:r w:rsidRPr="00252CDE">
        <w:rPr>
          <w:rFonts w:ascii="Calibri" w:hAnsi="Calibri" w:cs="Calibri"/>
          <w:color w:val="0D0D0D" w:themeColor="text1" w:themeTint="F2"/>
        </w:rPr>
        <w:t xml:space="preserve"> learning environment and curriculum, reveals several key gaps that warrant further investigation. </w:t>
      </w:r>
      <w:r w:rsidR="008E3011" w:rsidRPr="00252CDE">
        <w:rPr>
          <w:rFonts w:ascii="Calibri" w:hAnsi="Calibri" w:cs="Calibri"/>
          <w:color w:val="0D0D0D" w:themeColor="text1" w:themeTint="F2"/>
        </w:rPr>
        <w:t xml:space="preserve"> </w:t>
      </w:r>
      <w:r w:rsidRPr="00252CDE">
        <w:rPr>
          <w:rFonts w:ascii="Calibri" w:hAnsi="Calibri" w:cs="Calibri"/>
          <w:color w:val="0D0D0D" w:themeColor="text1" w:themeTint="F2"/>
        </w:rPr>
        <w:t>While a body of research exists exploring the underrepresentation of men in nursing and their experiences within the profession and education, there are areas where understanding remains limited, particularly within specific contexts such as Wales.</w:t>
      </w:r>
    </w:p>
    <w:p w14:paraId="18F3D00D" w14:textId="5C6C6F57" w:rsidR="0000152D" w:rsidRPr="00252CDE" w:rsidRDefault="0000152D"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One significant gap lies in the contextual specificity of much of the existing research. </w:t>
      </w:r>
      <w:r w:rsidR="001E6206" w:rsidRPr="00252CDE">
        <w:rPr>
          <w:rFonts w:ascii="Calibri" w:hAnsi="Calibri" w:cs="Calibri"/>
          <w:color w:val="0D0D0D" w:themeColor="text1" w:themeTint="F2"/>
        </w:rPr>
        <w:t xml:space="preserve"> </w:t>
      </w:r>
      <w:r w:rsidR="0086498D" w:rsidRPr="00D25BEC">
        <w:rPr>
          <w:rFonts w:ascii="Calibri" w:hAnsi="Calibri" w:cs="Calibri"/>
          <w:color w:val="0D0D0D" w:themeColor="text1" w:themeTint="F2"/>
        </w:rPr>
        <w:t>The literature review has considered studies from various international settings, including Prosen (2022) in Slovenia, Baker, Fisher, and Pryor (2022) in Australia, O'Lynn (2004) in the United States, and Harding (2007), Christensen and Knight (2015), Christensen, Welch, and Baker (2018), and Christensen et al. (2021) in New Zealand.</w:t>
      </w:r>
      <w:r w:rsidR="008E3011" w:rsidRPr="00252CDE">
        <w:rPr>
          <w:rFonts w:ascii="Calibri" w:hAnsi="Calibri" w:cs="Calibri"/>
          <w:color w:val="0D0D0D" w:themeColor="text1" w:themeTint="F2"/>
        </w:rPr>
        <w:t xml:space="preserve">  </w:t>
      </w:r>
      <w:r w:rsidR="00B323EC" w:rsidRPr="00252CDE">
        <w:rPr>
          <w:rFonts w:ascii="Calibri" w:hAnsi="Calibri" w:cs="Calibri"/>
          <w:color w:val="0D0D0D" w:themeColor="text1" w:themeTint="F2"/>
        </w:rPr>
        <w:t xml:space="preserve">Carter </w:t>
      </w:r>
      <w:r w:rsidR="00B323EC" w:rsidRPr="00252CDE">
        <w:rPr>
          <w:rFonts w:ascii="Calibri" w:hAnsi="Calibri" w:cs="Calibri"/>
          <w:i/>
          <w:iCs/>
          <w:color w:val="0D0D0D" w:themeColor="text1" w:themeTint="F2"/>
        </w:rPr>
        <w:t>et al.</w:t>
      </w:r>
      <w:r w:rsidR="00B323EC" w:rsidRPr="00252CDE">
        <w:rPr>
          <w:rFonts w:ascii="Calibri" w:hAnsi="Calibri" w:cs="Calibri"/>
          <w:color w:val="0D0D0D" w:themeColor="text1" w:themeTint="F2"/>
        </w:rPr>
        <w:t xml:space="preserve">'s (2025) study considered perceptions of male accessibility to nursing practice in England, providing relevant </w:t>
      </w:r>
      <w:r w:rsidR="0059353D" w:rsidRPr="00252CDE">
        <w:rPr>
          <w:rFonts w:ascii="Calibri" w:hAnsi="Calibri" w:cs="Calibri"/>
          <w:color w:val="0D0D0D" w:themeColor="text1" w:themeTint="F2"/>
        </w:rPr>
        <w:t xml:space="preserve">UK </w:t>
      </w:r>
      <w:r w:rsidR="00B323EC" w:rsidRPr="00252CDE">
        <w:rPr>
          <w:rFonts w:ascii="Calibri" w:hAnsi="Calibri" w:cs="Calibri"/>
          <w:color w:val="0D0D0D" w:themeColor="text1" w:themeTint="F2"/>
        </w:rPr>
        <w:t xml:space="preserve">context but </w:t>
      </w:r>
      <w:r w:rsidR="0059353D" w:rsidRPr="00252CDE">
        <w:rPr>
          <w:rFonts w:ascii="Calibri" w:hAnsi="Calibri" w:cs="Calibri"/>
          <w:color w:val="0D0D0D" w:themeColor="text1" w:themeTint="F2"/>
        </w:rPr>
        <w:t xml:space="preserve">was </w:t>
      </w:r>
      <w:r w:rsidR="00B323EC" w:rsidRPr="00252CDE">
        <w:rPr>
          <w:rFonts w:ascii="Calibri" w:hAnsi="Calibri" w:cs="Calibri"/>
          <w:color w:val="0D0D0D" w:themeColor="text1" w:themeTint="F2"/>
        </w:rPr>
        <w:t>not specifically examining gender bias within the classroom or educational setting, focusing instead on clinical environments.</w:t>
      </w:r>
      <w:r w:rsidR="007A7679" w:rsidRPr="00252CDE">
        <w:rPr>
          <w:rFonts w:ascii="Calibri" w:hAnsi="Calibri" w:cs="Calibri"/>
          <w:color w:val="0D0D0D" w:themeColor="text1" w:themeTint="F2"/>
        </w:rPr>
        <w:t xml:space="preserve">  </w:t>
      </w:r>
      <w:r w:rsidRPr="00252CDE">
        <w:rPr>
          <w:rFonts w:ascii="Calibri" w:hAnsi="Calibri" w:cs="Calibri"/>
          <w:color w:val="0D0D0D" w:themeColor="text1" w:themeTint="F2"/>
        </w:rPr>
        <w:t>While studies from various international settings provide valuable insights, there is a relative paucity of research specifically focused on the experiences of male nursing students within the unique educational and sociocultural landscape of Wales. Given the distinct cultural identity and potentially differing healthcare policy contexts within Wales, findings from other regions may not be directly transferable. Therefore, there is a need for research that directly investigates the perceptions, experiences, and challenges faced by male nursing students enrolled in Welsh universities.</w:t>
      </w:r>
    </w:p>
    <w:p w14:paraId="5C8147BB" w14:textId="2263AC6E" w:rsidR="0000152D" w:rsidRPr="00252CDE" w:rsidRDefault="007B522C"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W</w:t>
      </w:r>
      <w:r w:rsidR="0000152D" w:rsidRPr="00252CDE">
        <w:rPr>
          <w:rFonts w:ascii="Calibri" w:hAnsi="Calibri" w:cs="Calibri"/>
          <w:color w:val="0D0D0D" w:themeColor="text1" w:themeTint="F2"/>
        </w:rPr>
        <w:t>hile quantitative studies have often highlighted the statistical underrepresentation and attrition rates of male nursing students (</w:t>
      </w:r>
      <w:r w:rsidR="007942DA" w:rsidRPr="00252CDE">
        <w:rPr>
          <w:rFonts w:ascii="Calibri" w:hAnsi="Calibri" w:cs="Calibri"/>
          <w:color w:val="0D0D0D" w:themeColor="text1" w:themeTint="F2"/>
        </w:rPr>
        <w:t xml:space="preserve">UCAS, 2024; </w:t>
      </w:r>
      <w:r w:rsidR="004E37D8" w:rsidRPr="00252CDE">
        <w:rPr>
          <w:rFonts w:ascii="Calibri" w:hAnsi="Calibri" w:cs="Calibri"/>
          <w:color w:val="0D0D0D" w:themeColor="text1" w:themeTint="F2"/>
        </w:rPr>
        <w:t>NMC, 2024b</w:t>
      </w:r>
      <w:r w:rsidR="0000152D" w:rsidRPr="00252CDE">
        <w:rPr>
          <w:rFonts w:ascii="Calibri" w:hAnsi="Calibri" w:cs="Calibri"/>
          <w:color w:val="0D0D0D" w:themeColor="text1" w:themeTint="F2"/>
        </w:rPr>
        <w:t xml:space="preserve">), </w:t>
      </w:r>
      <w:r w:rsidR="00264D14" w:rsidRPr="00252CDE">
        <w:rPr>
          <w:rFonts w:ascii="Calibri" w:hAnsi="Calibri" w:cs="Calibri"/>
          <w:color w:val="0D0D0D" w:themeColor="text1" w:themeTint="F2"/>
        </w:rPr>
        <w:t xml:space="preserve">no study found has adequately quantified </w:t>
      </w:r>
      <w:r w:rsidR="00547DA7" w:rsidRPr="00252CDE">
        <w:rPr>
          <w:rFonts w:ascii="Calibri" w:hAnsi="Calibri" w:cs="Calibri"/>
          <w:color w:val="0D0D0D" w:themeColor="text1" w:themeTint="F2"/>
        </w:rPr>
        <w:t>the prevalence of perceived importance of barriers to men in nurse education programmes</w:t>
      </w:r>
      <w:r w:rsidR="00734EF1" w:rsidRPr="00252CDE">
        <w:rPr>
          <w:rFonts w:ascii="Calibri" w:hAnsi="Calibri" w:cs="Calibri"/>
          <w:color w:val="0D0D0D" w:themeColor="text1" w:themeTint="F2"/>
        </w:rPr>
        <w:t xml:space="preserve">.  </w:t>
      </w:r>
      <w:r w:rsidR="0000152D" w:rsidRPr="00252CDE">
        <w:rPr>
          <w:rFonts w:ascii="Calibri" w:hAnsi="Calibri" w:cs="Calibri"/>
          <w:color w:val="0D0D0D" w:themeColor="text1" w:themeTint="F2"/>
        </w:rPr>
        <w:t>there is a need for more in-depth qualitative exploration of the lived experiences of these students</w:t>
      </w:r>
      <w:r w:rsidR="00734EF1" w:rsidRPr="00252CDE">
        <w:rPr>
          <w:rFonts w:ascii="Calibri" w:hAnsi="Calibri" w:cs="Calibri"/>
          <w:color w:val="0D0D0D" w:themeColor="text1" w:themeTint="F2"/>
        </w:rPr>
        <w:t xml:space="preserve"> to identify what the barriers are</w:t>
      </w:r>
      <w:r w:rsidR="0000152D" w:rsidRPr="00252CDE">
        <w:rPr>
          <w:rFonts w:ascii="Calibri" w:hAnsi="Calibri" w:cs="Calibri"/>
          <w:color w:val="0D0D0D" w:themeColor="text1" w:themeTint="F2"/>
        </w:rPr>
        <w:t xml:space="preserve">. </w:t>
      </w:r>
      <w:r w:rsidR="00072798" w:rsidRPr="00252CDE">
        <w:rPr>
          <w:rFonts w:ascii="Calibri" w:hAnsi="Calibri" w:cs="Calibri"/>
          <w:color w:val="0D0D0D" w:themeColor="text1" w:themeTint="F2"/>
        </w:rPr>
        <w:t xml:space="preserve"> </w:t>
      </w:r>
      <w:r w:rsidR="0000152D" w:rsidRPr="00252CDE">
        <w:rPr>
          <w:rFonts w:ascii="Calibri" w:hAnsi="Calibri" w:cs="Calibri"/>
          <w:color w:val="0D0D0D" w:themeColor="text1" w:themeTint="F2"/>
        </w:rPr>
        <w:t xml:space="preserve">While some qualitative studies exist (Stanley </w:t>
      </w:r>
      <w:r w:rsidR="0000152D" w:rsidRPr="00252CDE">
        <w:rPr>
          <w:rFonts w:ascii="Calibri" w:hAnsi="Calibri" w:cs="Calibri"/>
          <w:i/>
          <w:iCs/>
          <w:color w:val="0D0D0D" w:themeColor="text1" w:themeTint="F2"/>
        </w:rPr>
        <w:t>et al</w:t>
      </w:r>
      <w:r w:rsidR="0000152D" w:rsidRPr="00252CDE">
        <w:rPr>
          <w:rFonts w:ascii="Calibri" w:hAnsi="Calibri" w:cs="Calibri"/>
          <w:color w:val="0D0D0D" w:themeColor="text1" w:themeTint="F2"/>
        </w:rPr>
        <w:t>., 2017), further research using qualitative methodologies can provide richer, nuanced understandings of the specific barriers they encounter, their coping mechanisms, and their perspectives on how the educational environment could be more inclusive. Understanding the 'why' behind the statistics requires a deeper engagement with the narratives of male students themselves.</w:t>
      </w:r>
    </w:p>
    <w:p w14:paraId="65ED3BC6" w14:textId="77777777" w:rsidR="000A5262" w:rsidRPr="00252CDE" w:rsidRDefault="000A5262" w:rsidP="000A5262">
      <w:pPr>
        <w:spacing w:line="360" w:lineRule="auto"/>
        <w:rPr>
          <w:rFonts w:ascii="Calibri" w:hAnsi="Calibri" w:cs="Calibri"/>
          <w:color w:val="0D0D0D" w:themeColor="text1" w:themeTint="F2"/>
        </w:rPr>
      </w:pPr>
      <w:r w:rsidRPr="00252CDE">
        <w:rPr>
          <w:rFonts w:ascii="Calibri" w:hAnsi="Calibri" w:cs="Calibri"/>
          <w:color w:val="0D0D0D" w:themeColor="text1" w:themeTint="F2"/>
        </w:rPr>
        <w:lastRenderedPageBreak/>
        <w:t>Finally, there appears to be a relative lack of research that comprehensively integrates the perspectives of both students and educators. While some studies focus on one group or the other, research that directly compares and contrasts the perceptions of male students with those of nurse educators regarding gender bias, curriculum inclusivity, and support mechanisms could provide a more holistic understanding of the issues at play and inform more targeted solutions.</w:t>
      </w:r>
    </w:p>
    <w:p w14:paraId="591B1B48" w14:textId="77777777" w:rsidR="000A5262" w:rsidRPr="00252CDE" w:rsidRDefault="000A5262" w:rsidP="000A5262">
      <w:pPr>
        <w:spacing w:line="360" w:lineRule="auto"/>
        <w:rPr>
          <w:rFonts w:ascii="Calibri" w:hAnsi="Calibri" w:cs="Calibri"/>
          <w:color w:val="0D0D0D" w:themeColor="text1" w:themeTint="F2"/>
        </w:rPr>
      </w:pPr>
      <w:r w:rsidRPr="00252CDE">
        <w:rPr>
          <w:rFonts w:ascii="Calibri" w:hAnsi="Calibri" w:cs="Calibri"/>
          <w:color w:val="0D0D0D" w:themeColor="text1" w:themeTint="F2"/>
        </w:rPr>
        <w:t>In summary, the existing literature provides a foundation for understanding the underrepresentation of men in nursing education. However, there are notable gaps, particularly concerning the Welsh context, in-depth qualitative explorations, the intersectionality of identity, the effectiveness of interventions, and the integrated perspectives of students and educators. This doctoral research, focusing on the Welsh context and employing a mixed-methods approach to gather data from both students and educators, aims to contribute to filling these identified gaps and provide a more comprehensive understanding of the factors influencing the experiences of men in Welsh nurse education.</w:t>
      </w:r>
    </w:p>
    <w:p w14:paraId="0DD547C9" w14:textId="77777777" w:rsidR="00D25BEC" w:rsidRPr="00252CDE" w:rsidRDefault="00D25BEC" w:rsidP="00D51D2A">
      <w:pPr>
        <w:spacing w:line="360" w:lineRule="auto"/>
        <w:rPr>
          <w:rFonts w:ascii="Calibri" w:hAnsi="Calibri" w:cs="Calibri"/>
          <w:color w:val="0D0D0D" w:themeColor="text1" w:themeTint="F2"/>
        </w:rPr>
      </w:pPr>
    </w:p>
    <w:p w14:paraId="44110267" w14:textId="0A1F11BF" w:rsidR="00982778" w:rsidRPr="00252CDE" w:rsidRDefault="002502F9" w:rsidP="00D51D2A">
      <w:pPr>
        <w:spacing w:line="360" w:lineRule="auto"/>
        <w:rPr>
          <w:rFonts w:ascii="Calibri" w:hAnsi="Calibri" w:cs="Calibri"/>
          <w:color w:val="0D0D0D" w:themeColor="text1" w:themeTint="F2"/>
          <w:u w:val="single"/>
        </w:rPr>
      </w:pPr>
      <w:r w:rsidRPr="00252CDE">
        <w:rPr>
          <w:rFonts w:ascii="Calibri" w:hAnsi="Calibri" w:cs="Calibri"/>
          <w:b/>
          <w:bCs/>
          <w:color w:val="0D0D0D" w:themeColor="text1" w:themeTint="F2"/>
          <w:u w:val="single"/>
        </w:rPr>
        <w:t>5. Conclusion</w:t>
      </w:r>
    </w:p>
    <w:p w14:paraId="3F816C96" w14:textId="008FB55A" w:rsidR="0000152D" w:rsidRPr="00252CDE" w:rsidRDefault="0000152D"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This critical literature review has analysed key themes concerning the underrepresentation and attrition of men in nursing education, highlighting the complex interplay of historical, sociocultural, and educational factors.</w:t>
      </w:r>
      <w:r w:rsidR="00543BBE"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The review has </w:t>
      </w:r>
      <w:r w:rsidR="004A6645" w:rsidRPr="00252CDE">
        <w:rPr>
          <w:rFonts w:ascii="Calibri" w:hAnsi="Calibri" w:cs="Calibri"/>
          <w:color w:val="0D0D0D" w:themeColor="text1" w:themeTint="F2"/>
        </w:rPr>
        <w:t>emphasised</w:t>
      </w:r>
      <w:r w:rsidRPr="00252CDE">
        <w:rPr>
          <w:rFonts w:ascii="Calibri" w:hAnsi="Calibri" w:cs="Calibri"/>
          <w:color w:val="0D0D0D" w:themeColor="text1" w:themeTint="F2"/>
        </w:rPr>
        <w:t xml:space="preserve"> that the persistent image of nursing as a predominantly female profession, rooted in historical narratives and reinforced by societal stereotypes, continues to influence both the career choices of men and their experiences within nursing programmes.</w:t>
      </w:r>
    </w:p>
    <w:p w14:paraId="0B16CCE3" w14:textId="42744E25" w:rsidR="0000152D" w:rsidRPr="00252CDE" w:rsidRDefault="0000152D"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The analysis has revealed that while men have historically contributed to nursing, their contributions are often marginalised in dominant accounts, potentially impacting contemporary perceptions.</w:t>
      </w:r>
      <w:r w:rsidR="00CB213A"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Furthermore, deeply ingrained sociocultural stereotypes about gender roles and nursing can deter men from entering the field and create challenges for those who do, influencing their sense of belonging and integration.</w:t>
      </w:r>
      <w:r w:rsidR="00023417"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The review has also examined the potential for gender bias within the learning environment and curriculum, </w:t>
      </w:r>
      <w:r w:rsidRPr="00252CDE">
        <w:rPr>
          <w:rFonts w:ascii="Calibri" w:hAnsi="Calibri" w:cs="Calibri"/>
          <w:color w:val="0D0D0D" w:themeColor="text1" w:themeTint="F2"/>
        </w:rPr>
        <w:lastRenderedPageBreak/>
        <w:t xml:space="preserve">suggesting that pedagogical approaches and learning resources may, at times, inadvertently reflect a female-centric perspective. </w:t>
      </w:r>
      <w:r w:rsidR="000E26AE" w:rsidRPr="00252CDE">
        <w:rPr>
          <w:rFonts w:ascii="Calibri" w:hAnsi="Calibri" w:cs="Calibri"/>
          <w:color w:val="0D0D0D" w:themeColor="text1" w:themeTint="F2"/>
        </w:rPr>
        <w:t xml:space="preserve"> </w:t>
      </w:r>
    </w:p>
    <w:p w14:paraId="047AFA78" w14:textId="760095CC" w:rsidR="0000152D" w:rsidRPr="00252CDE" w:rsidRDefault="0000152D"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Crucially, this review has identified several key gaps in the existing literature. There is a need for more context-specific research, particularly within the Welsh context, to understand how these broader trends manifest within the unique educational and sociocultural landscape of Wales.</w:t>
      </w:r>
      <w:r w:rsidR="004607AD"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 Further in-depth qualitative exploration of the lived experiences of male nursing students is required to provide a </w:t>
      </w:r>
      <w:r w:rsidR="004607AD" w:rsidRPr="00252CDE">
        <w:rPr>
          <w:rFonts w:ascii="Calibri" w:hAnsi="Calibri" w:cs="Calibri"/>
          <w:color w:val="0D0D0D" w:themeColor="text1" w:themeTint="F2"/>
        </w:rPr>
        <w:t>wider</w:t>
      </w:r>
      <w:r w:rsidRPr="00252CDE">
        <w:rPr>
          <w:rFonts w:ascii="Calibri" w:hAnsi="Calibri" w:cs="Calibri"/>
          <w:color w:val="0D0D0D" w:themeColor="text1" w:themeTint="F2"/>
        </w:rPr>
        <w:t xml:space="preserve"> understanding of the barriers they face and their perspectives on creating more inclusive learning environments. </w:t>
      </w:r>
      <w:r w:rsidR="00987E19"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Finally, a more integrated understanding of the perspectives of both students and educators </w:t>
      </w:r>
      <w:r w:rsidR="00623807" w:rsidRPr="00252CDE">
        <w:rPr>
          <w:rFonts w:ascii="Calibri" w:hAnsi="Calibri" w:cs="Calibri"/>
          <w:color w:val="0D0D0D" w:themeColor="text1" w:themeTint="F2"/>
        </w:rPr>
        <w:t xml:space="preserve">in regard to experiences of learning within the classroom </w:t>
      </w:r>
      <w:r w:rsidR="009A5F0B" w:rsidRPr="00252CDE">
        <w:rPr>
          <w:rFonts w:ascii="Calibri" w:hAnsi="Calibri" w:cs="Calibri"/>
          <w:color w:val="0D0D0D" w:themeColor="text1" w:themeTint="F2"/>
        </w:rPr>
        <w:t xml:space="preserve">environment </w:t>
      </w:r>
      <w:r w:rsidRPr="00252CDE">
        <w:rPr>
          <w:rFonts w:ascii="Calibri" w:hAnsi="Calibri" w:cs="Calibri"/>
          <w:color w:val="0D0D0D" w:themeColor="text1" w:themeTint="F2"/>
        </w:rPr>
        <w:t xml:space="preserve">is </w:t>
      </w:r>
      <w:r w:rsidR="009A5F0B" w:rsidRPr="00252CDE">
        <w:rPr>
          <w:rFonts w:ascii="Calibri" w:hAnsi="Calibri" w:cs="Calibri"/>
          <w:color w:val="0D0D0D" w:themeColor="text1" w:themeTint="F2"/>
        </w:rPr>
        <w:t>essential</w:t>
      </w:r>
      <w:r w:rsidRPr="00252CDE">
        <w:rPr>
          <w:rFonts w:ascii="Calibri" w:hAnsi="Calibri" w:cs="Calibri"/>
          <w:color w:val="0D0D0D" w:themeColor="text1" w:themeTint="F2"/>
        </w:rPr>
        <w:t>.</w:t>
      </w:r>
    </w:p>
    <w:p w14:paraId="2EE08F41" w14:textId="4194954F" w:rsidR="001D7863" w:rsidRPr="00252CDE" w:rsidRDefault="0000152D" w:rsidP="00D51D2A">
      <w:pPr>
        <w:spacing w:line="360" w:lineRule="auto"/>
        <w:rPr>
          <w:rFonts w:ascii="Calibri" w:hAnsi="Calibri" w:cs="Calibri"/>
          <w:color w:val="0D0D0D" w:themeColor="text1" w:themeTint="F2"/>
        </w:rPr>
      </w:pPr>
      <w:r w:rsidRPr="00252CDE">
        <w:rPr>
          <w:rFonts w:ascii="Calibri" w:hAnsi="Calibri" w:cs="Calibri"/>
          <w:color w:val="0D0D0D" w:themeColor="text1" w:themeTint="F2"/>
        </w:rPr>
        <w:t xml:space="preserve">This doctoral research, with its focus on the Welsh context and its use of a mixed-methods approach to gather data from both students and educators, aims to address these identified gaps. </w:t>
      </w:r>
      <w:r w:rsidR="00C17017" w:rsidRPr="00252CDE">
        <w:rPr>
          <w:rFonts w:ascii="Calibri" w:hAnsi="Calibri" w:cs="Calibri"/>
          <w:color w:val="0D0D0D" w:themeColor="text1" w:themeTint="F2"/>
        </w:rPr>
        <w:t xml:space="preserve"> </w:t>
      </w:r>
      <w:r w:rsidRPr="00252CDE">
        <w:rPr>
          <w:rFonts w:ascii="Calibri" w:hAnsi="Calibri" w:cs="Calibri"/>
          <w:color w:val="0D0D0D" w:themeColor="text1" w:themeTint="F2"/>
        </w:rPr>
        <w:t xml:space="preserve">By providing a more detailed and context-specific understanding of the experiences of men in Welsh nurse education, this research has the potential to inform the development of targeted strategies and interventions to promote greater gender balance within nursing education and, ultimately, the nursing workforce. </w:t>
      </w:r>
      <w:r w:rsidR="00C17017" w:rsidRPr="00252CDE">
        <w:rPr>
          <w:rFonts w:ascii="Calibri" w:hAnsi="Calibri" w:cs="Calibri"/>
          <w:color w:val="0D0D0D" w:themeColor="text1" w:themeTint="F2"/>
        </w:rPr>
        <w:t xml:space="preserve"> </w:t>
      </w:r>
      <w:r w:rsidRPr="00252CDE">
        <w:rPr>
          <w:rFonts w:ascii="Calibri" w:hAnsi="Calibri" w:cs="Calibri"/>
          <w:color w:val="0D0D0D" w:themeColor="text1" w:themeTint="F2"/>
        </w:rPr>
        <w:t>This, in turn, could contribute to a more diverse, equitable, and effective healthcare system, benefiting both the profession and the wider society.</w:t>
      </w:r>
    </w:p>
    <w:p w14:paraId="5BAC24A7" w14:textId="77777777" w:rsidR="0067555A" w:rsidRPr="00252CDE" w:rsidRDefault="0067555A" w:rsidP="00D51D2A">
      <w:pPr>
        <w:spacing w:line="360" w:lineRule="auto"/>
        <w:rPr>
          <w:rFonts w:ascii="Calibri" w:hAnsi="Calibri" w:cs="Calibri"/>
          <w:color w:val="0D0D0D" w:themeColor="text1" w:themeTint="F2"/>
        </w:rPr>
      </w:pPr>
    </w:p>
    <w:p w14:paraId="36221AFB" w14:textId="764F02F9" w:rsidR="00AC47B1" w:rsidRPr="00252CDE" w:rsidRDefault="00AC47B1">
      <w:pPr>
        <w:rPr>
          <w:rFonts w:ascii="Calibri" w:hAnsi="Calibri" w:cs="Calibri"/>
          <w:color w:val="0D0D0D" w:themeColor="text1" w:themeTint="F2"/>
        </w:rPr>
      </w:pPr>
      <w:r w:rsidRPr="00252CDE">
        <w:rPr>
          <w:rFonts w:ascii="Calibri" w:hAnsi="Calibri" w:cs="Calibri"/>
          <w:color w:val="0D0D0D" w:themeColor="text1" w:themeTint="F2"/>
        </w:rPr>
        <w:br w:type="page"/>
      </w:r>
    </w:p>
    <w:p w14:paraId="503206FD" w14:textId="5D017B37" w:rsidR="0067555A" w:rsidRPr="00252CDE" w:rsidRDefault="00AC47B1" w:rsidP="00D51D2A">
      <w:pPr>
        <w:spacing w:line="360" w:lineRule="auto"/>
        <w:rPr>
          <w:rFonts w:ascii="Calibri" w:hAnsi="Calibri" w:cs="Calibri"/>
          <w:b/>
          <w:bCs/>
          <w:color w:val="0D0D0D" w:themeColor="text1" w:themeTint="F2"/>
          <w:u w:val="single"/>
        </w:rPr>
      </w:pPr>
      <w:r w:rsidRPr="00252CDE">
        <w:rPr>
          <w:rFonts w:ascii="Calibri" w:hAnsi="Calibri" w:cs="Calibri"/>
          <w:b/>
          <w:bCs/>
          <w:color w:val="0D0D0D" w:themeColor="text1" w:themeTint="F2"/>
          <w:u w:val="single"/>
        </w:rPr>
        <w:lastRenderedPageBreak/>
        <w:t>References</w:t>
      </w:r>
    </w:p>
    <w:p w14:paraId="78D8D9B2" w14:textId="77777777" w:rsidR="00AC47B1" w:rsidRPr="00252CDE" w:rsidRDefault="00AC47B1" w:rsidP="00D4663E">
      <w:pPr>
        <w:spacing w:line="276" w:lineRule="auto"/>
        <w:rPr>
          <w:rFonts w:ascii="Calibri" w:hAnsi="Calibri" w:cs="Calibri"/>
          <w:color w:val="0D0D0D" w:themeColor="text1" w:themeTint="F2"/>
        </w:rPr>
      </w:pPr>
    </w:p>
    <w:p w14:paraId="25B96B37"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Abel-Smith, B. (1960) </w:t>
      </w:r>
      <w:r w:rsidRPr="00252CDE">
        <w:rPr>
          <w:rFonts w:ascii="Calibri" w:hAnsi="Calibri" w:cs="Calibri"/>
          <w:i/>
          <w:iCs/>
          <w:color w:val="0D0D0D" w:themeColor="text1" w:themeTint="F2"/>
        </w:rPr>
        <w:t>History of the Nursing Profession</w:t>
      </w:r>
      <w:r w:rsidRPr="00252CDE">
        <w:rPr>
          <w:rFonts w:ascii="Calibri" w:hAnsi="Calibri" w:cs="Calibri"/>
          <w:color w:val="0D0D0D" w:themeColor="text1" w:themeTint="F2"/>
        </w:rPr>
        <w:t>. London: Heineman.</w:t>
      </w:r>
    </w:p>
    <w:p w14:paraId="5552D494"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Aca, Z., Kırcal-Şahin, A., Özdemir, A. and Kaymakcı, Y. S. (2025) ‘Gender stereotypes and professional experiences of female nurses in Türkiye’, Frontiers in Public Health, 13. doi: 10.3389/fpubh.2025.1538517.</w:t>
      </w:r>
    </w:p>
    <w:p w14:paraId="65B20310"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Adeniji, O., Akanni, A., Owkulaemi, R. and Ekundayo, O. (2015) ‘Gender difference in emotional labour among nurses’, </w:t>
      </w:r>
      <w:r w:rsidRPr="00252CDE">
        <w:rPr>
          <w:rFonts w:ascii="Calibri" w:hAnsi="Calibri" w:cs="Calibri"/>
          <w:i/>
          <w:iCs/>
          <w:color w:val="0D0D0D" w:themeColor="text1" w:themeTint="F2"/>
        </w:rPr>
        <w:t>Gender and Behaviour,</w:t>
      </w:r>
      <w:r w:rsidRPr="00252CDE">
        <w:rPr>
          <w:rFonts w:ascii="Calibri" w:hAnsi="Calibri" w:cs="Calibri"/>
          <w:color w:val="0D0D0D" w:themeColor="text1" w:themeTint="F2"/>
        </w:rPr>
        <w:t xml:space="preserve"> 13(2), pp. 6789–6794.</w:t>
      </w:r>
    </w:p>
    <w:p w14:paraId="792C59B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Alharbi, A. and Stevenson, M. (2020) ‘Refining Boolean queries to identify relevant studies for systematic review updates’, </w:t>
      </w:r>
      <w:r w:rsidRPr="00252CDE">
        <w:rPr>
          <w:rFonts w:ascii="Calibri" w:hAnsi="Calibri" w:cs="Calibri"/>
          <w:i/>
          <w:iCs/>
          <w:color w:val="0D0D0D" w:themeColor="text1" w:themeTint="F2"/>
        </w:rPr>
        <w:t>Journal of the American Medical Informatics Association,</w:t>
      </w:r>
      <w:r w:rsidRPr="00252CDE">
        <w:rPr>
          <w:rFonts w:ascii="Calibri" w:hAnsi="Calibri" w:cs="Calibri"/>
          <w:color w:val="0D0D0D" w:themeColor="text1" w:themeTint="F2"/>
        </w:rPr>
        <w:t xml:space="preserve"> 27(11), pp. 1658-1666. doi: 10.1093/jamia/ocaa148. </w:t>
      </w:r>
    </w:p>
    <w:p w14:paraId="357AF10A"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Anderson, D., Lees, B., Jenson, C. and Avery, B. (2015) ‘Reviewing the literature using the Thematic Analysis Grid’, </w:t>
      </w:r>
      <w:r w:rsidRPr="00252CDE">
        <w:rPr>
          <w:rFonts w:ascii="Calibri" w:hAnsi="Calibri" w:cs="Calibri"/>
          <w:i/>
          <w:iCs/>
          <w:color w:val="0D0D0D" w:themeColor="text1" w:themeTint="F2"/>
        </w:rPr>
        <w:t>14th European Conference on Research Methodology (ECRM) for Business and Management Studies</w:t>
      </w:r>
      <w:r w:rsidRPr="00252CDE">
        <w:rPr>
          <w:rFonts w:ascii="Calibri" w:hAnsi="Calibri" w:cs="Calibri"/>
          <w:color w:val="0D0D0D" w:themeColor="text1" w:themeTint="F2"/>
        </w:rPr>
        <w:t>, pp.11-12.</w:t>
      </w:r>
    </w:p>
    <w:p w14:paraId="487DD696" w14:textId="77777777" w:rsidR="00F35238" w:rsidRPr="00252CDE" w:rsidRDefault="00F35238" w:rsidP="00F35238">
      <w:pPr>
        <w:spacing w:line="276" w:lineRule="auto"/>
        <w:rPr>
          <w:rFonts w:ascii="Calibri" w:eastAsia="DengXian" w:hAnsi="Calibri" w:cs="Calibri"/>
          <w:color w:val="0D0D0D" w:themeColor="text1" w:themeTint="F2"/>
          <w:kern w:val="0"/>
          <w14:ligatures w14:val="none"/>
        </w:rPr>
      </w:pPr>
      <w:r w:rsidRPr="00252CDE">
        <w:rPr>
          <w:rFonts w:ascii="Calibri" w:eastAsia="DengXian" w:hAnsi="Calibri" w:cs="Calibri"/>
          <w:color w:val="0D0D0D" w:themeColor="text1" w:themeTint="F2"/>
          <w:kern w:val="0"/>
          <w14:ligatures w14:val="none"/>
        </w:rPr>
        <w:t xml:space="preserve">Anthony, A. (2004) ‘Gender Bias and Discrimination in Nursing Education: Can we change it?’, </w:t>
      </w:r>
      <w:r w:rsidRPr="00252CDE">
        <w:rPr>
          <w:rFonts w:ascii="Calibri" w:eastAsia="DengXian" w:hAnsi="Calibri" w:cs="Calibri"/>
          <w:i/>
          <w:iCs/>
          <w:color w:val="0D0D0D" w:themeColor="text1" w:themeTint="F2"/>
          <w:kern w:val="0"/>
          <w14:ligatures w14:val="none"/>
        </w:rPr>
        <w:t>Nurse Educator,</w:t>
      </w:r>
      <w:r w:rsidRPr="00252CDE">
        <w:rPr>
          <w:rFonts w:ascii="Calibri" w:eastAsia="DengXian" w:hAnsi="Calibri" w:cs="Calibri"/>
          <w:color w:val="0D0D0D" w:themeColor="text1" w:themeTint="F2"/>
          <w:kern w:val="0"/>
          <w14:ligatures w14:val="none"/>
        </w:rPr>
        <w:t xml:space="preserve"> 29(3) pp 121-125.</w:t>
      </w:r>
    </w:p>
    <w:p w14:paraId="1E9E1D0C"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Arif, S. and Khokhar, S. (2017) ‘A historical glance: Challenges for male nurses’, </w:t>
      </w:r>
      <w:r w:rsidRPr="00252CDE">
        <w:rPr>
          <w:rFonts w:ascii="Calibri" w:hAnsi="Calibri" w:cs="Calibri"/>
          <w:i/>
          <w:iCs/>
          <w:color w:val="0D0D0D" w:themeColor="text1" w:themeTint="F2"/>
        </w:rPr>
        <w:t xml:space="preserve">The Journal of the Pakistan Medical Association, </w:t>
      </w:r>
      <w:r w:rsidRPr="00252CDE">
        <w:rPr>
          <w:rFonts w:ascii="Calibri" w:hAnsi="Calibri" w:cs="Calibri"/>
          <w:color w:val="0D0D0D" w:themeColor="text1" w:themeTint="F2"/>
        </w:rPr>
        <w:t>67(12), pp. 1889-1894.</w:t>
      </w:r>
    </w:p>
    <w:p w14:paraId="32CD260F"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Armstrong, J. and Hegarty, L. (2024) ‘An Ethics of Care Perspective on Care to Battlefield Casualties’, </w:t>
      </w:r>
      <w:r w:rsidRPr="00252CDE">
        <w:rPr>
          <w:rFonts w:ascii="Calibri" w:hAnsi="Calibri" w:cs="Calibri"/>
          <w:i/>
          <w:iCs/>
          <w:color w:val="0D0D0D" w:themeColor="text1" w:themeTint="F2"/>
        </w:rPr>
        <w:t>Journal of Military Ethics,</w:t>
      </w:r>
      <w:r w:rsidRPr="00252CDE">
        <w:rPr>
          <w:rFonts w:ascii="Calibri" w:hAnsi="Calibri" w:cs="Calibri"/>
          <w:color w:val="0D0D0D" w:themeColor="text1" w:themeTint="F2"/>
        </w:rPr>
        <w:t xml:space="preserve"> 23(1), pp. 32–41. https://doi.org/10.1080/15027570.2024.2368290.</w:t>
      </w:r>
    </w:p>
    <w:p w14:paraId="0339D8FB"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Baker, M. J., Fisher, M. J. and Pryor, J. (2022) ‘Potential for misinterpretation: An everyday problem male nurses encounter in inpatient rehabilitation’, </w:t>
      </w:r>
      <w:r w:rsidRPr="00252CDE">
        <w:rPr>
          <w:rFonts w:ascii="Calibri" w:hAnsi="Calibri" w:cs="Calibri"/>
          <w:i/>
          <w:iCs/>
          <w:color w:val="0D0D0D" w:themeColor="text1" w:themeTint="F2"/>
        </w:rPr>
        <w:t>International Journal of Nursing Practice</w:t>
      </w:r>
      <w:r w:rsidRPr="00252CDE">
        <w:rPr>
          <w:rFonts w:ascii="Calibri" w:hAnsi="Calibri" w:cs="Calibri"/>
          <w:color w:val="0D0D0D" w:themeColor="text1" w:themeTint="F2"/>
        </w:rPr>
        <w:t>, 28(1), e12985. https://doi.org/10.1111/ijn.12985.</w:t>
      </w:r>
    </w:p>
    <w:p w14:paraId="5D45CC41"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Barrett, K. R. (2006) ‘Gender and differences between online teaching styes’, </w:t>
      </w:r>
      <w:r w:rsidRPr="00252CDE">
        <w:rPr>
          <w:rFonts w:ascii="Calibri" w:hAnsi="Calibri" w:cs="Calibri"/>
          <w:i/>
          <w:iCs/>
          <w:color w:val="0D0D0D" w:themeColor="text1" w:themeTint="F2"/>
        </w:rPr>
        <w:t>Encyclopedia of Gender and Information Technology</w:t>
      </w:r>
      <w:r w:rsidRPr="00252CDE">
        <w:rPr>
          <w:rFonts w:ascii="Calibri" w:hAnsi="Calibri" w:cs="Calibri"/>
          <w:color w:val="0D0D0D" w:themeColor="text1" w:themeTint="F2"/>
        </w:rPr>
        <w:t>, pp. 372-377.</w:t>
      </w:r>
    </w:p>
    <w:p w14:paraId="59B9C6DC"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Belenky, M.F., Clinchy, B.M., Goldberger, N.R. and Tarule, J.M. (1986) </w:t>
      </w:r>
      <w:r w:rsidRPr="00252CDE">
        <w:rPr>
          <w:rFonts w:ascii="Calibri" w:hAnsi="Calibri" w:cs="Calibri"/>
          <w:i/>
          <w:iCs/>
          <w:color w:val="0D0D0D" w:themeColor="text1" w:themeTint="F2"/>
        </w:rPr>
        <w:t>Women’s ways of knowing.</w:t>
      </w:r>
      <w:r w:rsidRPr="00252CDE">
        <w:rPr>
          <w:rFonts w:ascii="Calibri" w:hAnsi="Calibri" w:cs="Calibri"/>
          <w:color w:val="0D0D0D" w:themeColor="text1" w:themeTint="F2"/>
        </w:rPr>
        <w:t xml:space="preserve"> New York: Basic Books.</w:t>
      </w:r>
    </w:p>
    <w:p w14:paraId="470ED052"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Berdida, D. J. (2023) Commentary: Male nurses’ mental health and provision of emotional support: a thematic analysis. </w:t>
      </w:r>
      <w:r w:rsidRPr="00252CDE">
        <w:rPr>
          <w:rFonts w:ascii="Calibri" w:hAnsi="Calibri" w:cs="Calibri"/>
          <w:i/>
          <w:iCs/>
          <w:color w:val="0D0D0D" w:themeColor="text1" w:themeTint="F2"/>
        </w:rPr>
        <w:t>Journal of Research in Nursing</w:t>
      </w:r>
      <w:r w:rsidRPr="00252CDE">
        <w:rPr>
          <w:rFonts w:ascii="Calibri" w:hAnsi="Calibri" w:cs="Calibri"/>
          <w:color w:val="0D0D0D" w:themeColor="text1" w:themeTint="F2"/>
        </w:rPr>
        <w:t>, 29(4-5), pp. 414-416. doi:10.1177/17449871221144288.</w:t>
      </w:r>
    </w:p>
    <w:p w14:paraId="1E5AB0EF"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Bramer, W. M., de Jonge, G. B., Rethlefsen, M. L., Mast, F. and Kleijnen, J. (2018) ‘A systematic approach to searching: an efficient and complete method to develop literature </w:t>
      </w:r>
      <w:r w:rsidRPr="00252CDE">
        <w:rPr>
          <w:rFonts w:ascii="Calibri" w:hAnsi="Calibri" w:cs="Calibri"/>
          <w:color w:val="0D0D0D" w:themeColor="text1" w:themeTint="F2"/>
        </w:rPr>
        <w:lastRenderedPageBreak/>
        <w:t xml:space="preserve">searches’, Journal of the Medical Library Association, 106(4), pp. 531-541. doi: 10.5195/jmla.2018.283. </w:t>
      </w:r>
    </w:p>
    <w:p w14:paraId="18427DD2" w14:textId="77777777" w:rsidR="00F35238" w:rsidRPr="00252CDE" w:rsidRDefault="00F35238" w:rsidP="00F35238">
      <w:pPr>
        <w:spacing w:line="276" w:lineRule="auto"/>
        <w:rPr>
          <w:rFonts w:ascii="Calibri" w:eastAsia="DengXian" w:hAnsi="Calibri" w:cs="Calibri"/>
          <w:color w:val="0D0D0D" w:themeColor="text1" w:themeTint="F2"/>
          <w:kern w:val="0"/>
          <w14:ligatures w14:val="none"/>
        </w:rPr>
      </w:pPr>
      <w:r w:rsidRPr="00252CDE">
        <w:rPr>
          <w:rFonts w:ascii="Calibri" w:eastAsia="DengXian" w:hAnsi="Calibri" w:cs="Calibri"/>
          <w:color w:val="0D0D0D" w:themeColor="text1" w:themeTint="F2"/>
          <w:kern w:val="0"/>
          <w14:ligatures w14:val="none"/>
        </w:rPr>
        <w:t xml:space="preserve">Braun, V. and Clarke, V. (2021) ‘One size fits all? What counts as quality practice in (reflexive) thematic analysis?’, </w:t>
      </w:r>
      <w:r w:rsidRPr="00252CDE">
        <w:rPr>
          <w:rFonts w:ascii="Calibri" w:eastAsia="DengXian" w:hAnsi="Calibri" w:cs="Calibri"/>
          <w:i/>
          <w:iCs/>
          <w:color w:val="0D0D0D" w:themeColor="text1" w:themeTint="F2"/>
          <w:kern w:val="0"/>
          <w14:ligatures w14:val="none"/>
        </w:rPr>
        <w:t>Qualitative Research in Psychology</w:t>
      </w:r>
      <w:r w:rsidRPr="00252CDE">
        <w:rPr>
          <w:rFonts w:ascii="Calibri" w:eastAsia="DengXian" w:hAnsi="Calibri" w:cs="Calibri"/>
          <w:color w:val="0D0D0D" w:themeColor="text1" w:themeTint="F2"/>
          <w:kern w:val="0"/>
          <w14:ligatures w14:val="none"/>
        </w:rPr>
        <w:t>, 18(3) pp 328-352.</w:t>
      </w:r>
    </w:p>
    <w:p w14:paraId="49E18F3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Brown, B., Nolan, P. and Crawford, P. (2000) ‘Men in nursing, ambivalence in care, gender and masculinity’, </w:t>
      </w:r>
      <w:r w:rsidRPr="00252CDE">
        <w:rPr>
          <w:rFonts w:ascii="Calibri" w:hAnsi="Calibri" w:cs="Calibri"/>
          <w:i/>
          <w:iCs/>
          <w:color w:val="0D0D0D" w:themeColor="text1" w:themeTint="F2"/>
        </w:rPr>
        <w:t>International History Nursing Journal,</w:t>
      </w:r>
      <w:r w:rsidRPr="00252CDE">
        <w:rPr>
          <w:rFonts w:ascii="Calibri" w:hAnsi="Calibri" w:cs="Calibri"/>
          <w:color w:val="0D0D0D" w:themeColor="text1" w:themeTint="F2"/>
        </w:rPr>
        <w:t xml:space="preserve"> 2000, 5(3):4-13.</w:t>
      </w:r>
    </w:p>
    <w:p w14:paraId="6D403E71"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Brown, R. G. and Stone, R. W.  (1973) </w:t>
      </w:r>
      <w:r w:rsidRPr="00252CDE">
        <w:rPr>
          <w:rFonts w:ascii="Calibri" w:hAnsi="Calibri" w:cs="Calibri"/>
          <w:i/>
          <w:iCs/>
          <w:color w:val="0D0D0D" w:themeColor="text1" w:themeTint="F2"/>
        </w:rPr>
        <w:t>The Male Nurse.</w:t>
      </w:r>
      <w:r w:rsidRPr="00252CDE">
        <w:rPr>
          <w:rFonts w:ascii="Calibri" w:hAnsi="Calibri" w:cs="Calibri"/>
          <w:color w:val="0D0D0D" w:themeColor="text1" w:themeTint="F2"/>
        </w:rPr>
        <w:t xml:space="preserve"> Birkenhead: Wilmer Brothers.</w:t>
      </w:r>
    </w:p>
    <w:p w14:paraId="54A872DB"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Bullogh, V. L. (1994) ‘Men in Nursing’, </w:t>
      </w:r>
      <w:r w:rsidRPr="00252CDE">
        <w:rPr>
          <w:rFonts w:ascii="Calibri" w:hAnsi="Calibri" w:cs="Calibri"/>
          <w:i/>
          <w:iCs/>
          <w:color w:val="0D0D0D" w:themeColor="text1" w:themeTint="F2"/>
        </w:rPr>
        <w:t>Journal of Professional Nursing</w:t>
      </w:r>
      <w:r w:rsidRPr="00252CDE">
        <w:rPr>
          <w:rFonts w:ascii="Calibri" w:hAnsi="Calibri" w:cs="Calibri"/>
          <w:color w:val="0D0D0D" w:themeColor="text1" w:themeTint="F2"/>
        </w:rPr>
        <w:t>, 10(5), pp. 267-276.</w:t>
      </w:r>
    </w:p>
    <w:p w14:paraId="5D4B147F"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Carcassi, F. and Sbardolini, G. (2022) ‘Assertion, denial, and the evolution of Boolean operators’, </w:t>
      </w:r>
      <w:r w:rsidRPr="00252CDE">
        <w:rPr>
          <w:rFonts w:ascii="Calibri" w:hAnsi="Calibri" w:cs="Calibri"/>
          <w:i/>
          <w:iCs/>
          <w:color w:val="0D0D0D" w:themeColor="text1" w:themeTint="F2"/>
        </w:rPr>
        <w:t xml:space="preserve">Mind and Language, </w:t>
      </w:r>
      <w:r w:rsidRPr="00252CDE">
        <w:rPr>
          <w:rFonts w:ascii="Calibri" w:hAnsi="Calibri" w:cs="Calibri"/>
          <w:color w:val="0D0D0D" w:themeColor="text1" w:themeTint="F2"/>
        </w:rPr>
        <w:t>38(5), pp. 1187-1207. https://doi.org/10.1111/mila.12448.</w:t>
      </w:r>
    </w:p>
    <w:p w14:paraId="245E3D4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Carnevale, T. and Priode, K. (2018) ‘”The Good Ole’ Girls’ Nursing Club”: The Male Student Perspective’, </w:t>
      </w:r>
      <w:r w:rsidRPr="00252CDE">
        <w:rPr>
          <w:rFonts w:ascii="Calibri" w:hAnsi="Calibri" w:cs="Calibri"/>
          <w:i/>
          <w:iCs/>
          <w:color w:val="0D0D0D" w:themeColor="text1" w:themeTint="F2"/>
        </w:rPr>
        <w:t>Journal of Transcultural Nursing</w:t>
      </w:r>
      <w:r w:rsidRPr="00252CDE">
        <w:rPr>
          <w:rFonts w:ascii="Calibri" w:hAnsi="Calibri" w:cs="Calibri"/>
          <w:color w:val="0D0D0D" w:themeColor="text1" w:themeTint="F2"/>
        </w:rPr>
        <w:t>, 29(3), pp. 285–291.</w:t>
      </w:r>
    </w:p>
    <w:p w14:paraId="4E61B145"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Carrera-Rivera, A., Ochoa, W., Larrinaga, F. and Ganix, L. (2022) ‘How-to conduct a systematic literature review: A quick guide for computer science research’, </w:t>
      </w:r>
      <w:r w:rsidRPr="00252CDE">
        <w:rPr>
          <w:rFonts w:ascii="Calibri" w:hAnsi="Calibri" w:cs="Calibri"/>
          <w:i/>
          <w:iCs/>
          <w:color w:val="0D0D0D" w:themeColor="text1" w:themeTint="F2"/>
        </w:rPr>
        <w:t>MethodsX</w:t>
      </w:r>
      <w:r w:rsidRPr="00252CDE">
        <w:rPr>
          <w:rFonts w:ascii="Calibri" w:hAnsi="Calibri" w:cs="Calibri"/>
          <w:color w:val="0D0D0D" w:themeColor="text1" w:themeTint="F2"/>
        </w:rPr>
        <w:t>, 9, 101895.</w:t>
      </w:r>
    </w:p>
    <w:p w14:paraId="14DA9429"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Carter, D., Milasan, L., Clifton, A., Mcgill, G., Stribling, J. and de Vries, K. (2025) ‘The Perceptions of Male Accessibility to the Fields of Nursing Practice by Those Studying or Teaching Nursing in England: Cross‐Sectional Survey’, Journal of Advanced Nursing. 10.1111/jan.16789.</w:t>
      </w:r>
    </w:p>
    <w:p w14:paraId="2072B88C"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Chad, E., O'Lynn, C. E., O'Connor, T., Herakova, L. L. and Kellett, P. (2020) ‘Men's Decision-Making to Become Nurses’, Advances in Nursing Science, 43(3), pp. 251-265.</w:t>
      </w:r>
    </w:p>
    <w:p w14:paraId="6C1E898E"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Chigbu, U. E., Atiku, S. O. and Du Plessis, C. C. (2023) ‘The Science of Literature Reviews: Searching, Identifying, Selecting, and Synthesising’, </w:t>
      </w:r>
      <w:r w:rsidRPr="00252CDE">
        <w:rPr>
          <w:rFonts w:ascii="Calibri" w:hAnsi="Calibri" w:cs="Calibri"/>
          <w:i/>
          <w:iCs/>
          <w:color w:val="0D0D0D" w:themeColor="text1" w:themeTint="F2"/>
        </w:rPr>
        <w:t>Publications</w:t>
      </w:r>
      <w:r w:rsidRPr="00252CDE">
        <w:rPr>
          <w:rFonts w:ascii="Calibri" w:hAnsi="Calibri" w:cs="Calibri"/>
          <w:color w:val="0D0D0D" w:themeColor="text1" w:themeTint="F2"/>
        </w:rPr>
        <w:t>, 11(1). https://doi.org/10.3390/publications11010002.</w:t>
      </w:r>
    </w:p>
    <w:p w14:paraId="6A8FFD5A"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Christensen, M. and Knight, J. (2015) ‘Nursing is no place for men’—a thematic analysis of male nursing students’ experiences of undergraduate nursing education’, </w:t>
      </w:r>
      <w:r w:rsidRPr="00252CDE">
        <w:rPr>
          <w:rFonts w:ascii="Calibri" w:hAnsi="Calibri" w:cs="Calibri"/>
          <w:i/>
          <w:iCs/>
          <w:color w:val="0D0D0D" w:themeColor="text1" w:themeTint="F2"/>
        </w:rPr>
        <w:t>Journal of Nurse Education Practice</w:t>
      </w:r>
      <w:r w:rsidRPr="00252CDE">
        <w:rPr>
          <w:rFonts w:ascii="Calibri" w:hAnsi="Calibri" w:cs="Calibri"/>
          <w:color w:val="0D0D0D" w:themeColor="text1" w:themeTint="F2"/>
        </w:rPr>
        <w:t>, 4(12), pp. 95-104.</w:t>
      </w:r>
    </w:p>
    <w:p w14:paraId="30F74DC6"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Christensen, M., </w:t>
      </w:r>
      <w:r w:rsidRPr="00143EBE">
        <w:rPr>
          <w:rFonts w:ascii="Calibri" w:hAnsi="Calibri" w:cs="Calibri"/>
          <w:color w:val="0D0D0D" w:themeColor="text1" w:themeTint="F2"/>
        </w:rPr>
        <w:t>Purkis</w:t>
      </w:r>
      <w:r w:rsidRPr="00252CDE">
        <w:rPr>
          <w:rFonts w:ascii="Calibri" w:hAnsi="Calibri" w:cs="Calibri"/>
          <w:color w:val="0D0D0D" w:themeColor="text1" w:themeTint="F2"/>
        </w:rPr>
        <w:t xml:space="preserve">, N., </w:t>
      </w:r>
      <w:r w:rsidRPr="00143EBE">
        <w:rPr>
          <w:rFonts w:ascii="Calibri" w:hAnsi="Calibri" w:cs="Calibri"/>
          <w:color w:val="0D0D0D" w:themeColor="text1" w:themeTint="F2"/>
        </w:rPr>
        <w:t>Morgan</w:t>
      </w:r>
      <w:r w:rsidRPr="00252CDE">
        <w:rPr>
          <w:rFonts w:ascii="Calibri" w:hAnsi="Calibri" w:cs="Calibri"/>
          <w:color w:val="0D0D0D" w:themeColor="text1" w:themeTint="F2"/>
        </w:rPr>
        <w:t xml:space="preserve">, R. and </w:t>
      </w:r>
      <w:r w:rsidRPr="00143EBE">
        <w:rPr>
          <w:rFonts w:ascii="Calibri" w:hAnsi="Calibri" w:cs="Calibri"/>
          <w:color w:val="0D0D0D" w:themeColor="text1" w:themeTint="F2"/>
        </w:rPr>
        <w:t>Allen</w:t>
      </w:r>
      <w:r w:rsidRPr="00252CDE">
        <w:rPr>
          <w:rFonts w:ascii="Calibri" w:hAnsi="Calibri" w:cs="Calibri"/>
          <w:color w:val="0D0D0D" w:themeColor="text1" w:themeTint="F2"/>
        </w:rPr>
        <w:t xml:space="preserve">, C. (2021) ‘Does the nursing curriculum influence feelings of gender-role conflict in a cohort of nursing degree male students?’, </w:t>
      </w:r>
      <w:r w:rsidRPr="00252CDE">
        <w:rPr>
          <w:rFonts w:ascii="Calibri" w:hAnsi="Calibri" w:cs="Calibri"/>
          <w:i/>
          <w:iCs/>
          <w:color w:val="0D0D0D" w:themeColor="text1" w:themeTint="F2"/>
        </w:rPr>
        <w:t>British Journal of Nursing</w:t>
      </w:r>
      <w:r w:rsidRPr="00252CDE">
        <w:rPr>
          <w:rFonts w:ascii="Calibri" w:hAnsi="Calibri" w:cs="Calibri"/>
          <w:color w:val="0D0D0D" w:themeColor="text1" w:themeTint="F2"/>
        </w:rPr>
        <w:t>, 30(17).</w:t>
      </w:r>
    </w:p>
    <w:p w14:paraId="1A6F63DF"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Christensen, M., Welch, A. and Barr, J. (2018) ‘Nursing is for men: a descriptive phenomenological study’, </w:t>
      </w:r>
      <w:r w:rsidRPr="00252CDE">
        <w:rPr>
          <w:rFonts w:ascii="Calibri" w:hAnsi="Calibri" w:cs="Calibri"/>
          <w:i/>
          <w:iCs/>
          <w:color w:val="0D0D0D" w:themeColor="text1" w:themeTint="F2"/>
        </w:rPr>
        <w:t>Contemporary Nurse</w:t>
      </w:r>
      <w:r w:rsidRPr="00252CDE">
        <w:rPr>
          <w:rFonts w:ascii="Calibri" w:hAnsi="Calibri" w:cs="Calibri"/>
          <w:color w:val="0D0D0D" w:themeColor="text1" w:themeTint="F2"/>
        </w:rPr>
        <w:t xml:space="preserve">, 54(6), pp. 547-560. doi: 10.1080/10376178.2018.1512876. </w:t>
      </w:r>
    </w:p>
    <w:p w14:paraId="3E572BAB"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Connell, R. W. and Messerschmidt, J. W. (2005) ‘Hegemonic Masculinity: Rethinking the Concept’, </w:t>
      </w:r>
      <w:r w:rsidRPr="00252CDE">
        <w:rPr>
          <w:rFonts w:ascii="Calibri" w:hAnsi="Calibri" w:cs="Calibri"/>
          <w:i/>
          <w:iCs/>
          <w:color w:val="0D0D0D" w:themeColor="text1" w:themeTint="F2"/>
        </w:rPr>
        <w:t>Gender Society</w:t>
      </w:r>
      <w:r w:rsidRPr="00252CDE">
        <w:rPr>
          <w:rFonts w:ascii="Calibri" w:hAnsi="Calibri" w:cs="Calibri"/>
          <w:color w:val="0D0D0D" w:themeColor="text1" w:themeTint="F2"/>
        </w:rPr>
        <w:t>, 19(6), pp. 829-859. https://doi.org/10.1177/0891243205278639.</w:t>
      </w:r>
    </w:p>
    <w:p w14:paraId="313307CE" w14:textId="6A6FE450"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lastRenderedPageBreak/>
        <w:t xml:space="preserve">Cottingham, M. D. (2020) ‘The missing and needed male nurse: Discursive hybridization in professional nursing texts’, Gender, Work </w:t>
      </w:r>
      <w:r w:rsidR="007F0FE7" w:rsidRPr="00252CDE">
        <w:rPr>
          <w:rFonts w:ascii="Calibri" w:hAnsi="Calibri" w:cs="Calibri"/>
          <w:color w:val="0D0D0D" w:themeColor="text1" w:themeTint="F2"/>
        </w:rPr>
        <w:t>and</w:t>
      </w:r>
      <w:r w:rsidRPr="00252CDE">
        <w:rPr>
          <w:rFonts w:ascii="Calibri" w:hAnsi="Calibri" w:cs="Calibri"/>
          <w:color w:val="0D0D0D" w:themeColor="text1" w:themeTint="F2"/>
        </w:rPr>
        <w:t xml:space="preserve"> Organization, 26(2), pp. 197-213. https://doi.org/10.1111/gwao.12333.</w:t>
      </w:r>
    </w:p>
    <w:p w14:paraId="0DBF24A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D'Antonio, P. (2002) ‘Nurses in war’, </w:t>
      </w:r>
      <w:r w:rsidRPr="00252CDE">
        <w:rPr>
          <w:rFonts w:ascii="Calibri" w:hAnsi="Calibri" w:cs="Calibri"/>
          <w:i/>
          <w:iCs/>
          <w:color w:val="0D0D0D" w:themeColor="text1" w:themeTint="F2"/>
        </w:rPr>
        <w:t>The Lancet</w:t>
      </w:r>
      <w:r w:rsidRPr="00252CDE">
        <w:rPr>
          <w:rFonts w:ascii="Calibri" w:hAnsi="Calibri" w:cs="Calibri"/>
          <w:color w:val="0D0D0D" w:themeColor="text1" w:themeTint="F2"/>
        </w:rPr>
        <w:t>, 360, pp. 57-58.</w:t>
      </w:r>
    </w:p>
    <w:p w14:paraId="78EE0B0F"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Davis, R. and Shaw, T. (2024) ‘Addressing Shortages in Nursing with Male Representation: A Literature Review’, </w:t>
      </w:r>
      <w:r w:rsidRPr="00252CDE">
        <w:rPr>
          <w:rFonts w:ascii="Calibri" w:hAnsi="Calibri" w:cs="Calibri"/>
          <w:i/>
          <w:iCs/>
          <w:color w:val="0D0D0D" w:themeColor="text1" w:themeTint="F2"/>
        </w:rPr>
        <w:t>Hospital Topics</w:t>
      </w:r>
      <w:r w:rsidRPr="00252CDE">
        <w:rPr>
          <w:rFonts w:ascii="Calibri" w:hAnsi="Calibri" w:cs="Calibri"/>
          <w:color w:val="0D0D0D" w:themeColor="text1" w:themeTint="F2"/>
        </w:rPr>
        <w:t>, 1(5). https://doi.org/10.1080/00185868.2024.2410340</w:t>
      </w:r>
    </w:p>
    <w:p w14:paraId="5F2B29F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Dingwall, R. (1977) </w:t>
      </w:r>
      <w:r w:rsidRPr="00252CDE">
        <w:rPr>
          <w:rFonts w:ascii="Calibri" w:hAnsi="Calibri" w:cs="Calibri"/>
          <w:i/>
          <w:iCs/>
          <w:color w:val="0D0D0D" w:themeColor="text1" w:themeTint="F2"/>
        </w:rPr>
        <w:t>The Place of Men in Nursing.</w:t>
      </w:r>
      <w:r w:rsidRPr="00252CDE">
        <w:rPr>
          <w:rFonts w:ascii="Calibri" w:hAnsi="Calibri" w:cs="Calibri"/>
          <w:color w:val="0D0D0D" w:themeColor="text1" w:themeTint="F2"/>
        </w:rPr>
        <w:t xml:space="preserve"> Edinburgh: Churchill Livingstone.</w:t>
      </w:r>
    </w:p>
    <w:p w14:paraId="15F6021D"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Donahue, M. P. (1996) </w:t>
      </w:r>
      <w:r w:rsidRPr="00252CDE">
        <w:rPr>
          <w:rFonts w:ascii="Calibri" w:hAnsi="Calibri" w:cs="Calibri"/>
          <w:i/>
          <w:iCs/>
          <w:color w:val="0D0D0D" w:themeColor="text1" w:themeTint="F2"/>
        </w:rPr>
        <w:t>Nursing: The finest art: An illustrated history</w:t>
      </w:r>
      <w:r w:rsidRPr="00252CDE">
        <w:rPr>
          <w:rFonts w:ascii="Calibri" w:hAnsi="Calibri" w:cs="Calibri"/>
          <w:color w:val="0D0D0D" w:themeColor="text1" w:themeTint="F2"/>
        </w:rPr>
        <w:t>. (2</w:t>
      </w:r>
      <w:r w:rsidRPr="00252CDE">
        <w:rPr>
          <w:rFonts w:ascii="Calibri" w:hAnsi="Calibri" w:cs="Calibri"/>
          <w:color w:val="0D0D0D" w:themeColor="text1" w:themeTint="F2"/>
          <w:vertAlign w:val="superscript"/>
        </w:rPr>
        <w:t>nd</w:t>
      </w:r>
      <w:r w:rsidRPr="00252CDE">
        <w:rPr>
          <w:rFonts w:ascii="Calibri" w:hAnsi="Calibri" w:cs="Calibri"/>
          <w:color w:val="0D0D0D" w:themeColor="text1" w:themeTint="F2"/>
        </w:rPr>
        <w:t xml:space="preserve"> edn). St Louis: Mosby.</w:t>
      </w:r>
    </w:p>
    <w:p w14:paraId="19BBBF0C"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Drennan, V., Halter, M., Gale, J. and Harris, R. (2016) ‘Retaining nurses in metropolitan areas: insights from senior nurse and human resource managers’, </w:t>
      </w:r>
      <w:r w:rsidRPr="00252CDE">
        <w:rPr>
          <w:rFonts w:ascii="Calibri" w:hAnsi="Calibri" w:cs="Calibri"/>
          <w:i/>
          <w:iCs/>
          <w:color w:val="0D0D0D" w:themeColor="text1" w:themeTint="F2"/>
        </w:rPr>
        <w:t>Journal of Nursing Management</w:t>
      </w:r>
      <w:r w:rsidRPr="00252CDE">
        <w:rPr>
          <w:rFonts w:ascii="Calibri" w:hAnsi="Calibri" w:cs="Calibri"/>
          <w:color w:val="0D0D0D" w:themeColor="text1" w:themeTint="F2"/>
        </w:rPr>
        <w:t>, </w:t>
      </w:r>
      <w:r w:rsidRPr="00252CDE">
        <w:rPr>
          <w:rFonts w:ascii="Calibri" w:hAnsi="Calibri" w:cs="Calibri"/>
          <w:i/>
          <w:iCs/>
          <w:color w:val="0D0D0D" w:themeColor="text1" w:themeTint="F2"/>
        </w:rPr>
        <w:t>24</w:t>
      </w:r>
      <w:r w:rsidRPr="00252CDE">
        <w:rPr>
          <w:rFonts w:ascii="Calibri" w:hAnsi="Calibri" w:cs="Calibri"/>
          <w:color w:val="0D0D0D" w:themeColor="text1" w:themeTint="F2"/>
        </w:rPr>
        <w:t>(8), pp. 1041–1048.</w:t>
      </w:r>
    </w:p>
    <w:p w14:paraId="529CDECA"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Drucker, A. M., Fleming. P, and Chan, A. W. (2016) ‘Research Techniques Made Simple: Assessing Risk of Bias in Systematic Reviews’, Journal of Investigative Dermatology, 136 (11), pp. 109-114. doi: 10.1016/j.jid.2016.08.021.</w:t>
      </w:r>
    </w:p>
    <w:p w14:paraId="671BC465" w14:textId="77777777" w:rsidR="00F35238" w:rsidRPr="00252CDE" w:rsidRDefault="00F35238" w:rsidP="00F35238">
      <w:pPr>
        <w:spacing w:line="276" w:lineRule="auto"/>
        <w:rPr>
          <w:rFonts w:ascii="Calibri" w:eastAsia="DengXian" w:hAnsi="Calibri" w:cs="Calibri"/>
          <w:color w:val="0D0D0D" w:themeColor="text1" w:themeTint="F2"/>
          <w:kern w:val="0"/>
          <w14:ligatures w14:val="none"/>
        </w:rPr>
      </w:pPr>
      <w:r w:rsidRPr="00252CDE">
        <w:rPr>
          <w:rFonts w:ascii="Calibri" w:eastAsia="DengXian" w:hAnsi="Calibri" w:cs="Calibri"/>
          <w:color w:val="0D0D0D" w:themeColor="text1" w:themeTint="F2"/>
          <w:kern w:val="0"/>
          <w14:ligatures w14:val="none"/>
        </w:rPr>
        <w:t xml:space="preserve">Dwyer, S. C. and Buckle, J. L. (2009) ‘The Space Between: On Being an Insider-Outsider in Qualitative Research’, </w:t>
      </w:r>
      <w:r w:rsidRPr="00252CDE">
        <w:rPr>
          <w:rFonts w:ascii="Calibri" w:eastAsia="DengXian" w:hAnsi="Calibri" w:cs="Calibri"/>
          <w:i/>
          <w:iCs/>
          <w:color w:val="0D0D0D" w:themeColor="text1" w:themeTint="F2"/>
          <w:kern w:val="0"/>
          <w14:ligatures w14:val="none"/>
        </w:rPr>
        <w:t>International Journal of Qualitative Methods</w:t>
      </w:r>
      <w:r w:rsidRPr="00252CDE">
        <w:rPr>
          <w:rFonts w:ascii="Calibri" w:eastAsia="DengXian" w:hAnsi="Calibri" w:cs="Calibri"/>
          <w:color w:val="0D0D0D" w:themeColor="text1" w:themeTint="F2"/>
          <w:kern w:val="0"/>
          <w14:ligatures w14:val="none"/>
        </w:rPr>
        <w:t>, 8(1), pp. 54-63. https://doi.org/10.1177/160940690900800105.</w:t>
      </w:r>
    </w:p>
    <w:p w14:paraId="2F4A4ECE"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Eliason, M. J., Dejoseph, J., Dibble, S., Deevey, S., Chinn, P. (2011) ‘Lesbian, gay, bisexual, transgender, and queer/questioning nurses' experiences in the workplace’, Journal of Professional Nursing, 27(4), pp. 237-44. doi: 10.1016/j.profnurs.2011.03.003. PMID: 21767821.</w:t>
      </w:r>
    </w:p>
    <w:p w14:paraId="50BDEED4"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Entwistle, M. (2004) </w:t>
      </w:r>
      <w:r w:rsidRPr="00252CDE">
        <w:rPr>
          <w:rFonts w:ascii="Calibri" w:hAnsi="Calibri" w:cs="Calibri"/>
          <w:i/>
          <w:iCs/>
          <w:color w:val="0D0D0D" w:themeColor="text1" w:themeTint="F2"/>
        </w:rPr>
        <w:t>Women Only? An exploration of the place of men within nursing</w:t>
      </w:r>
      <w:r w:rsidRPr="00252CDE">
        <w:rPr>
          <w:rFonts w:ascii="Calibri" w:hAnsi="Calibri" w:cs="Calibri"/>
          <w:color w:val="0D0D0D" w:themeColor="text1" w:themeTint="F2"/>
        </w:rPr>
        <w:t>. Wellington: University of Victoria.</w:t>
      </w:r>
    </w:p>
    <w:p w14:paraId="21802B7C"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Esewe, R. E. and Ogunleye, M. (2021) ‘Effect of gender on learning style preferences of nursing students in some institutions in edo state, nigeria’, </w:t>
      </w:r>
      <w:r w:rsidRPr="00252CDE">
        <w:rPr>
          <w:rFonts w:ascii="Calibri" w:hAnsi="Calibri" w:cs="Calibri"/>
          <w:i/>
          <w:iCs/>
          <w:color w:val="0D0D0D" w:themeColor="text1" w:themeTint="F2"/>
        </w:rPr>
        <w:t>East African Journal of Health,</w:t>
      </w:r>
      <w:r w:rsidRPr="00252CDE">
        <w:rPr>
          <w:rFonts w:ascii="Calibri" w:hAnsi="Calibri" w:cs="Calibri"/>
          <w:color w:val="0D0D0D" w:themeColor="text1" w:themeTint="F2"/>
        </w:rPr>
        <w:t xml:space="preserve"> </w:t>
      </w:r>
      <w:r w:rsidRPr="00252CDE">
        <w:rPr>
          <w:rFonts w:ascii="Calibri" w:hAnsi="Calibri" w:cs="Calibri"/>
          <w:i/>
          <w:iCs/>
          <w:color w:val="0D0D0D" w:themeColor="text1" w:themeTint="F2"/>
        </w:rPr>
        <w:t>Safety and Environment</w:t>
      </w:r>
      <w:r w:rsidRPr="00252CDE">
        <w:rPr>
          <w:rFonts w:ascii="Calibri" w:hAnsi="Calibri" w:cs="Calibri"/>
          <w:color w:val="0D0D0D" w:themeColor="text1" w:themeTint="F2"/>
        </w:rPr>
        <w:t>, 2(2), pp. 01-11. DOI: 10.52417/ajhse.v2i2.150.</w:t>
      </w:r>
    </w:p>
    <w:p w14:paraId="4D11002C"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Evans, J. A. (2017) ‘Cautious caregivers: gender stereotypes and the sexualization of men nurses' touch’,</w:t>
      </w:r>
      <w:r w:rsidRPr="00252CDE">
        <w:rPr>
          <w:rFonts w:ascii="Calibri" w:hAnsi="Calibri" w:cs="Calibri"/>
          <w:i/>
          <w:iCs/>
          <w:color w:val="0D0D0D" w:themeColor="text1" w:themeTint="F2"/>
        </w:rPr>
        <w:t xml:space="preserve"> Journal of Advanced Nursing</w:t>
      </w:r>
      <w:r w:rsidRPr="00252CDE">
        <w:rPr>
          <w:rFonts w:ascii="Calibri" w:hAnsi="Calibri" w:cs="Calibri"/>
          <w:color w:val="0D0D0D" w:themeColor="text1" w:themeTint="F2"/>
        </w:rPr>
        <w:t>, 40(4), pp. 441-448.</w:t>
      </w:r>
    </w:p>
    <w:p w14:paraId="204086CE"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Florczak, K. L. (2022) ‘Best Available Evidence or Truth for the Moment: Bias in Research’, </w:t>
      </w:r>
      <w:r w:rsidRPr="00252CDE">
        <w:rPr>
          <w:rFonts w:ascii="Calibri" w:hAnsi="Calibri" w:cs="Calibri"/>
          <w:i/>
          <w:iCs/>
          <w:color w:val="0D0D0D" w:themeColor="text1" w:themeTint="F2"/>
        </w:rPr>
        <w:t>Nursing Science Quarterly,</w:t>
      </w:r>
      <w:r w:rsidRPr="00252CDE">
        <w:rPr>
          <w:rFonts w:ascii="Calibri" w:hAnsi="Calibri" w:cs="Calibri"/>
          <w:color w:val="0D0D0D" w:themeColor="text1" w:themeTint="F2"/>
        </w:rPr>
        <w:t xml:space="preserve"> 35 (7), pp. 120–124. doi:10.1177/08943184211051350.</w:t>
      </w:r>
    </w:p>
    <w:p w14:paraId="6680591C"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Forrest, B. (2023) ‘Men in nursing: smoke and mirrors‘, </w:t>
      </w:r>
      <w:r w:rsidRPr="00252CDE">
        <w:rPr>
          <w:rFonts w:ascii="Calibri" w:hAnsi="Calibri" w:cs="Calibri"/>
          <w:i/>
          <w:iCs/>
          <w:color w:val="0D0D0D" w:themeColor="text1" w:themeTint="F2"/>
        </w:rPr>
        <w:t>British Journal of Nursing</w:t>
      </w:r>
      <w:r w:rsidRPr="00252CDE">
        <w:rPr>
          <w:rFonts w:ascii="Calibri" w:hAnsi="Calibri" w:cs="Calibri"/>
          <w:color w:val="0D0D0D" w:themeColor="text1" w:themeTint="F2"/>
        </w:rPr>
        <w:t>, 32 (5). https://doi.org/10.12968/bjon.2023.32.5.234.</w:t>
      </w:r>
    </w:p>
    <w:p w14:paraId="64E783ED"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lastRenderedPageBreak/>
        <w:t>Ghimire, A. and Qiu, Y. (2025) ‘Navigating masculinity in nursing: Unpacking the 'critical care only' career aspirations of male undergraduate nursing students’, Nurse Education in Practice, 84. https://doi.org/10.1016/j.nepr.2025.104332.</w:t>
      </w:r>
    </w:p>
    <w:p w14:paraId="20BD0580"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Gouifrane, R., Lajane, H., Benmokhtar, S., Dehbi, F. and Radid, M. (2020) ‘Investigating learning challenges from the perspective of nursing students and educators at a university in casablanca, Morocco’, </w:t>
      </w:r>
      <w:r w:rsidRPr="00252CDE">
        <w:rPr>
          <w:rFonts w:ascii="Calibri" w:hAnsi="Calibri" w:cs="Calibri"/>
          <w:i/>
          <w:iCs/>
          <w:color w:val="0D0D0D" w:themeColor="text1" w:themeTint="F2"/>
        </w:rPr>
        <w:t>The Open Nursing Journal</w:t>
      </w:r>
      <w:r w:rsidRPr="00252CDE">
        <w:rPr>
          <w:rFonts w:ascii="Calibri" w:hAnsi="Calibri" w:cs="Calibri"/>
          <w:color w:val="0D0D0D" w:themeColor="text1" w:themeTint="F2"/>
        </w:rPr>
        <w:t>, 14(1), pp. 171-183.</w:t>
      </w:r>
    </w:p>
    <w:p w14:paraId="0E88B04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Gray, J. (1992) </w:t>
      </w:r>
      <w:r w:rsidRPr="00252CDE">
        <w:rPr>
          <w:rFonts w:ascii="Calibri" w:hAnsi="Calibri" w:cs="Calibri"/>
          <w:i/>
          <w:iCs/>
          <w:color w:val="0D0D0D" w:themeColor="text1" w:themeTint="F2"/>
        </w:rPr>
        <w:t>Men are from Mars, women are from Venus: a practical guide for improving communication and getting what you want in your relationships</w:t>
      </w:r>
      <w:r w:rsidRPr="00252CDE">
        <w:rPr>
          <w:rFonts w:ascii="Calibri" w:hAnsi="Calibri" w:cs="Calibri"/>
          <w:color w:val="0D0D0D" w:themeColor="text1" w:themeTint="F2"/>
        </w:rPr>
        <w:t>. New York: HarperCollins.</w:t>
      </w:r>
    </w:p>
    <w:p w14:paraId="2CDF7726"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Grewal, A., Kataria, H. and Dhawan, I. (2016) ‘Literature search for research planning and identification of research problem’, Indian Journal of Anaesthetics, 60(9), pp. 635-639. doi: 10.4103/0019-5049.190618. </w:t>
      </w:r>
    </w:p>
    <w:p w14:paraId="13EAC11A"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Group, T. M. and Roberts, T. L. (2001) </w:t>
      </w:r>
      <w:r w:rsidRPr="00252CDE">
        <w:rPr>
          <w:rFonts w:ascii="Calibri" w:hAnsi="Calibri" w:cs="Calibri"/>
          <w:i/>
          <w:iCs/>
          <w:color w:val="0D0D0D" w:themeColor="text1" w:themeTint="F2"/>
        </w:rPr>
        <w:t xml:space="preserve">Nursing, Physician Control, and the Medical Monopoly: Historical Perspectives on Gendered Inequality in Roles, Rights, and Range of Practice. </w:t>
      </w:r>
      <w:r w:rsidRPr="00252CDE">
        <w:rPr>
          <w:rFonts w:ascii="Calibri" w:hAnsi="Calibri" w:cs="Calibri"/>
          <w:color w:val="0D0D0D" w:themeColor="text1" w:themeTint="F2"/>
        </w:rPr>
        <w:t>Bloomington Indiana: Indiana University Press.</w:t>
      </w:r>
    </w:p>
    <w:p w14:paraId="2FFEC32F"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Gusenbauer, M. and Haddaway, N. R. (2020) ‘Which academic search systems are suitable for systematic reviews or meta-analyses? Evaluating retrieval qualities of Google Scholar, PubMed, and 26 other resources’, </w:t>
      </w:r>
      <w:r w:rsidRPr="00252CDE">
        <w:rPr>
          <w:rFonts w:ascii="Calibri" w:hAnsi="Calibri" w:cs="Calibri"/>
          <w:i/>
          <w:iCs/>
          <w:color w:val="0D0D0D" w:themeColor="text1" w:themeTint="F2"/>
        </w:rPr>
        <w:t>Research Synthesis Methods</w:t>
      </w:r>
      <w:r w:rsidRPr="00252CDE">
        <w:rPr>
          <w:rFonts w:ascii="Calibri" w:hAnsi="Calibri" w:cs="Calibri"/>
          <w:color w:val="0D0D0D" w:themeColor="text1" w:themeTint="F2"/>
        </w:rPr>
        <w:t>, 11(2), pp. 181-217. doi: 10.1002/jrsm.1378.</w:t>
      </w:r>
    </w:p>
    <w:p w14:paraId="5B92B984"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Harding, T. (2007) ‘The construction of men who are nurses as gay’, Jan Leading Global Nursing Research, 60(6), pp. 636-644. </w:t>
      </w:r>
      <w:r w:rsidRPr="008D2E6B">
        <w:rPr>
          <w:rFonts w:ascii="Calibri" w:hAnsi="Calibri" w:cs="Calibri"/>
          <w:color w:val="0D0D0D" w:themeColor="text1" w:themeTint="F2"/>
        </w:rPr>
        <w:t>https://doi.org/10.1111/j.1365-2648.2007.04447.x</w:t>
      </w:r>
      <w:r w:rsidRPr="00252CDE">
        <w:rPr>
          <w:rFonts w:ascii="Calibri" w:hAnsi="Calibri" w:cs="Calibri"/>
          <w:color w:val="0D0D0D" w:themeColor="text1" w:themeTint="F2"/>
        </w:rPr>
        <w:t>.</w:t>
      </w:r>
    </w:p>
    <w:p w14:paraId="26E3D5D2" w14:textId="77777777" w:rsidR="00F35238" w:rsidRPr="00252CDE" w:rsidRDefault="00F35238" w:rsidP="00F35238">
      <w:pPr>
        <w:spacing w:line="276" w:lineRule="auto"/>
        <w:rPr>
          <w:rFonts w:ascii="Calibri" w:hAnsi="Calibri" w:cs="Calibri"/>
          <w:color w:val="0D0D0D" w:themeColor="text1" w:themeTint="F2"/>
        </w:rPr>
      </w:pPr>
      <w:r w:rsidRPr="00252DAC">
        <w:rPr>
          <w:rFonts w:ascii="Calibri" w:hAnsi="Calibri" w:cs="Calibri"/>
          <w:color w:val="0D0D0D" w:themeColor="text1" w:themeTint="F2"/>
        </w:rPr>
        <w:t>Harding,</w:t>
      </w:r>
      <w:r w:rsidRPr="00252CDE">
        <w:rPr>
          <w:rFonts w:ascii="Calibri" w:hAnsi="Calibri" w:cs="Calibri"/>
          <w:color w:val="0D0D0D" w:themeColor="text1" w:themeTint="F2"/>
        </w:rPr>
        <w:t xml:space="preserve"> T., </w:t>
      </w:r>
      <w:r w:rsidRPr="00252DAC">
        <w:rPr>
          <w:rFonts w:ascii="Calibri" w:hAnsi="Calibri" w:cs="Calibri"/>
          <w:color w:val="0D0D0D" w:themeColor="text1" w:themeTint="F2"/>
        </w:rPr>
        <w:t>North,</w:t>
      </w:r>
      <w:r w:rsidRPr="00252CDE">
        <w:rPr>
          <w:rFonts w:ascii="Calibri" w:hAnsi="Calibri" w:cs="Calibri"/>
          <w:color w:val="0D0D0D" w:themeColor="text1" w:themeTint="F2"/>
        </w:rPr>
        <w:t xml:space="preserve"> N. and </w:t>
      </w:r>
      <w:r w:rsidRPr="00252DAC">
        <w:rPr>
          <w:rFonts w:ascii="Calibri" w:hAnsi="Calibri" w:cs="Calibri"/>
          <w:color w:val="0D0D0D" w:themeColor="text1" w:themeTint="F2"/>
        </w:rPr>
        <w:t xml:space="preserve">Perkins, </w:t>
      </w:r>
      <w:r w:rsidRPr="00252CDE">
        <w:rPr>
          <w:rFonts w:ascii="Calibri" w:hAnsi="Calibri" w:cs="Calibri"/>
          <w:color w:val="0D0D0D" w:themeColor="text1" w:themeTint="F2"/>
        </w:rPr>
        <w:t>R. (2008) ‘</w:t>
      </w:r>
      <w:r w:rsidRPr="00252DAC">
        <w:rPr>
          <w:rFonts w:ascii="Calibri" w:hAnsi="Calibri" w:cs="Calibri"/>
          <w:color w:val="0D0D0D" w:themeColor="text1" w:themeTint="F2"/>
        </w:rPr>
        <w:t>Sexualizing Men</w:t>
      </w:r>
      <w:r w:rsidRPr="00252CDE">
        <w:rPr>
          <w:rFonts w:ascii="Calibri" w:hAnsi="Calibri" w:cs="Calibri"/>
          <w:color w:val="0D0D0D" w:themeColor="text1" w:themeTint="F2"/>
        </w:rPr>
        <w:t>’</w:t>
      </w:r>
      <w:r w:rsidRPr="00252DAC">
        <w:rPr>
          <w:rFonts w:ascii="Calibri" w:hAnsi="Calibri" w:cs="Calibri"/>
          <w:color w:val="0D0D0D" w:themeColor="text1" w:themeTint="F2"/>
        </w:rPr>
        <w:t>s Touch: Male Nurses and the Use of Intimate Touch in Clinical Practice</w:t>
      </w:r>
      <w:r w:rsidRPr="00252CDE">
        <w:rPr>
          <w:rFonts w:ascii="Calibri" w:hAnsi="Calibri" w:cs="Calibri"/>
          <w:color w:val="0D0D0D" w:themeColor="text1" w:themeTint="F2"/>
        </w:rPr>
        <w:t xml:space="preserve">’, </w:t>
      </w:r>
      <w:r w:rsidRPr="00252DAC">
        <w:rPr>
          <w:rFonts w:ascii="Calibri" w:hAnsi="Calibri" w:cs="Calibri"/>
          <w:i/>
          <w:iCs/>
          <w:color w:val="0D0D0D" w:themeColor="text1" w:themeTint="F2"/>
        </w:rPr>
        <w:t>Research and Theory for Nursing Practice: An International Journal</w:t>
      </w:r>
      <w:r w:rsidRPr="00252DAC">
        <w:rPr>
          <w:rFonts w:ascii="Calibri" w:hAnsi="Calibri" w:cs="Calibri"/>
          <w:color w:val="0D0D0D" w:themeColor="text1" w:themeTint="F2"/>
        </w:rPr>
        <w:t>, 22</w:t>
      </w:r>
      <w:r w:rsidRPr="00252CDE">
        <w:rPr>
          <w:rFonts w:ascii="Calibri" w:hAnsi="Calibri" w:cs="Calibri"/>
          <w:color w:val="0D0D0D" w:themeColor="text1" w:themeTint="F2"/>
        </w:rPr>
        <w:t>(</w:t>
      </w:r>
      <w:r w:rsidRPr="00252DAC">
        <w:rPr>
          <w:rFonts w:ascii="Calibri" w:hAnsi="Calibri" w:cs="Calibri"/>
          <w:color w:val="0D0D0D" w:themeColor="text1" w:themeTint="F2"/>
        </w:rPr>
        <w:t>2</w:t>
      </w:r>
      <w:r w:rsidRPr="00252CDE">
        <w:rPr>
          <w:rFonts w:ascii="Calibri" w:hAnsi="Calibri" w:cs="Calibri"/>
          <w:color w:val="0D0D0D" w:themeColor="text1" w:themeTint="F2"/>
        </w:rPr>
        <w:t xml:space="preserve">). </w:t>
      </w:r>
      <w:r w:rsidRPr="00252DAC">
        <w:rPr>
          <w:rFonts w:ascii="Calibri" w:hAnsi="Calibri" w:cs="Calibri"/>
          <w:color w:val="0D0D0D" w:themeColor="text1" w:themeTint="F2"/>
        </w:rPr>
        <w:t>DOI: 10.1891/0889-7182.22.2.88</w:t>
      </w:r>
      <w:r w:rsidRPr="00252CDE">
        <w:rPr>
          <w:rFonts w:ascii="Calibri" w:hAnsi="Calibri" w:cs="Calibri"/>
          <w:color w:val="0D0D0D" w:themeColor="text1" w:themeTint="F2"/>
        </w:rPr>
        <w:t>.</w:t>
      </w:r>
    </w:p>
    <w:p w14:paraId="0D8E9D1A"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Hardy, L. K. (1986) </w:t>
      </w:r>
      <w:r w:rsidRPr="00252CDE">
        <w:rPr>
          <w:rFonts w:ascii="Calibri" w:hAnsi="Calibri" w:cs="Calibri"/>
          <w:i/>
          <w:iCs/>
          <w:color w:val="0D0D0D" w:themeColor="text1" w:themeTint="F2"/>
        </w:rPr>
        <w:t>Career Politics: The case of career histories of selected leading female and male nurses</w:t>
      </w:r>
      <w:r w:rsidRPr="00252CDE">
        <w:rPr>
          <w:rFonts w:ascii="Calibri" w:hAnsi="Calibri" w:cs="Calibri"/>
          <w:color w:val="0D0D0D" w:themeColor="text1" w:themeTint="F2"/>
        </w:rPr>
        <w:t>. Chichester: Wiley and Sons.</w:t>
      </w:r>
    </w:p>
    <w:p w14:paraId="332DB0AF" w14:textId="77777777" w:rsidR="00F35238" w:rsidRPr="00011518" w:rsidRDefault="00F35238" w:rsidP="00F35238">
      <w:pPr>
        <w:spacing w:line="276" w:lineRule="auto"/>
        <w:rPr>
          <w:rFonts w:ascii="Calibri" w:eastAsia="DengXian" w:hAnsi="Calibri" w:cs="Calibri"/>
          <w:color w:val="0D0D0D" w:themeColor="text1" w:themeTint="F2"/>
          <w:kern w:val="0"/>
          <w14:ligatures w14:val="none"/>
        </w:rPr>
      </w:pPr>
      <w:r w:rsidRPr="00011518">
        <w:rPr>
          <w:rFonts w:ascii="Calibri" w:eastAsia="DengXian" w:hAnsi="Calibri" w:cs="Calibri"/>
          <w:color w:val="0D0D0D" w:themeColor="text1" w:themeTint="F2"/>
          <w:kern w:val="0"/>
          <w14:ligatures w14:val="none"/>
        </w:rPr>
        <w:t xml:space="preserve">Heffler, B. (2001) ‘Individual learning style and the learning style inventory’, </w:t>
      </w:r>
      <w:r w:rsidRPr="00011518">
        <w:rPr>
          <w:rFonts w:ascii="Calibri" w:eastAsia="DengXian" w:hAnsi="Calibri" w:cs="Calibri"/>
          <w:i/>
          <w:iCs/>
          <w:color w:val="0D0D0D" w:themeColor="text1" w:themeTint="F2"/>
          <w:kern w:val="0"/>
          <w14:ligatures w14:val="none"/>
        </w:rPr>
        <w:t>Educational Studies</w:t>
      </w:r>
      <w:r w:rsidRPr="00011518">
        <w:rPr>
          <w:rFonts w:ascii="Calibri" w:eastAsia="DengXian" w:hAnsi="Calibri" w:cs="Calibri"/>
          <w:color w:val="0D0D0D" w:themeColor="text1" w:themeTint="F2"/>
          <w:kern w:val="0"/>
          <w14:ligatures w14:val="none"/>
        </w:rPr>
        <w:t>, 27(3)</w:t>
      </w:r>
      <w:r w:rsidRPr="00252CDE">
        <w:rPr>
          <w:rFonts w:ascii="Calibri" w:eastAsia="DengXian" w:hAnsi="Calibri" w:cs="Calibri"/>
          <w:color w:val="0D0D0D" w:themeColor="text1" w:themeTint="F2"/>
          <w:kern w:val="0"/>
          <w14:ligatures w14:val="none"/>
        </w:rPr>
        <w:t>,</w:t>
      </w:r>
      <w:r w:rsidRPr="00011518">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011518">
        <w:rPr>
          <w:rFonts w:ascii="Calibri" w:eastAsia="DengXian" w:hAnsi="Calibri" w:cs="Calibri"/>
          <w:color w:val="0D0D0D" w:themeColor="text1" w:themeTint="F2"/>
          <w:kern w:val="0"/>
          <w14:ligatures w14:val="none"/>
        </w:rPr>
        <w:t xml:space="preserve"> 307-316.</w:t>
      </w:r>
    </w:p>
    <w:p w14:paraId="7ADFF2ED"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Higher Education Statistics Agency (2024) </w:t>
      </w:r>
      <w:r w:rsidRPr="00252CDE">
        <w:rPr>
          <w:rFonts w:ascii="Calibri" w:hAnsi="Calibri" w:cs="Calibri"/>
          <w:i/>
          <w:iCs/>
          <w:color w:val="0D0D0D" w:themeColor="text1" w:themeTint="F2"/>
        </w:rPr>
        <w:t>Students on HE courses by course subject, level of study, mode of study, sex and domicile: Wales</w:t>
      </w:r>
      <w:r w:rsidRPr="00252CDE">
        <w:rPr>
          <w:rFonts w:ascii="Calibri" w:hAnsi="Calibri" w:cs="Calibri"/>
          <w:color w:val="0D0D0D" w:themeColor="text1" w:themeTint="F2"/>
        </w:rPr>
        <w:t>, 2021/22. Available at: https://www.hesa.ac.uk/data-and-analysis/students (Accessed on 20th March 2025).</w:t>
      </w:r>
    </w:p>
    <w:p w14:paraId="7C7767A1" w14:textId="77777777" w:rsidR="00F35238" w:rsidRPr="00011518" w:rsidRDefault="00F35238" w:rsidP="00F35238">
      <w:pPr>
        <w:spacing w:line="276" w:lineRule="auto"/>
        <w:rPr>
          <w:rFonts w:ascii="Calibri" w:eastAsia="DengXian" w:hAnsi="Calibri" w:cs="Calibri"/>
          <w:color w:val="0D0D0D" w:themeColor="text1" w:themeTint="F2"/>
          <w:kern w:val="0"/>
          <w14:ligatures w14:val="none"/>
        </w:rPr>
      </w:pPr>
      <w:r w:rsidRPr="00011518">
        <w:rPr>
          <w:rFonts w:ascii="Calibri" w:eastAsia="DengXian" w:hAnsi="Calibri" w:cs="Calibri"/>
          <w:color w:val="0D0D0D" w:themeColor="text1" w:themeTint="F2"/>
          <w:kern w:val="0"/>
          <w14:ligatures w14:val="none"/>
        </w:rPr>
        <w:t xml:space="preserve">Hill, C., Corbett, C. and Rose, A. (2015) </w:t>
      </w:r>
      <w:r w:rsidRPr="00011518">
        <w:rPr>
          <w:rFonts w:ascii="Calibri" w:eastAsia="DengXian" w:hAnsi="Calibri" w:cs="Calibri"/>
          <w:i/>
          <w:iCs/>
          <w:color w:val="0D0D0D" w:themeColor="text1" w:themeTint="F2"/>
          <w:kern w:val="0"/>
          <w14:ligatures w14:val="none"/>
        </w:rPr>
        <w:t>Why so Few? Women in Science, Technology, Engineering and Mathematics</w:t>
      </w:r>
      <w:r w:rsidRPr="00011518">
        <w:rPr>
          <w:rFonts w:ascii="Calibri" w:eastAsia="DengXian" w:hAnsi="Calibri" w:cs="Calibri"/>
          <w:color w:val="0D0D0D" w:themeColor="text1" w:themeTint="F2"/>
          <w:kern w:val="0"/>
          <w14:ligatures w14:val="none"/>
        </w:rPr>
        <w:t>. Washington DC: American Association of Women.</w:t>
      </w:r>
    </w:p>
    <w:p w14:paraId="0BCF7D4F"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Hodges, E. A., Rowsey, P. J., Gray, T. F., Kneipp, S. M., Giscombe, C. W., Foster, B. B., Alexander, G. R. and Kowlowitz, V. (2017) ‘Bridging the Gender Divide: Facilitating the </w:t>
      </w:r>
      <w:r w:rsidRPr="00252CDE">
        <w:rPr>
          <w:rFonts w:ascii="Calibri" w:hAnsi="Calibri" w:cs="Calibri"/>
          <w:color w:val="0D0D0D" w:themeColor="text1" w:themeTint="F2"/>
        </w:rPr>
        <w:lastRenderedPageBreak/>
        <w:t xml:space="preserve">Educational Path for Men in Nursing’, </w:t>
      </w:r>
      <w:r w:rsidRPr="00252CDE">
        <w:rPr>
          <w:rFonts w:ascii="Calibri" w:hAnsi="Calibri" w:cs="Calibri"/>
          <w:i/>
          <w:iCs/>
          <w:color w:val="0D0D0D" w:themeColor="text1" w:themeTint="F2"/>
        </w:rPr>
        <w:t>Journal of Nursing Education</w:t>
      </w:r>
      <w:r w:rsidRPr="00252CDE">
        <w:rPr>
          <w:rFonts w:ascii="Calibri" w:hAnsi="Calibri" w:cs="Calibri"/>
          <w:color w:val="0D0D0D" w:themeColor="text1" w:themeTint="F2"/>
        </w:rPr>
        <w:t>, 56(5), PP. 295-299. doi:10.3928/01484834-20170421-08.</w:t>
      </w:r>
    </w:p>
    <w:p w14:paraId="3206EFE1"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Holton, S. (1984) ‘Feminine authority and social order: Florence Nightingale's conception of nursing and health care’, </w:t>
      </w:r>
      <w:r w:rsidRPr="00252CDE">
        <w:rPr>
          <w:rFonts w:ascii="Calibri" w:hAnsi="Calibri" w:cs="Calibri"/>
          <w:i/>
          <w:iCs/>
          <w:color w:val="0D0D0D" w:themeColor="text1" w:themeTint="F2"/>
        </w:rPr>
        <w:t>Journal of Social Analysis</w:t>
      </w:r>
      <w:r w:rsidRPr="00252CDE">
        <w:rPr>
          <w:rFonts w:ascii="Calibri" w:hAnsi="Calibri" w:cs="Calibri"/>
          <w:color w:val="0D0D0D" w:themeColor="text1" w:themeTint="F2"/>
        </w:rPr>
        <w:t>, 15(7), pp. 59–72.</w:t>
      </w:r>
    </w:p>
    <w:p w14:paraId="4F2D5CB6"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Huston, C. J. (2018) </w:t>
      </w:r>
      <w:r w:rsidRPr="00252CDE">
        <w:rPr>
          <w:rFonts w:ascii="Calibri" w:hAnsi="Calibri" w:cs="Calibri"/>
          <w:i/>
          <w:iCs/>
          <w:color w:val="0D0D0D" w:themeColor="text1" w:themeTint="F2"/>
        </w:rPr>
        <w:t>Professional Issues in Nursing: Challenges and Opportunities.</w:t>
      </w:r>
      <w:r w:rsidRPr="00252CDE">
        <w:rPr>
          <w:rFonts w:ascii="Calibri" w:hAnsi="Calibri" w:cs="Calibri"/>
          <w:color w:val="0D0D0D" w:themeColor="text1" w:themeTint="F2"/>
        </w:rPr>
        <w:t> Cambridge: Wolters Kluwer Health.</w:t>
      </w:r>
    </w:p>
    <w:p w14:paraId="1A4A8105"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Ibrahim, A. M. (2012) ‘Thematic Analysis: A critical review of its process and evaluation’, </w:t>
      </w:r>
      <w:r w:rsidRPr="00252CDE">
        <w:rPr>
          <w:rFonts w:ascii="Calibri" w:hAnsi="Calibri" w:cs="Calibri"/>
          <w:i/>
          <w:iCs/>
          <w:color w:val="0D0D0D" w:themeColor="text1" w:themeTint="F2"/>
        </w:rPr>
        <w:t>West East Journal of Social Sciences,</w:t>
      </w:r>
      <w:r w:rsidRPr="00252CDE">
        <w:rPr>
          <w:rFonts w:ascii="Calibri" w:hAnsi="Calibri" w:cs="Calibri"/>
          <w:color w:val="0D0D0D" w:themeColor="text1" w:themeTint="F2"/>
        </w:rPr>
        <w:t xml:space="preserve"> 1 (1).</w:t>
      </w:r>
    </w:p>
    <w:p w14:paraId="37445A8F" w14:textId="77777777" w:rsidR="00F35238" w:rsidRPr="00011518" w:rsidRDefault="00F35238" w:rsidP="00F35238">
      <w:pPr>
        <w:spacing w:line="276" w:lineRule="auto"/>
        <w:rPr>
          <w:rFonts w:ascii="Calibri" w:eastAsia="DengXian" w:hAnsi="Calibri" w:cs="Calibri"/>
          <w:color w:val="0D0D0D" w:themeColor="text1" w:themeTint="F2"/>
          <w:kern w:val="0"/>
          <w14:ligatures w14:val="none"/>
        </w:rPr>
      </w:pPr>
      <w:r w:rsidRPr="00011518">
        <w:rPr>
          <w:rFonts w:ascii="Calibri" w:eastAsia="DengXian" w:hAnsi="Calibri" w:cs="Calibri"/>
          <w:color w:val="0D0D0D" w:themeColor="text1" w:themeTint="F2"/>
          <w:kern w:val="0"/>
          <w14:ligatures w14:val="none"/>
        </w:rPr>
        <w:t xml:space="preserve">Ibrahim, R. H. and Hussein, D. (2016) ‘Assessment of visual, auditory, and kinesthetic learning style among undergraduate nursing students’, </w:t>
      </w:r>
      <w:r w:rsidRPr="00011518">
        <w:rPr>
          <w:rFonts w:ascii="Calibri" w:eastAsia="DengXian" w:hAnsi="Calibri" w:cs="Calibri"/>
          <w:i/>
          <w:iCs/>
          <w:color w:val="0D0D0D" w:themeColor="text1" w:themeTint="F2"/>
          <w:kern w:val="0"/>
          <w14:ligatures w14:val="none"/>
        </w:rPr>
        <w:t>International Journal of Advanced Nursing Studies</w:t>
      </w:r>
      <w:r w:rsidRPr="00011518">
        <w:rPr>
          <w:rFonts w:ascii="Calibri" w:eastAsia="DengXian" w:hAnsi="Calibri" w:cs="Calibri"/>
          <w:color w:val="0D0D0D" w:themeColor="text1" w:themeTint="F2"/>
          <w:kern w:val="0"/>
          <w14:ligatures w14:val="none"/>
        </w:rPr>
        <w:t>, 5(1)</w:t>
      </w:r>
      <w:r w:rsidRPr="00252CDE">
        <w:rPr>
          <w:rFonts w:ascii="Calibri" w:eastAsia="DengXian" w:hAnsi="Calibri" w:cs="Calibri"/>
          <w:color w:val="0D0D0D" w:themeColor="text1" w:themeTint="F2"/>
          <w:kern w:val="0"/>
          <w14:ligatures w14:val="none"/>
        </w:rPr>
        <w:t>,</w:t>
      </w:r>
      <w:r w:rsidRPr="00011518">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011518">
        <w:rPr>
          <w:rFonts w:ascii="Calibri" w:eastAsia="DengXian" w:hAnsi="Calibri" w:cs="Calibri"/>
          <w:color w:val="0D0D0D" w:themeColor="text1" w:themeTint="F2"/>
          <w:kern w:val="0"/>
          <w14:ligatures w14:val="none"/>
        </w:rPr>
        <w:t xml:space="preserve"> 1-4.</w:t>
      </w:r>
    </w:p>
    <w:p w14:paraId="5452ED33"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Iheduru-Anderson, K. and Agomoh, C. J. (2024) ‘"Oh, We Don't Want the Men Around." The Experience of Men in Nursing During Prelicensure Labor and Delivery Clinical Rotation’, Nursing Research Practice. doi: 10.1155/nrp/5562479.</w:t>
      </w:r>
    </w:p>
    <w:p w14:paraId="0C62A1C9" w14:textId="77777777" w:rsidR="00F35238" w:rsidRPr="00011518" w:rsidRDefault="00F35238" w:rsidP="00F35238">
      <w:pPr>
        <w:spacing w:line="276" w:lineRule="auto"/>
        <w:rPr>
          <w:rFonts w:ascii="Calibri" w:eastAsia="DengXian" w:hAnsi="Calibri" w:cs="Calibri"/>
          <w:color w:val="0D0D0D" w:themeColor="text1" w:themeTint="F2"/>
          <w:kern w:val="0"/>
          <w14:ligatures w14:val="none"/>
        </w:rPr>
      </w:pPr>
      <w:r w:rsidRPr="00011518">
        <w:rPr>
          <w:rFonts w:ascii="Calibri" w:eastAsia="DengXian" w:hAnsi="Calibri" w:cs="Calibri"/>
          <w:color w:val="0D0D0D" w:themeColor="text1" w:themeTint="F2"/>
          <w:kern w:val="0"/>
          <w14:ligatures w14:val="none"/>
        </w:rPr>
        <w:t xml:space="preserve">Institute for Women’s Policy and Research (2013) </w:t>
      </w:r>
      <w:r w:rsidRPr="00011518">
        <w:rPr>
          <w:rFonts w:ascii="Calibri" w:eastAsia="DengXian" w:hAnsi="Calibri" w:cs="Calibri"/>
          <w:i/>
          <w:iCs/>
          <w:color w:val="0D0D0D" w:themeColor="text1" w:themeTint="F2"/>
          <w:kern w:val="0"/>
          <w14:ligatures w14:val="none"/>
        </w:rPr>
        <w:t>Education Date Shows Gender Gap in Career Preparation</w:t>
      </w:r>
      <w:r w:rsidRPr="00011518">
        <w:rPr>
          <w:rFonts w:ascii="Calibri" w:eastAsia="DengXian" w:hAnsi="Calibri" w:cs="Calibri"/>
          <w:color w:val="0D0D0D" w:themeColor="text1" w:themeTint="F2"/>
          <w:kern w:val="0"/>
          <w14:ligatures w14:val="none"/>
        </w:rPr>
        <w:t>. Washington DC: IWPR.</w:t>
      </w:r>
    </w:p>
    <w:p w14:paraId="3EE550D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Jesuit, D., Carter-Richey, M., Ridge, A. and Ritt, E. (2020) ‘Advancing the Synergy of Benedictine Values and Caring in Online Graduate Nursing Education’, </w:t>
      </w:r>
      <w:r w:rsidRPr="00252CDE">
        <w:rPr>
          <w:rFonts w:ascii="Calibri" w:hAnsi="Calibri" w:cs="Calibri"/>
          <w:i/>
          <w:iCs/>
          <w:color w:val="0D0D0D" w:themeColor="text1" w:themeTint="F2"/>
        </w:rPr>
        <w:t>International Journal for Human Caring</w:t>
      </w:r>
      <w:r w:rsidRPr="00252CDE">
        <w:rPr>
          <w:rFonts w:ascii="Calibri" w:hAnsi="Calibri" w:cs="Calibri"/>
          <w:color w:val="0D0D0D" w:themeColor="text1" w:themeTint="F2"/>
        </w:rPr>
        <w:t>, 22(2).</w:t>
      </w:r>
    </w:p>
    <w:p w14:paraId="7E5B4A7A" w14:textId="77777777" w:rsidR="00F35238" w:rsidRPr="00011518" w:rsidRDefault="00F35238" w:rsidP="00F35238">
      <w:pPr>
        <w:spacing w:line="276" w:lineRule="auto"/>
        <w:rPr>
          <w:rFonts w:ascii="Calibri" w:eastAsia="DengXian" w:hAnsi="Calibri" w:cs="Calibri"/>
          <w:color w:val="0D0D0D" w:themeColor="text1" w:themeTint="F2"/>
          <w:kern w:val="0"/>
          <w14:ligatures w14:val="none"/>
        </w:rPr>
      </w:pPr>
      <w:r w:rsidRPr="00011518">
        <w:rPr>
          <w:rFonts w:ascii="Calibri" w:eastAsia="DengXian" w:hAnsi="Calibri" w:cs="Calibri"/>
          <w:color w:val="0D0D0D" w:themeColor="text1" w:themeTint="F2"/>
          <w:kern w:val="0"/>
          <w14:ligatures w14:val="none"/>
        </w:rPr>
        <w:t xml:space="preserve">Kangethe, N., Lyria, K. and Nyamanga, A. (2014) ‘The Gender Socialisation Question in Education: Influence on boy’s and girl’s academic achievement’, </w:t>
      </w:r>
      <w:r w:rsidRPr="00011518">
        <w:rPr>
          <w:rFonts w:ascii="Calibri" w:eastAsia="DengXian" w:hAnsi="Calibri" w:cs="Calibri"/>
          <w:i/>
          <w:iCs/>
          <w:color w:val="0D0D0D" w:themeColor="text1" w:themeTint="F2"/>
          <w:kern w:val="0"/>
          <w14:ligatures w14:val="none"/>
        </w:rPr>
        <w:t>European Scientific Journal</w:t>
      </w:r>
      <w:r w:rsidRPr="00011518">
        <w:rPr>
          <w:rFonts w:ascii="Calibri" w:eastAsia="DengXian" w:hAnsi="Calibri" w:cs="Calibri"/>
          <w:color w:val="0D0D0D" w:themeColor="text1" w:themeTint="F2"/>
          <w:kern w:val="0"/>
          <w14:ligatures w14:val="none"/>
        </w:rPr>
        <w:t>, 10(9)</w:t>
      </w:r>
      <w:r w:rsidRPr="00252CDE">
        <w:rPr>
          <w:rFonts w:ascii="Calibri" w:eastAsia="DengXian" w:hAnsi="Calibri" w:cs="Calibri"/>
          <w:color w:val="0D0D0D" w:themeColor="text1" w:themeTint="F2"/>
          <w:kern w:val="0"/>
          <w14:ligatures w14:val="none"/>
        </w:rPr>
        <w:t>,</w:t>
      </w:r>
      <w:r w:rsidRPr="00011518">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011518">
        <w:rPr>
          <w:rFonts w:ascii="Calibri" w:eastAsia="DengXian" w:hAnsi="Calibri" w:cs="Calibri"/>
          <w:color w:val="0D0D0D" w:themeColor="text1" w:themeTint="F2"/>
          <w:kern w:val="0"/>
          <w14:ligatures w14:val="none"/>
        </w:rPr>
        <w:t xml:space="preserve"> 279-294.</w:t>
      </w:r>
    </w:p>
    <w:p w14:paraId="0F452CA0"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Kaur, N., Ricciardelli, R. and Clow, K. (2022) ‘Men in Nursing: A Qualitative Examination of Students’ Stereotypes of Male Nurses through the Framework of Social Role Theory and Stereotype Content Model’, </w:t>
      </w:r>
      <w:r w:rsidRPr="00252CDE">
        <w:rPr>
          <w:rFonts w:ascii="Calibri" w:hAnsi="Calibri" w:cs="Calibri"/>
          <w:i/>
          <w:iCs/>
          <w:color w:val="0D0D0D" w:themeColor="text1" w:themeTint="F2"/>
        </w:rPr>
        <w:t>The Journal of Men’s Studies</w:t>
      </w:r>
      <w:r w:rsidRPr="00252CDE">
        <w:rPr>
          <w:rFonts w:ascii="Calibri" w:hAnsi="Calibri" w:cs="Calibri"/>
          <w:color w:val="0D0D0D" w:themeColor="text1" w:themeTint="F2"/>
        </w:rPr>
        <w:t>, </w:t>
      </w:r>
      <w:r w:rsidRPr="00252CDE">
        <w:rPr>
          <w:rFonts w:ascii="Calibri" w:hAnsi="Calibri" w:cs="Calibri"/>
          <w:i/>
          <w:iCs/>
          <w:color w:val="0D0D0D" w:themeColor="text1" w:themeTint="F2"/>
        </w:rPr>
        <w:t>31</w:t>
      </w:r>
      <w:r w:rsidRPr="00252CDE">
        <w:rPr>
          <w:rFonts w:ascii="Calibri" w:hAnsi="Calibri" w:cs="Calibri"/>
          <w:color w:val="0D0D0D" w:themeColor="text1" w:themeTint="F2"/>
        </w:rPr>
        <w:t>(1), pp. 157-178. https://doi.org/10.1177/10608265221108209.</w:t>
      </w:r>
    </w:p>
    <w:p w14:paraId="6BCDA4CE"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Kearns, T. and Mahon, P. (2021) ‘How to attain gender equality in nursing—an essay’, </w:t>
      </w:r>
      <w:r w:rsidRPr="00252CDE">
        <w:rPr>
          <w:rFonts w:ascii="Calibri" w:hAnsi="Calibri" w:cs="Calibri"/>
          <w:i/>
          <w:iCs/>
          <w:color w:val="0D0D0D" w:themeColor="text1" w:themeTint="F2"/>
        </w:rPr>
        <w:t>British Medical Journal,</w:t>
      </w:r>
      <w:r w:rsidRPr="00252CDE">
        <w:rPr>
          <w:rFonts w:ascii="Calibri" w:hAnsi="Calibri" w:cs="Calibri"/>
          <w:color w:val="0D0D0D" w:themeColor="text1" w:themeTint="F2"/>
        </w:rPr>
        <w:t xml:space="preserve"> 373(14), pp. 1232-1323.</w:t>
      </w:r>
    </w:p>
    <w:p w14:paraId="4B3852E5"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Keller, E. F. (1985) </w:t>
      </w:r>
      <w:r w:rsidRPr="00252CDE">
        <w:rPr>
          <w:rFonts w:ascii="Calibri" w:hAnsi="Calibri" w:cs="Calibri"/>
          <w:i/>
          <w:iCs/>
          <w:color w:val="0D0D0D" w:themeColor="text1" w:themeTint="F2"/>
        </w:rPr>
        <w:t>Reflections on gender and science</w:t>
      </w:r>
      <w:r w:rsidRPr="00252CDE">
        <w:rPr>
          <w:rFonts w:ascii="Calibri" w:hAnsi="Calibri" w:cs="Calibri"/>
          <w:color w:val="0D0D0D" w:themeColor="text1" w:themeTint="F2"/>
        </w:rPr>
        <w:t>. New Haven: Yale UP</w:t>
      </w:r>
    </w:p>
    <w:p w14:paraId="4AD0EFEF" w14:textId="77777777" w:rsidR="00F35238" w:rsidRPr="00011518" w:rsidRDefault="00F35238" w:rsidP="00F35238">
      <w:pPr>
        <w:spacing w:line="276" w:lineRule="auto"/>
        <w:rPr>
          <w:rFonts w:ascii="Calibri" w:eastAsia="DengXian" w:hAnsi="Calibri" w:cs="Calibri"/>
          <w:color w:val="0D0D0D" w:themeColor="text1" w:themeTint="F2"/>
          <w:kern w:val="0"/>
          <w14:ligatures w14:val="none"/>
        </w:rPr>
      </w:pPr>
      <w:r w:rsidRPr="00011518">
        <w:rPr>
          <w:rFonts w:ascii="Calibri" w:eastAsia="DengXian" w:hAnsi="Calibri" w:cs="Calibri"/>
          <w:color w:val="0D0D0D" w:themeColor="text1" w:themeTint="F2"/>
          <w:kern w:val="0"/>
          <w14:ligatures w14:val="none"/>
        </w:rPr>
        <w:t xml:space="preserve">Keogh, B. and O’Lynn, C. (2007) ‘Male Nurses Experiences of Gender Barriers: Irish and American Perspectives’, </w:t>
      </w:r>
      <w:r w:rsidRPr="00011518">
        <w:rPr>
          <w:rFonts w:ascii="Calibri" w:eastAsia="DengXian" w:hAnsi="Calibri" w:cs="Calibri"/>
          <w:i/>
          <w:iCs/>
          <w:color w:val="0D0D0D" w:themeColor="text1" w:themeTint="F2"/>
          <w:kern w:val="0"/>
          <w14:ligatures w14:val="none"/>
        </w:rPr>
        <w:t>Journal of Nursing Education</w:t>
      </w:r>
      <w:r w:rsidRPr="00011518">
        <w:rPr>
          <w:rFonts w:ascii="Calibri" w:eastAsia="DengXian" w:hAnsi="Calibri" w:cs="Calibri"/>
          <w:color w:val="0D0D0D" w:themeColor="text1" w:themeTint="F2"/>
          <w:kern w:val="0"/>
          <w14:ligatures w14:val="none"/>
        </w:rPr>
        <w:t>, 32(6)</w:t>
      </w:r>
      <w:r w:rsidRPr="00252CDE">
        <w:rPr>
          <w:rFonts w:ascii="Calibri" w:eastAsia="DengXian" w:hAnsi="Calibri" w:cs="Calibri"/>
          <w:color w:val="0D0D0D" w:themeColor="text1" w:themeTint="F2"/>
          <w:kern w:val="0"/>
          <w14:ligatures w14:val="none"/>
        </w:rPr>
        <w:t>,</w:t>
      </w:r>
      <w:r w:rsidRPr="00011518">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011518">
        <w:rPr>
          <w:rFonts w:ascii="Calibri" w:eastAsia="DengXian" w:hAnsi="Calibri" w:cs="Calibri"/>
          <w:color w:val="0D0D0D" w:themeColor="text1" w:themeTint="F2"/>
          <w:kern w:val="0"/>
          <w14:ligatures w14:val="none"/>
        </w:rPr>
        <w:t xml:space="preserve"> 256-259.</w:t>
      </w:r>
    </w:p>
    <w:p w14:paraId="4C918E5F"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Kim, S. O., and Moon, S. H. (2021) ‘Factors Influencing Turnover Intention among Male Nurses in Korea’, </w:t>
      </w:r>
      <w:r w:rsidRPr="00252CDE">
        <w:rPr>
          <w:rFonts w:ascii="Calibri" w:hAnsi="Calibri" w:cs="Calibri"/>
          <w:i/>
          <w:iCs/>
          <w:color w:val="0D0D0D" w:themeColor="text1" w:themeTint="F2"/>
        </w:rPr>
        <w:t>International journal of environmental research and public health</w:t>
      </w:r>
      <w:r w:rsidRPr="00252CDE">
        <w:rPr>
          <w:rFonts w:ascii="Calibri" w:hAnsi="Calibri" w:cs="Calibri"/>
          <w:color w:val="0D0D0D" w:themeColor="text1" w:themeTint="F2"/>
        </w:rPr>
        <w:t>, </w:t>
      </w:r>
      <w:r w:rsidRPr="00252CDE">
        <w:rPr>
          <w:rFonts w:ascii="Calibri" w:hAnsi="Calibri" w:cs="Calibri"/>
          <w:i/>
          <w:iCs/>
          <w:color w:val="0D0D0D" w:themeColor="text1" w:themeTint="F2"/>
        </w:rPr>
        <w:t>18</w:t>
      </w:r>
      <w:r w:rsidRPr="00252CDE">
        <w:rPr>
          <w:rFonts w:ascii="Calibri" w:hAnsi="Calibri" w:cs="Calibri"/>
          <w:color w:val="0D0D0D" w:themeColor="text1" w:themeTint="F2"/>
        </w:rPr>
        <w:t>(18) pp 986-992.</w:t>
      </w:r>
    </w:p>
    <w:p w14:paraId="070FB798" w14:textId="77777777" w:rsidR="00F35238" w:rsidRPr="00011518" w:rsidRDefault="00F35238" w:rsidP="00F35238">
      <w:pPr>
        <w:spacing w:line="276" w:lineRule="auto"/>
        <w:rPr>
          <w:rFonts w:ascii="Calibri" w:eastAsia="DengXian" w:hAnsi="Calibri" w:cs="Calibri"/>
          <w:color w:val="0D0D0D" w:themeColor="text1" w:themeTint="F2"/>
          <w:kern w:val="0"/>
          <w14:ligatures w14:val="none"/>
        </w:rPr>
      </w:pPr>
      <w:r w:rsidRPr="00011518">
        <w:rPr>
          <w:rFonts w:ascii="Calibri" w:eastAsia="DengXian" w:hAnsi="Calibri" w:cs="Calibri"/>
          <w:color w:val="0D0D0D" w:themeColor="text1" w:themeTint="F2"/>
          <w:kern w:val="0"/>
          <w14:ligatures w14:val="none"/>
        </w:rPr>
        <w:lastRenderedPageBreak/>
        <w:t xml:space="preserve">Koch, J., Ramjan, L. M., Everett, B., Maceri, A., Bell, K. and  Salamonson, Y. (2020) ‘Sage on the stage or guide on the side -Undergraduate nursing students’ experiences and expectations of bioscience tutors in a blended learning curriculum: A qualitative study’, </w:t>
      </w:r>
      <w:r w:rsidRPr="00011518">
        <w:rPr>
          <w:rFonts w:ascii="Calibri" w:eastAsia="DengXian" w:hAnsi="Calibri" w:cs="Calibri"/>
          <w:i/>
          <w:iCs/>
          <w:color w:val="0D0D0D" w:themeColor="text1" w:themeTint="F2"/>
          <w:kern w:val="0"/>
          <w14:ligatures w14:val="none"/>
        </w:rPr>
        <w:t>Journal of Clinical Nursing,</w:t>
      </w:r>
      <w:r w:rsidRPr="00011518">
        <w:rPr>
          <w:rFonts w:ascii="Calibri" w:eastAsia="DengXian" w:hAnsi="Calibri" w:cs="Calibri"/>
          <w:color w:val="0D0D0D" w:themeColor="text1" w:themeTint="F2"/>
          <w:kern w:val="0"/>
          <w14:ligatures w14:val="none"/>
        </w:rPr>
        <w:t xml:space="preserve"> 29(6)</w:t>
      </w:r>
      <w:r w:rsidRPr="00252CDE">
        <w:rPr>
          <w:rFonts w:ascii="Calibri" w:eastAsia="DengXian" w:hAnsi="Calibri" w:cs="Calibri"/>
          <w:color w:val="0D0D0D" w:themeColor="text1" w:themeTint="F2"/>
          <w:kern w:val="0"/>
          <w14:ligatures w14:val="none"/>
        </w:rPr>
        <w:t>,</w:t>
      </w:r>
      <w:r w:rsidRPr="00011518">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011518">
        <w:rPr>
          <w:rFonts w:ascii="Calibri" w:eastAsia="DengXian" w:hAnsi="Calibri" w:cs="Calibri"/>
          <w:color w:val="0D0D0D" w:themeColor="text1" w:themeTint="F2"/>
          <w:kern w:val="0"/>
          <w14:ligatures w14:val="none"/>
        </w:rPr>
        <w:t xml:space="preserve"> 863-71.</w:t>
      </w:r>
    </w:p>
    <w:p w14:paraId="0102F6F9" w14:textId="77777777" w:rsidR="00F35238" w:rsidRPr="00011518" w:rsidRDefault="00F35238" w:rsidP="00F35238">
      <w:pPr>
        <w:spacing w:line="276" w:lineRule="auto"/>
        <w:rPr>
          <w:rFonts w:ascii="Calibri" w:eastAsia="DengXian" w:hAnsi="Calibri" w:cs="Calibri"/>
          <w:color w:val="0D0D0D" w:themeColor="text1" w:themeTint="F2"/>
          <w:kern w:val="0"/>
          <w14:ligatures w14:val="none"/>
        </w:rPr>
      </w:pPr>
      <w:r w:rsidRPr="00011518">
        <w:rPr>
          <w:rFonts w:ascii="Calibri" w:eastAsia="DengXian" w:hAnsi="Calibri" w:cs="Calibri"/>
          <w:color w:val="0D0D0D" w:themeColor="text1" w:themeTint="F2"/>
          <w:kern w:val="0"/>
          <w14:ligatures w14:val="none"/>
        </w:rPr>
        <w:t xml:space="preserve">Kolb, A. Y. and Kolb, D. A. (2005) ‘Learning styles and learning spaces: Enhancing the experimental learning in higher education’, </w:t>
      </w:r>
      <w:r w:rsidRPr="00011518">
        <w:rPr>
          <w:rFonts w:ascii="Calibri" w:eastAsia="DengXian" w:hAnsi="Calibri" w:cs="Calibri"/>
          <w:i/>
          <w:iCs/>
          <w:color w:val="0D0D0D" w:themeColor="text1" w:themeTint="F2"/>
          <w:kern w:val="0"/>
          <w14:ligatures w14:val="none"/>
        </w:rPr>
        <w:t>Academy of Management, Learning and Education</w:t>
      </w:r>
      <w:r w:rsidRPr="00011518">
        <w:rPr>
          <w:rFonts w:ascii="Calibri" w:eastAsia="DengXian" w:hAnsi="Calibri" w:cs="Calibri"/>
          <w:color w:val="0D0D0D" w:themeColor="text1" w:themeTint="F2"/>
          <w:kern w:val="0"/>
          <w14:ligatures w14:val="none"/>
        </w:rPr>
        <w:t>, 4(2)</w:t>
      </w:r>
      <w:r w:rsidRPr="00252CDE">
        <w:rPr>
          <w:rFonts w:ascii="Calibri" w:eastAsia="DengXian" w:hAnsi="Calibri" w:cs="Calibri"/>
          <w:color w:val="0D0D0D" w:themeColor="text1" w:themeTint="F2"/>
          <w:kern w:val="0"/>
          <w14:ligatures w14:val="none"/>
        </w:rPr>
        <w:t>,</w:t>
      </w:r>
      <w:r w:rsidRPr="00011518">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011518">
        <w:rPr>
          <w:rFonts w:ascii="Calibri" w:eastAsia="DengXian" w:hAnsi="Calibri" w:cs="Calibri"/>
          <w:color w:val="0D0D0D" w:themeColor="text1" w:themeTint="F2"/>
          <w:kern w:val="0"/>
          <w14:ligatures w14:val="none"/>
        </w:rPr>
        <w:t xml:space="preserve"> 193-212.</w:t>
      </w:r>
    </w:p>
    <w:p w14:paraId="69C95D23"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Kouta, C. and Kaite, C. P. (2011) ‘Gender discrimination and nursing: alpha literature review’, </w:t>
      </w:r>
      <w:r w:rsidRPr="00252CDE">
        <w:rPr>
          <w:rFonts w:ascii="Calibri" w:hAnsi="Calibri" w:cs="Calibri"/>
          <w:i/>
          <w:iCs/>
          <w:color w:val="0D0D0D" w:themeColor="text1" w:themeTint="F2"/>
        </w:rPr>
        <w:t>Journal of Professional Nursing</w:t>
      </w:r>
      <w:r w:rsidRPr="00252CDE">
        <w:rPr>
          <w:rFonts w:ascii="Calibri" w:hAnsi="Calibri" w:cs="Calibri"/>
          <w:color w:val="0D0D0D" w:themeColor="text1" w:themeTint="F2"/>
        </w:rPr>
        <w:t>, 27(1), pp. 59- 63. https://doi.org/10.1016/j.profnurs.2010.10.006.</w:t>
      </w:r>
    </w:p>
    <w:p w14:paraId="6D06E7C6" w14:textId="77777777" w:rsidR="00F35238" w:rsidRPr="00A12FC1" w:rsidRDefault="00F35238" w:rsidP="00F35238">
      <w:pPr>
        <w:spacing w:line="276" w:lineRule="auto"/>
        <w:rPr>
          <w:rFonts w:ascii="Calibri" w:eastAsia="DengXian" w:hAnsi="Calibri" w:cs="Calibri"/>
          <w:color w:val="0D0D0D" w:themeColor="text1" w:themeTint="F2"/>
          <w:kern w:val="0"/>
          <w14:ligatures w14:val="none"/>
        </w:rPr>
      </w:pPr>
      <w:r w:rsidRPr="00A12FC1">
        <w:rPr>
          <w:rFonts w:ascii="Calibri" w:eastAsia="DengXian" w:hAnsi="Calibri" w:cs="Calibri"/>
          <w:color w:val="0D0D0D" w:themeColor="text1" w:themeTint="F2"/>
          <w:kern w:val="0"/>
          <w14:ligatures w14:val="none"/>
        </w:rPr>
        <w:t xml:space="preserve">Kulturel-Koviak, S., D’Allegro, M. L. and Dickinson, S. (2011) ‘Review of Gender Differences in Learning Styles: Suggestions for STEM education’, </w:t>
      </w:r>
      <w:r w:rsidRPr="00A12FC1">
        <w:rPr>
          <w:rFonts w:ascii="Calibri" w:eastAsia="DengXian" w:hAnsi="Calibri" w:cs="Calibri"/>
          <w:i/>
          <w:iCs/>
          <w:color w:val="0D0D0D" w:themeColor="text1" w:themeTint="F2"/>
          <w:kern w:val="0"/>
          <w14:ligatures w14:val="none"/>
        </w:rPr>
        <w:t>Contemporary Issues in Education Research</w:t>
      </w:r>
      <w:r w:rsidRPr="00A12FC1">
        <w:rPr>
          <w:rFonts w:ascii="Calibri" w:eastAsia="DengXian" w:hAnsi="Calibri" w:cs="Calibri"/>
          <w:color w:val="0D0D0D" w:themeColor="text1" w:themeTint="F2"/>
          <w:kern w:val="0"/>
          <w14:ligatures w14:val="none"/>
        </w:rPr>
        <w:t>, 4(3)</w:t>
      </w:r>
      <w:r w:rsidRPr="00252CDE">
        <w:rPr>
          <w:rFonts w:ascii="Calibri" w:eastAsia="DengXian" w:hAnsi="Calibri" w:cs="Calibri"/>
          <w:color w:val="0D0D0D" w:themeColor="text1" w:themeTint="F2"/>
          <w:kern w:val="0"/>
          <w14:ligatures w14:val="none"/>
        </w:rPr>
        <w:t>,</w:t>
      </w:r>
      <w:r w:rsidRPr="00A12FC1">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A12FC1">
        <w:rPr>
          <w:rFonts w:ascii="Calibri" w:eastAsia="DengXian" w:hAnsi="Calibri" w:cs="Calibri"/>
          <w:color w:val="0D0D0D" w:themeColor="text1" w:themeTint="F2"/>
          <w:kern w:val="0"/>
          <w14:ligatures w14:val="none"/>
        </w:rPr>
        <w:t xml:space="preserve"> 9-18.</w:t>
      </w:r>
    </w:p>
    <w:p w14:paraId="3CF676FD" w14:textId="77777777" w:rsidR="00F35238" w:rsidRPr="00A12FC1" w:rsidRDefault="00F35238" w:rsidP="00F35238">
      <w:pPr>
        <w:spacing w:line="276" w:lineRule="auto"/>
        <w:rPr>
          <w:rFonts w:ascii="Calibri" w:eastAsia="DengXian" w:hAnsi="Calibri" w:cs="Calibri"/>
          <w:color w:val="0D0D0D" w:themeColor="text1" w:themeTint="F2"/>
          <w:kern w:val="0"/>
          <w14:ligatures w14:val="none"/>
        </w:rPr>
      </w:pPr>
      <w:r w:rsidRPr="00A12FC1">
        <w:rPr>
          <w:rFonts w:ascii="Calibri" w:eastAsia="DengXian" w:hAnsi="Calibri" w:cs="Calibri"/>
          <w:color w:val="0D0D0D" w:themeColor="text1" w:themeTint="F2"/>
          <w:kern w:val="0"/>
          <w14:ligatures w14:val="none"/>
        </w:rPr>
        <w:t xml:space="preserve">Lachenmayer, D. (1997) </w:t>
      </w:r>
      <w:r w:rsidRPr="00A12FC1">
        <w:rPr>
          <w:rFonts w:ascii="Calibri" w:eastAsia="DengXian" w:hAnsi="Calibri" w:cs="Calibri"/>
          <w:i/>
          <w:iCs/>
          <w:color w:val="0D0D0D" w:themeColor="text1" w:themeTint="F2"/>
          <w:kern w:val="0"/>
          <w14:ligatures w14:val="none"/>
        </w:rPr>
        <w:t>Learning Styles: A handbook for teachers to identify and teach to all learning styles</w:t>
      </w:r>
      <w:r w:rsidRPr="00A12FC1">
        <w:rPr>
          <w:rFonts w:ascii="Calibri" w:eastAsia="DengXian" w:hAnsi="Calibri" w:cs="Calibri"/>
          <w:color w:val="0D0D0D" w:themeColor="text1" w:themeTint="F2"/>
          <w:kern w:val="0"/>
          <w14:ligatures w14:val="none"/>
        </w:rPr>
        <w:t>. London: Merriam Webster.</w:t>
      </w:r>
    </w:p>
    <w:p w14:paraId="563F9CA7" w14:textId="77777777" w:rsidR="00F35238" w:rsidRPr="00A12FC1" w:rsidRDefault="00F35238" w:rsidP="00F35238">
      <w:pPr>
        <w:spacing w:line="276" w:lineRule="auto"/>
        <w:rPr>
          <w:rFonts w:ascii="Calibri" w:eastAsia="DengXian" w:hAnsi="Calibri" w:cs="Calibri"/>
          <w:color w:val="0D0D0D" w:themeColor="text1" w:themeTint="F2"/>
          <w:kern w:val="0"/>
          <w14:ligatures w14:val="none"/>
        </w:rPr>
      </w:pPr>
      <w:r w:rsidRPr="00A12FC1">
        <w:rPr>
          <w:rFonts w:ascii="Calibri" w:eastAsia="DengXian" w:hAnsi="Calibri" w:cs="Calibri"/>
          <w:color w:val="0D0D0D" w:themeColor="text1" w:themeTint="F2"/>
          <w:kern w:val="0"/>
          <w14:ligatures w14:val="none"/>
        </w:rPr>
        <w:t xml:space="preserve">Lamin, A., Qaisar, R., Khoaja, D., Abidi, O., Bouzoubaa, H. and Khyati, A. (2020) ‘Descriptive Study of Nursing Students' Learning Styles. Case Study of the Professional Bachelor's Degree Cycle in Nursing of the Higher Institute of Nursing Professions and Health Techniques of Casablanca, Morocco’, </w:t>
      </w:r>
      <w:r w:rsidRPr="00A12FC1">
        <w:rPr>
          <w:rFonts w:ascii="Calibri" w:eastAsia="DengXian" w:hAnsi="Calibri" w:cs="Calibri"/>
          <w:i/>
          <w:iCs/>
          <w:color w:val="0D0D0D" w:themeColor="text1" w:themeTint="F2"/>
          <w:kern w:val="0"/>
          <w14:ligatures w14:val="none"/>
        </w:rPr>
        <w:t>The Open Nursing Journal</w:t>
      </w:r>
      <w:r w:rsidRPr="00A12FC1">
        <w:rPr>
          <w:rFonts w:ascii="Calibri" w:eastAsia="DengXian" w:hAnsi="Calibri" w:cs="Calibri"/>
          <w:color w:val="0D0D0D" w:themeColor="text1" w:themeTint="F2"/>
          <w:kern w:val="0"/>
          <w14:ligatures w14:val="none"/>
        </w:rPr>
        <w:t>, 14(3)</w:t>
      </w:r>
      <w:r w:rsidRPr="00252CDE">
        <w:rPr>
          <w:rFonts w:ascii="Calibri" w:eastAsia="DengXian" w:hAnsi="Calibri" w:cs="Calibri"/>
          <w:color w:val="0D0D0D" w:themeColor="text1" w:themeTint="F2"/>
          <w:kern w:val="0"/>
          <w14:ligatures w14:val="none"/>
        </w:rPr>
        <w:t>,</w:t>
      </w:r>
      <w:r w:rsidRPr="00A12FC1">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A12FC1">
        <w:rPr>
          <w:rFonts w:ascii="Calibri" w:eastAsia="DengXian" w:hAnsi="Calibri" w:cs="Calibri"/>
          <w:color w:val="0D0D0D" w:themeColor="text1" w:themeTint="F2"/>
          <w:kern w:val="0"/>
          <w14:ligatures w14:val="none"/>
        </w:rPr>
        <w:t xml:space="preserve"> 309-316.</w:t>
      </w:r>
    </w:p>
    <w:p w14:paraId="61699D37"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Lee, E., Dobbins, M., DeCorby, K. and Alexander, J.</w:t>
      </w:r>
      <w:r w:rsidRPr="00252CDE">
        <w:rPr>
          <w:rFonts w:ascii="Calibri" w:hAnsi="Calibri" w:cs="Calibri"/>
          <w:i/>
          <w:iCs/>
          <w:color w:val="0D0D0D" w:themeColor="text1" w:themeTint="F2"/>
        </w:rPr>
        <w:t xml:space="preserve"> </w:t>
      </w:r>
      <w:r w:rsidRPr="00252CDE">
        <w:rPr>
          <w:rFonts w:ascii="Calibri" w:hAnsi="Calibri" w:cs="Calibri"/>
          <w:color w:val="0D0D0D" w:themeColor="text1" w:themeTint="F2"/>
        </w:rPr>
        <w:t xml:space="preserve"> (2012) ‘An optimal search filter for retrieving systematic reviews and meta-analyses’, </w:t>
      </w:r>
      <w:r w:rsidRPr="00252CDE">
        <w:rPr>
          <w:rFonts w:ascii="Calibri" w:hAnsi="Calibri" w:cs="Calibri"/>
          <w:i/>
          <w:iCs/>
          <w:color w:val="0D0D0D" w:themeColor="text1" w:themeTint="F2"/>
        </w:rPr>
        <w:t>Journal of Medical Research Methodology,</w:t>
      </w:r>
      <w:r w:rsidRPr="00252CDE">
        <w:rPr>
          <w:rFonts w:ascii="Calibri" w:hAnsi="Calibri" w:cs="Calibri"/>
          <w:color w:val="0D0D0D" w:themeColor="text1" w:themeTint="F2"/>
        </w:rPr>
        <w:t> 12(51). https://doi.org/10.1186/1471-2288-12-51.</w:t>
      </w:r>
    </w:p>
    <w:p w14:paraId="2BC12C0F"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Lerardi, J., Fitzgerald, D., Hughes, T. and Holland, D. (2010) ‘Exploring male students' educational experiences in an associate degree nursing program’, </w:t>
      </w:r>
      <w:r w:rsidRPr="00252CDE">
        <w:rPr>
          <w:rFonts w:ascii="Calibri" w:hAnsi="Calibri" w:cs="Calibri"/>
          <w:i/>
          <w:iCs/>
          <w:color w:val="0D0D0D" w:themeColor="text1" w:themeTint="F2"/>
        </w:rPr>
        <w:t>Journal of Nursing Education</w:t>
      </w:r>
      <w:r w:rsidRPr="00252CDE">
        <w:rPr>
          <w:rFonts w:ascii="Calibri" w:hAnsi="Calibri" w:cs="Calibri"/>
          <w:color w:val="0D0D0D" w:themeColor="text1" w:themeTint="F2"/>
        </w:rPr>
        <w:t>, 49(4), pp 215-218.</w:t>
      </w:r>
    </w:p>
    <w:p w14:paraId="2CC41690" w14:textId="77777777" w:rsidR="00F35238" w:rsidRPr="00A12FC1" w:rsidRDefault="00F35238" w:rsidP="00F35238">
      <w:pPr>
        <w:spacing w:line="276" w:lineRule="auto"/>
        <w:rPr>
          <w:rFonts w:ascii="Calibri" w:eastAsia="DengXian" w:hAnsi="Calibri" w:cs="Calibri"/>
          <w:color w:val="0D0D0D" w:themeColor="text1" w:themeTint="F2"/>
          <w:kern w:val="0"/>
          <w14:ligatures w14:val="none"/>
        </w:rPr>
      </w:pPr>
      <w:r w:rsidRPr="00A12FC1">
        <w:rPr>
          <w:rFonts w:ascii="Calibri" w:eastAsia="DengXian" w:hAnsi="Calibri" w:cs="Calibri"/>
          <w:color w:val="0D0D0D" w:themeColor="text1" w:themeTint="F2"/>
          <w:kern w:val="0"/>
          <w14:ligatures w14:val="none"/>
        </w:rPr>
        <w:t xml:space="preserve">Li, Y., Chen, P. and Tsai, S. (2008) ‘A comparison of the learning styles among different nursing programs in Taiwan: Implications for nursing education’, </w:t>
      </w:r>
      <w:r w:rsidRPr="00A12FC1">
        <w:rPr>
          <w:rFonts w:ascii="Calibri" w:eastAsia="DengXian" w:hAnsi="Calibri" w:cs="Calibri"/>
          <w:i/>
          <w:iCs/>
          <w:color w:val="0D0D0D" w:themeColor="text1" w:themeTint="F2"/>
          <w:kern w:val="0"/>
          <w14:ligatures w14:val="none"/>
        </w:rPr>
        <w:t>Nurse Education Today</w:t>
      </w:r>
      <w:r w:rsidRPr="00A12FC1">
        <w:rPr>
          <w:rFonts w:ascii="Calibri" w:eastAsia="DengXian" w:hAnsi="Calibri" w:cs="Calibri"/>
          <w:color w:val="0D0D0D" w:themeColor="text1" w:themeTint="F2"/>
          <w:kern w:val="0"/>
          <w14:ligatures w14:val="none"/>
        </w:rPr>
        <w:t>, 28(1)</w:t>
      </w:r>
      <w:r w:rsidRPr="00252CDE">
        <w:rPr>
          <w:rFonts w:ascii="Calibri" w:eastAsia="DengXian" w:hAnsi="Calibri" w:cs="Calibri"/>
          <w:color w:val="0D0D0D" w:themeColor="text1" w:themeTint="F2"/>
          <w:kern w:val="0"/>
          <w14:ligatures w14:val="none"/>
        </w:rPr>
        <w:t>,</w:t>
      </w:r>
      <w:r w:rsidRPr="00A12FC1">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A12FC1">
        <w:rPr>
          <w:rFonts w:ascii="Calibri" w:eastAsia="DengXian" w:hAnsi="Calibri" w:cs="Calibri"/>
          <w:color w:val="0D0D0D" w:themeColor="text1" w:themeTint="F2"/>
          <w:kern w:val="0"/>
          <w14:ligatures w14:val="none"/>
        </w:rPr>
        <w:t xml:space="preserve"> 70-76.</w:t>
      </w:r>
    </w:p>
    <w:p w14:paraId="79A2675A"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Loughrey, M. (2008) ‘Just how male are male nurses?’, </w:t>
      </w:r>
      <w:r w:rsidRPr="00252CDE">
        <w:rPr>
          <w:rFonts w:ascii="Calibri" w:hAnsi="Calibri" w:cs="Calibri"/>
          <w:i/>
          <w:iCs/>
          <w:color w:val="0D0D0D" w:themeColor="text1" w:themeTint="F2"/>
        </w:rPr>
        <w:t>Journal of Clinical Nursing</w:t>
      </w:r>
      <w:r w:rsidRPr="00252CDE">
        <w:rPr>
          <w:rFonts w:ascii="Calibri" w:hAnsi="Calibri" w:cs="Calibri"/>
          <w:color w:val="0D0D0D" w:themeColor="text1" w:themeTint="F2"/>
        </w:rPr>
        <w:t>, 17(10), pp. 1327-1334 https://doi.org/10.1111/j.1365-2702.2007.02250.x.</w:t>
      </w:r>
    </w:p>
    <w:p w14:paraId="6663EE1D"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MacFarlane, A., Russell-Rose, T. and Shokraneh, F. (2022) ‘Search strategy formulation for systematic reviews: Issues, challenges and opportunities’,</w:t>
      </w:r>
      <w:r w:rsidRPr="00252CDE">
        <w:rPr>
          <w:rFonts w:ascii="Calibri" w:hAnsi="Calibri" w:cs="Calibri"/>
          <w:i/>
          <w:iCs/>
          <w:color w:val="0D0D0D" w:themeColor="text1" w:themeTint="F2"/>
        </w:rPr>
        <w:t xml:space="preserve"> Intelligent Systems with Applications</w:t>
      </w:r>
      <w:r w:rsidRPr="00252CDE">
        <w:rPr>
          <w:rFonts w:ascii="Calibri" w:hAnsi="Calibri" w:cs="Calibri"/>
          <w:color w:val="0D0D0D" w:themeColor="text1" w:themeTint="F2"/>
        </w:rPr>
        <w:t>, 15.</w:t>
      </w:r>
    </w:p>
    <w:p w14:paraId="22B2C9A5" w14:textId="77777777" w:rsidR="00F35238" w:rsidRPr="00A12FC1" w:rsidRDefault="00F35238" w:rsidP="00F35238">
      <w:pPr>
        <w:spacing w:line="276" w:lineRule="auto"/>
        <w:rPr>
          <w:rFonts w:ascii="Calibri" w:eastAsia="DengXian" w:hAnsi="Calibri" w:cs="Calibri"/>
          <w:color w:val="0D0D0D" w:themeColor="text1" w:themeTint="F2"/>
          <w:kern w:val="0"/>
          <w14:ligatures w14:val="none"/>
        </w:rPr>
      </w:pPr>
      <w:r w:rsidRPr="00A12FC1">
        <w:rPr>
          <w:rFonts w:ascii="Calibri" w:eastAsia="DengXian" w:hAnsi="Calibri" w:cs="Calibri"/>
          <w:color w:val="0D0D0D" w:themeColor="text1" w:themeTint="F2"/>
          <w:kern w:val="0"/>
          <w14:ligatures w14:val="none"/>
        </w:rPr>
        <w:t>Mangold, K., Kunze, K. L., Quinonez, M. M., Taylor, L. M. and Tenison, A. J. (2018) ’Learning Style Preferences of Practicing Nurses’, </w:t>
      </w:r>
      <w:r w:rsidRPr="00A12FC1">
        <w:rPr>
          <w:rFonts w:ascii="Calibri" w:eastAsia="DengXian" w:hAnsi="Calibri" w:cs="Calibri"/>
          <w:i/>
          <w:iCs/>
          <w:color w:val="0D0D0D" w:themeColor="text1" w:themeTint="F2"/>
          <w:kern w:val="0"/>
          <w14:ligatures w14:val="none"/>
        </w:rPr>
        <w:t>Journal for nurses in professional development</w:t>
      </w:r>
      <w:r w:rsidRPr="00A12FC1">
        <w:rPr>
          <w:rFonts w:ascii="Calibri" w:eastAsia="DengXian" w:hAnsi="Calibri" w:cs="Calibri"/>
          <w:color w:val="0D0D0D" w:themeColor="text1" w:themeTint="F2"/>
          <w:kern w:val="0"/>
          <w14:ligatures w14:val="none"/>
        </w:rPr>
        <w:t>, 34(4)</w:t>
      </w:r>
      <w:r w:rsidRPr="00252CDE">
        <w:rPr>
          <w:rFonts w:ascii="Calibri" w:eastAsia="DengXian" w:hAnsi="Calibri" w:cs="Calibri"/>
          <w:color w:val="0D0D0D" w:themeColor="text1" w:themeTint="F2"/>
          <w:kern w:val="0"/>
          <w14:ligatures w14:val="none"/>
        </w:rPr>
        <w:t>,</w:t>
      </w:r>
      <w:r w:rsidRPr="00A12FC1">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A12FC1">
        <w:rPr>
          <w:rFonts w:ascii="Calibri" w:eastAsia="DengXian" w:hAnsi="Calibri" w:cs="Calibri"/>
          <w:color w:val="0D0D0D" w:themeColor="text1" w:themeTint="F2"/>
          <w:kern w:val="0"/>
          <w14:ligatures w14:val="none"/>
        </w:rPr>
        <w:t xml:space="preserve"> 212–218.</w:t>
      </w:r>
    </w:p>
    <w:p w14:paraId="3FEE8320" w14:textId="77777777" w:rsidR="00F35238" w:rsidRPr="00A12FC1" w:rsidRDefault="00F35238" w:rsidP="00F35238">
      <w:pPr>
        <w:spacing w:line="276" w:lineRule="auto"/>
        <w:rPr>
          <w:rFonts w:ascii="Calibri" w:eastAsia="DengXian" w:hAnsi="Calibri" w:cs="Calibri"/>
          <w:color w:val="0D0D0D" w:themeColor="text1" w:themeTint="F2"/>
          <w:kern w:val="0"/>
          <w14:ligatures w14:val="none"/>
        </w:rPr>
      </w:pPr>
      <w:r w:rsidRPr="00A12FC1">
        <w:rPr>
          <w:rFonts w:ascii="Calibri" w:eastAsia="DengXian" w:hAnsi="Calibri" w:cs="Calibri"/>
          <w:color w:val="0D0D0D" w:themeColor="text1" w:themeTint="F2"/>
          <w:kern w:val="0"/>
          <w14:ligatures w14:val="none"/>
        </w:rPr>
        <w:lastRenderedPageBreak/>
        <w:t>Mao, A., Cheong, P. L., Van, I. K. and Tam, H. L. (2021) ‘"I am called girl, but that doesn't matter" -perspectives of male nurses regarding gender-related advantages and disadvantages in professional development’, </w:t>
      </w:r>
      <w:r w:rsidRPr="00A12FC1">
        <w:rPr>
          <w:rFonts w:ascii="Calibri" w:eastAsia="DengXian" w:hAnsi="Calibri" w:cs="Calibri"/>
          <w:i/>
          <w:iCs/>
          <w:color w:val="0D0D0D" w:themeColor="text1" w:themeTint="F2"/>
          <w:kern w:val="0"/>
          <w14:ligatures w14:val="none"/>
        </w:rPr>
        <w:t>BMC nursing</w:t>
      </w:r>
      <w:r w:rsidRPr="00A12FC1">
        <w:rPr>
          <w:rFonts w:ascii="Calibri" w:eastAsia="DengXian" w:hAnsi="Calibri" w:cs="Calibri"/>
          <w:color w:val="0D0D0D" w:themeColor="text1" w:themeTint="F2"/>
          <w:kern w:val="0"/>
          <w14:ligatures w14:val="none"/>
        </w:rPr>
        <w:t>, </w:t>
      </w:r>
      <w:r w:rsidRPr="00A12FC1">
        <w:rPr>
          <w:rFonts w:ascii="Calibri" w:eastAsia="DengXian" w:hAnsi="Calibri" w:cs="Calibri"/>
          <w:i/>
          <w:iCs/>
          <w:color w:val="0D0D0D" w:themeColor="text1" w:themeTint="F2"/>
          <w:kern w:val="0"/>
          <w14:ligatures w14:val="none"/>
        </w:rPr>
        <w:t>20</w:t>
      </w:r>
      <w:r w:rsidRPr="00A12FC1">
        <w:rPr>
          <w:rFonts w:ascii="Calibri" w:eastAsia="DengXian" w:hAnsi="Calibri" w:cs="Calibri"/>
          <w:color w:val="0D0D0D" w:themeColor="text1" w:themeTint="F2"/>
          <w:kern w:val="0"/>
          <w14:ligatures w14:val="none"/>
        </w:rPr>
        <w:t>(1)</w:t>
      </w:r>
      <w:r w:rsidRPr="00252CDE">
        <w:rPr>
          <w:rFonts w:ascii="Calibri" w:eastAsia="DengXian" w:hAnsi="Calibri" w:cs="Calibri"/>
          <w:color w:val="0D0D0D" w:themeColor="text1" w:themeTint="F2"/>
          <w:kern w:val="0"/>
          <w14:ligatures w14:val="none"/>
        </w:rPr>
        <w:t>,</w:t>
      </w:r>
      <w:r w:rsidRPr="00A12FC1">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A12FC1">
        <w:rPr>
          <w:rFonts w:ascii="Calibri" w:eastAsia="DengXian" w:hAnsi="Calibri" w:cs="Calibri"/>
          <w:color w:val="0D0D0D" w:themeColor="text1" w:themeTint="F2"/>
          <w:kern w:val="0"/>
          <w14:ligatures w14:val="none"/>
        </w:rPr>
        <w:t xml:space="preserve"> 24 -30.</w:t>
      </w:r>
    </w:p>
    <w:p w14:paraId="3C2947B4"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Masibo, R. M., Masika, G. M. and Kibusi, S. M. (2025) ‘Gender Stereotypes and Bias in Nursing: A Qualitative Study in Tanzania’, Nursing Reports, 15(1), pp. 14. doi: 10.3390/nursrep15010014.</w:t>
      </w:r>
    </w:p>
    <w:p w14:paraId="16B09F82"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McIntosh, J. (2002) ‘Gender-related influences in nursing education’, </w:t>
      </w:r>
      <w:r w:rsidRPr="00252CDE">
        <w:rPr>
          <w:rFonts w:ascii="Calibri" w:hAnsi="Calibri" w:cs="Calibri"/>
          <w:i/>
          <w:iCs/>
          <w:color w:val="0D0D0D" w:themeColor="text1" w:themeTint="F2"/>
        </w:rPr>
        <w:t>Journal of Professional Nursing</w:t>
      </w:r>
      <w:r w:rsidRPr="00252CDE">
        <w:rPr>
          <w:rFonts w:ascii="Calibri" w:hAnsi="Calibri" w:cs="Calibri"/>
          <w:color w:val="0D0D0D" w:themeColor="text1" w:themeTint="F2"/>
        </w:rPr>
        <w:t>, 18(3), pp. 170-175.</w:t>
      </w:r>
    </w:p>
    <w:p w14:paraId="10E3ECE9" w14:textId="77777777" w:rsidR="00F35238" w:rsidRPr="00A12FC1" w:rsidRDefault="00F35238" w:rsidP="00F35238">
      <w:pPr>
        <w:spacing w:line="276" w:lineRule="auto"/>
        <w:rPr>
          <w:rFonts w:ascii="Calibri" w:eastAsia="DengXian" w:hAnsi="Calibri" w:cs="Calibri"/>
          <w:color w:val="0D0D0D" w:themeColor="text1" w:themeTint="F2"/>
          <w:kern w:val="0"/>
          <w14:ligatures w14:val="none"/>
        </w:rPr>
      </w:pPr>
      <w:r w:rsidRPr="00A12FC1">
        <w:rPr>
          <w:rFonts w:ascii="Calibri" w:eastAsia="DengXian" w:hAnsi="Calibri" w:cs="Calibri"/>
          <w:color w:val="0D0D0D" w:themeColor="text1" w:themeTint="F2"/>
          <w:kern w:val="0"/>
          <w14:ligatures w14:val="none"/>
        </w:rPr>
        <w:t xml:space="preserve">McKenna, L., Copnell, B., Butler, A. E. and Lau, R. (2018) ‘Learning style preferences of Australian accelerated postgraduate pre-registration nursing students: A cross-sectional survey’, </w:t>
      </w:r>
      <w:r w:rsidRPr="00A12FC1">
        <w:rPr>
          <w:rFonts w:ascii="Calibri" w:eastAsia="DengXian" w:hAnsi="Calibri" w:cs="Calibri"/>
          <w:i/>
          <w:iCs/>
          <w:color w:val="0D0D0D" w:themeColor="text1" w:themeTint="F2"/>
          <w:kern w:val="0"/>
          <w14:ligatures w14:val="none"/>
        </w:rPr>
        <w:t>Nurse Education Practice</w:t>
      </w:r>
      <w:r w:rsidRPr="00A12FC1">
        <w:rPr>
          <w:rFonts w:ascii="Calibri" w:eastAsia="DengXian" w:hAnsi="Calibri" w:cs="Calibri"/>
          <w:color w:val="0D0D0D" w:themeColor="text1" w:themeTint="F2"/>
          <w:kern w:val="0"/>
          <w14:ligatures w14:val="none"/>
        </w:rPr>
        <w:t>, 28(3)</w:t>
      </w:r>
      <w:r w:rsidRPr="00252CDE">
        <w:rPr>
          <w:rFonts w:ascii="Calibri" w:eastAsia="DengXian" w:hAnsi="Calibri" w:cs="Calibri"/>
          <w:color w:val="0D0D0D" w:themeColor="text1" w:themeTint="F2"/>
          <w:kern w:val="0"/>
          <w14:ligatures w14:val="none"/>
        </w:rPr>
        <w:t>,</w:t>
      </w:r>
      <w:r w:rsidRPr="00A12FC1">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A12FC1">
        <w:rPr>
          <w:rFonts w:ascii="Calibri" w:eastAsia="DengXian" w:hAnsi="Calibri" w:cs="Calibri"/>
          <w:color w:val="0D0D0D" w:themeColor="text1" w:themeTint="F2"/>
          <w:kern w:val="0"/>
          <w14:ligatures w14:val="none"/>
        </w:rPr>
        <w:t xml:space="preserve"> 280-284.</w:t>
      </w:r>
    </w:p>
    <w:p w14:paraId="1304605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McLaughlin, K. and Muldoon, O. (2010) ‘Gender, gender roles and completion of nursing education: a longitudinal study’, </w:t>
      </w:r>
      <w:r w:rsidRPr="00252CDE">
        <w:rPr>
          <w:rFonts w:ascii="Calibri" w:hAnsi="Calibri" w:cs="Calibri"/>
          <w:i/>
          <w:iCs/>
          <w:color w:val="0D0D0D" w:themeColor="text1" w:themeTint="F2"/>
        </w:rPr>
        <w:t>Nurse Education Today,</w:t>
      </w:r>
      <w:r w:rsidRPr="00252CDE">
        <w:rPr>
          <w:rFonts w:ascii="Calibri" w:hAnsi="Calibri" w:cs="Calibri"/>
          <w:color w:val="0D0D0D" w:themeColor="text1" w:themeTint="F2"/>
        </w:rPr>
        <w:t xml:space="preserve"> 30(4), pp 303–307.</w:t>
      </w:r>
    </w:p>
    <w:p w14:paraId="29F0BE34"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Meadus, R. and Twomey, J. (2011) ‘Men student nurses: the nursing education experience’ </w:t>
      </w:r>
      <w:r w:rsidRPr="00252CDE">
        <w:rPr>
          <w:rFonts w:ascii="Calibri" w:hAnsi="Calibri" w:cs="Calibri"/>
          <w:i/>
          <w:iCs/>
          <w:color w:val="0D0D0D" w:themeColor="text1" w:themeTint="F2"/>
        </w:rPr>
        <w:t>Nursing Forum</w:t>
      </w:r>
      <w:r w:rsidRPr="00252CDE">
        <w:rPr>
          <w:rFonts w:ascii="Calibri" w:hAnsi="Calibri" w:cs="Calibri"/>
          <w:color w:val="0D0D0D" w:themeColor="text1" w:themeTint="F2"/>
        </w:rPr>
        <w:t>, 46(4), pp. 269-279.</w:t>
      </w:r>
    </w:p>
    <w:p w14:paraId="13BD8724"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Mellish, J. M. (1984)</w:t>
      </w:r>
      <w:r w:rsidRPr="00252CDE">
        <w:rPr>
          <w:rFonts w:ascii="Calibri" w:hAnsi="Calibri" w:cs="Calibri"/>
          <w:i/>
          <w:iCs/>
          <w:color w:val="0D0D0D" w:themeColor="text1" w:themeTint="F2"/>
        </w:rPr>
        <w:t xml:space="preserve"> A Basic History of Nursing</w:t>
      </w:r>
      <w:r w:rsidRPr="00252CDE">
        <w:rPr>
          <w:rFonts w:ascii="Calibri" w:hAnsi="Calibri" w:cs="Calibri"/>
          <w:color w:val="0D0D0D" w:themeColor="text1" w:themeTint="F2"/>
        </w:rPr>
        <w:t>. Durban: Butterworth.</w:t>
      </w:r>
    </w:p>
    <w:p w14:paraId="68F6370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Miller, T. M. (1978) ‘The Knights of Saint John and the Hospitals of the Latin West’, Speculum </w:t>
      </w:r>
      <w:r w:rsidRPr="00252CDE">
        <w:rPr>
          <w:rFonts w:ascii="Calibri" w:hAnsi="Calibri" w:cs="Calibri"/>
          <w:i/>
          <w:iCs/>
          <w:color w:val="0D0D0D" w:themeColor="text1" w:themeTint="F2"/>
        </w:rPr>
        <w:t>Journal of Medieval Studies</w:t>
      </w:r>
      <w:r w:rsidRPr="00252CDE">
        <w:rPr>
          <w:rFonts w:ascii="Calibri" w:hAnsi="Calibri" w:cs="Calibri"/>
          <w:color w:val="0D0D0D" w:themeColor="text1" w:themeTint="F2"/>
        </w:rPr>
        <w:t>, 53(4), pp. 709-733. https://doi.org/10.2307/2849782.</w:t>
      </w:r>
    </w:p>
    <w:p w14:paraId="48AA2EA2"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Mohammed, J. (2012) ‘On the lookout for men’, </w:t>
      </w:r>
      <w:r w:rsidRPr="00252CDE">
        <w:rPr>
          <w:rFonts w:ascii="Calibri" w:hAnsi="Calibri" w:cs="Calibri"/>
          <w:i/>
          <w:iCs/>
          <w:color w:val="0D0D0D" w:themeColor="text1" w:themeTint="F2"/>
        </w:rPr>
        <w:t>Nursing Standard</w:t>
      </w:r>
      <w:r w:rsidRPr="00252CDE">
        <w:rPr>
          <w:rFonts w:ascii="Calibri" w:hAnsi="Calibri" w:cs="Calibri"/>
          <w:color w:val="0D0D0D" w:themeColor="text1" w:themeTint="F2"/>
        </w:rPr>
        <w:t>, 26(30).</w:t>
      </w:r>
    </w:p>
    <w:p w14:paraId="43CBD8F0"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Mohammed, S., Peter, E., Killackey, T. and Maciver, J. (2021) ‘The “nurse as hero” discourse in the COVID-19 pandemic: A post structural discourse analysis’, </w:t>
      </w:r>
      <w:r w:rsidRPr="00252CDE">
        <w:rPr>
          <w:rFonts w:ascii="Calibri" w:hAnsi="Calibri" w:cs="Calibri"/>
          <w:i/>
          <w:iCs/>
          <w:color w:val="0D0D0D" w:themeColor="text1" w:themeTint="F2"/>
        </w:rPr>
        <w:t>International Journal of Nursing Studies</w:t>
      </w:r>
      <w:r w:rsidRPr="00252CDE">
        <w:rPr>
          <w:rFonts w:ascii="Calibri" w:hAnsi="Calibri" w:cs="Calibri"/>
          <w:color w:val="0D0D0D" w:themeColor="text1" w:themeTint="F2"/>
        </w:rPr>
        <w:t>, 117.</w:t>
      </w:r>
    </w:p>
    <w:p w14:paraId="7E4E5217"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Montori, V. M., Smieja, M. and Guyatt, G. H. (2000) ‘Publication bias: a brief review for clinicians’, </w:t>
      </w:r>
      <w:r w:rsidRPr="00252CDE">
        <w:rPr>
          <w:rFonts w:ascii="Calibri" w:hAnsi="Calibri" w:cs="Calibri"/>
          <w:i/>
          <w:iCs/>
          <w:color w:val="0D0D0D" w:themeColor="text1" w:themeTint="F2"/>
        </w:rPr>
        <w:t>Mayo Clin Proceedings,</w:t>
      </w:r>
      <w:r w:rsidRPr="00252CDE">
        <w:rPr>
          <w:rFonts w:ascii="Calibri" w:hAnsi="Calibri" w:cs="Calibri"/>
          <w:color w:val="0D0D0D" w:themeColor="text1" w:themeTint="F2"/>
        </w:rPr>
        <w:t xml:space="preserve"> 75, pp. 1284–1288. doi:10.4065/75.12.1284.</w:t>
      </w:r>
    </w:p>
    <w:p w14:paraId="1DB03392"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Nowell, L. S., Norris, J. M., White, D. E. and Moules, N. J. (2017) ‘Thematic Analysis: Striving to Meet the Trustworthiness Criteria’, </w:t>
      </w:r>
      <w:r w:rsidRPr="00252CDE">
        <w:rPr>
          <w:rFonts w:ascii="Calibri" w:hAnsi="Calibri" w:cs="Calibri"/>
          <w:i/>
          <w:iCs/>
          <w:color w:val="0D0D0D" w:themeColor="text1" w:themeTint="F2"/>
        </w:rPr>
        <w:t>International Journal of Qualitative Methods</w:t>
      </w:r>
      <w:r w:rsidRPr="00252CDE">
        <w:rPr>
          <w:rFonts w:ascii="Calibri" w:hAnsi="Calibri" w:cs="Calibri"/>
          <w:color w:val="0D0D0D" w:themeColor="text1" w:themeTint="F2"/>
        </w:rPr>
        <w:t>, </w:t>
      </w:r>
      <w:r w:rsidRPr="00252CDE">
        <w:rPr>
          <w:rFonts w:ascii="Calibri" w:hAnsi="Calibri" w:cs="Calibri"/>
          <w:i/>
          <w:iCs/>
          <w:color w:val="0D0D0D" w:themeColor="text1" w:themeTint="F2"/>
        </w:rPr>
        <w:t>16</w:t>
      </w:r>
      <w:r w:rsidRPr="00252CDE">
        <w:rPr>
          <w:rFonts w:ascii="Calibri" w:hAnsi="Calibri" w:cs="Calibri"/>
          <w:color w:val="0D0D0D" w:themeColor="text1" w:themeTint="F2"/>
        </w:rPr>
        <w:t>(1). https://doi.org/10.1177/1609406917733847.</w:t>
      </w:r>
    </w:p>
    <w:p w14:paraId="0BB71B3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Nursing and Midwifery Council (2024a) </w:t>
      </w:r>
      <w:r w:rsidRPr="00252CDE">
        <w:rPr>
          <w:rFonts w:ascii="Calibri" w:hAnsi="Calibri" w:cs="Calibri"/>
          <w:i/>
          <w:iCs/>
          <w:color w:val="0D0D0D" w:themeColor="text1" w:themeTint="F2"/>
        </w:rPr>
        <w:t>The NMC Register: 1 Aprill 2023 – 31 March 2024.</w:t>
      </w:r>
      <w:r w:rsidRPr="00252CDE">
        <w:rPr>
          <w:rFonts w:ascii="Calibri" w:hAnsi="Calibri" w:cs="Calibri"/>
          <w:color w:val="0D0D0D" w:themeColor="text1" w:themeTint="F2"/>
        </w:rPr>
        <w:t xml:space="preserve">  London: NMC.</w:t>
      </w:r>
    </w:p>
    <w:p w14:paraId="0A9BE925"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Nursing and Midwifery Council (2024b) </w:t>
      </w:r>
      <w:r w:rsidRPr="00252CDE">
        <w:rPr>
          <w:rFonts w:ascii="Calibri" w:hAnsi="Calibri" w:cs="Calibri"/>
          <w:i/>
          <w:iCs/>
          <w:color w:val="0D0D0D" w:themeColor="text1" w:themeTint="F2"/>
        </w:rPr>
        <w:t>Our Latest Information about Nursing and Midwifery in the UK.</w:t>
      </w:r>
      <w:r w:rsidRPr="00252CDE">
        <w:rPr>
          <w:rFonts w:ascii="Calibri" w:hAnsi="Calibri" w:cs="Calibri"/>
          <w:color w:val="0D0D0D" w:themeColor="text1" w:themeTint="F2"/>
        </w:rPr>
        <w:t xml:space="preserve"> Available at:.nmc.org.uk/globalassets/sitedocuments/data-reports/march-2023/nmc-register-data-march-2023-easy-read.pdf (Accessed on: 19th March 2025).</w:t>
      </w:r>
    </w:p>
    <w:p w14:paraId="1A4BF3F4" w14:textId="77777777" w:rsidR="00F35238" w:rsidRPr="00252CDE" w:rsidRDefault="00F35238" w:rsidP="00F35238">
      <w:pPr>
        <w:spacing w:line="276" w:lineRule="auto"/>
        <w:rPr>
          <w:rFonts w:ascii="Calibri" w:eastAsia="DengXian" w:hAnsi="Calibri" w:cs="Calibri"/>
          <w:color w:val="0D0D0D" w:themeColor="text1" w:themeTint="F2"/>
          <w:kern w:val="0"/>
          <w14:ligatures w14:val="none"/>
        </w:rPr>
      </w:pPr>
      <w:r w:rsidRPr="00A12FC1">
        <w:rPr>
          <w:rFonts w:ascii="Calibri" w:eastAsia="DengXian" w:hAnsi="Calibri" w:cs="Calibri"/>
          <w:color w:val="0D0D0D" w:themeColor="text1" w:themeTint="F2"/>
          <w:kern w:val="0"/>
          <w14:ligatures w14:val="none"/>
        </w:rPr>
        <w:t xml:space="preserve">Nutting, M. A. and Dock, L. L. (1935) </w:t>
      </w:r>
      <w:r w:rsidRPr="00A12FC1">
        <w:rPr>
          <w:rFonts w:ascii="Calibri" w:eastAsia="DengXian" w:hAnsi="Calibri" w:cs="Calibri"/>
          <w:i/>
          <w:iCs/>
          <w:color w:val="0D0D0D" w:themeColor="text1" w:themeTint="F2"/>
          <w:kern w:val="0"/>
          <w14:ligatures w14:val="none"/>
        </w:rPr>
        <w:t>A History of Nursing</w:t>
      </w:r>
      <w:r w:rsidRPr="00A12FC1">
        <w:rPr>
          <w:rFonts w:ascii="Calibri" w:eastAsia="DengXian" w:hAnsi="Calibri" w:cs="Calibri"/>
          <w:color w:val="0D0D0D" w:themeColor="text1" w:themeTint="F2"/>
          <w:kern w:val="0"/>
          <w14:ligatures w14:val="none"/>
        </w:rPr>
        <w:t>. New York: G.P. Putnam and Sons.</w:t>
      </w:r>
    </w:p>
    <w:p w14:paraId="6EDAA45D"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lastRenderedPageBreak/>
        <w:t xml:space="preserve">O’Lynn, C. E. (2004) ‘Gender-Based Barriers for Male Students in Nursing Education Programs: Prevalence and Perceived Importance’, </w:t>
      </w:r>
      <w:r w:rsidRPr="00252CDE">
        <w:rPr>
          <w:rFonts w:ascii="Calibri" w:hAnsi="Calibri" w:cs="Calibri"/>
          <w:i/>
          <w:iCs/>
          <w:color w:val="0D0D0D" w:themeColor="text1" w:themeTint="F2"/>
        </w:rPr>
        <w:t>Journal of Nursing Education</w:t>
      </w:r>
      <w:r w:rsidRPr="00252CDE">
        <w:rPr>
          <w:rFonts w:ascii="Calibri" w:hAnsi="Calibri" w:cs="Calibri"/>
          <w:color w:val="0D0D0D" w:themeColor="text1" w:themeTint="F2"/>
        </w:rPr>
        <w:t>, 43(5), 229- 236. doi:10.3928/01484834-20040501-08.</w:t>
      </w:r>
    </w:p>
    <w:p w14:paraId="54E083FD" w14:textId="77777777" w:rsidR="00F35238" w:rsidRPr="00821F56" w:rsidRDefault="00F35238" w:rsidP="00F35238">
      <w:pPr>
        <w:spacing w:line="276" w:lineRule="auto"/>
        <w:rPr>
          <w:rFonts w:ascii="Calibri" w:eastAsia="DengXian" w:hAnsi="Calibri" w:cs="Calibri"/>
          <w:color w:val="0D0D0D" w:themeColor="text1" w:themeTint="F2"/>
          <w:kern w:val="0"/>
          <w14:ligatures w14:val="none"/>
        </w:rPr>
      </w:pPr>
      <w:r w:rsidRPr="00821F56">
        <w:rPr>
          <w:rFonts w:ascii="Calibri" w:eastAsia="DengXian" w:hAnsi="Calibri" w:cs="Calibri"/>
          <w:color w:val="0D0D0D" w:themeColor="text1" w:themeTint="F2"/>
          <w:kern w:val="0"/>
          <w14:ligatures w14:val="none"/>
        </w:rPr>
        <w:t>O’Lynn, C. E. and Tranbarger, R. E. (2007)</w:t>
      </w:r>
      <w:r w:rsidRPr="00821F56">
        <w:rPr>
          <w:rFonts w:ascii="Calibri" w:eastAsia="DengXian" w:hAnsi="Calibri" w:cs="Calibri"/>
          <w:i/>
          <w:iCs/>
          <w:color w:val="0D0D0D" w:themeColor="text1" w:themeTint="F2"/>
          <w:kern w:val="0"/>
          <w14:ligatures w14:val="none"/>
        </w:rPr>
        <w:t xml:space="preserve"> Men In Nursing: History, challenges and Opportunities.</w:t>
      </w:r>
      <w:r w:rsidRPr="00821F56">
        <w:rPr>
          <w:rFonts w:ascii="Calibri" w:eastAsia="DengXian" w:hAnsi="Calibri" w:cs="Calibri"/>
          <w:color w:val="0D0D0D" w:themeColor="text1" w:themeTint="F2"/>
          <w:kern w:val="0"/>
          <w14:ligatures w14:val="none"/>
        </w:rPr>
        <w:t xml:space="preserve"> New York: Springer Publishing Company.</w:t>
      </w:r>
    </w:p>
    <w:p w14:paraId="443452A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Paré, G. and Kitsiou, S. (2017) </w:t>
      </w:r>
      <w:r w:rsidRPr="00252CDE">
        <w:rPr>
          <w:rFonts w:ascii="Calibri" w:hAnsi="Calibri" w:cs="Calibri"/>
          <w:i/>
          <w:iCs/>
          <w:color w:val="0D0D0D" w:themeColor="text1" w:themeTint="F2"/>
        </w:rPr>
        <w:t>Chapter 9: Methods for Literature Reviews</w:t>
      </w:r>
      <w:r w:rsidRPr="00252CDE">
        <w:rPr>
          <w:rFonts w:ascii="Calibri" w:hAnsi="Calibri" w:cs="Calibri"/>
          <w:color w:val="0D0D0D" w:themeColor="text1" w:themeTint="F2"/>
        </w:rPr>
        <w:t>. In: Lau, F. and Kuziemsky, C. (eds)</w:t>
      </w:r>
      <w:r w:rsidRPr="00252CDE">
        <w:rPr>
          <w:rFonts w:ascii="Calibri" w:hAnsi="Calibri" w:cs="Calibri"/>
          <w:i/>
          <w:iCs/>
          <w:color w:val="0D0D0D" w:themeColor="text1" w:themeTint="F2"/>
        </w:rPr>
        <w:t xml:space="preserve"> Handbook of eHealth Evaluation: An Evidence-based Approach</w:t>
      </w:r>
      <w:r w:rsidRPr="00252CDE">
        <w:rPr>
          <w:rFonts w:ascii="Calibri" w:hAnsi="Calibri" w:cs="Calibri"/>
          <w:color w:val="0D0D0D" w:themeColor="text1" w:themeTint="F2"/>
        </w:rPr>
        <w:t>. Victoria: University of Victoria.</w:t>
      </w:r>
    </w:p>
    <w:p w14:paraId="2653D764" w14:textId="77777777" w:rsidR="00F35238" w:rsidRPr="00252DAC"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Paterson, B. L., Crawford, M., Saydak, M., Venkatesh, P., Tschikota, S. and Aronowitz, T. (1995) ‘How male nursing students learn to care’, </w:t>
      </w:r>
      <w:r w:rsidRPr="00252CDE">
        <w:rPr>
          <w:rFonts w:ascii="Calibri" w:hAnsi="Calibri" w:cs="Calibri"/>
          <w:i/>
          <w:iCs/>
          <w:color w:val="0D0D0D" w:themeColor="text1" w:themeTint="F2"/>
        </w:rPr>
        <w:t>Journal of Advanced Nursing,</w:t>
      </w:r>
      <w:r w:rsidRPr="00252CDE">
        <w:rPr>
          <w:rFonts w:ascii="Calibri" w:hAnsi="Calibri" w:cs="Calibri"/>
          <w:color w:val="0D0D0D" w:themeColor="text1" w:themeTint="F2"/>
        </w:rPr>
        <w:t> 22(3), 600-609.  https://doi.org/10.1046/j.1365-2648.1995.22030600.x.</w:t>
      </w:r>
    </w:p>
    <w:p w14:paraId="797AE16E"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Patino CM, Ferreira JC. Inclusion and exclusion criteria in research studies: definitions and why they matter. J Bras Pneumol. 2018 Apr;44(2):84. doi: 10.1590/s1806-37562018000000088.</w:t>
      </w:r>
    </w:p>
    <w:p w14:paraId="7A272B73"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Prosen, M. (2022) ‘Nursing students’ perception of gender-defined roles in nursing: a qualitative descriptive study’,</w:t>
      </w:r>
      <w:r w:rsidRPr="00252CDE">
        <w:rPr>
          <w:rFonts w:ascii="Calibri" w:hAnsi="Calibri" w:cs="Calibri"/>
          <w:i/>
          <w:iCs/>
          <w:color w:val="0D0D0D" w:themeColor="text1" w:themeTint="F2"/>
        </w:rPr>
        <w:t xml:space="preserve"> BMC Nursing,</w:t>
      </w:r>
      <w:r w:rsidRPr="00252CDE">
        <w:rPr>
          <w:rFonts w:ascii="Calibri" w:hAnsi="Calibri" w:cs="Calibri"/>
          <w:color w:val="0D0D0D" w:themeColor="text1" w:themeTint="F2"/>
        </w:rPr>
        <w:t> 21(104). https://doi.org/10.1186/s12912-022-00876-4.</w:t>
      </w:r>
    </w:p>
    <w:p w14:paraId="4BBAC999"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Reedy, N., Luyke, T., McGregor, R., King. R., Dawson, R., Robinson, B. and Terry, D. (2025) ‘Men in Mental Health: A Scoping Review of Challenges, Contributions, and Future Possibilities of Recruiting into Nursing’, Nursing Reports, 15(3), pp. 97. doi: 10.3390/nursrep15030097.</w:t>
      </w:r>
    </w:p>
    <w:p w14:paraId="57D4BEEF"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Reverby, S. (1987) ‘A caring dilemma: womanhood and nursing in historical perspective’, </w:t>
      </w:r>
      <w:r w:rsidRPr="00252CDE">
        <w:rPr>
          <w:rFonts w:ascii="Calibri" w:hAnsi="Calibri" w:cs="Calibri"/>
          <w:i/>
          <w:iCs/>
          <w:color w:val="0D0D0D" w:themeColor="text1" w:themeTint="F2"/>
        </w:rPr>
        <w:t>Journal of Nursing Research</w:t>
      </w:r>
      <w:r w:rsidRPr="00252CDE">
        <w:rPr>
          <w:rFonts w:ascii="Calibri" w:hAnsi="Calibri" w:cs="Calibri"/>
          <w:color w:val="0D0D0D" w:themeColor="text1" w:themeTint="F2"/>
        </w:rPr>
        <w:t>, 36(1), pp. 5-11. PMID: 3543850.</w:t>
      </w:r>
    </w:p>
    <w:p w14:paraId="17ADB430"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Riva, M. A. and Cesana, G. (2013) ‘The charity and the care: the origin and the evolution of hospitals’, </w:t>
      </w:r>
      <w:r w:rsidRPr="00252CDE">
        <w:rPr>
          <w:rFonts w:ascii="Calibri" w:hAnsi="Calibri" w:cs="Calibri"/>
          <w:i/>
          <w:iCs/>
          <w:color w:val="0D0D0D" w:themeColor="text1" w:themeTint="F2"/>
        </w:rPr>
        <w:t>European Journal of Internal Medicine</w:t>
      </w:r>
      <w:r w:rsidRPr="00252CDE">
        <w:rPr>
          <w:rFonts w:ascii="Calibri" w:hAnsi="Calibri" w:cs="Calibri"/>
          <w:color w:val="0D0D0D" w:themeColor="text1" w:themeTint="F2"/>
        </w:rPr>
        <w:t>, 24(1), pp. 111-114. https://doi.org/10.1016/j.ejim.2012.11.002.</w:t>
      </w:r>
    </w:p>
    <w:p w14:paraId="7DE65559"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Romem A, Rozani V. Gender-related differences in the scope of nursing practice: evidence from a cross-sectional study in geriatric healthcare settings. BMC Nurs. 2024 Nov 23;23(1):852. doi: 10.1186/s12912-024-02516-5.</w:t>
      </w:r>
    </w:p>
    <w:p w14:paraId="08653537"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Ross, D. (2017) ‘Challenges for men in a female dominated environment’, </w:t>
      </w:r>
      <w:r w:rsidRPr="00252CDE">
        <w:rPr>
          <w:rFonts w:ascii="Calibri" w:hAnsi="Calibri" w:cs="Calibri"/>
          <w:i/>
          <w:iCs/>
          <w:color w:val="0D0D0D" w:themeColor="text1" w:themeTint="F2"/>
        </w:rPr>
        <w:t>Links to Health and Social Care</w:t>
      </w:r>
      <w:r w:rsidRPr="00252CDE">
        <w:rPr>
          <w:rFonts w:ascii="Calibri" w:hAnsi="Calibri" w:cs="Calibri"/>
          <w:color w:val="0D0D0D" w:themeColor="text1" w:themeTint="F2"/>
        </w:rPr>
        <w:t>, 2(1), pp. 4–20.</w:t>
      </w:r>
    </w:p>
    <w:p w14:paraId="2DB73874"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Royal College of Nursing (2024a) </w:t>
      </w:r>
      <w:r w:rsidRPr="00252CDE">
        <w:rPr>
          <w:rFonts w:ascii="Calibri" w:hAnsi="Calibri" w:cs="Calibri"/>
          <w:i/>
          <w:iCs/>
          <w:color w:val="0D0D0D" w:themeColor="text1" w:themeTint="F2"/>
        </w:rPr>
        <w:t>Critical Nursing Shortages Leave Patients Unsafe</w:t>
      </w:r>
      <w:r w:rsidRPr="00252CDE">
        <w:rPr>
          <w:rFonts w:ascii="Calibri" w:hAnsi="Calibri" w:cs="Calibri"/>
          <w:color w:val="0D0D0D" w:themeColor="text1" w:themeTint="F2"/>
        </w:rPr>
        <w:t>. Available at: https://www.rcn.org.uk/news-and-events/Press-Releases/critical-nursing-shortages-leave-patients-unsafe-010724 (Accessed on 20th March 2025).</w:t>
      </w:r>
    </w:p>
    <w:p w14:paraId="68FD79D4"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Royal College of Nursing (2024b) </w:t>
      </w:r>
      <w:r w:rsidRPr="00252CDE">
        <w:rPr>
          <w:rFonts w:ascii="Calibri" w:hAnsi="Calibri" w:cs="Calibri"/>
          <w:i/>
          <w:iCs/>
          <w:color w:val="0D0D0D" w:themeColor="text1" w:themeTint="F2"/>
        </w:rPr>
        <w:t>RCN Forum Annual Report 2024</w:t>
      </w:r>
      <w:r w:rsidRPr="00252CDE">
        <w:rPr>
          <w:rFonts w:ascii="Calibri" w:hAnsi="Calibri" w:cs="Calibri"/>
          <w:color w:val="0D0D0D" w:themeColor="text1" w:themeTint="F2"/>
        </w:rPr>
        <w:t>. London: RCN.</w:t>
      </w:r>
    </w:p>
    <w:p w14:paraId="5F37A2FD"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lastRenderedPageBreak/>
        <w:t>Rudberg, S., Lachmann, H., Sormunen, T., Scheja, M. and Westerbotn, M.</w:t>
      </w:r>
      <w:r w:rsidRPr="00252CDE">
        <w:rPr>
          <w:rFonts w:ascii="Calibri" w:hAnsi="Calibri" w:cs="Calibri"/>
          <w:i/>
          <w:iCs/>
          <w:color w:val="0D0D0D" w:themeColor="text1" w:themeTint="F2"/>
        </w:rPr>
        <w:t xml:space="preserve"> </w:t>
      </w:r>
      <w:r w:rsidRPr="00252CDE">
        <w:rPr>
          <w:rFonts w:ascii="Calibri" w:hAnsi="Calibri" w:cs="Calibri"/>
          <w:color w:val="0D0D0D" w:themeColor="text1" w:themeTint="F2"/>
        </w:rPr>
        <w:t xml:space="preserve"> (2023) ‘The impact of learning styles on attitudes to interprofessional learning among nursing students: a longitudinal mixed methods study’, </w:t>
      </w:r>
      <w:r w:rsidRPr="00252CDE">
        <w:rPr>
          <w:rFonts w:ascii="Calibri" w:hAnsi="Calibri" w:cs="Calibri"/>
          <w:i/>
          <w:iCs/>
          <w:color w:val="0D0D0D" w:themeColor="text1" w:themeTint="F2"/>
        </w:rPr>
        <w:t>BMC Nursing,</w:t>
      </w:r>
      <w:r w:rsidRPr="00252CDE">
        <w:rPr>
          <w:rFonts w:ascii="Calibri" w:hAnsi="Calibri" w:cs="Calibri"/>
          <w:color w:val="0D0D0D" w:themeColor="text1" w:themeTint="F2"/>
        </w:rPr>
        <w:t> 22(68). https://doi.org/10.1186/s12912-023-01225-9.</w:t>
      </w:r>
    </w:p>
    <w:p w14:paraId="7474B01B"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Sarabi-Asiabar, A., Jafari, M., Sadeghifar, J., Tofighi, S., Zaboli, R., Peyman, H., Salimi, M. and Shams, L. (2014) ‘The relationship between learning style preferences and gender, educational major and status in first year medical students: a survey study.  </w:t>
      </w:r>
      <w:r w:rsidRPr="00252CDE">
        <w:rPr>
          <w:rFonts w:ascii="Calibri" w:hAnsi="Calibri" w:cs="Calibri"/>
          <w:i/>
          <w:iCs/>
          <w:color w:val="0D0D0D" w:themeColor="text1" w:themeTint="F2"/>
        </w:rPr>
        <w:t>Iran Red Crescent Medical Journal.</w:t>
      </w:r>
      <w:r w:rsidRPr="00252CDE">
        <w:rPr>
          <w:rFonts w:ascii="Calibri" w:hAnsi="Calibri" w:cs="Calibri"/>
          <w:color w:val="0D0D0D" w:themeColor="text1" w:themeTint="F2"/>
        </w:rPr>
        <w:t xml:space="preserve"> 17(1), e18250. doi: 10.5812/ircmj.18250.</w:t>
      </w:r>
    </w:p>
    <w:p w14:paraId="3B94E0BD"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Sasa, R. I. (2019) ‘Male nurse: A concept analysis’, </w:t>
      </w:r>
      <w:r w:rsidRPr="00252CDE">
        <w:rPr>
          <w:rFonts w:ascii="Calibri" w:hAnsi="Calibri" w:cs="Calibri"/>
          <w:i/>
          <w:iCs/>
          <w:color w:val="0D0D0D" w:themeColor="text1" w:themeTint="F2"/>
        </w:rPr>
        <w:t xml:space="preserve">Nursing Forum. </w:t>
      </w:r>
      <w:r w:rsidRPr="00252CDE">
        <w:rPr>
          <w:rFonts w:ascii="Calibri" w:hAnsi="Calibri" w:cs="Calibri"/>
          <w:color w:val="0D0D0D" w:themeColor="text1" w:themeTint="F2"/>
        </w:rPr>
        <w:t xml:space="preserve">https://doi.org/10.1111/nuf.12374. </w:t>
      </w:r>
    </w:p>
    <w:p w14:paraId="597E7FE9" w14:textId="77777777" w:rsidR="00F35238" w:rsidRPr="00691A4D"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Sasa, R. I. (2019) ‘Male nurse: A concept analysis’, </w:t>
      </w:r>
      <w:r w:rsidRPr="00252CDE">
        <w:rPr>
          <w:rFonts w:ascii="Calibri" w:hAnsi="Calibri" w:cs="Calibri"/>
          <w:i/>
          <w:iCs/>
          <w:color w:val="0D0D0D" w:themeColor="text1" w:themeTint="F2"/>
        </w:rPr>
        <w:t>Nursing Forum</w:t>
      </w:r>
      <w:r w:rsidRPr="00252CDE">
        <w:rPr>
          <w:rFonts w:ascii="Calibri" w:hAnsi="Calibri" w:cs="Calibri"/>
          <w:color w:val="0D0D0D" w:themeColor="text1" w:themeTint="F2"/>
        </w:rPr>
        <w:t xml:space="preserve">, 54, pp. 593-600. https://doi.org/10.1111/nuf.12374. </w:t>
      </w:r>
    </w:p>
    <w:p w14:paraId="64FDF1E6"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Sedgwick, M. G. and Kellett, P. (2015) ‘Exploring masculinity and marginalization of male undergraduate nursing students' experience of belonging during clinical experiences’, </w:t>
      </w:r>
      <w:r w:rsidRPr="00252CDE">
        <w:rPr>
          <w:rFonts w:ascii="Calibri" w:hAnsi="Calibri" w:cs="Calibri"/>
          <w:i/>
          <w:iCs/>
          <w:color w:val="0D0D0D" w:themeColor="text1" w:themeTint="F2"/>
        </w:rPr>
        <w:t>Journal of Nurse Education</w:t>
      </w:r>
      <w:r w:rsidRPr="00252CDE">
        <w:rPr>
          <w:rFonts w:ascii="Calibri" w:hAnsi="Calibri" w:cs="Calibri"/>
          <w:color w:val="0D0D0D" w:themeColor="text1" w:themeTint="F2"/>
        </w:rPr>
        <w:t>, 54(3), pp. 121-129.    https://doi.org/10.3928/01484834-20150218-15.</w:t>
      </w:r>
    </w:p>
    <w:p w14:paraId="7D35DFBD"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Sharma, R. K., Bharathy, G., Karimi, F., Mishra, A. V. and Prasad, M. (2023) ‘Thematic Analysis of Big Data Using NLP Techniques with a Cloud Computing Perspective: A Systematic Literature Review, </w:t>
      </w:r>
      <w:r w:rsidRPr="00252CDE">
        <w:rPr>
          <w:rFonts w:ascii="Calibri" w:hAnsi="Calibri" w:cs="Calibri"/>
          <w:i/>
          <w:iCs/>
          <w:color w:val="0D0D0D" w:themeColor="text1" w:themeTint="F2"/>
        </w:rPr>
        <w:t>Journal of</w:t>
      </w:r>
      <w:r w:rsidRPr="00252CDE">
        <w:rPr>
          <w:rFonts w:ascii="Calibri" w:hAnsi="Calibri" w:cs="Calibri"/>
          <w:color w:val="0D0D0D" w:themeColor="text1" w:themeTint="F2"/>
        </w:rPr>
        <w:t xml:space="preserve"> </w:t>
      </w:r>
      <w:r w:rsidRPr="00252CDE">
        <w:rPr>
          <w:rFonts w:ascii="Calibri" w:hAnsi="Calibri" w:cs="Calibri"/>
          <w:i/>
          <w:iCs/>
          <w:color w:val="0D0D0D" w:themeColor="text1" w:themeTint="F2"/>
        </w:rPr>
        <w:t>Information</w:t>
      </w:r>
      <w:r w:rsidRPr="00252CDE">
        <w:rPr>
          <w:rFonts w:ascii="Calibri" w:hAnsi="Calibri" w:cs="Calibri"/>
          <w:color w:val="0D0D0D" w:themeColor="text1" w:themeTint="F2"/>
        </w:rPr>
        <w:t xml:space="preserve">, 14(10), pp. 577. https://doi.org/10.3390/info14100577. </w:t>
      </w:r>
    </w:p>
    <w:p w14:paraId="16D5580A" w14:textId="77777777" w:rsidR="00F35238" w:rsidRPr="00821F56" w:rsidRDefault="00F35238" w:rsidP="00F35238">
      <w:pPr>
        <w:spacing w:line="276" w:lineRule="auto"/>
        <w:rPr>
          <w:rFonts w:ascii="Calibri" w:eastAsia="DengXian" w:hAnsi="Calibri" w:cs="Calibri"/>
          <w:color w:val="0D0D0D" w:themeColor="text1" w:themeTint="F2"/>
          <w:kern w:val="0"/>
          <w14:ligatures w14:val="none"/>
        </w:rPr>
      </w:pPr>
      <w:r w:rsidRPr="00821F56">
        <w:rPr>
          <w:rFonts w:ascii="Calibri" w:eastAsia="DengXian" w:hAnsi="Calibri" w:cs="Calibri"/>
          <w:color w:val="0D0D0D" w:themeColor="text1" w:themeTint="F2"/>
          <w:kern w:val="0"/>
          <w14:ligatures w14:val="none"/>
        </w:rPr>
        <w:t xml:space="preserve">Sherrod, D. (2003) ‘Reach out to the best and the brightest’, </w:t>
      </w:r>
      <w:r w:rsidRPr="00821F56">
        <w:rPr>
          <w:rFonts w:ascii="Calibri" w:eastAsia="DengXian" w:hAnsi="Calibri" w:cs="Calibri"/>
          <w:i/>
          <w:iCs/>
          <w:color w:val="0D0D0D" w:themeColor="text1" w:themeTint="F2"/>
          <w:kern w:val="0"/>
          <w14:ligatures w14:val="none"/>
        </w:rPr>
        <w:t>Journal of Nursing Practice</w:t>
      </w:r>
      <w:r w:rsidRPr="00821F56">
        <w:rPr>
          <w:rFonts w:ascii="Calibri" w:eastAsia="DengXian" w:hAnsi="Calibri" w:cs="Calibri"/>
          <w:color w:val="0D0D0D" w:themeColor="text1" w:themeTint="F2"/>
          <w:kern w:val="0"/>
          <w14:ligatures w14:val="none"/>
        </w:rPr>
        <w:t>, 33(3)</w:t>
      </w:r>
      <w:r w:rsidRPr="00252CDE">
        <w:rPr>
          <w:rFonts w:ascii="Calibri" w:eastAsia="DengXian" w:hAnsi="Calibri" w:cs="Calibri"/>
          <w:color w:val="0D0D0D" w:themeColor="text1" w:themeTint="F2"/>
          <w:kern w:val="0"/>
          <w14:ligatures w14:val="none"/>
        </w:rPr>
        <w:t>,</w:t>
      </w:r>
      <w:r w:rsidRPr="00821F56">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821F56">
        <w:rPr>
          <w:rFonts w:ascii="Calibri" w:eastAsia="DengXian" w:hAnsi="Calibri" w:cs="Calibri"/>
          <w:color w:val="0D0D0D" w:themeColor="text1" w:themeTint="F2"/>
          <w:kern w:val="0"/>
          <w14:ligatures w14:val="none"/>
        </w:rPr>
        <w:t xml:space="preserve"> 43-44.</w:t>
      </w:r>
    </w:p>
    <w:p w14:paraId="119F2D36" w14:textId="77777777" w:rsidR="00F35238" w:rsidRPr="00821F56" w:rsidRDefault="00F35238" w:rsidP="00F35238">
      <w:pPr>
        <w:spacing w:line="276" w:lineRule="auto"/>
        <w:rPr>
          <w:rFonts w:ascii="Calibri" w:eastAsia="DengXian" w:hAnsi="Calibri" w:cs="Calibri"/>
          <w:color w:val="0D0D0D" w:themeColor="text1" w:themeTint="F2"/>
          <w:kern w:val="0"/>
          <w14:ligatures w14:val="none"/>
        </w:rPr>
      </w:pPr>
      <w:r w:rsidRPr="00821F56">
        <w:rPr>
          <w:rFonts w:ascii="Calibri" w:eastAsia="DengXian" w:hAnsi="Calibri" w:cs="Calibri"/>
          <w:color w:val="0D0D0D" w:themeColor="text1" w:themeTint="F2"/>
          <w:kern w:val="0"/>
          <w14:ligatures w14:val="none"/>
        </w:rPr>
        <w:t xml:space="preserve">Sire, H. J. (1994) </w:t>
      </w:r>
      <w:r w:rsidRPr="00821F56">
        <w:rPr>
          <w:rFonts w:ascii="Calibri" w:eastAsia="DengXian" w:hAnsi="Calibri" w:cs="Calibri"/>
          <w:i/>
          <w:iCs/>
          <w:color w:val="0D0D0D" w:themeColor="text1" w:themeTint="F2"/>
          <w:kern w:val="0"/>
          <w14:ligatures w14:val="none"/>
        </w:rPr>
        <w:t>The Knights of Malta</w:t>
      </w:r>
      <w:r w:rsidRPr="00821F56">
        <w:rPr>
          <w:rFonts w:ascii="Calibri" w:eastAsia="DengXian" w:hAnsi="Calibri" w:cs="Calibri"/>
          <w:color w:val="0D0D0D" w:themeColor="text1" w:themeTint="F2"/>
          <w:kern w:val="0"/>
          <w14:ligatures w14:val="none"/>
        </w:rPr>
        <w:t>. New Haven: Yale University Press.</w:t>
      </w:r>
    </w:p>
    <w:p w14:paraId="22961F3A"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Smith, J. and Noble, H. (2025) ‘Understanding sources of bias in research’, </w:t>
      </w:r>
      <w:r w:rsidRPr="00252CDE">
        <w:rPr>
          <w:rFonts w:ascii="Calibri" w:hAnsi="Calibri" w:cs="Calibri"/>
          <w:i/>
          <w:iCs/>
          <w:color w:val="0D0D0D" w:themeColor="text1" w:themeTint="F2"/>
        </w:rPr>
        <w:t xml:space="preserve">Evidence-Based Nursing, </w:t>
      </w:r>
      <w:r w:rsidRPr="00252CDE">
        <w:rPr>
          <w:rFonts w:ascii="Calibri" w:hAnsi="Calibri" w:cs="Calibri"/>
          <w:color w:val="0D0D0D" w:themeColor="text1" w:themeTint="F2"/>
        </w:rPr>
        <w:t>doi: 10.1136/ebnurs-2024-104231</w:t>
      </w:r>
    </w:p>
    <w:p w14:paraId="7438A6CB" w14:textId="6FA8093D" w:rsidR="00F35238" w:rsidRPr="00821F56" w:rsidRDefault="00F35238" w:rsidP="00F35238">
      <w:pPr>
        <w:spacing w:line="276" w:lineRule="auto"/>
        <w:rPr>
          <w:rFonts w:ascii="Calibri" w:eastAsia="DengXian" w:hAnsi="Calibri" w:cs="Calibri"/>
          <w:color w:val="0D0D0D" w:themeColor="text1" w:themeTint="F2"/>
          <w:kern w:val="0"/>
          <w14:ligatures w14:val="none"/>
        </w:rPr>
      </w:pPr>
      <w:r w:rsidRPr="00821F56">
        <w:rPr>
          <w:rFonts w:ascii="Calibri" w:eastAsia="DengXian" w:hAnsi="Calibri" w:cs="Calibri"/>
          <w:color w:val="0D0D0D" w:themeColor="text1" w:themeTint="F2"/>
          <w:kern w:val="0"/>
          <w14:ligatures w14:val="none"/>
        </w:rPr>
        <w:t>Smith, B., and Field, L. (2018) </w:t>
      </w:r>
      <w:r w:rsidRPr="00821F56">
        <w:rPr>
          <w:rFonts w:ascii="Calibri" w:eastAsia="DengXian" w:hAnsi="Calibri" w:cs="Calibri"/>
          <w:i/>
          <w:iCs/>
          <w:color w:val="0D0D0D" w:themeColor="text1" w:themeTint="F2"/>
          <w:kern w:val="0"/>
          <w14:ligatures w14:val="none"/>
        </w:rPr>
        <w:t>Nursing Care: An Essential Guide for Nurses and Healthcare Workers in Primary and Secondary Care.</w:t>
      </w:r>
      <w:r w:rsidRPr="00821F56">
        <w:rPr>
          <w:rFonts w:ascii="Calibri" w:eastAsia="DengXian" w:hAnsi="Calibri" w:cs="Calibri"/>
          <w:color w:val="0D0D0D" w:themeColor="text1" w:themeTint="F2"/>
          <w:kern w:val="0"/>
          <w14:ligatures w14:val="none"/>
        </w:rPr>
        <w:t xml:space="preserve"> Sussex: Taylor </w:t>
      </w:r>
      <w:r w:rsidR="007F0FE7" w:rsidRPr="00252CDE">
        <w:rPr>
          <w:rFonts w:ascii="Calibri" w:eastAsia="DengXian" w:hAnsi="Calibri" w:cs="Calibri"/>
          <w:color w:val="0D0D0D" w:themeColor="text1" w:themeTint="F2"/>
          <w:kern w:val="0"/>
          <w14:ligatures w14:val="none"/>
        </w:rPr>
        <w:t>and</w:t>
      </w:r>
      <w:r w:rsidRPr="00821F56">
        <w:rPr>
          <w:rFonts w:ascii="Calibri" w:eastAsia="DengXian" w:hAnsi="Calibri" w:cs="Calibri"/>
          <w:color w:val="0D0D0D" w:themeColor="text1" w:themeTint="F2"/>
          <w:kern w:val="0"/>
          <w14:ligatures w14:val="none"/>
        </w:rPr>
        <w:t xml:space="preserve"> Francis.</w:t>
      </w:r>
    </w:p>
    <w:p w14:paraId="3C63B8D3"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Stanley, D., Beament, T., Falconer, D., Haigh, M., Saunders, R., Stanley, K., Wall, P. and Nielson, S. (2016) ‘The male of the species: a profile of men in nursing’, </w:t>
      </w:r>
      <w:r w:rsidRPr="00252CDE">
        <w:rPr>
          <w:rFonts w:ascii="Calibri" w:hAnsi="Calibri" w:cs="Calibri"/>
          <w:i/>
          <w:iCs/>
          <w:color w:val="0D0D0D" w:themeColor="text1" w:themeTint="F2"/>
        </w:rPr>
        <w:t>Journal of Advanced Nursing</w:t>
      </w:r>
      <w:r w:rsidRPr="00252CDE">
        <w:rPr>
          <w:rFonts w:ascii="Calibri" w:hAnsi="Calibri" w:cs="Calibri"/>
          <w:color w:val="0D0D0D" w:themeColor="text1" w:themeTint="F2"/>
        </w:rPr>
        <w:t>, 72(5), pp. 1155-1168. doi: 10.1111/jan.12905.</w:t>
      </w:r>
    </w:p>
    <w:p w14:paraId="58B652E3"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Stanley, D., Blanchard, D., Hohol, A., Hutton, M. and McDonald, A. (2017) ‘Health professionals’ perceptions of clinical leadership: A pilot study’</w:t>
      </w:r>
      <w:r w:rsidRPr="00252CDE">
        <w:rPr>
          <w:rFonts w:ascii="Calibri" w:hAnsi="Calibri" w:cs="Calibri"/>
          <w:i/>
          <w:iCs/>
          <w:color w:val="0D0D0D" w:themeColor="text1" w:themeTint="F2"/>
        </w:rPr>
        <w:t>, Journal of Cogent Medicine</w:t>
      </w:r>
      <w:r w:rsidRPr="00252CDE">
        <w:rPr>
          <w:rFonts w:ascii="Calibri" w:hAnsi="Calibri" w:cs="Calibri"/>
          <w:color w:val="0D0D0D" w:themeColor="text1" w:themeTint="F2"/>
        </w:rPr>
        <w:t xml:space="preserve">, 4(1). </w:t>
      </w:r>
    </w:p>
    <w:p w14:paraId="6596BF4E" w14:textId="77777777" w:rsidR="00F35238" w:rsidRPr="00821F56" w:rsidRDefault="00F35238" w:rsidP="00F35238">
      <w:pPr>
        <w:spacing w:line="276" w:lineRule="auto"/>
        <w:rPr>
          <w:rFonts w:ascii="Calibri" w:eastAsia="DengXian" w:hAnsi="Calibri" w:cs="Calibri"/>
          <w:color w:val="0D0D0D" w:themeColor="text1" w:themeTint="F2"/>
          <w:kern w:val="0"/>
          <w14:ligatures w14:val="none"/>
        </w:rPr>
      </w:pPr>
      <w:r w:rsidRPr="00821F56">
        <w:rPr>
          <w:rFonts w:ascii="Calibri" w:eastAsia="DengXian" w:hAnsi="Calibri" w:cs="Calibri"/>
          <w:color w:val="0D0D0D" w:themeColor="text1" w:themeTint="F2"/>
          <w:kern w:val="0"/>
          <w14:ligatures w14:val="none"/>
        </w:rPr>
        <w:t>Storey, K., and Last, J. R. (2021) </w:t>
      </w:r>
      <w:r w:rsidRPr="00821F56">
        <w:rPr>
          <w:rFonts w:ascii="Calibri" w:eastAsia="DengXian" w:hAnsi="Calibri" w:cs="Calibri"/>
          <w:i/>
          <w:iCs/>
          <w:color w:val="0D0D0D" w:themeColor="text1" w:themeTint="F2"/>
          <w:kern w:val="0"/>
          <w14:ligatures w14:val="none"/>
        </w:rPr>
        <w:t xml:space="preserve">A Nurse's Survival Guide to General Practice. </w:t>
      </w:r>
      <w:r w:rsidRPr="00821F56">
        <w:rPr>
          <w:rFonts w:ascii="Calibri" w:eastAsia="DengXian" w:hAnsi="Calibri" w:cs="Calibri"/>
          <w:color w:val="0D0D0D" w:themeColor="text1" w:themeTint="F2"/>
          <w:kern w:val="0"/>
          <w14:ligatures w14:val="none"/>
        </w:rPr>
        <w:t>Amsterdam: Elsevier Health Sciences.</w:t>
      </w:r>
    </w:p>
    <w:p w14:paraId="6336024E"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lastRenderedPageBreak/>
        <w:t>Tashakkori, A. and Teddlie, C. (2010) ‘Putting the Human Back in ‘‘Human Research Methodology’’: The Researcher in Mixed Methods Research’, </w:t>
      </w:r>
      <w:r w:rsidRPr="00252CDE">
        <w:rPr>
          <w:rFonts w:ascii="Calibri" w:hAnsi="Calibri" w:cs="Calibri"/>
          <w:i/>
          <w:iCs/>
          <w:color w:val="0D0D0D" w:themeColor="text1" w:themeTint="F2"/>
        </w:rPr>
        <w:t>Journal of Mixed Methods Research</w:t>
      </w:r>
      <w:r w:rsidRPr="00252CDE">
        <w:rPr>
          <w:rFonts w:ascii="Calibri" w:hAnsi="Calibri" w:cs="Calibri"/>
          <w:color w:val="0D0D0D" w:themeColor="text1" w:themeTint="F2"/>
        </w:rPr>
        <w:t>, </w:t>
      </w:r>
      <w:r w:rsidRPr="00252CDE">
        <w:rPr>
          <w:rFonts w:ascii="Calibri" w:hAnsi="Calibri" w:cs="Calibri"/>
          <w:i/>
          <w:iCs/>
          <w:color w:val="0D0D0D" w:themeColor="text1" w:themeTint="F2"/>
        </w:rPr>
        <w:t>4</w:t>
      </w:r>
      <w:r w:rsidRPr="00252CDE">
        <w:rPr>
          <w:rFonts w:ascii="Calibri" w:hAnsi="Calibri" w:cs="Calibri"/>
          <w:color w:val="0D0D0D" w:themeColor="text1" w:themeTint="F2"/>
        </w:rPr>
        <w:t>(4), pp. 271-277. https://doi.org/10.1177/1558689810382532.</w:t>
      </w:r>
    </w:p>
    <w:p w14:paraId="2A03448D"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Teresa-Morales, C., Rodríguez-Pérez, M., Araujo-Hernández, M. and Feria-Ramírez, C. (2022) ‘Current Stereotypes Associated with Nursing and Nursing Professionals: An Integrative Review’, </w:t>
      </w:r>
      <w:r w:rsidRPr="00252CDE">
        <w:rPr>
          <w:rFonts w:ascii="Calibri" w:hAnsi="Calibri" w:cs="Calibri"/>
          <w:i/>
          <w:iCs/>
          <w:color w:val="0D0D0D" w:themeColor="text1" w:themeTint="F2"/>
        </w:rPr>
        <w:t xml:space="preserve">International Journal of Environmental Research and Public Health, </w:t>
      </w:r>
      <w:r w:rsidRPr="00252CDE">
        <w:rPr>
          <w:rFonts w:ascii="Calibri" w:hAnsi="Calibri" w:cs="Calibri"/>
          <w:color w:val="0D0D0D" w:themeColor="text1" w:themeTint="F2"/>
        </w:rPr>
        <w:t>19(13), pp. 7640. doi: 10.3390/ijerph19137640.</w:t>
      </w:r>
    </w:p>
    <w:p w14:paraId="5A69A35F"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Terry, D., Peck, B., Carden, C., Perkins, A. J. and Smith, A. (2020) ‘Traversing the Funambulist’s Fine Line between Nursing and Male Identity: A Systematic Review of the Factors that Influence Men as They Seek to Navigate the Nursing Profession’, </w:t>
      </w:r>
      <w:r w:rsidRPr="00252CDE">
        <w:rPr>
          <w:rFonts w:ascii="Calibri" w:hAnsi="Calibri" w:cs="Calibri"/>
          <w:i/>
          <w:iCs/>
          <w:color w:val="0D0D0D" w:themeColor="text1" w:themeTint="F2"/>
        </w:rPr>
        <w:t>European Journal of Investigation in Health Psychology and Education,</w:t>
      </w:r>
      <w:r w:rsidRPr="00252CDE">
        <w:rPr>
          <w:rFonts w:ascii="Calibri" w:hAnsi="Calibri" w:cs="Calibri"/>
          <w:color w:val="0D0D0D" w:themeColor="text1" w:themeTint="F2"/>
        </w:rPr>
        <w:t xml:space="preserve"> 10, pp. 691–703. doi:10.3390/ejihpe10030051.</w:t>
      </w:r>
    </w:p>
    <w:p w14:paraId="21AD5EA9"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The National Archives (2025) </w:t>
      </w:r>
      <w:r w:rsidRPr="00252CDE">
        <w:rPr>
          <w:rFonts w:ascii="Calibri" w:hAnsi="Calibri" w:cs="Calibri"/>
          <w:i/>
          <w:iCs/>
          <w:color w:val="0D0D0D" w:themeColor="text1" w:themeTint="F2"/>
        </w:rPr>
        <w:t>Nurse Registration Act (1919).</w:t>
      </w:r>
      <w:r w:rsidRPr="00252CDE">
        <w:rPr>
          <w:rFonts w:ascii="Calibri" w:hAnsi="Calibri" w:cs="Calibri"/>
          <w:color w:val="0D0D0D" w:themeColor="text1" w:themeTint="F2"/>
        </w:rPr>
        <w:t xml:space="preserve"> Available at: https://www.legislation.gov.uk/ukpga/Geo5/9-10/94/enacted (Accessed on 10th May 2025).</w:t>
      </w:r>
    </w:p>
    <w:p w14:paraId="1315497F"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Thomas, J. and Harden, A. (2008) ‘Methods for the thematic synthesis of qualitative research in systematic reviews’, </w:t>
      </w:r>
      <w:r w:rsidRPr="00252CDE">
        <w:rPr>
          <w:rFonts w:ascii="Calibri" w:hAnsi="Calibri" w:cs="Calibri"/>
          <w:i/>
          <w:iCs/>
          <w:color w:val="0D0D0D" w:themeColor="text1" w:themeTint="F2"/>
        </w:rPr>
        <w:t xml:space="preserve">Medical Research Methodology, </w:t>
      </w:r>
      <w:r w:rsidRPr="00252CDE">
        <w:rPr>
          <w:rFonts w:ascii="Calibri" w:hAnsi="Calibri" w:cs="Calibri"/>
          <w:color w:val="0D0D0D" w:themeColor="text1" w:themeTint="F2"/>
        </w:rPr>
        <w:t>8(1), pp. 45.</w:t>
      </w:r>
    </w:p>
    <w:p w14:paraId="32B1474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Thompson, D. R., Quinn, B. and Watson, R. (2020) ‘Getting more men into nursing: An urgent priority (too little, too late)’, </w:t>
      </w:r>
      <w:r w:rsidRPr="00252CDE">
        <w:rPr>
          <w:rFonts w:ascii="Calibri" w:hAnsi="Calibri" w:cs="Calibri"/>
          <w:i/>
          <w:iCs/>
          <w:color w:val="0D0D0D" w:themeColor="text1" w:themeTint="F2"/>
        </w:rPr>
        <w:t>Journal of Nursing Management,</w:t>
      </w:r>
      <w:r w:rsidRPr="00252CDE">
        <w:rPr>
          <w:rFonts w:ascii="Calibri" w:hAnsi="Calibri" w:cs="Calibri"/>
          <w:color w:val="0D0D0D" w:themeColor="text1" w:themeTint="F2"/>
        </w:rPr>
        <w:t xml:space="preserve"> 28 (7), pp. 1463-1464. https://doi.org/10.1111/jonm.13021</w:t>
      </w:r>
    </w:p>
    <w:p w14:paraId="56086D32"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University and College Admissions Service (2024) </w:t>
      </w:r>
      <w:r w:rsidRPr="00252CDE">
        <w:rPr>
          <w:rFonts w:ascii="Calibri" w:hAnsi="Calibri" w:cs="Calibri"/>
          <w:i/>
          <w:iCs/>
          <w:color w:val="0D0D0D" w:themeColor="text1" w:themeTint="F2"/>
        </w:rPr>
        <w:t xml:space="preserve">UCAS End of Cycle Report: Chapter 2 – Nursing: Summary of applicants and acceptances.  </w:t>
      </w:r>
      <w:r w:rsidRPr="00252CDE">
        <w:rPr>
          <w:rFonts w:ascii="Calibri" w:hAnsi="Calibri" w:cs="Calibri"/>
          <w:color w:val="0D0D0D" w:themeColor="text1" w:themeTint="F2"/>
        </w:rPr>
        <w:t>Cheltenham: UCAS.</w:t>
      </w:r>
    </w:p>
    <w:p w14:paraId="1C52016A"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Vere-Jones, E. (2008) ‘</w:t>
      </w:r>
      <w:r w:rsidRPr="00691A4D">
        <w:rPr>
          <w:rFonts w:ascii="Calibri" w:hAnsi="Calibri" w:cs="Calibri"/>
          <w:color w:val="0D0D0D" w:themeColor="text1" w:themeTint="F2"/>
        </w:rPr>
        <w:t>Why are there so few men in nursing?</w:t>
      </w:r>
      <w:r w:rsidRPr="00252CDE">
        <w:rPr>
          <w:rFonts w:ascii="Calibri" w:hAnsi="Calibri" w:cs="Calibri"/>
          <w:color w:val="0D0D0D" w:themeColor="text1" w:themeTint="F2"/>
        </w:rPr>
        <w:t xml:space="preserve">’, </w:t>
      </w:r>
      <w:r w:rsidRPr="00252CDE">
        <w:rPr>
          <w:rFonts w:ascii="Calibri" w:hAnsi="Calibri" w:cs="Calibri"/>
          <w:i/>
          <w:iCs/>
          <w:color w:val="0D0D0D" w:themeColor="text1" w:themeTint="F2"/>
        </w:rPr>
        <w:t>Nursing Times.</w:t>
      </w:r>
      <w:r w:rsidRPr="00252CDE">
        <w:rPr>
          <w:rFonts w:ascii="Calibri" w:hAnsi="Calibri" w:cs="Calibri"/>
          <w:color w:val="0D0D0D" w:themeColor="text1" w:themeTint="F2"/>
        </w:rPr>
        <w:t xml:space="preserve"> https://www.nursingtimes.net/archive/why-are-there-so-few-men-in-nursing-03-03-2008/.</w:t>
      </w:r>
    </w:p>
    <w:p w14:paraId="110D08B7" w14:textId="77777777" w:rsidR="00F35238" w:rsidRPr="00821F56" w:rsidRDefault="00F35238" w:rsidP="00F35238">
      <w:pPr>
        <w:spacing w:line="276" w:lineRule="auto"/>
        <w:rPr>
          <w:rFonts w:ascii="Calibri" w:eastAsia="DengXian" w:hAnsi="Calibri" w:cs="Calibri"/>
          <w:color w:val="0D0D0D" w:themeColor="text1" w:themeTint="F2"/>
          <w:kern w:val="0"/>
          <w14:ligatures w14:val="none"/>
        </w:rPr>
      </w:pPr>
      <w:r w:rsidRPr="00821F56">
        <w:rPr>
          <w:rFonts w:ascii="Calibri" w:eastAsia="DengXian" w:hAnsi="Calibri" w:cs="Calibri"/>
          <w:color w:val="0D0D0D" w:themeColor="text1" w:themeTint="F2"/>
          <w:kern w:val="0"/>
          <w14:ligatures w14:val="none"/>
        </w:rPr>
        <w:t xml:space="preserve">Villanueve, M. (1994) ‘Recruiting and Retaining Men in Nursing: A review of literature’, </w:t>
      </w:r>
      <w:r w:rsidRPr="00821F56">
        <w:rPr>
          <w:rFonts w:ascii="Calibri" w:eastAsia="DengXian" w:hAnsi="Calibri" w:cs="Calibri"/>
          <w:i/>
          <w:iCs/>
          <w:color w:val="0D0D0D" w:themeColor="text1" w:themeTint="F2"/>
          <w:kern w:val="0"/>
          <w14:ligatures w14:val="none"/>
        </w:rPr>
        <w:t>Journal of Professional Nursing</w:t>
      </w:r>
      <w:r w:rsidRPr="00821F56">
        <w:rPr>
          <w:rFonts w:ascii="Calibri" w:eastAsia="DengXian" w:hAnsi="Calibri" w:cs="Calibri"/>
          <w:color w:val="0D0D0D" w:themeColor="text1" w:themeTint="F2"/>
          <w:kern w:val="0"/>
          <w14:ligatures w14:val="none"/>
        </w:rPr>
        <w:t>, 10(4)</w:t>
      </w:r>
      <w:r w:rsidRPr="00252CDE">
        <w:rPr>
          <w:rFonts w:ascii="Calibri" w:eastAsia="DengXian" w:hAnsi="Calibri" w:cs="Calibri"/>
          <w:color w:val="0D0D0D" w:themeColor="text1" w:themeTint="F2"/>
          <w:kern w:val="0"/>
          <w14:ligatures w14:val="none"/>
        </w:rPr>
        <w:t>,</w:t>
      </w:r>
      <w:r w:rsidRPr="00821F56">
        <w:rPr>
          <w:rFonts w:ascii="Calibri" w:eastAsia="DengXian" w:hAnsi="Calibri" w:cs="Calibri"/>
          <w:color w:val="0D0D0D" w:themeColor="text1" w:themeTint="F2"/>
          <w:kern w:val="0"/>
          <w14:ligatures w14:val="none"/>
        </w:rPr>
        <w:t xml:space="preserve"> pp</w:t>
      </w:r>
      <w:r w:rsidRPr="00252CDE">
        <w:rPr>
          <w:rFonts w:ascii="Calibri" w:eastAsia="DengXian" w:hAnsi="Calibri" w:cs="Calibri"/>
          <w:color w:val="0D0D0D" w:themeColor="text1" w:themeTint="F2"/>
          <w:kern w:val="0"/>
          <w14:ligatures w14:val="none"/>
        </w:rPr>
        <w:t>.</w:t>
      </w:r>
      <w:r w:rsidRPr="00821F56">
        <w:rPr>
          <w:rFonts w:ascii="Calibri" w:eastAsia="DengXian" w:hAnsi="Calibri" w:cs="Calibri"/>
          <w:color w:val="0D0D0D" w:themeColor="text1" w:themeTint="F2"/>
          <w:kern w:val="0"/>
          <w14:ligatures w14:val="none"/>
        </w:rPr>
        <w:t xml:space="preserve"> 217-228.</w:t>
      </w:r>
    </w:p>
    <w:p w14:paraId="3C1419B7"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Whitford, H. M., Marland, G., Carson, M., Bain, H., Eccles, J., Lee, J. and Taylor, J. (2020) ‘An exploration of the influences on under-representation of male pre-registration nursing students’, </w:t>
      </w:r>
      <w:r w:rsidRPr="00252CDE">
        <w:rPr>
          <w:rFonts w:ascii="Calibri" w:hAnsi="Calibri" w:cs="Calibri"/>
          <w:i/>
          <w:iCs/>
          <w:color w:val="0D0D0D" w:themeColor="text1" w:themeTint="F2"/>
        </w:rPr>
        <w:t>Nurse Education Today</w:t>
      </w:r>
      <w:r w:rsidRPr="00252CDE">
        <w:rPr>
          <w:rFonts w:ascii="Calibri" w:hAnsi="Calibri" w:cs="Calibri"/>
          <w:color w:val="0D0D0D" w:themeColor="text1" w:themeTint="F2"/>
        </w:rPr>
        <w:t>, 84, pp. 1-5. https://doi.org/10.1016/j.nedt.2019.104234.</w:t>
      </w:r>
    </w:p>
    <w:p w14:paraId="6A2B5506"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Wildman, S. and Hewison, A. (2009) ‘Rediscovering a history of nursing management: From Nightingale to the modern matron’, </w:t>
      </w:r>
      <w:r w:rsidRPr="00252CDE">
        <w:rPr>
          <w:rFonts w:ascii="Calibri" w:hAnsi="Calibri" w:cs="Calibri"/>
          <w:i/>
          <w:iCs/>
          <w:color w:val="0D0D0D" w:themeColor="text1" w:themeTint="F2"/>
        </w:rPr>
        <w:t>International Journal of Nursing Studies</w:t>
      </w:r>
      <w:r w:rsidRPr="00252CDE">
        <w:rPr>
          <w:rFonts w:ascii="Calibri" w:hAnsi="Calibri" w:cs="Calibri"/>
          <w:color w:val="0D0D0D" w:themeColor="text1" w:themeTint="F2"/>
        </w:rPr>
        <w:t>, 46(12), pp. 1650-1661. https://doi.org/10.1016/j.ijnurstu.2009.06.008.</w:t>
      </w:r>
    </w:p>
    <w:p w14:paraId="1B69B554"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Williams, K. (1978) </w:t>
      </w:r>
      <w:r w:rsidRPr="00252CDE">
        <w:rPr>
          <w:rFonts w:ascii="Calibri" w:hAnsi="Calibri" w:cs="Calibri"/>
          <w:i/>
          <w:iCs/>
          <w:color w:val="0D0D0D" w:themeColor="text1" w:themeTint="F2"/>
        </w:rPr>
        <w:t>Ideologies of Nursing: Their meanings and implications</w:t>
      </w:r>
      <w:r w:rsidRPr="00252CDE">
        <w:rPr>
          <w:rFonts w:ascii="Calibri" w:hAnsi="Calibri" w:cs="Calibri"/>
          <w:color w:val="0D0D0D" w:themeColor="text1" w:themeTint="F2"/>
        </w:rPr>
        <w:t>. Edinburgh: Churchill Livingstone.</w:t>
      </w:r>
    </w:p>
    <w:p w14:paraId="415E0B71"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lastRenderedPageBreak/>
        <w:t>Woo, B. F. Y., Goh, Y. S. and Zhou, W. (2022) ‘Understanding the gender gap in advanced practice nursing: A qualitative study’, Journal of  Nurse Management, 30(8), pp. 4480-4490. doi: 10.1111/jonm.13886.</w:t>
      </w:r>
    </w:p>
    <w:p w14:paraId="4FE9C32B"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World Health Organization (2024) </w:t>
      </w:r>
      <w:r w:rsidRPr="00252CDE">
        <w:rPr>
          <w:rFonts w:ascii="Calibri" w:hAnsi="Calibri" w:cs="Calibri"/>
          <w:i/>
          <w:iCs/>
          <w:color w:val="0D0D0D" w:themeColor="text1" w:themeTint="F2"/>
        </w:rPr>
        <w:t>Nursing and Midwifery: Key facts</w:t>
      </w:r>
      <w:r w:rsidRPr="00252CDE">
        <w:rPr>
          <w:rFonts w:ascii="Calibri" w:hAnsi="Calibri" w:cs="Calibri"/>
          <w:color w:val="0D0D0D" w:themeColor="text1" w:themeTint="F2"/>
        </w:rPr>
        <w:t>. Available at https://www.who.int/news-room/fact-sheets/detail/nursing-and-midwifery. (Accessed on 19th March 2025).</w:t>
      </w:r>
    </w:p>
    <w:p w14:paraId="55F12FA5"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Xavier, B. O., Solano-Ruiz, C., Idoia, M., Ugarte-Gurrutxaga, T. and Gomez-Cantarino, S. (2019) ‘Multidisciplinary Approach in Health: New Strategies from the Perspective of Education, Management, Culture and Gender’, </w:t>
      </w:r>
      <w:r w:rsidRPr="00252CDE">
        <w:rPr>
          <w:rFonts w:ascii="Calibri" w:hAnsi="Calibri" w:cs="Calibri"/>
          <w:i/>
          <w:iCs/>
          <w:color w:val="0D0D0D" w:themeColor="text1" w:themeTint="F2"/>
        </w:rPr>
        <w:t>Frontiers Media SA</w:t>
      </w:r>
      <w:r w:rsidRPr="00252CDE">
        <w:rPr>
          <w:rFonts w:ascii="Calibri" w:hAnsi="Calibri" w:cs="Calibri"/>
          <w:color w:val="0D0D0D" w:themeColor="text1" w:themeTint="F2"/>
        </w:rPr>
        <w:t>.</w:t>
      </w:r>
    </w:p>
    <w:p w14:paraId="20BDC3C8" w14:textId="77777777" w:rsidR="00F35238" w:rsidRPr="00252CDE" w:rsidRDefault="00F35238" w:rsidP="00F35238">
      <w:pPr>
        <w:spacing w:line="276" w:lineRule="auto"/>
        <w:rPr>
          <w:rFonts w:ascii="Calibri" w:hAnsi="Calibri" w:cs="Calibri"/>
          <w:color w:val="0D0D0D" w:themeColor="text1" w:themeTint="F2"/>
        </w:rPr>
      </w:pPr>
      <w:r w:rsidRPr="00252CDE">
        <w:rPr>
          <w:rFonts w:ascii="Calibri" w:hAnsi="Calibri" w:cs="Calibri"/>
          <w:color w:val="0D0D0D" w:themeColor="text1" w:themeTint="F2"/>
        </w:rPr>
        <w:t xml:space="preserve">Zhyberg, L. and Berry, D. M. (2005) ‘Gender and students’ vocational choices in entering the field of nursing’, </w:t>
      </w:r>
      <w:r w:rsidRPr="00252CDE">
        <w:rPr>
          <w:rFonts w:ascii="Calibri" w:hAnsi="Calibri" w:cs="Calibri"/>
          <w:i/>
          <w:iCs/>
          <w:color w:val="0D0D0D" w:themeColor="text1" w:themeTint="F2"/>
        </w:rPr>
        <w:t>Nursing Outlook</w:t>
      </w:r>
      <w:r w:rsidRPr="00252CDE">
        <w:rPr>
          <w:rFonts w:ascii="Calibri" w:hAnsi="Calibri" w:cs="Calibri"/>
          <w:color w:val="0D0D0D" w:themeColor="text1" w:themeTint="F2"/>
        </w:rPr>
        <w:t>, 53(17), pp. 193-198.</w:t>
      </w:r>
    </w:p>
    <w:p w14:paraId="566C36F9" w14:textId="77777777" w:rsidR="00BC5A87" w:rsidRPr="00A12FC1" w:rsidRDefault="00BC5A87" w:rsidP="00A12FC1">
      <w:pPr>
        <w:spacing w:line="276" w:lineRule="auto"/>
        <w:rPr>
          <w:rFonts w:ascii="Calibri" w:eastAsia="DengXian" w:hAnsi="Calibri" w:cs="Calibri"/>
          <w:color w:val="0D0D0D" w:themeColor="text1" w:themeTint="F2"/>
          <w:kern w:val="0"/>
          <w14:ligatures w14:val="none"/>
        </w:rPr>
      </w:pPr>
    </w:p>
    <w:p w14:paraId="44044949" w14:textId="77777777" w:rsidR="00BA69BA" w:rsidRPr="00252CDE" w:rsidRDefault="00BA69BA" w:rsidP="00FE5B80">
      <w:pPr>
        <w:spacing w:line="276" w:lineRule="auto"/>
        <w:rPr>
          <w:rFonts w:ascii="Calibri" w:hAnsi="Calibri" w:cs="Calibri"/>
          <w:color w:val="0D0D0D" w:themeColor="text1" w:themeTint="F2"/>
        </w:rPr>
      </w:pPr>
    </w:p>
    <w:sectPr w:rsidR="00BA69BA" w:rsidRPr="00252CDE" w:rsidSect="00E24FA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57FAC" w14:textId="77777777" w:rsidR="002F0E76" w:rsidRDefault="002F0E76" w:rsidP="0067555A">
      <w:pPr>
        <w:spacing w:after="0" w:line="240" w:lineRule="auto"/>
      </w:pPr>
      <w:r>
        <w:separator/>
      </w:r>
    </w:p>
  </w:endnote>
  <w:endnote w:type="continuationSeparator" w:id="0">
    <w:p w14:paraId="3121C0D4" w14:textId="77777777" w:rsidR="002F0E76" w:rsidRDefault="002F0E76" w:rsidP="00675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3149162"/>
      <w:docPartObj>
        <w:docPartGallery w:val="Page Numbers (Bottom of Page)"/>
        <w:docPartUnique/>
      </w:docPartObj>
    </w:sdtPr>
    <w:sdtEndPr>
      <w:rPr>
        <w:noProof/>
      </w:rPr>
    </w:sdtEndPr>
    <w:sdtContent>
      <w:p w14:paraId="2D4611AC" w14:textId="6500F49F" w:rsidR="00601CF7" w:rsidRDefault="00601C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CBD207" w14:textId="77777777" w:rsidR="000567AD" w:rsidRDefault="000567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5D29A8" w14:textId="77777777" w:rsidR="002F0E76" w:rsidRDefault="002F0E76" w:rsidP="0067555A">
      <w:pPr>
        <w:spacing w:after="0" w:line="240" w:lineRule="auto"/>
      </w:pPr>
      <w:r>
        <w:separator/>
      </w:r>
    </w:p>
  </w:footnote>
  <w:footnote w:type="continuationSeparator" w:id="0">
    <w:p w14:paraId="15A7BDFF" w14:textId="77777777" w:rsidR="002F0E76" w:rsidRDefault="002F0E76" w:rsidP="006755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D0B22"/>
    <w:multiLevelType w:val="multilevel"/>
    <w:tmpl w:val="B7E2E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E430D7"/>
    <w:multiLevelType w:val="multilevel"/>
    <w:tmpl w:val="C3F07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E46E06"/>
    <w:multiLevelType w:val="multilevel"/>
    <w:tmpl w:val="5EF67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68428E"/>
    <w:multiLevelType w:val="multilevel"/>
    <w:tmpl w:val="24DC9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343179"/>
    <w:multiLevelType w:val="multilevel"/>
    <w:tmpl w:val="496E83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E9519A"/>
    <w:multiLevelType w:val="multilevel"/>
    <w:tmpl w:val="838C0E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B77840"/>
    <w:multiLevelType w:val="multilevel"/>
    <w:tmpl w:val="ECE84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9D55A5"/>
    <w:multiLevelType w:val="multilevel"/>
    <w:tmpl w:val="B67C3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69695A"/>
    <w:multiLevelType w:val="multilevel"/>
    <w:tmpl w:val="BD5C0F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1276810">
    <w:abstractNumId w:val="5"/>
  </w:num>
  <w:num w:numId="2" w16cid:durableId="1804692533">
    <w:abstractNumId w:val="4"/>
  </w:num>
  <w:num w:numId="3" w16cid:durableId="374812291">
    <w:abstractNumId w:val="8"/>
  </w:num>
  <w:num w:numId="4" w16cid:durableId="393357458">
    <w:abstractNumId w:val="1"/>
  </w:num>
  <w:num w:numId="5" w16cid:durableId="1691294999">
    <w:abstractNumId w:val="0"/>
  </w:num>
  <w:num w:numId="6" w16cid:durableId="30811164">
    <w:abstractNumId w:val="3"/>
  </w:num>
  <w:num w:numId="7" w16cid:durableId="212011287">
    <w:abstractNumId w:val="7"/>
  </w:num>
  <w:num w:numId="8" w16cid:durableId="2127893263">
    <w:abstractNumId w:val="6"/>
  </w:num>
  <w:num w:numId="9" w16cid:durableId="18623566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FA5"/>
    <w:rsid w:val="000003B4"/>
    <w:rsid w:val="00000F36"/>
    <w:rsid w:val="0000152D"/>
    <w:rsid w:val="00002246"/>
    <w:rsid w:val="00003BD0"/>
    <w:rsid w:val="00004A63"/>
    <w:rsid w:val="00005250"/>
    <w:rsid w:val="00005DE7"/>
    <w:rsid w:val="0000625B"/>
    <w:rsid w:val="00006E65"/>
    <w:rsid w:val="000107F4"/>
    <w:rsid w:val="000110A6"/>
    <w:rsid w:val="000111F3"/>
    <w:rsid w:val="00011518"/>
    <w:rsid w:val="00015E02"/>
    <w:rsid w:val="000162AC"/>
    <w:rsid w:val="00020B3B"/>
    <w:rsid w:val="00023417"/>
    <w:rsid w:val="00023DD0"/>
    <w:rsid w:val="00027A01"/>
    <w:rsid w:val="00031EBC"/>
    <w:rsid w:val="00033766"/>
    <w:rsid w:val="000369BA"/>
    <w:rsid w:val="00043A63"/>
    <w:rsid w:val="0004444D"/>
    <w:rsid w:val="00045571"/>
    <w:rsid w:val="00045E2B"/>
    <w:rsid w:val="00047F93"/>
    <w:rsid w:val="000517E6"/>
    <w:rsid w:val="00056645"/>
    <w:rsid w:val="000567AD"/>
    <w:rsid w:val="00057EFD"/>
    <w:rsid w:val="000602DE"/>
    <w:rsid w:val="00062447"/>
    <w:rsid w:val="0006298F"/>
    <w:rsid w:val="0006524C"/>
    <w:rsid w:val="0006678A"/>
    <w:rsid w:val="000669AC"/>
    <w:rsid w:val="00067ADC"/>
    <w:rsid w:val="00072798"/>
    <w:rsid w:val="00073A68"/>
    <w:rsid w:val="0007526A"/>
    <w:rsid w:val="00076A96"/>
    <w:rsid w:val="00077195"/>
    <w:rsid w:val="000836B6"/>
    <w:rsid w:val="00083AD4"/>
    <w:rsid w:val="00085748"/>
    <w:rsid w:val="00086ED7"/>
    <w:rsid w:val="000959FF"/>
    <w:rsid w:val="00096FAA"/>
    <w:rsid w:val="000973F5"/>
    <w:rsid w:val="00097F90"/>
    <w:rsid w:val="000A502D"/>
    <w:rsid w:val="000A50FB"/>
    <w:rsid w:val="000A5262"/>
    <w:rsid w:val="000B1FEB"/>
    <w:rsid w:val="000B3203"/>
    <w:rsid w:val="000B45D5"/>
    <w:rsid w:val="000B6F57"/>
    <w:rsid w:val="000B7AF5"/>
    <w:rsid w:val="000C11AE"/>
    <w:rsid w:val="000C3080"/>
    <w:rsid w:val="000C5DC2"/>
    <w:rsid w:val="000D0CEC"/>
    <w:rsid w:val="000D1013"/>
    <w:rsid w:val="000D1EFF"/>
    <w:rsid w:val="000D2C1E"/>
    <w:rsid w:val="000D2CAC"/>
    <w:rsid w:val="000D2F52"/>
    <w:rsid w:val="000D35DD"/>
    <w:rsid w:val="000D3E6D"/>
    <w:rsid w:val="000E22A8"/>
    <w:rsid w:val="000E26AE"/>
    <w:rsid w:val="000E2E63"/>
    <w:rsid w:val="000E30E8"/>
    <w:rsid w:val="000E490E"/>
    <w:rsid w:val="000E627F"/>
    <w:rsid w:val="000E63B3"/>
    <w:rsid w:val="000E7268"/>
    <w:rsid w:val="000F0C89"/>
    <w:rsid w:val="000F1464"/>
    <w:rsid w:val="000F596B"/>
    <w:rsid w:val="00104DBC"/>
    <w:rsid w:val="00105461"/>
    <w:rsid w:val="00110D6E"/>
    <w:rsid w:val="00112FF5"/>
    <w:rsid w:val="00113E67"/>
    <w:rsid w:val="00116A07"/>
    <w:rsid w:val="001175DD"/>
    <w:rsid w:val="00117F38"/>
    <w:rsid w:val="00121A62"/>
    <w:rsid w:val="00121A9A"/>
    <w:rsid w:val="00124CF2"/>
    <w:rsid w:val="00126A4F"/>
    <w:rsid w:val="00126B9B"/>
    <w:rsid w:val="0012763D"/>
    <w:rsid w:val="00127B56"/>
    <w:rsid w:val="00130938"/>
    <w:rsid w:val="0013212D"/>
    <w:rsid w:val="001321FF"/>
    <w:rsid w:val="00133CF0"/>
    <w:rsid w:val="00135A2B"/>
    <w:rsid w:val="00137B4B"/>
    <w:rsid w:val="00137EEE"/>
    <w:rsid w:val="001413AA"/>
    <w:rsid w:val="00141496"/>
    <w:rsid w:val="00143EBE"/>
    <w:rsid w:val="00144A25"/>
    <w:rsid w:val="00147077"/>
    <w:rsid w:val="00151680"/>
    <w:rsid w:val="00151AE1"/>
    <w:rsid w:val="00151FBE"/>
    <w:rsid w:val="001578FB"/>
    <w:rsid w:val="00160973"/>
    <w:rsid w:val="00162AA2"/>
    <w:rsid w:val="001630C9"/>
    <w:rsid w:val="00171384"/>
    <w:rsid w:val="00172A20"/>
    <w:rsid w:val="00172E80"/>
    <w:rsid w:val="00174AA8"/>
    <w:rsid w:val="00174AED"/>
    <w:rsid w:val="0017621A"/>
    <w:rsid w:val="00176959"/>
    <w:rsid w:val="0017744C"/>
    <w:rsid w:val="0017782E"/>
    <w:rsid w:val="00177D2E"/>
    <w:rsid w:val="001804C9"/>
    <w:rsid w:val="00183811"/>
    <w:rsid w:val="001847AA"/>
    <w:rsid w:val="00190088"/>
    <w:rsid w:val="00190964"/>
    <w:rsid w:val="00190FFF"/>
    <w:rsid w:val="0019134A"/>
    <w:rsid w:val="00191B2D"/>
    <w:rsid w:val="00191ED4"/>
    <w:rsid w:val="00191F10"/>
    <w:rsid w:val="0019244E"/>
    <w:rsid w:val="00192E80"/>
    <w:rsid w:val="00194386"/>
    <w:rsid w:val="00196455"/>
    <w:rsid w:val="00196533"/>
    <w:rsid w:val="00196CB6"/>
    <w:rsid w:val="00197050"/>
    <w:rsid w:val="001A0941"/>
    <w:rsid w:val="001A1D0E"/>
    <w:rsid w:val="001A45B0"/>
    <w:rsid w:val="001A79A5"/>
    <w:rsid w:val="001B07B9"/>
    <w:rsid w:val="001B596B"/>
    <w:rsid w:val="001B65A6"/>
    <w:rsid w:val="001B6627"/>
    <w:rsid w:val="001B68D3"/>
    <w:rsid w:val="001B6BBF"/>
    <w:rsid w:val="001B6ECD"/>
    <w:rsid w:val="001C0115"/>
    <w:rsid w:val="001C08D1"/>
    <w:rsid w:val="001C1F1D"/>
    <w:rsid w:val="001C261A"/>
    <w:rsid w:val="001C2688"/>
    <w:rsid w:val="001C30EC"/>
    <w:rsid w:val="001C3680"/>
    <w:rsid w:val="001C57D5"/>
    <w:rsid w:val="001C6552"/>
    <w:rsid w:val="001D25F6"/>
    <w:rsid w:val="001D29BD"/>
    <w:rsid w:val="001D4DD0"/>
    <w:rsid w:val="001D5180"/>
    <w:rsid w:val="001D64D6"/>
    <w:rsid w:val="001D6515"/>
    <w:rsid w:val="001D7403"/>
    <w:rsid w:val="001D7863"/>
    <w:rsid w:val="001E114B"/>
    <w:rsid w:val="001E53B1"/>
    <w:rsid w:val="001E6206"/>
    <w:rsid w:val="001F0673"/>
    <w:rsid w:val="00202024"/>
    <w:rsid w:val="002029A2"/>
    <w:rsid w:val="002044DA"/>
    <w:rsid w:val="00204C4D"/>
    <w:rsid w:val="002169AD"/>
    <w:rsid w:val="00216BF4"/>
    <w:rsid w:val="00216E76"/>
    <w:rsid w:val="00217453"/>
    <w:rsid w:val="00221DD1"/>
    <w:rsid w:val="002227ED"/>
    <w:rsid w:val="00223395"/>
    <w:rsid w:val="00226B8E"/>
    <w:rsid w:val="00226F32"/>
    <w:rsid w:val="00231573"/>
    <w:rsid w:val="0023219A"/>
    <w:rsid w:val="00234762"/>
    <w:rsid w:val="00235F6F"/>
    <w:rsid w:val="00236B44"/>
    <w:rsid w:val="00237EAA"/>
    <w:rsid w:val="002408CB"/>
    <w:rsid w:val="00241142"/>
    <w:rsid w:val="00242371"/>
    <w:rsid w:val="00242D59"/>
    <w:rsid w:val="00244789"/>
    <w:rsid w:val="0024480B"/>
    <w:rsid w:val="002471E7"/>
    <w:rsid w:val="00247CC0"/>
    <w:rsid w:val="002502F9"/>
    <w:rsid w:val="00252CDE"/>
    <w:rsid w:val="00252DAC"/>
    <w:rsid w:val="00253FD4"/>
    <w:rsid w:val="00257B6E"/>
    <w:rsid w:val="00263134"/>
    <w:rsid w:val="002645F3"/>
    <w:rsid w:val="00264D14"/>
    <w:rsid w:val="002652DE"/>
    <w:rsid w:val="00271981"/>
    <w:rsid w:val="00273419"/>
    <w:rsid w:val="00273FF5"/>
    <w:rsid w:val="00275C73"/>
    <w:rsid w:val="00277D68"/>
    <w:rsid w:val="002843C9"/>
    <w:rsid w:val="002843CA"/>
    <w:rsid w:val="00293EE3"/>
    <w:rsid w:val="00293F23"/>
    <w:rsid w:val="002A01F7"/>
    <w:rsid w:val="002A1FFA"/>
    <w:rsid w:val="002A2E57"/>
    <w:rsid w:val="002A3D68"/>
    <w:rsid w:val="002A47E5"/>
    <w:rsid w:val="002B2D3B"/>
    <w:rsid w:val="002B37F5"/>
    <w:rsid w:val="002B3A5D"/>
    <w:rsid w:val="002B61E1"/>
    <w:rsid w:val="002C2F52"/>
    <w:rsid w:val="002C4FFB"/>
    <w:rsid w:val="002C51B1"/>
    <w:rsid w:val="002C569E"/>
    <w:rsid w:val="002C6EB3"/>
    <w:rsid w:val="002C6F69"/>
    <w:rsid w:val="002D0C97"/>
    <w:rsid w:val="002D1D74"/>
    <w:rsid w:val="002D246C"/>
    <w:rsid w:val="002D3459"/>
    <w:rsid w:val="002D3C78"/>
    <w:rsid w:val="002D4D5A"/>
    <w:rsid w:val="002E00A3"/>
    <w:rsid w:val="002E14AF"/>
    <w:rsid w:val="002E43EF"/>
    <w:rsid w:val="002E5424"/>
    <w:rsid w:val="002E58F6"/>
    <w:rsid w:val="002E6BCB"/>
    <w:rsid w:val="002F0E76"/>
    <w:rsid w:val="002F19F4"/>
    <w:rsid w:val="002F3861"/>
    <w:rsid w:val="002F4CFC"/>
    <w:rsid w:val="002F5679"/>
    <w:rsid w:val="002F7A3E"/>
    <w:rsid w:val="00302211"/>
    <w:rsid w:val="00303A36"/>
    <w:rsid w:val="00303B3F"/>
    <w:rsid w:val="0030565E"/>
    <w:rsid w:val="003065E6"/>
    <w:rsid w:val="00310A92"/>
    <w:rsid w:val="00310B2D"/>
    <w:rsid w:val="00311334"/>
    <w:rsid w:val="00312A2F"/>
    <w:rsid w:val="00313CB0"/>
    <w:rsid w:val="00314420"/>
    <w:rsid w:val="00315B2C"/>
    <w:rsid w:val="0031700D"/>
    <w:rsid w:val="003203B8"/>
    <w:rsid w:val="0033091E"/>
    <w:rsid w:val="00332964"/>
    <w:rsid w:val="00334065"/>
    <w:rsid w:val="00337942"/>
    <w:rsid w:val="00340A2A"/>
    <w:rsid w:val="00344431"/>
    <w:rsid w:val="00344699"/>
    <w:rsid w:val="003502C2"/>
    <w:rsid w:val="00351BFF"/>
    <w:rsid w:val="00352311"/>
    <w:rsid w:val="0035387D"/>
    <w:rsid w:val="0035695A"/>
    <w:rsid w:val="00356B46"/>
    <w:rsid w:val="00357744"/>
    <w:rsid w:val="00360040"/>
    <w:rsid w:val="003617B9"/>
    <w:rsid w:val="003619A0"/>
    <w:rsid w:val="00362DD9"/>
    <w:rsid w:val="00364435"/>
    <w:rsid w:val="00365690"/>
    <w:rsid w:val="00367251"/>
    <w:rsid w:val="003675AD"/>
    <w:rsid w:val="00371826"/>
    <w:rsid w:val="00373356"/>
    <w:rsid w:val="003740B3"/>
    <w:rsid w:val="00375322"/>
    <w:rsid w:val="00377603"/>
    <w:rsid w:val="003814B3"/>
    <w:rsid w:val="003840D5"/>
    <w:rsid w:val="00385B3A"/>
    <w:rsid w:val="003918E4"/>
    <w:rsid w:val="00391F08"/>
    <w:rsid w:val="0039227A"/>
    <w:rsid w:val="00392F2F"/>
    <w:rsid w:val="003942C5"/>
    <w:rsid w:val="00395288"/>
    <w:rsid w:val="00396F28"/>
    <w:rsid w:val="00397267"/>
    <w:rsid w:val="003979E0"/>
    <w:rsid w:val="003A0D40"/>
    <w:rsid w:val="003A0EF6"/>
    <w:rsid w:val="003A13BF"/>
    <w:rsid w:val="003A2346"/>
    <w:rsid w:val="003A41FC"/>
    <w:rsid w:val="003A4280"/>
    <w:rsid w:val="003A59E4"/>
    <w:rsid w:val="003A636D"/>
    <w:rsid w:val="003B3722"/>
    <w:rsid w:val="003B5C4B"/>
    <w:rsid w:val="003C132D"/>
    <w:rsid w:val="003C14FF"/>
    <w:rsid w:val="003C1F1A"/>
    <w:rsid w:val="003C20A7"/>
    <w:rsid w:val="003C3037"/>
    <w:rsid w:val="003C5D49"/>
    <w:rsid w:val="003C7443"/>
    <w:rsid w:val="003D02F7"/>
    <w:rsid w:val="003D1A40"/>
    <w:rsid w:val="003D1F59"/>
    <w:rsid w:val="003D4B1A"/>
    <w:rsid w:val="003D7CC1"/>
    <w:rsid w:val="003E01EE"/>
    <w:rsid w:val="003E087A"/>
    <w:rsid w:val="003E1962"/>
    <w:rsid w:val="003E2F84"/>
    <w:rsid w:val="003E6765"/>
    <w:rsid w:val="003E7DC8"/>
    <w:rsid w:val="003F068D"/>
    <w:rsid w:val="003F4A45"/>
    <w:rsid w:val="003F4B78"/>
    <w:rsid w:val="003F5145"/>
    <w:rsid w:val="003F5243"/>
    <w:rsid w:val="003F77B3"/>
    <w:rsid w:val="0040159D"/>
    <w:rsid w:val="00401DE1"/>
    <w:rsid w:val="00404D5A"/>
    <w:rsid w:val="004058AA"/>
    <w:rsid w:val="00411779"/>
    <w:rsid w:val="00417E8C"/>
    <w:rsid w:val="00420149"/>
    <w:rsid w:val="004202C4"/>
    <w:rsid w:val="004232B9"/>
    <w:rsid w:val="00424E48"/>
    <w:rsid w:val="00425A30"/>
    <w:rsid w:val="00427AB2"/>
    <w:rsid w:val="00427ACD"/>
    <w:rsid w:val="00427C56"/>
    <w:rsid w:val="00430A65"/>
    <w:rsid w:val="0043261A"/>
    <w:rsid w:val="00434C55"/>
    <w:rsid w:val="0043562A"/>
    <w:rsid w:val="00435E73"/>
    <w:rsid w:val="00437EF9"/>
    <w:rsid w:val="00440D01"/>
    <w:rsid w:val="00441599"/>
    <w:rsid w:val="00441DA5"/>
    <w:rsid w:val="0044348A"/>
    <w:rsid w:val="00443D08"/>
    <w:rsid w:val="00445754"/>
    <w:rsid w:val="00446522"/>
    <w:rsid w:val="00446B45"/>
    <w:rsid w:val="00447CCA"/>
    <w:rsid w:val="004501FA"/>
    <w:rsid w:val="00453713"/>
    <w:rsid w:val="00454B32"/>
    <w:rsid w:val="004550C1"/>
    <w:rsid w:val="00455214"/>
    <w:rsid w:val="00457E70"/>
    <w:rsid w:val="004607AD"/>
    <w:rsid w:val="00461847"/>
    <w:rsid w:val="00466401"/>
    <w:rsid w:val="004667E2"/>
    <w:rsid w:val="00467BD2"/>
    <w:rsid w:val="00473182"/>
    <w:rsid w:val="004735D1"/>
    <w:rsid w:val="00474192"/>
    <w:rsid w:val="004742B9"/>
    <w:rsid w:val="00474851"/>
    <w:rsid w:val="00477BFC"/>
    <w:rsid w:val="0048239E"/>
    <w:rsid w:val="00482FED"/>
    <w:rsid w:val="004838A8"/>
    <w:rsid w:val="0048399C"/>
    <w:rsid w:val="00483F21"/>
    <w:rsid w:val="004864BF"/>
    <w:rsid w:val="00486516"/>
    <w:rsid w:val="00487229"/>
    <w:rsid w:val="00491920"/>
    <w:rsid w:val="004925C3"/>
    <w:rsid w:val="004929A6"/>
    <w:rsid w:val="00493642"/>
    <w:rsid w:val="00496E05"/>
    <w:rsid w:val="00497EAF"/>
    <w:rsid w:val="004A1053"/>
    <w:rsid w:val="004A1C60"/>
    <w:rsid w:val="004A579A"/>
    <w:rsid w:val="004A57D2"/>
    <w:rsid w:val="004A5FF2"/>
    <w:rsid w:val="004A6140"/>
    <w:rsid w:val="004A6645"/>
    <w:rsid w:val="004B0B63"/>
    <w:rsid w:val="004B12F2"/>
    <w:rsid w:val="004B1C2D"/>
    <w:rsid w:val="004B1CA5"/>
    <w:rsid w:val="004B6F64"/>
    <w:rsid w:val="004C0287"/>
    <w:rsid w:val="004C0B75"/>
    <w:rsid w:val="004C3EE5"/>
    <w:rsid w:val="004C4A58"/>
    <w:rsid w:val="004C5253"/>
    <w:rsid w:val="004C6FF4"/>
    <w:rsid w:val="004C7D52"/>
    <w:rsid w:val="004D0961"/>
    <w:rsid w:val="004D0BDD"/>
    <w:rsid w:val="004D5727"/>
    <w:rsid w:val="004D6C13"/>
    <w:rsid w:val="004D6D32"/>
    <w:rsid w:val="004E0315"/>
    <w:rsid w:val="004E32FF"/>
    <w:rsid w:val="004E37D8"/>
    <w:rsid w:val="004E7EBB"/>
    <w:rsid w:val="004F0730"/>
    <w:rsid w:val="004F17A3"/>
    <w:rsid w:val="004F4012"/>
    <w:rsid w:val="004F5F9C"/>
    <w:rsid w:val="004F62AA"/>
    <w:rsid w:val="00501F3A"/>
    <w:rsid w:val="00502650"/>
    <w:rsid w:val="00507AF4"/>
    <w:rsid w:val="00514E22"/>
    <w:rsid w:val="005152A3"/>
    <w:rsid w:val="005155CB"/>
    <w:rsid w:val="00515A5A"/>
    <w:rsid w:val="00516F27"/>
    <w:rsid w:val="00521509"/>
    <w:rsid w:val="00521BF5"/>
    <w:rsid w:val="0052319C"/>
    <w:rsid w:val="005235BE"/>
    <w:rsid w:val="005259AF"/>
    <w:rsid w:val="00525A51"/>
    <w:rsid w:val="00533F75"/>
    <w:rsid w:val="00535059"/>
    <w:rsid w:val="00535118"/>
    <w:rsid w:val="00536A0F"/>
    <w:rsid w:val="00536E60"/>
    <w:rsid w:val="005423A8"/>
    <w:rsid w:val="00543BBE"/>
    <w:rsid w:val="00545EAC"/>
    <w:rsid w:val="00547DA7"/>
    <w:rsid w:val="005500C3"/>
    <w:rsid w:val="005520B1"/>
    <w:rsid w:val="00555425"/>
    <w:rsid w:val="0055607F"/>
    <w:rsid w:val="005564F5"/>
    <w:rsid w:val="00556516"/>
    <w:rsid w:val="00557497"/>
    <w:rsid w:val="00560111"/>
    <w:rsid w:val="00560255"/>
    <w:rsid w:val="005606F2"/>
    <w:rsid w:val="00560B6B"/>
    <w:rsid w:val="00560BBC"/>
    <w:rsid w:val="0056155D"/>
    <w:rsid w:val="00561DBA"/>
    <w:rsid w:val="005621E2"/>
    <w:rsid w:val="00565621"/>
    <w:rsid w:val="00566F32"/>
    <w:rsid w:val="00570EF5"/>
    <w:rsid w:val="00573E1A"/>
    <w:rsid w:val="00573E2E"/>
    <w:rsid w:val="00575D3D"/>
    <w:rsid w:val="00582662"/>
    <w:rsid w:val="00584ACB"/>
    <w:rsid w:val="00592D07"/>
    <w:rsid w:val="00592EB7"/>
    <w:rsid w:val="00592FFA"/>
    <w:rsid w:val="0059353D"/>
    <w:rsid w:val="00597A0C"/>
    <w:rsid w:val="00597C0A"/>
    <w:rsid w:val="005A12C6"/>
    <w:rsid w:val="005A2C06"/>
    <w:rsid w:val="005A5E19"/>
    <w:rsid w:val="005B4919"/>
    <w:rsid w:val="005B6463"/>
    <w:rsid w:val="005B7500"/>
    <w:rsid w:val="005C0477"/>
    <w:rsid w:val="005C21F5"/>
    <w:rsid w:val="005C623B"/>
    <w:rsid w:val="005D0894"/>
    <w:rsid w:val="005D0BF1"/>
    <w:rsid w:val="005D2EFC"/>
    <w:rsid w:val="005D38B8"/>
    <w:rsid w:val="005D41AF"/>
    <w:rsid w:val="005D4F7D"/>
    <w:rsid w:val="005D5C3A"/>
    <w:rsid w:val="005D6683"/>
    <w:rsid w:val="005D7B5E"/>
    <w:rsid w:val="005E1E6C"/>
    <w:rsid w:val="005E4362"/>
    <w:rsid w:val="005E6704"/>
    <w:rsid w:val="005E71E3"/>
    <w:rsid w:val="005F0F9B"/>
    <w:rsid w:val="005F4683"/>
    <w:rsid w:val="005F6865"/>
    <w:rsid w:val="005F7317"/>
    <w:rsid w:val="00600BAD"/>
    <w:rsid w:val="00600D07"/>
    <w:rsid w:val="00601B43"/>
    <w:rsid w:val="00601CF7"/>
    <w:rsid w:val="0060224E"/>
    <w:rsid w:val="00604B2C"/>
    <w:rsid w:val="00604BE9"/>
    <w:rsid w:val="00604C7B"/>
    <w:rsid w:val="00605756"/>
    <w:rsid w:val="006065CF"/>
    <w:rsid w:val="00606A4F"/>
    <w:rsid w:val="006070B3"/>
    <w:rsid w:val="006124D4"/>
    <w:rsid w:val="00614202"/>
    <w:rsid w:val="0061438B"/>
    <w:rsid w:val="00615BBF"/>
    <w:rsid w:val="006161DD"/>
    <w:rsid w:val="006174FD"/>
    <w:rsid w:val="0062000D"/>
    <w:rsid w:val="00623807"/>
    <w:rsid w:val="006242C4"/>
    <w:rsid w:val="006269C2"/>
    <w:rsid w:val="0063105D"/>
    <w:rsid w:val="0063134E"/>
    <w:rsid w:val="0063154D"/>
    <w:rsid w:val="006337B8"/>
    <w:rsid w:val="00633F74"/>
    <w:rsid w:val="00634152"/>
    <w:rsid w:val="006342B7"/>
    <w:rsid w:val="00637B85"/>
    <w:rsid w:val="00640514"/>
    <w:rsid w:val="00642052"/>
    <w:rsid w:val="0064277A"/>
    <w:rsid w:val="00642C83"/>
    <w:rsid w:val="0064595F"/>
    <w:rsid w:val="00646168"/>
    <w:rsid w:val="006513B7"/>
    <w:rsid w:val="006516C9"/>
    <w:rsid w:val="00652C96"/>
    <w:rsid w:val="006618AA"/>
    <w:rsid w:val="00662EF5"/>
    <w:rsid w:val="00664AF4"/>
    <w:rsid w:val="006666FC"/>
    <w:rsid w:val="00666D5C"/>
    <w:rsid w:val="00667084"/>
    <w:rsid w:val="00667DC7"/>
    <w:rsid w:val="006706A2"/>
    <w:rsid w:val="00672377"/>
    <w:rsid w:val="00672B64"/>
    <w:rsid w:val="006752EB"/>
    <w:rsid w:val="0067555A"/>
    <w:rsid w:val="006778FB"/>
    <w:rsid w:val="006818F8"/>
    <w:rsid w:val="00681CF2"/>
    <w:rsid w:val="00681FA5"/>
    <w:rsid w:val="00682BDD"/>
    <w:rsid w:val="0068494A"/>
    <w:rsid w:val="00684D56"/>
    <w:rsid w:val="00691A4D"/>
    <w:rsid w:val="0069642D"/>
    <w:rsid w:val="00697284"/>
    <w:rsid w:val="006A2DE6"/>
    <w:rsid w:val="006A3498"/>
    <w:rsid w:val="006A39DE"/>
    <w:rsid w:val="006A41A7"/>
    <w:rsid w:val="006A7027"/>
    <w:rsid w:val="006B0175"/>
    <w:rsid w:val="006B032F"/>
    <w:rsid w:val="006B0D8D"/>
    <w:rsid w:val="006B107B"/>
    <w:rsid w:val="006B13D9"/>
    <w:rsid w:val="006B1A74"/>
    <w:rsid w:val="006B45A8"/>
    <w:rsid w:val="006B75BA"/>
    <w:rsid w:val="006C0177"/>
    <w:rsid w:val="006C0768"/>
    <w:rsid w:val="006C4983"/>
    <w:rsid w:val="006C4C39"/>
    <w:rsid w:val="006C70AE"/>
    <w:rsid w:val="006D0E4F"/>
    <w:rsid w:val="006D25C4"/>
    <w:rsid w:val="006D2750"/>
    <w:rsid w:val="006D3E47"/>
    <w:rsid w:val="006D3FA9"/>
    <w:rsid w:val="006D427F"/>
    <w:rsid w:val="006E0AF7"/>
    <w:rsid w:val="006E1021"/>
    <w:rsid w:val="006E1249"/>
    <w:rsid w:val="006E1874"/>
    <w:rsid w:val="006E4C56"/>
    <w:rsid w:val="006E4DCB"/>
    <w:rsid w:val="006F04D7"/>
    <w:rsid w:val="006F0E06"/>
    <w:rsid w:val="006F404A"/>
    <w:rsid w:val="00700B94"/>
    <w:rsid w:val="00701E30"/>
    <w:rsid w:val="0070259B"/>
    <w:rsid w:val="0070541A"/>
    <w:rsid w:val="00712657"/>
    <w:rsid w:val="0071539A"/>
    <w:rsid w:val="0071592C"/>
    <w:rsid w:val="007176BF"/>
    <w:rsid w:val="00721884"/>
    <w:rsid w:val="0072212A"/>
    <w:rsid w:val="00725165"/>
    <w:rsid w:val="00726981"/>
    <w:rsid w:val="00730D12"/>
    <w:rsid w:val="00730E50"/>
    <w:rsid w:val="00730F3E"/>
    <w:rsid w:val="00731856"/>
    <w:rsid w:val="00734EF1"/>
    <w:rsid w:val="007351FD"/>
    <w:rsid w:val="00735B04"/>
    <w:rsid w:val="00735CDC"/>
    <w:rsid w:val="00735F78"/>
    <w:rsid w:val="007369F9"/>
    <w:rsid w:val="00742A53"/>
    <w:rsid w:val="0074367E"/>
    <w:rsid w:val="00743D17"/>
    <w:rsid w:val="00746EBE"/>
    <w:rsid w:val="007470EF"/>
    <w:rsid w:val="00747CB5"/>
    <w:rsid w:val="00747FE1"/>
    <w:rsid w:val="00750256"/>
    <w:rsid w:val="00751FF0"/>
    <w:rsid w:val="007530CB"/>
    <w:rsid w:val="00754BB4"/>
    <w:rsid w:val="00754BB7"/>
    <w:rsid w:val="00756ADC"/>
    <w:rsid w:val="00757774"/>
    <w:rsid w:val="007602E1"/>
    <w:rsid w:val="00762606"/>
    <w:rsid w:val="00762905"/>
    <w:rsid w:val="0076420F"/>
    <w:rsid w:val="00764483"/>
    <w:rsid w:val="007646FE"/>
    <w:rsid w:val="00765E19"/>
    <w:rsid w:val="007703DF"/>
    <w:rsid w:val="00770DD3"/>
    <w:rsid w:val="00771287"/>
    <w:rsid w:val="007714BC"/>
    <w:rsid w:val="00771E26"/>
    <w:rsid w:val="00772804"/>
    <w:rsid w:val="007734BB"/>
    <w:rsid w:val="00777987"/>
    <w:rsid w:val="00781C89"/>
    <w:rsid w:val="00781D48"/>
    <w:rsid w:val="0079133A"/>
    <w:rsid w:val="00792930"/>
    <w:rsid w:val="00793423"/>
    <w:rsid w:val="007942DA"/>
    <w:rsid w:val="0079583F"/>
    <w:rsid w:val="00795852"/>
    <w:rsid w:val="00797741"/>
    <w:rsid w:val="007A3CDD"/>
    <w:rsid w:val="007A3EC1"/>
    <w:rsid w:val="007A7679"/>
    <w:rsid w:val="007B0E29"/>
    <w:rsid w:val="007B426E"/>
    <w:rsid w:val="007B522C"/>
    <w:rsid w:val="007B53D6"/>
    <w:rsid w:val="007B5498"/>
    <w:rsid w:val="007B766E"/>
    <w:rsid w:val="007B77B2"/>
    <w:rsid w:val="007C1E6F"/>
    <w:rsid w:val="007C2C4B"/>
    <w:rsid w:val="007C50AE"/>
    <w:rsid w:val="007C5408"/>
    <w:rsid w:val="007C55C8"/>
    <w:rsid w:val="007C6700"/>
    <w:rsid w:val="007C6A32"/>
    <w:rsid w:val="007C7378"/>
    <w:rsid w:val="007D0D8D"/>
    <w:rsid w:val="007D12E7"/>
    <w:rsid w:val="007D33B6"/>
    <w:rsid w:val="007D5FDC"/>
    <w:rsid w:val="007D6508"/>
    <w:rsid w:val="007D74F2"/>
    <w:rsid w:val="007E4868"/>
    <w:rsid w:val="007E56B2"/>
    <w:rsid w:val="007E6728"/>
    <w:rsid w:val="007F0FE7"/>
    <w:rsid w:val="007F1B25"/>
    <w:rsid w:val="007F1F28"/>
    <w:rsid w:val="007F338A"/>
    <w:rsid w:val="007F4B81"/>
    <w:rsid w:val="007F6E9A"/>
    <w:rsid w:val="00801E84"/>
    <w:rsid w:val="00802FE3"/>
    <w:rsid w:val="00804AEE"/>
    <w:rsid w:val="00806CEE"/>
    <w:rsid w:val="0081126E"/>
    <w:rsid w:val="00813949"/>
    <w:rsid w:val="00814D9A"/>
    <w:rsid w:val="0081637D"/>
    <w:rsid w:val="00817B5C"/>
    <w:rsid w:val="00821F56"/>
    <w:rsid w:val="00823DD4"/>
    <w:rsid w:val="00824A00"/>
    <w:rsid w:val="00827081"/>
    <w:rsid w:val="00827C6D"/>
    <w:rsid w:val="00833604"/>
    <w:rsid w:val="00834253"/>
    <w:rsid w:val="00835BA2"/>
    <w:rsid w:val="0083617B"/>
    <w:rsid w:val="00837B3B"/>
    <w:rsid w:val="0084291B"/>
    <w:rsid w:val="00842CD1"/>
    <w:rsid w:val="00843A7E"/>
    <w:rsid w:val="008459AD"/>
    <w:rsid w:val="00846409"/>
    <w:rsid w:val="00846D59"/>
    <w:rsid w:val="00847DCA"/>
    <w:rsid w:val="00850542"/>
    <w:rsid w:val="0085428E"/>
    <w:rsid w:val="008544BE"/>
    <w:rsid w:val="00862199"/>
    <w:rsid w:val="008639EC"/>
    <w:rsid w:val="0086498D"/>
    <w:rsid w:val="00865DD2"/>
    <w:rsid w:val="008663F0"/>
    <w:rsid w:val="0087197A"/>
    <w:rsid w:val="008723B0"/>
    <w:rsid w:val="00872D9B"/>
    <w:rsid w:val="00875046"/>
    <w:rsid w:val="0087664E"/>
    <w:rsid w:val="00876EEC"/>
    <w:rsid w:val="00880DE1"/>
    <w:rsid w:val="008816E7"/>
    <w:rsid w:val="008826A9"/>
    <w:rsid w:val="00883C1E"/>
    <w:rsid w:val="008848AC"/>
    <w:rsid w:val="008866FD"/>
    <w:rsid w:val="00890500"/>
    <w:rsid w:val="00891904"/>
    <w:rsid w:val="00893A8F"/>
    <w:rsid w:val="00894645"/>
    <w:rsid w:val="00895164"/>
    <w:rsid w:val="00897261"/>
    <w:rsid w:val="008973B6"/>
    <w:rsid w:val="008A01AE"/>
    <w:rsid w:val="008A11FA"/>
    <w:rsid w:val="008A25EC"/>
    <w:rsid w:val="008A5DA4"/>
    <w:rsid w:val="008A65B8"/>
    <w:rsid w:val="008B03CF"/>
    <w:rsid w:val="008B1A69"/>
    <w:rsid w:val="008B2309"/>
    <w:rsid w:val="008B3609"/>
    <w:rsid w:val="008B4717"/>
    <w:rsid w:val="008B56F1"/>
    <w:rsid w:val="008B7D30"/>
    <w:rsid w:val="008C1426"/>
    <w:rsid w:val="008C2D58"/>
    <w:rsid w:val="008C3085"/>
    <w:rsid w:val="008C31D7"/>
    <w:rsid w:val="008C3913"/>
    <w:rsid w:val="008C5FB0"/>
    <w:rsid w:val="008C5FB1"/>
    <w:rsid w:val="008C7FF5"/>
    <w:rsid w:val="008D1984"/>
    <w:rsid w:val="008D2B09"/>
    <w:rsid w:val="008D2E6B"/>
    <w:rsid w:val="008D36BD"/>
    <w:rsid w:val="008D3F6E"/>
    <w:rsid w:val="008D758C"/>
    <w:rsid w:val="008E0852"/>
    <w:rsid w:val="008E1CA8"/>
    <w:rsid w:val="008E3011"/>
    <w:rsid w:val="008F01DE"/>
    <w:rsid w:val="008F17A7"/>
    <w:rsid w:val="008F2B91"/>
    <w:rsid w:val="00901732"/>
    <w:rsid w:val="00904A09"/>
    <w:rsid w:val="009052CF"/>
    <w:rsid w:val="0090596F"/>
    <w:rsid w:val="00906B42"/>
    <w:rsid w:val="009074AF"/>
    <w:rsid w:val="009101E9"/>
    <w:rsid w:val="0091360D"/>
    <w:rsid w:val="00915AA0"/>
    <w:rsid w:val="00915F28"/>
    <w:rsid w:val="00922BF6"/>
    <w:rsid w:val="00924166"/>
    <w:rsid w:val="009245CF"/>
    <w:rsid w:val="00925ACA"/>
    <w:rsid w:val="009268AC"/>
    <w:rsid w:val="00930932"/>
    <w:rsid w:val="00930C38"/>
    <w:rsid w:val="00933FB0"/>
    <w:rsid w:val="00934E71"/>
    <w:rsid w:val="00935649"/>
    <w:rsid w:val="0093772E"/>
    <w:rsid w:val="0094079C"/>
    <w:rsid w:val="00942834"/>
    <w:rsid w:val="00942A63"/>
    <w:rsid w:val="00944113"/>
    <w:rsid w:val="0094537F"/>
    <w:rsid w:val="009457E0"/>
    <w:rsid w:val="00946474"/>
    <w:rsid w:val="009465BE"/>
    <w:rsid w:val="00946EDE"/>
    <w:rsid w:val="009501AB"/>
    <w:rsid w:val="00950CEF"/>
    <w:rsid w:val="00951F39"/>
    <w:rsid w:val="00951FA5"/>
    <w:rsid w:val="00952CE2"/>
    <w:rsid w:val="0095385C"/>
    <w:rsid w:val="00953A5C"/>
    <w:rsid w:val="00957084"/>
    <w:rsid w:val="00957FCE"/>
    <w:rsid w:val="009610CF"/>
    <w:rsid w:val="00962E29"/>
    <w:rsid w:val="009652E0"/>
    <w:rsid w:val="00965624"/>
    <w:rsid w:val="009709DD"/>
    <w:rsid w:val="009756CB"/>
    <w:rsid w:val="00976A38"/>
    <w:rsid w:val="00977266"/>
    <w:rsid w:val="00980455"/>
    <w:rsid w:val="009808F5"/>
    <w:rsid w:val="009825E1"/>
    <w:rsid w:val="00982778"/>
    <w:rsid w:val="00983656"/>
    <w:rsid w:val="009848A6"/>
    <w:rsid w:val="00986E65"/>
    <w:rsid w:val="00987E19"/>
    <w:rsid w:val="0099089F"/>
    <w:rsid w:val="00992497"/>
    <w:rsid w:val="0099355E"/>
    <w:rsid w:val="00997BA7"/>
    <w:rsid w:val="00997C25"/>
    <w:rsid w:val="009A0080"/>
    <w:rsid w:val="009A04E5"/>
    <w:rsid w:val="009A48CC"/>
    <w:rsid w:val="009A5762"/>
    <w:rsid w:val="009A5AAE"/>
    <w:rsid w:val="009A5F0B"/>
    <w:rsid w:val="009A6BC5"/>
    <w:rsid w:val="009B29DA"/>
    <w:rsid w:val="009B33CC"/>
    <w:rsid w:val="009C2F03"/>
    <w:rsid w:val="009C42AC"/>
    <w:rsid w:val="009C46C2"/>
    <w:rsid w:val="009C5629"/>
    <w:rsid w:val="009C7072"/>
    <w:rsid w:val="009C74C5"/>
    <w:rsid w:val="009C77EB"/>
    <w:rsid w:val="009D6017"/>
    <w:rsid w:val="009E34F2"/>
    <w:rsid w:val="009E46BC"/>
    <w:rsid w:val="009E4712"/>
    <w:rsid w:val="009E5EB9"/>
    <w:rsid w:val="009E5F4F"/>
    <w:rsid w:val="009F19A6"/>
    <w:rsid w:val="009F1CA1"/>
    <w:rsid w:val="009F1F57"/>
    <w:rsid w:val="009F29D8"/>
    <w:rsid w:val="009F2C0E"/>
    <w:rsid w:val="009F48DA"/>
    <w:rsid w:val="009F53DE"/>
    <w:rsid w:val="009F67B7"/>
    <w:rsid w:val="009F7765"/>
    <w:rsid w:val="00A01665"/>
    <w:rsid w:val="00A0343D"/>
    <w:rsid w:val="00A10BA3"/>
    <w:rsid w:val="00A10EAC"/>
    <w:rsid w:val="00A12FC1"/>
    <w:rsid w:val="00A133E5"/>
    <w:rsid w:val="00A13A53"/>
    <w:rsid w:val="00A2020C"/>
    <w:rsid w:val="00A2069B"/>
    <w:rsid w:val="00A20F68"/>
    <w:rsid w:val="00A2103E"/>
    <w:rsid w:val="00A22A1E"/>
    <w:rsid w:val="00A253B7"/>
    <w:rsid w:val="00A2766C"/>
    <w:rsid w:val="00A27B74"/>
    <w:rsid w:val="00A337A7"/>
    <w:rsid w:val="00A33ABA"/>
    <w:rsid w:val="00A36BB5"/>
    <w:rsid w:val="00A36EC6"/>
    <w:rsid w:val="00A4000A"/>
    <w:rsid w:val="00A40AA7"/>
    <w:rsid w:val="00A40AD8"/>
    <w:rsid w:val="00A41286"/>
    <w:rsid w:val="00A4181D"/>
    <w:rsid w:val="00A420C2"/>
    <w:rsid w:val="00A44118"/>
    <w:rsid w:val="00A44F98"/>
    <w:rsid w:val="00A454A3"/>
    <w:rsid w:val="00A51554"/>
    <w:rsid w:val="00A517A2"/>
    <w:rsid w:val="00A517E7"/>
    <w:rsid w:val="00A51C83"/>
    <w:rsid w:val="00A51CC3"/>
    <w:rsid w:val="00A52453"/>
    <w:rsid w:val="00A52724"/>
    <w:rsid w:val="00A53441"/>
    <w:rsid w:val="00A54088"/>
    <w:rsid w:val="00A54CB0"/>
    <w:rsid w:val="00A615E4"/>
    <w:rsid w:val="00A61C5D"/>
    <w:rsid w:val="00A62253"/>
    <w:rsid w:val="00A624E6"/>
    <w:rsid w:val="00A65774"/>
    <w:rsid w:val="00A66F71"/>
    <w:rsid w:val="00A71FEE"/>
    <w:rsid w:val="00A73BA6"/>
    <w:rsid w:val="00A74366"/>
    <w:rsid w:val="00A7559C"/>
    <w:rsid w:val="00A77D10"/>
    <w:rsid w:val="00A80E53"/>
    <w:rsid w:val="00A8224E"/>
    <w:rsid w:val="00A82B29"/>
    <w:rsid w:val="00A907FE"/>
    <w:rsid w:val="00A90D9C"/>
    <w:rsid w:val="00A910B5"/>
    <w:rsid w:val="00A957DD"/>
    <w:rsid w:val="00AA4604"/>
    <w:rsid w:val="00AA63C2"/>
    <w:rsid w:val="00AB0F06"/>
    <w:rsid w:val="00AB391B"/>
    <w:rsid w:val="00AB5120"/>
    <w:rsid w:val="00AB51D8"/>
    <w:rsid w:val="00AC1CFA"/>
    <w:rsid w:val="00AC47B1"/>
    <w:rsid w:val="00AC7EB5"/>
    <w:rsid w:val="00AD11D2"/>
    <w:rsid w:val="00AD2164"/>
    <w:rsid w:val="00AD3AD8"/>
    <w:rsid w:val="00AE2152"/>
    <w:rsid w:val="00AE21E0"/>
    <w:rsid w:val="00AE22E5"/>
    <w:rsid w:val="00AE565B"/>
    <w:rsid w:val="00AE5EAD"/>
    <w:rsid w:val="00AE6418"/>
    <w:rsid w:val="00AE6B0E"/>
    <w:rsid w:val="00AE6BF3"/>
    <w:rsid w:val="00AE6F2A"/>
    <w:rsid w:val="00AF0809"/>
    <w:rsid w:val="00AF33C8"/>
    <w:rsid w:val="00AF48F9"/>
    <w:rsid w:val="00AF6774"/>
    <w:rsid w:val="00B0308E"/>
    <w:rsid w:val="00B047C2"/>
    <w:rsid w:val="00B06F61"/>
    <w:rsid w:val="00B111CC"/>
    <w:rsid w:val="00B1197B"/>
    <w:rsid w:val="00B1208B"/>
    <w:rsid w:val="00B168C5"/>
    <w:rsid w:val="00B20C66"/>
    <w:rsid w:val="00B23A13"/>
    <w:rsid w:val="00B23F0C"/>
    <w:rsid w:val="00B23F4A"/>
    <w:rsid w:val="00B2629D"/>
    <w:rsid w:val="00B26906"/>
    <w:rsid w:val="00B2776B"/>
    <w:rsid w:val="00B323EC"/>
    <w:rsid w:val="00B3324D"/>
    <w:rsid w:val="00B33BC8"/>
    <w:rsid w:val="00B34BB4"/>
    <w:rsid w:val="00B359C4"/>
    <w:rsid w:val="00B36449"/>
    <w:rsid w:val="00B4078B"/>
    <w:rsid w:val="00B417A4"/>
    <w:rsid w:val="00B45148"/>
    <w:rsid w:val="00B4635C"/>
    <w:rsid w:val="00B51182"/>
    <w:rsid w:val="00B53C93"/>
    <w:rsid w:val="00B54189"/>
    <w:rsid w:val="00B554D4"/>
    <w:rsid w:val="00B56A93"/>
    <w:rsid w:val="00B57643"/>
    <w:rsid w:val="00B57957"/>
    <w:rsid w:val="00B57C28"/>
    <w:rsid w:val="00B61160"/>
    <w:rsid w:val="00B6599C"/>
    <w:rsid w:val="00B65A66"/>
    <w:rsid w:val="00B66025"/>
    <w:rsid w:val="00B66126"/>
    <w:rsid w:val="00B664D4"/>
    <w:rsid w:val="00B66B00"/>
    <w:rsid w:val="00B67A6E"/>
    <w:rsid w:val="00B70069"/>
    <w:rsid w:val="00B729AC"/>
    <w:rsid w:val="00B774E1"/>
    <w:rsid w:val="00B80B3D"/>
    <w:rsid w:val="00B81D79"/>
    <w:rsid w:val="00B8214D"/>
    <w:rsid w:val="00B82EAE"/>
    <w:rsid w:val="00B85C1E"/>
    <w:rsid w:val="00B903D6"/>
    <w:rsid w:val="00B914A9"/>
    <w:rsid w:val="00B937AF"/>
    <w:rsid w:val="00B9751A"/>
    <w:rsid w:val="00BA0796"/>
    <w:rsid w:val="00BA0D12"/>
    <w:rsid w:val="00BA1372"/>
    <w:rsid w:val="00BA1709"/>
    <w:rsid w:val="00BA1C2A"/>
    <w:rsid w:val="00BA2A8C"/>
    <w:rsid w:val="00BA3B6C"/>
    <w:rsid w:val="00BA4605"/>
    <w:rsid w:val="00BA69BA"/>
    <w:rsid w:val="00BA7403"/>
    <w:rsid w:val="00BB2036"/>
    <w:rsid w:val="00BB6CCC"/>
    <w:rsid w:val="00BB7E34"/>
    <w:rsid w:val="00BC0606"/>
    <w:rsid w:val="00BC0A2E"/>
    <w:rsid w:val="00BC0E20"/>
    <w:rsid w:val="00BC56B9"/>
    <w:rsid w:val="00BC59C6"/>
    <w:rsid w:val="00BC5A87"/>
    <w:rsid w:val="00BC5DF7"/>
    <w:rsid w:val="00BD168E"/>
    <w:rsid w:val="00BD2740"/>
    <w:rsid w:val="00BD2903"/>
    <w:rsid w:val="00BD48E8"/>
    <w:rsid w:val="00BD7687"/>
    <w:rsid w:val="00BE57CA"/>
    <w:rsid w:val="00BE5C84"/>
    <w:rsid w:val="00C00774"/>
    <w:rsid w:val="00C04150"/>
    <w:rsid w:val="00C050DF"/>
    <w:rsid w:val="00C11AD2"/>
    <w:rsid w:val="00C14431"/>
    <w:rsid w:val="00C156B2"/>
    <w:rsid w:val="00C16896"/>
    <w:rsid w:val="00C17017"/>
    <w:rsid w:val="00C21A09"/>
    <w:rsid w:val="00C342B3"/>
    <w:rsid w:val="00C343F4"/>
    <w:rsid w:val="00C34D84"/>
    <w:rsid w:val="00C35CBD"/>
    <w:rsid w:val="00C36DBC"/>
    <w:rsid w:val="00C43699"/>
    <w:rsid w:val="00C444AA"/>
    <w:rsid w:val="00C455B1"/>
    <w:rsid w:val="00C47EBE"/>
    <w:rsid w:val="00C5023A"/>
    <w:rsid w:val="00C51D79"/>
    <w:rsid w:val="00C52C42"/>
    <w:rsid w:val="00C57B5D"/>
    <w:rsid w:val="00C64448"/>
    <w:rsid w:val="00C66375"/>
    <w:rsid w:val="00C664BE"/>
    <w:rsid w:val="00C66832"/>
    <w:rsid w:val="00C678EB"/>
    <w:rsid w:val="00C71B57"/>
    <w:rsid w:val="00C74207"/>
    <w:rsid w:val="00C76960"/>
    <w:rsid w:val="00C773A7"/>
    <w:rsid w:val="00C81C4E"/>
    <w:rsid w:val="00C81E52"/>
    <w:rsid w:val="00C8781C"/>
    <w:rsid w:val="00C9165D"/>
    <w:rsid w:val="00C967E0"/>
    <w:rsid w:val="00C96952"/>
    <w:rsid w:val="00CA1131"/>
    <w:rsid w:val="00CA4E0F"/>
    <w:rsid w:val="00CA5662"/>
    <w:rsid w:val="00CA67A0"/>
    <w:rsid w:val="00CB0B78"/>
    <w:rsid w:val="00CB0EA1"/>
    <w:rsid w:val="00CB19B1"/>
    <w:rsid w:val="00CB213A"/>
    <w:rsid w:val="00CB2456"/>
    <w:rsid w:val="00CB36B0"/>
    <w:rsid w:val="00CB3D9C"/>
    <w:rsid w:val="00CB4121"/>
    <w:rsid w:val="00CB4B07"/>
    <w:rsid w:val="00CC01A6"/>
    <w:rsid w:val="00CC282D"/>
    <w:rsid w:val="00CC32F2"/>
    <w:rsid w:val="00CC4845"/>
    <w:rsid w:val="00CC4C28"/>
    <w:rsid w:val="00CC506B"/>
    <w:rsid w:val="00CC5C69"/>
    <w:rsid w:val="00CD0B76"/>
    <w:rsid w:val="00CD1B47"/>
    <w:rsid w:val="00CD3F59"/>
    <w:rsid w:val="00CD54F7"/>
    <w:rsid w:val="00CD6334"/>
    <w:rsid w:val="00CD6D7A"/>
    <w:rsid w:val="00CE236B"/>
    <w:rsid w:val="00CE2E30"/>
    <w:rsid w:val="00CE3BFB"/>
    <w:rsid w:val="00CE5543"/>
    <w:rsid w:val="00CF00E3"/>
    <w:rsid w:val="00CF2AC4"/>
    <w:rsid w:val="00CF6901"/>
    <w:rsid w:val="00CF7D8C"/>
    <w:rsid w:val="00D01D03"/>
    <w:rsid w:val="00D02123"/>
    <w:rsid w:val="00D02F5E"/>
    <w:rsid w:val="00D058D0"/>
    <w:rsid w:val="00D10206"/>
    <w:rsid w:val="00D10734"/>
    <w:rsid w:val="00D1200C"/>
    <w:rsid w:val="00D130A0"/>
    <w:rsid w:val="00D148E8"/>
    <w:rsid w:val="00D14C5F"/>
    <w:rsid w:val="00D15658"/>
    <w:rsid w:val="00D16F5C"/>
    <w:rsid w:val="00D20AAF"/>
    <w:rsid w:val="00D215ED"/>
    <w:rsid w:val="00D223E6"/>
    <w:rsid w:val="00D25BEC"/>
    <w:rsid w:val="00D26271"/>
    <w:rsid w:val="00D31728"/>
    <w:rsid w:val="00D31869"/>
    <w:rsid w:val="00D31FCA"/>
    <w:rsid w:val="00D32337"/>
    <w:rsid w:val="00D32BA9"/>
    <w:rsid w:val="00D32F94"/>
    <w:rsid w:val="00D334D1"/>
    <w:rsid w:val="00D36A9A"/>
    <w:rsid w:val="00D36BDE"/>
    <w:rsid w:val="00D40627"/>
    <w:rsid w:val="00D44B2E"/>
    <w:rsid w:val="00D4663E"/>
    <w:rsid w:val="00D46C32"/>
    <w:rsid w:val="00D50977"/>
    <w:rsid w:val="00D51077"/>
    <w:rsid w:val="00D51D2A"/>
    <w:rsid w:val="00D5573C"/>
    <w:rsid w:val="00D55F8D"/>
    <w:rsid w:val="00D56FAC"/>
    <w:rsid w:val="00D57381"/>
    <w:rsid w:val="00D577FE"/>
    <w:rsid w:val="00D57F46"/>
    <w:rsid w:val="00D6001A"/>
    <w:rsid w:val="00D6123C"/>
    <w:rsid w:val="00D65730"/>
    <w:rsid w:val="00D65FB8"/>
    <w:rsid w:val="00D679C2"/>
    <w:rsid w:val="00D72F68"/>
    <w:rsid w:val="00D74CFC"/>
    <w:rsid w:val="00D76C32"/>
    <w:rsid w:val="00D77B21"/>
    <w:rsid w:val="00D81BFD"/>
    <w:rsid w:val="00D8222A"/>
    <w:rsid w:val="00D82E86"/>
    <w:rsid w:val="00D83022"/>
    <w:rsid w:val="00D8418B"/>
    <w:rsid w:val="00D842AD"/>
    <w:rsid w:val="00D86D20"/>
    <w:rsid w:val="00D86F82"/>
    <w:rsid w:val="00D8727E"/>
    <w:rsid w:val="00D922BC"/>
    <w:rsid w:val="00D92655"/>
    <w:rsid w:val="00D92775"/>
    <w:rsid w:val="00D93DC3"/>
    <w:rsid w:val="00D94962"/>
    <w:rsid w:val="00D95BB8"/>
    <w:rsid w:val="00DA0017"/>
    <w:rsid w:val="00DA1328"/>
    <w:rsid w:val="00DA6178"/>
    <w:rsid w:val="00DA7C50"/>
    <w:rsid w:val="00DB113A"/>
    <w:rsid w:val="00DB16D8"/>
    <w:rsid w:val="00DB4660"/>
    <w:rsid w:val="00DB58CC"/>
    <w:rsid w:val="00DB5A9E"/>
    <w:rsid w:val="00DB7AB2"/>
    <w:rsid w:val="00DB7AC7"/>
    <w:rsid w:val="00DC0943"/>
    <w:rsid w:val="00DC25BE"/>
    <w:rsid w:val="00DC42D3"/>
    <w:rsid w:val="00DD0F39"/>
    <w:rsid w:val="00DD69A2"/>
    <w:rsid w:val="00DE2229"/>
    <w:rsid w:val="00DE44E1"/>
    <w:rsid w:val="00DE4D10"/>
    <w:rsid w:val="00DE6D87"/>
    <w:rsid w:val="00DF0671"/>
    <w:rsid w:val="00DF0AD6"/>
    <w:rsid w:val="00DF0FD1"/>
    <w:rsid w:val="00DF1A03"/>
    <w:rsid w:val="00DF2D93"/>
    <w:rsid w:val="00DF3455"/>
    <w:rsid w:val="00DF3E9B"/>
    <w:rsid w:val="00DF5C6E"/>
    <w:rsid w:val="00E015FA"/>
    <w:rsid w:val="00E01651"/>
    <w:rsid w:val="00E01971"/>
    <w:rsid w:val="00E046A2"/>
    <w:rsid w:val="00E04CBE"/>
    <w:rsid w:val="00E04D51"/>
    <w:rsid w:val="00E05B5E"/>
    <w:rsid w:val="00E07CC5"/>
    <w:rsid w:val="00E1167E"/>
    <w:rsid w:val="00E13586"/>
    <w:rsid w:val="00E137D2"/>
    <w:rsid w:val="00E13839"/>
    <w:rsid w:val="00E15679"/>
    <w:rsid w:val="00E156E7"/>
    <w:rsid w:val="00E16A0F"/>
    <w:rsid w:val="00E20959"/>
    <w:rsid w:val="00E23568"/>
    <w:rsid w:val="00E2457A"/>
    <w:rsid w:val="00E247F3"/>
    <w:rsid w:val="00E24D68"/>
    <w:rsid w:val="00E24FA5"/>
    <w:rsid w:val="00E2627E"/>
    <w:rsid w:val="00E26682"/>
    <w:rsid w:val="00E30261"/>
    <w:rsid w:val="00E305FA"/>
    <w:rsid w:val="00E32657"/>
    <w:rsid w:val="00E34AFD"/>
    <w:rsid w:val="00E36678"/>
    <w:rsid w:val="00E37598"/>
    <w:rsid w:val="00E414B6"/>
    <w:rsid w:val="00E42AA5"/>
    <w:rsid w:val="00E4309C"/>
    <w:rsid w:val="00E4434D"/>
    <w:rsid w:val="00E44ACD"/>
    <w:rsid w:val="00E44F8A"/>
    <w:rsid w:val="00E45E52"/>
    <w:rsid w:val="00E463AF"/>
    <w:rsid w:val="00E4791B"/>
    <w:rsid w:val="00E5408A"/>
    <w:rsid w:val="00E55C1F"/>
    <w:rsid w:val="00E56516"/>
    <w:rsid w:val="00E5762F"/>
    <w:rsid w:val="00E6101F"/>
    <w:rsid w:val="00E62B77"/>
    <w:rsid w:val="00E6379B"/>
    <w:rsid w:val="00E63BD8"/>
    <w:rsid w:val="00E6405D"/>
    <w:rsid w:val="00E65EF9"/>
    <w:rsid w:val="00E7053D"/>
    <w:rsid w:val="00E736F5"/>
    <w:rsid w:val="00E74A47"/>
    <w:rsid w:val="00E75449"/>
    <w:rsid w:val="00E84E3E"/>
    <w:rsid w:val="00E87F04"/>
    <w:rsid w:val="00E900B4"/>
    <w:rsid w:val="00E901EF"/>
    <w:rsid w:val="00E906EC"/>
    <w:rsid w:val="00E912FA"/>
    <w:rsid w:val="00E948A4"/>
    <w:rsid w:val="00E9579D"/>
    <w:rsid w:val="00E9687D"/>
    <w:rsid w:val="00E96C59"/>
    <w:rsid w:val="00E97511"/>
    <w:rsid w:val="00EA016D"/>
    <w:rsid w:val="00EA0B8D"/>
    <w:rsid w:val="00EA37D8"/>
    <w:rsid w:val="00EA43BA"/>
    <w:rsid w:val="00EA787D"/>
    <w:rsid w:val="00EA78B5"/>
    <w:rsid w:val="00EB0F8C"/>
    <w:rsid w:val="00EB3EA6"/>
    <w:rsid w:val="00EB6339"/>
    <w:rsid w:val="00EB63BE"/>
    <w:rsid w:val="00EB7D1A"/>
    <w:rsid w:val="00EC1A52"/>
    <w:rsid w:val="00EC245F"/>
    <w:rsid w:val="00EC25B7"/>
    <w:rsid w:val="00EC2FC3"/>
    <w:rsid w:val="00EC3136"/>
    <w:rsid w:val="00EC3B50"/>
    <w:rsid w:val="00EC463C"/>
    <w:rsid w:val="00EC4AEB"/>
    <w:rsid w:val="00EC78AD"/>
    <w:rsid w:val="00ED120E"/>
    <w:rsid w:val="00ED3393"/>
    <w:rsid w:val="00ED3F34"/>
    <w:rsid w:val="00ED5C09"/>
    <w:rsid w:val="00ED6947"/>
    <w:rsid w:val="00EE15CA"/>
    <w:rsid w:val="00EE335C"/>
    <w:rsid w:val="00EE3BEC"/>
    <w:rsid w:val="00EE468C"/>
    <w:rsid w:val="00EE504A"/>
    <w:rsid w:val="00EE5C04"/>
    <w:rsid w:val="00EF08C7"/>
    <w:rsid w:val="00EF0916"/>
    <w:rsid w:val="00EF1C8C"/>
    <w:rsid w:val="00EF2158"/>
    <w:rsid w:val="00EF3416"/>
    <w:rsid w:val="00EF3456"/>
    <w:rsid w:val="00EF46E3"/>
    <w:rsid w:val="00EF47FA"/>
    <w:rsid w:val="00F00D4B"/>
    <w:rsid w:val="00F03087"/>
    <w:rsid w:val="00F032B0"/>
    <w:rsid w:val="00F10C73"/>
    <w:rsid w:val="00F11525"/>
    <w:rsid w:val="00F11C0D"/>
    <w:rsid w:val="00F1596E"/>
    <w:rsid w:val="00F159BF"/>
    <w:rsid w:val="00F15DA8"/>
    <w:rsid w:val="00F17E29"/>
    <w:rsid w:val="00F214B0"/>
    <w:rsid w:val="00F22EF2"/>
    <w:rsid w:val="00F2356F"/>
    <w:rsid w:val="00F25936"/>
    <w:rsid w:val="00F26A52"/>
    <w:rsid w:val="00F27B2A"/>
    <w:rsid w:val="00F30215"/>
    <w:rsid w:val="00F318A3"/>
    <w:rsid w:val="00F319E9"/>
    <w:rsid w:val="00F3355A"/>
    <w:rsid w:val="00F35238"/>
    <w:rsid w:val="00F41FFB"/>
    <w:rsid w:val="00F42267"/>
    <w:rsid w:val="00F44126"/>
    <w:rsid w:val="00F474B2"/>
    <w:rsid w:val="00F53465"/>
    <w:rsid w:val="00F548B4"/>
    <w:rsid w:val="00F56A0E"/>
    <w:rsid w:val="00F56ED4"/>
    <w:rsid w:val="00F57F28"/>
    <w:rsid w:val="00F614C0"/>
    <w:rsid w:val="00F62097"/>
    <w:rsid w:val="00F62710"/>
    <w:rsid w:val="00F64177"/>
    <w:rsid w:val="00F67139"/>
    <w:rsid w:val="00F702A8"/>
    <w:rsid w:val="00F70B89"/>
    <w:rsid w:val="00F71613"/>
    <w:rsid w:val="00F722C1"/>
    <w:rsid w:val="00F74746"/>
    <w:rsid w:val="00F769C9"/>
    <w:rsid w:val="00F76E75"/>
    <w:rsid w:val="00F77A47"/>
    <w:rsid w:val="00F908D6"/>
    <w:rsid w:val="00F911F0"/>
    <w:rsid w:val="00F9308F"/>
    <w:rsid w:val="00F94CAA"/>
    <w:rsid w:val="00F95FA7"/>
    <w:rsid w:val="00F9640E"/>
    <w:rsid w:val="00F96469"/>
    <w:rsid w:val="00F970E8"/>
    <w:rsid w:val="00F97CAD"/>
    <w:rsid w:val="00FA0AC5"/>
    <w:rsid w:val="00FA11DD"/>
    <w:rsid w:val="00FA1A1A"/>
    <w:rsid w:val="00FA2553"/>
    <w:rsid w:val="00FA5525"/>
    <w:rsid w:val="00FA6D15"/>
    <w:rsid w:val="00FA76F1"/>
    <w:rsid w:val="00FB187E"/>
    <w:rsid w:val="00FB4787"/>
    <w:rsid w:val="00FC0215"/>
    <w:rsid w:val="00FC0C35"/>
    <w:rsid w:val="00FC450C"/>
    <w:rsid w:val="00FD1551"/>
    <w:rsid w:val="00FD66CB"/>
    <w:rsid w:val="00FD6A30"/>
    <w:rsid w:val="00FD77D7"/>
    <w:rsid w:val="00FE0090"/>
    <w:rsid w:val="00FE1DC9"/>
    <w:rsid w:val="00FE24B0"/>
    <w:rsid w:val="00FE27E0"/>
    <w:rsid w:val="00FE2B65"/>
    <w:rsid w:val="00FE39CE"/>
    <w:rsid w:val="00FE5B80"/>
    <w:rsid w:val="00FE69BC"/>
    <w:rsid w:val="00FF0F26"/>
    <w:rsid w:val="00FF38AE"/>
    <w:rsid w:val="00FF44E8"/>
    <w:rsid w:val="00FF469C"/>
    <w:rsid w:val="00FF4B96"/>
    <w:rsid w:val="00FF5D79"/>
    <w:rsid w:val="00FF63FD"/>
    <w:rsid w:val="00FF6F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855A88"/>
  <w15:chartTrackingRefBased/>
  <w15:docId w15:val="{6A94DCD5-1B22-4DFA-98C1-250E72948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F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4F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4F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4F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4F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4F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4F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4F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4F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F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4F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4F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4F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4F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4F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F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F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FA5"/>
    <w:rPr>
      <w:rFonts w:eastAsiaTheme="majorEastAsia" w:cstheme="majorBidi"/>
      <w:color w:val="272727" w:themeColor="text1" w:themeTint="D8"/>
    </w:rPr>
  </w:style>
  <w:style w:type="paragraph" w:styleId="Title">
    <w:name w:val="Title"/>
    <w:basedOn w:val="Normal"/>
    <w:next w:val="Normal"/>
    <w:link w:val="TitleChar"/>
    <w:uiPriority w:val="10"/>
    <w:qFormat/>
    <w:rsid w:val="00E24F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F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F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F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FA5"/>
    <w:pPr>
      <w:spacing w:before="160"/>
      <w:jc w:val="center"/>
    </w:pPr>
    <w:rPr>
      <w:i/>
      <w:iCs/>
      <w:color w:val="404040" w:themeColor="text1" w:themeTint="BF"/>
    </w:rPr>
  </w:style>
  <w:style w:type="character" w:customStyle="1" w:styleId="QuoteChar">
    <w:name w:val="Quote Char"/>
    <w:basedOn w:val="DefaultParagraphFont"/>
    <w:link w:val="Quote"/>
    <w:uiPriority w:val="29"/>
    <w:rsid w:val="00E24FA5"/>
    <w:rPr>
      <w:i/>
      <w:iCs/>
      <w:color w:val="404040" w:themeColor="text1" w:themeTint="BF"/>
    </w:rPr>
  </w:style>
  <w:style w:type="paragraph" w:styleId="ListParagraph">
    <w:name w:val="List Paragraph"/>
    <w:basedOn w:val="Normal"/>
    <w:uiPriority w:val="34"/>
    <w:qFormat/>
    <w:rsid w:val="00E24FA5"/>
    <w:pPr>
      <w:ind w:left="720"/>
      <w:contextualSpacing/>
    </w:pPr>
  </w:style>
  <w:style w:type="character" w:styleId="IntenseEmphasis">
    <w:name w:val="Intense Emphasis"/>
    <w:basedOn w:val="DefaultParagraphFont"/>
    <w:uiPriority w:val="21"/>
    <w:qFormat/>
    <w:rsid w:val="00E24FA5"/>
    <w:rPr>
      <w:i/>
      <w:iCs/>
      <w:color w:val="0F4761" w:themeColor="accent1" w:themeShade="BF"/>
    </w:rPr>
  </w:style>
  <w:style w:type="paragraph" w:styleId="IntenseQuote">
    <w:name w:val="Intense Quote"/>
    <w:basedOn w:val="Normal"/>
    <w:next w:val="Normal"/>
    <w:link w:val="IntenseQuoteChar"/>
    <w:uiPriority w:val="30"/>
    <w:qFormat/>
    <w:rsid w:val="00E24F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4FA5"/>
    <w:rPr>
      <w:i/>
      <w:iCs/>
      <w:color w:val="0F4761" w:themeColor="accent1" w:themeShade="BF"/>
    </w:rPr>
  </w:style>
  <w:style w:type="character" w:styleId="IntenseReference">
    <w:name w:val="Intense Reference"/>
    <w:basedOn w:val="DefaultParagraphFont"/>
    <w:uiPriority w:val="32"/>
    <w:qFormat/>
    <w:rsid w:val="00E24FA5"/>
    <w:rPr>
      <w:b/>
      <w:bCs/>
      <w:smallCaps/>
      <w:color w:val="0F4761" w:themeColor="accent1" w:themeShade="BF"/>
      <w:spacing w:val="5"/>
    </w:rPr>
  </w:style>
  <w:style w:type="paragraph" w:styleId="NoSpacing">
    <w:name w:val="No Spacing"/>
    <w:link w:val="NoSpacingChar"/>
    <w:uiPriority w:val="1"/>
    <w:qFormat/>
    <w:rsid w:val="00E24FA5"/>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E24FA5"/>
    <w:rPr>
      <w:kern w:val="0"/>
      <w:sz w:val="22"/>
      <w:szCs w:val="22"/>
      <w:lang w:val="en-US" w:eastAsia="en-US"/>
      <w14:ligatures w14:val="none"/>
    </w:rPr>
  </w:style>
  <w:style w:type="table" w:styleId="TableGrid">
    <w:name w:val="Table Grid"/>
    <w:basedOn w:val="TableNormal"/>
    <w:uiPriority w:val="39"/>
    <w:rsid w:val="00E24F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55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55A"/>
  </w:style>
  <w:style w:type="paragraph" w:styleId="Footer">
    <w:name w:val="footer"/>
    <w:basedOn w:val="Normal"/>
    <w:link w:val="FooterChar"/>
    <w:uiPriority w:val="99"/>
    <w:unhideWhenUsed/>
    <w:rsid w:val="006755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55A"/>
  </w:style>
  <w:style w:type="character" w:styleId="Hyperlink">
    <w:name w:val="Hyperlink"/>
    <w:basedOn w:val="DefaultParagraphFont"/>
    <w:uiPriority w:val="99"/>
    <w:unhideWhenUsed/>
    <w:rsid w:val="00397267"/>
    <w:rPr>
      <w:color w:val="467886" w:themeColor="hyperlink"/>
      <w:u w:val="single"/>
    </w:rPr>
  </w:style>
  <w:style w:type="character" w:styleId="UnresolvedMention">
    <w:name w:val="Unresolved Mention"/>
    <w:basedOn w:val="DefaultParagraphFont"/>
    <w:uiPriority w:val="99"/>
    <w:semiHidden/>
    <w:unhideWhenUsed/>
    <w:rsid w:val="00397267"/>
    <w:rPr>
      <w:color w:val="605E5C"/>
      <w:shd w:val="clear" w:color="auto" w:fill="E1DFDD"/>
    </w:rPr>
  </w:style>
  <w:style w:type="paragraph" w:customStyle="1" w:styleId="volume-issue">
    <w:name w:val="volume-issue"/>
    <w:basedOn w:val="Normal"/>
    <w:rsid w:val="00CE3BFB"/>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val">
    <w:name w:val="val"/>
    <w:basedOn w:val="DefaultParagraphFont"/>
    <w:rsid w:val="00CE3BFB"/>
  </w:style>
  <w:style w:type="paragraph" w:styleId="NormalWeb">
    <w:name w:val="Normal (Web)"/>
    <w:basedOn w:val="Normal"/>
    <w:uiPriority w:val="99"/>
    <w:unhideWhenUsed/>
    <w:rsid w:val="00CE3BFB"/>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age-range">
    <w:name w:val="page-range"/>
    <w:basedOn w:val="Normal"/>
    <w:rsid w:val="00CE3BFB"/>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27202">
      <w:bodyDiv w:val="1"/>
      <w:marLeft w:val="0"/>
      <w:marRight w:val="0"/>
      <w:marTop w:val="0"/>
      <w:marBottom w:val="0"/>
      <w:divBdr>
        <w:top w:val="none" w:sz="0" w:space="0" w:color="auto"/>
        <w:left w:val="none" w:sz="0" w:space="0" w:color="auto"/>
        <w:bottom w:val="none" w:sz="0" w:space="0" w:color="auto"/>
        <w:right w:val="none" w:sz="0" w:space="0" w:color="auto"/>
      </w:divBdr>
    </w:div>
    <w:div w:id="55252372">
      <w:bodyDiv w:val="1"/>
      <w:marLeft w:val="0"/>
      <w:marRight w:val="0"/>
      <w:marTop w:val="0"/>
      <w:marBottom w:val="0"/>
      <w:divBdr>
        <w:top w:val="none" w:sz="0" w:space="0" w:color="auto"/>
        <w:left w:val="none" w:sz="0" w:space="0" w:color="auto"/>
        <w:bottom w:val="none" w:sz="0" w:space="0" w:color="auto"/>
        <w:right w:val="none" w:sz="0" w:space="0" w:color="auto"/>
      </w:divBdr>
    </w:div>
    <w:div w:id="72359160">
      <w:bodyDiv w:val="1"/>
      <w:marLeft w:val="0"/>
      <w:marRight w:val="0"/>
      <w:marTop w:val="0"/>
      <w:marBottom w:val="0"/>
      <w:divBdr>
        <w:top w:val="none" w:sz="0" w:space="0" w:color="auto"/>
        <w:left w:val="none" w:sz="0" w:space="0" w:color="auto"/>
        <w:bottom w:val="none" w:sz="0" w:space="0" w:color="auto"/>
        <w:right w:val="none" w:sz="0" w:space="0" w:color="auto"/>
      </w:divBdr>
    </w:div>
    <w:div w:id="128598858">
      <w:bodyDiv w:val="1"/>
      <w:marLeft w:val="0"/>
      <w:marRight w:val="0"/>
      <w:marTop w:val="0"/>
      <w:marBottom w:val="0"/>
      <w:divBdr>
        <w:top w:val="none" w:sz="0" w:space="0" w:color="auto"/>
        <w:left w:val="none" w:sz="0" w:space="0" w:color="auto"/>
        <w:bottom w:val="none" w:sz="0" w:space="0" w:color="auto"/>
        <w:right w:val="none" w:sz="0" w:space="0" w:color="auto"/>
      </w:divBdr>
      <w:divsChild>
        <w:div w:id="1739598505">
          <w:marLeft w:val="0"/>
          <w:marRight w:val="0"/>
          <w:marTop w:val="0"/>
          <w:marBottom w:val="120"/>
          <w:divBdr>
            <w:top w:val="none" w:sz="0" w:space="0" w:color="auto"/>
            <w:left w:val="none" w:sz="0" w:space="0" w:color="auto"/>
            <w:bottom w:val="single" w:sz="12" w:space="9" w:color="F0F0F0"/>
            <w:right w:val="none" w:sz="0" w:space="0" w:color="auto"/>
          </w:divBdr>
          <w:divsChild>
            <w:div w:id="199629014">
              <w:marLeft w:val="0"/>
              <w:marRight w:val="0"/>
              <w:marTop w:val="100"/>
              <w:marBottom w:val="100"/>
              <w:divBdr>
                <w:top w:val="none" w:sz="0" w:space="0" w:color="auto"/>
                <w:left w:val="none" w:sz="0" w:space="0" w:color="auto"/>
                <w:bottom w:val="none" w:sz="0" w:space="0" w:color="auto"/>
                <w:right w:val="none" w:sz="0" w:space="0" w:color="auto"/>
              </w:divBdr>
              <w:divsChild>
                <w:div w:id="193909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956918">
          <w:marLeft w:val="0"/>
          <w:marRight w:val="0"/>
          <w:marTop w:val="0"/>
          <w:marBottom w:val="0"/>
          <w:divBdr>
            <w:top w:val="none" w:sz="0" w:space="0" w:color="auto"/>
            <w:left w:val="none" w:sz="0" w:space="0" w:color="auto"/>
            <w:bottom w:val="none" w:sz="0" w:space="0" w:color="auto"/>
            <w:right w:val="none" w:sz="0" w:space="0" w:color="auto"/>
          </w:divBdr>
        </w:div>
        <w:div w:id="751120507">
          <w:marLeft w:val="0"/>
          <w:marRight w:val="0"/>
          <w:marTop w:val="0"/>
          <w:marBottom w:val="120"/>
          <w:divBdr>
            <w:top w:val="none" w:sz="0" w:space="0" w:color="auto"/>
            <w:left w:val="none" w:sz="0" w:space="0" w:color="auto"/>
            <w:bottom w:val="none" w:sz="0" w:space="0" w:color="auto"/>
            <w:right w:val="none" w:sz="0" w:space="0" w:color="auto"/>
          </w:divBdr>
          <w:divsChild>
            <w:div w:id="1703700291">
              <w:marLeft w:val="0"/>
              <w:marRight w:val="0"/>
              <w:marTop w:val="0"/>
              <w:marBottom w:val="0"/>
              <w:divBdr>
                <w:top w:val="none" w:sz="0" w:space="0" w:color="auto"/>
                <w:left w:val="none" w:sz="0" w:space="0" w:color="auto"/>
                <w:bottom w:val="none" w:sz="0" w:space="0" w:color="auto"/>
                <w:right w:val="none" w:sz="0" w:space="0" w:color="auto"/>
              </w:divBdr>
              <w:divsChild>
                <w:div w:id="1552377846">
                  <w:marLeft w:val="0"/>
                  <w:marRight w:val="0"/>
                  <w:marTop w:val="0"/>
                  <w:marBottom w:val="0"/>
                  <w:divBdr>
                    <w:top w:val="none" w:sz="0" w:space="0" w:color="auto"/>
                    <w:left w:val="none" w:sz="0" w:space="0" w:color="auto"/>
                    <w:bottom w:val="none" w:sz="0" w:space="0" w:color="auto"/>
                    <w:right w:val="none" w:sz="0" w:space="0" w:color="auto"/>
                  </w:divBdr>
                  <w:divsChild>
                    <w:div w:id="8947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45389">
      <w:bodyDiv w:val="1"/>
      <w:marLeft w:val="0"/>
      <w:marRight w:val="0"/>
      <w:marTop w:val="0"/>
      <w:marBottom w:val="0"/>
      <w:divBdr>
        <w:top w:val="none" w:sz="0" w:space="0" w:color="auto"/>
        <w:left w:val="none" w:sz="0" w:space="0" w:color="auto"/>
        <w:bottom w:val="none" w:sz="0" w:space="0" w:color="auto"/>
        <w:right w:val="none" w:sz="0" w:space="0" w:color="auto"/>
      </w:divBdr>
    </w:div>
    <w:div w:id="186142762">
      <w:bodyDiv w:val="1"/>
      <w:marLeft w:val="0"/>
      <w:marRight w:val="0"/>
      <w:marTop w:val="0"/>
      <w:marBottom w:val="0"/>
      <w:divBdr>
        <w:top w:val="none" w:sz="0" w:space="0" w:color="auto"/>
        <w:left w:val="none" w:sz="0" w:space="0" w:color="auto"/>
        <w:bottom w:val="none" w:sz="0" w:space="0" w:color="auto"/>
        <w:right w:val="none" w:sz="0" w:space="0" w:color="auto"/>
      </w:divBdr>
      <w:divsChild>
        <w:div w:id="431977048">
          <w:marLeft w:val="0"/>
          <w:marRight w:val="0"/>
          <w:marTop w:val="0"/>
          <w:marBottom w:val="0"/>
          <w:divBdr>
            <w:top w:val="none" w:sz="0" w:space="0" w:color="auto"/>
            <w:left w:val="none" w:sz="0" w:space="0" w:color="auto"/>
            <w:bottom w:val="none" w:sz="0" w:space="0" w:color="auto"/>
            <w:right w:val="none" w:sz="0" w:space="0" w:color="auto"/>
          </w:divBdr>
        </w:div>
        <w:div w:id="1371882814">
          <w:marLeft w:val="0"/>
          <w:marRight w:val="0"/>
          <w:marTop w:val="0"/>
          <w:marBottom w:val="0"/>
          <w:divBdr>
            <w:top w:val="none" w:sz="0" w:space="0" w:color="auto"/>
            <w:left w:val="none" w:sz="0" w:space="0" w:color="auto"/>
            <w:bottom w:val="none" w:sz="0" w:space="0" w:color="auto"/>
            <w:right w:val="none" w:sz="0" w:space="0" w:color="auto"/>
          </w:divBdr>
        </w:div>
      </w:divsChild>
    </w:div>
    <w:div w:id="212815269">
      <w:bodyDiv w:val="1"/>
      <w:marLeft w:val="0"/>
      <w:marRight w:val="0"/>
      <w:marTop w:val="0"/>
      <w:marBottom w:val="0"/>
      <w:divBdr>
        <w:top w:val="none" w:sz="0" w:space="0" w:color="auto"/>
        <w:left w:val="none" w:sz="0" w:space="0" w:color="auto"/>
        <w:bottom w:val="none" w:sz="0" w:space="0" w:color="auto"/>
        <w:right w:val="none" w:sz="0" w:space="0" w:color="auto"/>
      </w:divBdr>
      <w:divsChild>
        <w:div w:id="1769278827">
          <w:marLeft w:val="0"/>
          <w:marRight w:val="0"/>
          <w:marTop w:val="0"/>
          <w:marBottom w:val="120"/>
          <w:divBdr>
            <w:top w:val="none" w:sz="0" w:space="0" w:color="auto"/>
            <w:left w:val="none" w:sz="0" w:space="0" w:color="auto"/>
            <w:bottom w:val="single" w:sz="12" w:space="9" w:color="F0F0F0"/>
            <w:right w:val="none" w:sz="0" w:space="0" w:color="auto"/>
          </w:divBdr>
          <w:divsChild>
            <w:div w:id="499203910">
              <w:marLeft w:val="0"/>
              <w:marRight w:val="0"/>
              <w:marTop w:val="100"/>
              <w:marBottom w:val="100"/>
              <w:divBdr>
                <w:top w:val="none" w:sz="0" w:space="0" w:color="auto"/>
                <w:left w:val="none" w:sz="0" w:space="0" w:color="auto"/>
                <w:bottom w:val="none" w:sz="0" w:space="0" w:color="auto"/>
                <w:right w:val="none" w:sz="0" w:space="0" w:color="auto"/>
              </w:divBdr>
              <w:divsChild>
                <w:div w:id="179386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661">
          <w:marLeft w:val="0"/>
          <w:marRight w:val="0"/>
          <w:marTop w:val="0"/>
          <w:marBottom w:val="0"/>
          <w:divBdr>
            <w:top w:val="none" w:sz="0" w:space="0" w:color="auto"/>
            <w:left w:val="none" w:sz="0" w:space="0" w:color="auto"/>
            <w:bottom w:val="none" w:sz="0" w:space="0" w:color="auto"/>
            <w:right w:val="none" w:sz="0" w:space="0" w:color="auto"/>
          </w:divBdr>
        </w:div>
        <w:div w:id="2129080023">
          <w:marLeft w:val="0"/>
          <w:marRight w:val="0"/>
          <w:marTop w:val="0"/>
          <w:marBottom w:val="120"/>
          <w:divBdr>
            <w:top w:val="none" w:sz="0" w:space="0" w:color="auto"/>
            <w:left w:val="none" w:sz="0" w:space="0" w:color="auto"/>
            <w:bottom w:val="none" w:sz="0" w:space="0" w:color="auto"/>
            <w:right w:val="none" w:sz="0" w:space="0" w:color="auto"/>
          </w:divBdr>
          <w:divsChild>
            <w:div w:id="398331218">
              <w:marLeft w:val="0"/>
              <w:marRight w:val="0"/>
              <w:marTop w:val="0"/>
              <w:marBottom w:val="0"/>
              <w:divBdr>
                <w:top w:val="none" w:sz="0" w:space="0" w:color="auto"/>
                <w:left w:val="none" w:sz="0" w:space="0" w:color="auto"/>
                <w:bottom w:val="none" w:sz="0" w:space="0" w:color="auto"/>
                <w:right w:val="none" w:sz="0" w:space="0" w:color="auto"/>
              </w:divBdr>
              <w:divsChild>
                <w:div w:id="1877698264">
                  <w:marLeft w:val="0"/>
                  <w:marRight w:val="0"/>
                  <w:marTop w:val="0"/>
                  <w:marBottom w:val="0"/>
                  <w:divBdr>
                    <w:top w:val="none" w:sz="0" w:space="0" w:color="auto"/>
                    <w:left w:val="none" w:sz="0" w:space="0" w:color="auto"/>
                    <w:bottom w:val="none" w:sz="0" w:space="0" w:color="auto"/>
                    <w:right w:val="none" w:sz="0" w:space="0" w:color="auto"/>
                  </w:divBdr>
                  <w:divsChild>
                    <w:div w:id="77294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8444640">
      <w:bodyDiv w:val="1"/>
      <w:marLeft w:val="0"/>
      <w:marRight w:val="0"/>
      <w:marTop w:val="0"/>
      <w:marBottom w:val="0"/>
      <w:divBdr>
        <w:top w:val="none" w:sz="0" w:space="0" w:color="auto"/>
        <w:left w:val="none" w:sz="0" w:space="0" w:color="auto"/>
        <w:bottom w:val="none" w:sz="0" w:space="0" w:color="auto"/>
        <w:right w:val="none" w:sz="0" w:space="0" w:color="auto"/>
      </w:divBdr>
    </w:div>
    <w:div w:id="226496056">
      <w:bodyDiv w:val="1"/>
      <w:marLeft w:val="0"/>
      <w:marRight w:val="0"/>
      <w:marTop w:val="0"/>
      <w:marBottom w:val="0"/>
      <w:divBdr>
        <w:top w:val="none" w:sz="0" w:space="0" w:color="auto"/>
        <w:left w:val="none" w:sz="0" w:space="0" w:color="auto"/>
        <w:bottom w:val="none" w:sz="0" w:space="0" w:color="auto"/>
        <w:right w:val="none" w:sz="0" w:space="0" w:color="auto"/>
      </w:divBdr>
    </w:div>
    <w:div w:id="277875440">
      <w:bodyDiv w:val="1"/>
      <w:marLeft w:val="0"/>
      <w:marRight w:val="0"/>
      <w:marTop w:val="0"/>
      <w:marBottom w:val="0"/>
      <w:divBdr>
        <w:top w:val="none" w:sz="0" w:space="0" w:color="auto"/>
        <w:left w:val="none" w:sz="0" w:space="0" w:color="auto"/>
        <w:bottom w:val="none" w:sz="0" w:space="0" w:color="auto"/>
        <w:right w:val="none" w:sz="0" w:space="0" w:color="auto"/>
      </w:divBdr>
      <w:divsChild>
        <w:div w:id="1824932969">
          <w:marLeft w:val="0"/>
          <w:marRight w:val="0"/>
          <w:marTop w:val="0"/>
          <w:marBottom w:val="120"/>
          <w:divBdr>
            <w:top w:val="none" w:sz="0" w:space="0" w:color="auto"/>
            <w:left w:val="none" w:sz="0" w:space="0" w:color="auto"/>
            <w:bottom w:val="single" w:sz="12" w:space="9" w:color="F0F0F0"/>
            <w:right w:val="none" w:sz="0" w:space="0" w:color="auto"/>
          </w:divBdr>
          <w:divsChild>
            <w:div w:id="552162386">
              <w:marLeft w:val="0"/>
              <w:marRight w:val="0"/>
              <w:marTop w:val="100"/>
              <w:marBottom w:val="100"/>
              <w:divBdr>
                <w:top w:val="none" w:sz="0" w:space="0" w:color="auto"/>
                <w:left w:val="none" w:sz="0" w:space="0" w:color="auto"/>
                <w:bottom w:val="none" w:sz="0" w:space="0" w:color="auto"/>
                <w:right w:val="none" w:sz="0" w:space="0" w:color="auto"/>
              </w:divBdr>
              <w:divsChild>
                <w:div w:id="75964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008330">
          <w:marLeft w:val="0"/>
          <w:marRight w:val="0"/>
          <w:marTop w:val="0"/>
          <w:marBottom w:val="120"/>
          <w:divBdr>
            <w:top w:val="none" w:sz="0" w:space="0" w:color="auto"/>
            <w:left w:val="none" w:sz="0" w:space="0" w:color="auto"/>
            <w:bottom w:val="none" w:sz="0" w:space="0" w:color="auto"/>
            <w:right w:val="none" w:sz="0" w:space="0" w:color="auto"/>
          </w:divBdr>
          <w:divsChild>
            <w:div w:id="131599766">
              <w:marLeft w:val="0"/>
              <w:marRight w:val="0"/>
              <w:marTop w:val="0"/>
              <w:marBottom w:val="0"/>
              <w:divBdr>
                <w:top w:val="none" w:sz="0" w:space="0" w:color="auto"/>
                <w:left w:val="none" w:sz="0" w:space="0" w:color="auto"/>
                <w:bottom w:val="none" w:sz="0" w:space="0" w:color="auto"/>
                <w:right w:val="none" w:sz="0" w:space="0" w:color="auto"/>
              </w:divBdr>
              <w:divsChild>
                <w:div w:id="1852911896">
                  <w:marLeft w:val="0"/>
                  <w:marRight w:val="0"/>
                  <w:marTop w:val="0"/>
                  <w:marBottom w:val="0"/>
                  <w:divBdr>
                    <w:top w:val="none" w:sz="0" w:space="0" w:color="auto"/>
                    <w:left w:val="none" w:sz="0" w:space="0" w:color="auto"/>
                    <w:bottom w:val="none" w:sz="0" w:space="0" w:color="auto"/>
                    <w:right w:val="none" w:sz="0" w:space="0" w:color="auto"/>
                  </w:divBdr>
                  <w:divsChild>
                    <w:div w:id="166484611">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291519658">
      <w:bodyDiv w:val="1"/>
      <w:marLeft w:val="0"/>
      <w:marRight w:val="0"/>
      <w:marTop w:val="0"/>
      <w:marBottom w:val="0"/>
      <w:divBdr>
        <w:top w:val="none" w:sz="0" w:space="0" w:color="auto"/>
        <w:left w:val="none" w:sz="0" w:space="0" w:color="auto"/>
        <w:bottom w:val="none" w:sz="0" w:space="0" w:color="auto"/>
        <w:right w:val="none" w:sz="0" w:space="0" w:color="auto"/>
      </w:divBdr>
      <w:divsChild>
        <w:div w:id="192697799">
          <w:marLeft w:val="0"/>
          <w:marRight w:val="0"/>
          <w:marTop w:val="0"/>
          <w:marBottom w:val="0"/>
          <w:divBdr>
            <w:top w:val="none" w:sz="0" w:space="0" w:color="auto"/>
            <w:left w:val="none" w:sz="0" w:space="0" w:color="auto"/>
            <w:bottom w:val="none" w:sz="0" w:space="0" w:color="auto"/>
            <w:right w:val="none" w:sz="0" w:space="0" w:color="auto"/>
          </w:divBdr>
          <w:divsChild>
            <w:div w:id="137115365">
              <w:marLeft w:val="0"/>
              <w:marRight w:val="0"/>
              <w:marTop w:val="100"/>
              <w:marBottom w:val="100"/>
              <w:divBdr>
                <w:top w:val="none" w:sz="0" w:space="0" w:color="auto"/>
                <w:left w:val="none" w:sz="0" w:space="0" w:color="auto"/>
                <w:bottom w:val="none" w:sz="0" w:space="0" w:color="auto"/>
                <w:right w:val="none" w:sz="0" w:space="0" w:color="auto"/>
              </w:divBdr>
              <w:divsChild>
                <w:div w:id="121434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188733">
          <w:marLeft w:val="0"/>
          <w:marRight w:val="0"/>
          <w:marTop w:val="0"/>
          <w:marBottom w:val="120"/>
          <w:divBdr>
            <w:top w:val="none" w:sz="0" w:space="0" w:color="auto"/>
            <w:left w:val="none" w:sz="0" w:space="0" w:color="auto"/>
            <w:bottom w:val="none" w:sz="0" w:space="0" w:color="auto"/>
            <w:right w:val="none" w:sz="0" w:space="0" w:color="auto"/>
          </w:divBdr>
          <w:divsChild>
            <w:div w:id="735395458">
              <w:marLeft w:val="0"/>
              <w:marRight w:val="0"/>
              <w:marTop w:val="0"/>
              <w:marBottom w:val="0"/>
              <w:divBdr>
                <w:top w:val="none" w:sz="0" w:space="0" w:color="auto"/>
                <w:left w:val="none" w:sz="0" w:space="0" w:color="auto"/>
                <w:bottom w:val="none" w:sz="0" w:space="0" w:color="auto"/>
                <w:right w:val="none" w:sz="0" w:space="0" w:color="auto"/>
              </w:divBdr>
              <w:divsChild>
                <w:div w:id="1676423773">
                  <w:marLeft w:val="0"/>
                  <w:marRight w:val="0"/>
                  <w:marTop w:val="0"/>
                  <w:marBottom w:val="0"/>
                  <w:divBdr>
                    <w:top w:val="none" w:sz="0" w:space="0" w:color="auto"/>
                    <w:left w:val="none" w:sz="0" w:space="0" w:color="auto"/>
                    <w:bottom w:val="none" w:sz="0" w:space="0" w:color="auto"/>
                    <w:right w:val="none" w:sz="0" w:space="0" w:color="auto"/>
                  </w:divBdr>
                  <w:divsChild>
                    <w:div w:id="123786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700405">
              <w:marLeft w:val="0"/>
              <w:marRight w:val="0"/>
              <w:marTop w:val="0"/>
              <w:marBottom w:val="0"/>
              <w:divBdr>
                <w:top w:val="none" w:sz="0" w:space="0" w:color="auto"/>
                <w:left w:val="none" w:sz="0" w:space="0" w:color="auto"/>
                <w:bottom w:val="single" w:sz="6" w:space="0" w:color="000000"/>
                <w:right w:val="none" w:sz="0" w:space="0" w:color="auto"/>
              </w:divBdr>
              <w:divsChild>
                <w:div w:id="404643908">
                  <w:marLeft w:val="0"/>
                  <w:marRight w:val="0"/>
                  <w:marTop w:val="0"/>
                  <w:marBottom w:val="0"/>
                  <w:divBdr>
                    <w:top w:val="none" w:sz="0" w:space="0" w:color="auto"/>
                    <w:left w:val="none" w:sz="0" w:space="0" w:color="auto"/>
                    <w:bottom w:val="none" w:sz="0" w:space="0" w:color="auto"/>
                    <w:right w:val="none" w:sz="0" w:space="0" w:color="auto"/>
                  </w:divBdr>
                  <w:divsChild>
                    <w:div w:id="1360349623">
                      <w:marLeft w:val="0"/>
                      <w:marRight w:val="0"/>
                      <w:marTop w:val="0"/>
                      <w:marBottom w:val="0"/>
                      <w:divBdr>
                        <w:top w:val="none" w:sz="0" w:space="0" w:color="auto"/>
                        <w:left w:val="none" w:sz="0" w:space="0" w:color="auto"/>
                        <w:bottom w:val="none" w:sz="0" w:space="0" w:color="auto"/>
                        <w:right w:val="none" w:sz="0" w:space="0" w:color="auto"/>
                      </w:divBdr>
                      <w:divsChild>
                        <w:div w:id="49291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2877">
                  <w:marLeft w:val="0"/>
                  <w:marRight w:val="0"/>
                  <w:marTop w:val="0"/>
                  <w:marBottom w:val="0"/>
                  <w:divBdr>
                    <w:top w:val="none" w:sz="0" w:space="0" w:color="auto"/>
                    <w:left w:val="none" w:sz="0" w:space="0" w:color="auto"/>
                    <w:bottom w:val="none" w:sz="0" w:space="0" w:color="auto"/>
                    <w:right w:val="none" w:sz="0" w:space="0" w:color="auto"/>
                  </w:divBdr>
                  <w:divsChild>
                    <w:div w:id="169685352">
                      <w:marLeft w:val="0"/>
                      <w:marRight w:val="0"/>
                      <w:marTop w:val="0"/>
                      <w:marBottom w:val="0"/>
                      <w:divBdr>
                        <w:top w:val="none" w:sz="0" w:space="0" w:color="auto"/>
                        <w:left w:val="none" w:sz="0" w:space="0" w:color="auto"/>
                        <w:bottom w:val="none" w:sz="0" w:space="0" w:color="auto"/>
                        <w:right w:val="none" w:sz="0" w:space="0" w:color="auto"/>
                      </w:divBdr>
                      <w:divsChild>
                        <w:div w:id="76083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518402">
          <w:marLeft w:val="0"/>
          <w:marRight w:val="0"/>
          <w:marTop w:val="0"/>
          <w:marBottom w:val="120"/>
          <w:divBdr>
            <w:top w:val="none" w:sz="0" w:space="0" w:color="auto"/>
            <w:left w:val="none" w:sz="0" w:space="0" w:color="auto"/>
            <w:bottom w:val="none" w:sz="0" w:space="0" w:color="auto"/>
            <w:right w:val="none" w:sz="0" w:space="0" w:color="auto"/>
          </w:divBdr>
        </w:div>
      </w:divsChild>
    </w:div>
    <w:div w:id="299310083">
      <w:bodyDiv w:val="1"/>
      <w:marLeft w:val="0"/>
      <w:marRight w:val="0"/>
      <w:marTop w:val="0"/>
      <w:marBottom w:val="0"/>
      <w:divBdr>
        <w:top w:val="none" w:sz="0" w:space="0" w:color="auto"/>
        <w:left w:val="none" w:sz="0" w:space="0" w:color="auto"/>
        <w:bottom w:val="none" w:sz="0" w:space="0" w:color="auto"/>
        <w:right w:val="none" w:sz="0" w:space="0" w:color="auto"/>
      </w:divBdr>
    </w:div>
    <w:div w:id="300353848">
      <w:bodyDiv w:val="1"/>
      <w:marLeft w:val="0"/>
      <w:marRight w:val="0"/>
      <w:marTop w:val="0"/>
      <w:marBottom w:val="0"/>
      <w:divBdr>
        <w:top w:val="none" w:sz="0" w:space="0" w:color="auto"/>
        <w:left w:val="none" w:sz="0" w:space="0" w:color="auto"/>
        <w:bottom w:val="none" w:sz="0" w:space="0" w:color="auto"/>
        <w:right w:val="none" w:sz="0" w:space="0" w:color="auto"/>
      </w:divBdr>
    </w:div>
    <w:div w:id="310601115">
      <w:bodyDiv w:val="1"/>
      <w:marLeft w:val="0"/>
      <w:marRight w:val="0"/>
      <w:marTop w:val="0"/>
      <w:marBottom w:val="0"/>
      <w:divBdr>
        <w:top w:val="none" w:sz="0" w:space="0" w:color="auto"/>
        <w:left w:val="none" w:sz="0" w:space="0" w:color="auto"/>
        <w:bottom w:val="none" w:sz="0" w:space="0" w:color="auto"/>
        <w:right w:val="none" w:sz="0" w:space="0" w:color="auto"/>
      </w:divBdr>
    </w:div>
    <w:div w:id="346909901">
      <w:bodyDiv w:val="1"/>
      <w:marLeft w:val="0"/>
      <w:marRight w:val="0"/>
      <w:marTop w:val="0"/>
      <w:marBottom w:val="0"/>
      <w:divBdr>
        <w:top w:val="none" w:sz="0" w:space="0" w:color="auto"/>
        <w:left w:val="none" w:sz="0" w:space="0" w:color="auto"/>
        <w:bottom w:val="none" w:sz="0" w:space="0" w:color="auto"/>
        <w:right w:val="none" w:sz="0" w:space="0" w:color="auto"/>
      </w:divBdr>
      <w:divsChild>
        <w:div w:id="1488204040">
          <w:marLeft w:val="0"/>
          <w:marRight w:val="0"/>
          <w:marTop w:val="0"/>
          <w:marBottom w:val="0"/>
          <w:divBdr>
            <w:top w:val="none" w:sz="0" w:space="0" w:color="auto"/>
            <w:left w:val="none" w:sz="0" w:space="0" w:color="auto"/>
            <w:bottom w:val="none" w:sz="0" w:space="0" w:color="auto"/>
            <w:right w:val="none" w:sz="0" w:space="0" w:color="auto"/>
          </w:divBdr>
        </w:div>
        <w:div w:id="136186147">
          <w:marLeft w:val="0"/>
          <w:marRight w:val="0"/>
          <w:marTop w:val="0"/>
          <w:marBottom w:val="0"/>
          <w:divBdr>
            <w:top w:val="none" w:sz="0" w:space="0" w:color="auto"/>
            <w:left w:val="none" w:sz="0" w:space="0" w:color="auto"/>
            <w:bottom w:val="none" w:sz="0" w:space="0" w:color="auto"/>
            <w:right w:val="none" w:sz="0" w:space="0" w:color="auto"/>
          </w:divBdr>
        </w:div>
        <w:div w:id="1741057540">
          <w:marLeft w:val="0"/>
          <w:marRight w:val="0"/>
          <w:marTop w:val="0"/>
          <w:marBottom w:val="0"/>
          <w:divBdr>
            <w:top w:val="none" w:sz="0" w:space="0" w:color="auto"/>
            <w:left w:val="none" w:sz="0" w:space="0" w:color="auto"/>
            <w:bottom w:val="none" w:sz="0" w:space="0" w:color="auto"/>
            <w:right w:val="none" w:sz="0" w:space="0" w:color="auto"/>
          </w:divBdr>
          <w:divsChild>
            <w:div w:id="1061443426">
              <w:marLeft w:val="0"/>
              <w:marRight w:val="0"/>
              <w:marTop w:val="0"/>
              <w:marBottom w:val="0"/>
              <w:divBdr>
                <w:top w:val="none" w:sz="0" w:space="0" w:color="auto"/>
                <w:left w:val="none" w:sz="0" w:space="0" w:color="auto"/>
                <w:bottom w:val="none" w:sz="0" w:space="0" w:color="auto"/>
                <w:right w:val="none" w:sz="0" w:space="0" w:color="auto"/>
              </w:divBdr>
              <w:divsChild>
                <w:div w:id="1069569885">
                  <w:marLeft w:val="0"/>
                  <w:marRight w:val="0"/>
                  <w:marTop w:val="0"/>
                  <w:marBottom w:val="0"/>
                  <w:divBdr>
                    <w:top w:val="none" w:sz="0" w:space="0" w:color="auto"/>
                    <w:left w:val="none" w:sz="0" w:space="0" w:color="auto"/>
                    <w:bottom w:val="none" w:sz="0" w:space="0" w:color="auto"/>
                    <w:right w:val="none" w:sz="0" w:space="0" w:color="auto"/>
                  </w:divBdr>
                  <w:divsChild>
                    <w:div w:id="52575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671722">
          <w:marLeft w:val="0"/>
          <w:marRight w:val="0"/>
          <w:marTop w:val="0"/>
          <w:marBottom w:val="0"/>
          <w:divBdr>
            <w:top w:val="none" w:sz="0" w:space="0" w:color="auto"/>
            <w:left w:val="none" w:sz="0" w:space="0" w:color="auto"/>
            <w:bottom w:val="none" w:sz="0" w:space="0" w:color="auto"/>
            <w:right w:val="none" w:sz="0" w:space="0" w:color="auto"/>
          </w:divBdr>
          <w:divsChild>
            <w:div w:id="678581647">
              <w:marLeft w:val="0"/>
              <w:marRight w:val="0"/>
              <w:marTop w:val="0"/>
              <w:marBottom w:val="0"/>
              <w:divBdr>
                <w:top w:val="none" w:sz="0" w:space="0" w:color="auto"/>
                <w:left w:val="none" w:sz="0" w:space="0" w:color="auto"/>
                <w:bottom w:val="none" w:sz="0" w:space="0" w:color="auto"/>
                <w:right w:val="none" w:sz="0" w:space="0" w:color="auto"/>
              </w:divBdr>
            </w:div>
            <w:div w:id="171638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711958">
      <w:bodyDiv w:val="1"/>
      <w:marLeft w:val="0"/>
      <w:marRight w:val="0"/>
      <w:marTop w:val="0"/>
      <w:marBottom w:val="0"/>
      <w:divBdr>
        <w:top w:val="none" w:sz="0" w:space="0" w:color="auto"/>
        <w:left w:val="none" w:sz="0" w:space="0" w:color="auto"/>
        <w:bottom w:val="none" w:sz="0" w:space="0" w:color="auto"/>
        <w:right w:val="none" w:sz="0" w:space="0" w:color="auto"/>
      </w:divBdr>
    </w:div>
    <w:div w:id="493447595">
      <w:bodyDiv w:val="1"/>
      <w:marLeft w:val="0"/>
      <w:marRight w:val="0"/>
      <w:marTop w:val="0"/>
      <w:marBottom w:val="0"/>
      <w:divBdr>
        <w:top w:val="none" w:sz="0" w:space="0" w:color="auto"/>
        <w:left w:val="none" w:sz="0" w:space="0" w:color="auto"/>
        <w:bottom w:val="none" w:sz="0" w:space="0" w:color="auto"/>
        <w:right w:val="none" w:sz="0" w:space="0" w:color="auto"/>
      </w:divBdr>
    </w:div>
    <w:div w:id="548346401">
      <w:bodyDiv w:val="1"/>
      <w:marLeft w:val="0"/>
      <w:marRight w:val="0"/>
      <w:marTop w:val="0"/>
      <w:marBottom w:val="0"/>
      <w:divBdr>
        <w:top w:val="none" w:sz="0" w:space="0" w:color="auto"/>
        <w:left w:val="none" w:sz="0" w:space="0" w:color="auto"/>
        <w:bottom w:val="none" w:sz="0" w:space="0" w:color="auto"/>
        <w:right w:val="none" w:sz="0" w:space="0" w:color="auto"/>
      </w:divBdr>
    </w:div>
    <w:div w:id="552697787">
      <w:bodyDiv w:val="1"/>
      <w:marLeft w:val="0"/>
      <w:marRight w:val="0"/>
      <w:marTop w:val="0"/>
      <w:marBottom w:val="0"/>
      <w:divBdr>
        <w:top w:val="none" w:sz="0" w:space="0" w:color="auto"/>
        <w:left w:val="none" w:sz="0" w:space="0" w:color="auto"/>
        <w:bottom w:val="none" w:sz="0" w:space="0" w:color="auto"/>
        <w:right w:val="none" w:sz="0" w:space="0" w:color="auto"/>
      </w:divBdr>
    </w:div>
    <w:div w:id="556629537">
      <w:bodyDiv w:val="1"/>
      <w:marLeft w:val="0"/>
      <w:marRight w:val="0"/>
      <w:marTop w:val="0"/>
      <w:marBottom w:val="0"/>
      <w:divBdr>
        <w:top w:val="none" w:sz="0" w:space="0" w:color="auto"/>
        <w:left w:val="none" w:sz="0" w:space="0" w:color="auto"/>
        <w:bottom w:val="none" w:sz="0" w:space="0" w:color="auto"/>
        <w:right w:val="none" w:sz="0" w:space="0" w:color="auto"/>
      </w:divBdr>
    </w:div>
    <w:div w:id="579170331">
      <w:bodyDiv w:val="1"/>
      <w:marLeft w:val="0"/>
      <w:marRight w:val="0"/>
      <w:marTop w:val="0"/>
      <w:marBottom w:val="0"/>
      <w:divBdr>
        <w:top w:val="none" w:sz="0" w:space="0" w:color="auto"/>
        <w:left w:val="none" w:sz="0" w:space="0" w:color="auto"/>
        <w:bottom w:val="none" w:sz="0" w:space="0" w:color="auto"/>
        <w:right w:val="none" w:sz="0" w:space="0" w:color="auto"/>
      </w:divBdr>
    </w:div>
    <w:div w:id="603878282">
      <w:bodyDiv w:val="1"/>
      <w:marLeft w:val="0"/>
      <w:marRight w:val="0"/>
      <w:marTop w:val="0"/>
      <w:marBottom w:val="0"/>
      <w:divBdr>
        <w:top w:val="none" w:sz="0" w:space="0" w:color="auto"/>
        <w:left w:val="none" w:sz="0" w:space="0" w:color="auto"/>
        <w:bottom w:val="none" w:sz="0" w:space="0" w:color="auto"/>
        <w:right w:val="none" w:sz="0" w:space="0" w:color="auto"/>
      </w:divBdr>
    </w:div>
    <w:div w:id="662658265">
      <w:bodyDiv w:val="1"/>
      <w:marLeft w:val="0"/>
      <w:marRight w:val="0"/>
      <w:marTop w:val="0"/>
      <w:marBottom w:val="0"/>
      <w:divBdr>
        <w:top w:val="none" w:sz="0" w:space="0" w:color="auto"/>
        <w:left w:val="none" w:sz="0" w:space="0" w:color="auto"/>
        <w:bottom w:val="none" w:sz="0" w:space="0" w:color="auto"/>
        <w:right w:val="none" w:sz="0" w:space="0" w:color="auto"/>
      </w:divBdr>
    </w:div>
    <w:div w:id="728457059">
      <w:bodyDiv w:val="1"/>
      <w:marLeft w:val="0"/>
      <w:marRight w:val="0"/>
      <w:marTop w:val="0"/>
      <w:marBottom w:val="0"/>
      <w:divBdr>
        <w:top w:val="none" w:sz="0" w:space="0" w:color="auto"/>
        <w:left w:val="none" w:sz="0" w:space="0" w:color="auto"/>
        <w:bottom w:val="none" w:sz="0" w:space="0" w:color="auto"/>
        <w:right w:val="none" w:sz="0" w:space="0" w:color="auto"/>
      </w:divBdr>
    </w:div>
    <w:div w:id="775559043">
      <w:bodyDiv w:val="1"/>
      <w:marLeft w:val="0"/>
      <w:marRight w:val="0"/>
      <w:marTop w:val="0"/>
      <w:marBottom w:val="0"/>
      <w:divBdr>
        <w:top w:val="none" w:sz="0" w:space="0" w:color="auto"/>
        <w:left w:val="none" w:sz="0" w:space="0" w:color="auto"/>
        <w:bottom w:val="none" w:sz="0" w:space="0" w:color="auto"/>
        <w:right w:val="none" w:sz="0" w:space="0" w:color="auto"/>
      </w:divBdr>
      <w:divsChild>
        <w:div w:id="1134837675">
          <w:marLeft w:val="0"/>
          <w:marRight w:val="0"/>
          <w:marTop w:val="0"/>
          <w:marBottom w:val="0"/>
          <w:divBdr>
            <w:top w:val="none" w:sz="0" w:space="0" w:color="auto"/>
            <w:left w:val="none" w:sz="0" w:space="0" w:color="auto"/>
            <w:bottom w:val="none" w:sz="0" w:space="0" w:color="auto"/>
            <w:right w:val="none" w:sz="0" w:space="0" w:color="auto"/>
          </w:divBdr>
        </w:div>
        <w:div w:id="252521009">
          <w:marLeft w:val="0"/>
          <w:marRight w:val="0"/>
          <w:marTop w:val="0"/>
          <w:marBottom w:val="0"/>
          <w:divBdr>
            <w:top w:val="none" w:sz="0" w:space="0" w:color="auto"/>
            <w:left w:val="none" w:sz="0" w:space="0" w:color="auto"/>
            <w:bottom w:val="none" w:sz="0" w:space="0" w:color="auto"/>
            <w:right w:val="none" w:sz="0" w:space="0" w:color="auto"/>
          </w:divBdr>
        </w:div>
      </w:divsChild>
    </w:div>
    <w:div w:id="820929466">
      <w:bodyDiv w:val="1"/>
      <w:marLeft w:val="0"/>
      <w:marRight w:val="0"/>
      <w:marTop w:val="0"/>
      <w:marBottom w:val="0"/>
      <w:divBdr>
        <w:top w:val="none" w:sz="0" w:space="0" w:color="auto"/>
        <w:left w:val="none" w:sz="0" w:space="0" w:color="auto"/>
        <w:bottom w:val="none" w:sz="0" w:space="0" w:color="auto"/>
        <w:right w:val="none" w:sz="0" w:space="0" w:color="auto"/>
      </w:divBdr>
      <w:divsChild>
        <w:div w:id="82381216">
          <w:marLeft w:val="0"/>
          <w:marRight w:val="0"/>
          <w:marTop w:val="0"/>
          <w:marBottom w:val="0"/>
          <w:divBdr>
            <w:top w:val="single" w:sz="2" w:space="0" w:color="E5E7EB"/>
            <w:left w:val="single" w:sz="2" w:space="0" w:color="E5E7EB"/>
            <w:bottom w:val="single" w:sz="2" w:space="0" w:color="E5E7EB"/>
            <w:right w:val="single" w:sz="6" w:space="0" w:color="E5E7EB"/>
          </w:divBdr>
          <w:divsChild>
            <w:div w:id="7606416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29330727">
          <w:marLeft w:val="0"/>
          <w:marRight w:val="0"/>
          <w:marTop w:val="0"/>
          <w:marBottom w:val="0"/>
          <w:divBdr>
            <w:top w:val="single" w:sz="2" w:space="0" w:color="E5E7EB"/>
            <w:left w:val="single" w:sz="2" w:space="0" w:color="E5E7EB"/>
            <w:bottom w:val="single" w:sz="2" w:space="0" w:color="E5E7EB"/>
            <w:right w:val="single" w:sz="6" w:space="0" w:color="E5E7EB"/>
          </w:divBdr>
          <w:divsChild>
            <w:div w:id="137916523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38967419">
          <w:marLeft w:val="0"/>
          <w:marRight w:val="0"/>
          <w:marTop w:val="0"/>
          <w:marBottom w:val="0"/>
          <w:divBdr>
            <w:top w:val="single" w:sz="2" w:space="0" w:color="E5E7EB"/>
            <w:left w:val="single" w:sz="2" w:space="0" w:color="E5E7EB"/>
            <w:bottom w:val="single" w:sz="2" w:space="0" w:color="E5E7EB"/>
            <w:right w:val="single" w:sz="6" w:space="0" w:color="E5E7EB"/>
          </w:divBdr>
          <w:divsChild>
            <w:div w:id="17234060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65786489">
          <w:marLeft w:val="0"/>
          <w:marRight w:val="0"/>
          <w:marTop w:val="0"/>
          <w:marBottom w:val="0"/>
          <w:divBdr>
            <w:top w:val="single" w:sz="2" w:space="0" w:color="E5E7EB"/>
            <w:left w:val="single" w:sz="2" w:space="0" w:color="E5E7EB"/>
            <w:bottom w:val="single" w:sz="2" w:space="0" w:color="E5E7EB"/>
            <w:right w:val="single" w:sz="2" w:space="0" w:color="E5E7EB"/>
          </w:divBdr>
          <w:divsChild>
            <w:div w:id="199841435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39999755">
      <w:bodyDiv w:val="1"/>
      <w:marLeft w:val="0"/>
      <w:marRight w:val="0"/>
      <w:marTop w:val="0"/>
      <w:marBottom w:val="0"/>
      <w:divBdr>
        <w:top w:val="none" w:sz="0" w:space="0" w:color="auto"/>
        <w:left w:val="none" w:sz="0" w:space="0" w:color="auto"/>
        <w:bottom w:val="none" w:sz="0" w:space="0" w:color="auto"/>
        <w:right w:val="none" w:sz="0" w:space="0" w:color="auto"/>
      </w:divBdr>
      <w:divsChild>
        <w:div w:id="792946393">
          <w:marLeft w:val="0"/>
          <w:marRight w:val="0"/>
          <w:marTop w:val="0"/>
          <w:marBottom w:val="0"/>
          <w:divBdr>
            <w:top w:val="none" w:sz="0" w:space="0" w:color="auto"/>
            <w:left w:val="none" w:sz="0" w:space="0" w:color="auto"/>
            <w:bottom w:val="none" w:sz="0" w:space="0" w:color="auto"/>
            <w:right w:val="none" w:sz="0" w:space="0" w:color="auto"/>
          </w:divBdr>
        </w:div>
      </w:divsChild>
    </w:div>
    <w:div w:id="894124942">
      <w:bodyDiv w:val="1"/>
      <w:marLeft w:val="0"/>
      <w:marRight w:val="0"/>
      <w:marTop w:val="0"/>
      <w:marBottom w:val="0"/>
      <w:divBdr>
        <w:top w:val="none" w:sz="0" w:space="0" w:color="auto"/>
        <w:left w:val="none" w:sz="0" w:space="0" w:color="auto"/>
        <w:bottom w:val="none" w:sz="0" w:space="0" w:color="auto"/>
        <w:right w:val="none" w:sz="0" w:space="0" w:color="auto"/>
      </w:divBdr>
    </w:div>
    <w:div w:id="899637548">
      <w:bodyDiv w:val="1"/>
      <w:marLeft w:val="0"/>
      <w:marRight w:val="0"/>
      <w:marTop w:val="0"/>
      <w:marBottom w:val="0"/>
      <w:divBdr>
        <w:top w:val="none" w:sz="0" w:space="0" w:color="auto"/>
        <w:left w:val="none" w:sz="0" w:space="0" w:color="auto"/>
        <w:bottom w:val="none" w:sz="0" w:space="0" w:color="auto"/>
        <w:right w:val="none" w:sz="0" w:space="0" w:color="auto"/>
      </w:divBdr>
    </w:div>
    <w:div w:id="918711114">
      <w:bodyDiv w:val="1"/>
      <w:marLeft w:val="0"/>
      <w:marRight w:val="0"/>
      <w:marTop w:val="0"/>
      <w:marBottom w:val="0"/>
      <w:divBdr>
        <w:top w:val="none" w:sz="0" w:space="0" w:color="auto"/>
        <w:left w:val="none" w:sz="0" w:space="0" w:color="auto"/>
        <w:bottom w:val="none" w:sz="0" w:space="0" w:color="auto"/>
        <w:right w:val="none" w:sz="0" w:space="0" w:color="auto"/>
      </w:divBdr>
    </w:div>
    <w:div w:id="920019637">
      <w:bodyDiv w:val="1"/>
      <w:marLeft w:val="0"/>
      <w:marRight w:val="0"/>
      <w:marTop w:val="0"/>
      <w:marBottom w:val="0"/>
      <w:divBdr>
        <w:top w:val="none" w:sz="0" w:space="0" w:color="auto"/>
        <w:left w:val="none" w:sz="0" w:space="0" w:color="auto"/>
        <w:bottom w:val="none" w:sz="0" w:space="0" w:color="auto"/>
        <w:right w:val="none" w:sz="0" w:space="0" w:color="auto"/>
      </w:divBdr>
    </w:div>
    <w:div w:id="926694970">
      <w:bodyDiv w:val="1"/>
      <w:marLeft w:val="0"/>
      <w:marRight w:val="0"/>
      <w:marTop w:val="0"/>
      <w:marBottom w:val="0"/>
      <w:divBdr>
        <w:top w:val="none" w:sz="0" w:space="0" w:color="auto"/>
        <w:left w:val="none" w:sz="0" w:space="0" w:color="auto"/>
        <w:bottom w:val="none" w:sz="0" w:space="0" w:color="auto"/>
        <w:right w:val="none" w:sz="0" w:space="0" w:color="auto"/>
      </w:divBdr>
    </w:div>
    <w:div w:id="946085970">
      <w:bodyDiv w:val="1"/>
      <w:marLeft w:val="0"/>
      <w:marRight w:val="0"/>
      <w:marTop w:val="0"/>
      <w:marBottom w:val="0"/>
      <w:divBdr>
        <w:top w:val="none" w:sz="0" w:space="0" w:color="auto"/>
        <w:left w:val="none" w:sz="0" w:space="0" w:color="auto"/>
        <w:bottom w:val="none" w:sz="0" w:space="0" w:color="auto"/>
        <w:right w:val="none" w:sz="0" w:space="0" w:color="auto"/>
      </w:divBdr>
    </w:div>
    <w:div w:id="962349399">
      <w:bodyDiv w:val="1"/>
      <w:marLeft w:val="0"/>
      <w:marRight w:val="0"/>
      <w:marTop w:val="0"/>
      <w:marBottom w:val="0"/>
      <w:divBdr>
        <w:top w:val="none" w:sz="0" w:space="0" w:color="auto"/>
        <w:left w:val="none" w:sz="0" w:space="0" w:color="auto"/>
        <w:bottom w:val="none" w:sz="0" w:space="0" w:color="auto"/>
        <w:right w:val="none" w:sz="0" w:space="0" w:color="auto"/>
      </w:divBdr>
      <w:divsChild>
        <w:div w:id="1600330500">
          <w:marLeft w:val="0"/>
          <w:marRight w:val="0"/>
          <w:marTop w:val="0"/>
          <w:marBottom w:val="0"/>
          <w:divBdr>
            <w:top w:val="none" w:sz="0" w:space="0" w:color="auto"/>
            <w:left w:val="none" w:sz="0" w:space="0" w:color="auto"/>
            <w:bottom w:val="none" w:sz="0" w:space="0" w:color="auto"/>
            <w:right w:val="none" w:sz="0" w:space="0" w:color="auto"/>
          </w:divBdr>
          <w:divsChild>
            <w:div w:id="1286349893">
              <w:marLeft w:val="0"/>
              <w:marRight w:val="0"/>
              <w:marTop w:val="0"/>
              <w:marBottom w:val="0"/>
              <w:divBdr>
                <w:top w:val="none" w:sz="0" w:space="0" w:color="auto"/>
                <w:left w:val="none" w:sz="0" w:space="0" w:color="auto"/>
                <w:bottom w:val="none" w:sz="0" w:space="0" w:color="auto"/>
                <w:right w:val="none" w:sz="0" w:space="0" w:color="auto"/>
              </w:divBdr>
            </w:div>
            <w:div w:id="653408797">
              <w:marLeft w:val="0"/>
              <w:marRight w:val="0"/>
              <w:marTop w:val="0"/>
              <w:marBottom w:val="0"/>
              <w:divBdr>
                <w:top w:val="none" w:sz="0" w:space="0" w:color="auto"/>
                <w:left w:val="none" w:sz="0" w:space="0" w:color="auto"/>
                <w:bottom w:val="none" w:sz="0" w:space="0" w:color="auto"/>
                <w:right w:val="none" w:sz="0" w:space="0" w:color="auto"/>
              </w:divBdr>
              <w:divsChild>
                <w:div w:id="2136942712">
                  <w:marLeft w:val="0"/>
                  <w:marRight w:val="0"/>
                  <w:marTop w:val="0"/>
                  <w:marBottom w:val="0"/>
                  <w:divBdr>
                    <w:top w:val="none" w:sz="0" w:space="0" w:color="auto"/>
                    <w:left w:val="none" w:sz="0" w:space="0" w:color="auto"/>
                    <w:bottom w:val="none" w:sz="0" w:space="0" w:color="auto"/>
                    <w:right w:val="none" w:sz="0" w:space="0" w:color="auto"/>
                  </w:divBdr>
                </w:div>
              </w:divsChild>
            </w:div>
            <w:div w:id="701976347">
              <w:marLeft w:val="0"/>
              <w:marRight w:val="0"/>
              <w:marTop w:val="0"/>
              <w:marBottom w:val="0"/>
              <w:divBdr>
                <w:top w:val="none" w:sz="0" w:space="0" w:color="auto"/>
                <w:left w:val="none" w:sz="0" w:space="0" w:color="auto"/>
                <w:bottom w:val="none" w:sz="0" w:space="0" w:color="auto"/>
                <w:right w:val="none" w:sz="0" w:space="0" w:color="auto"/>
              </w:divBdr>
              <w:divsChild>
                <w:div w:id="1615674834">
                  <w:marLeft w:val="0"/>
                  <w:marRight w:val="0"/>
                  <w:marTop w:val="0"/>
                  <w:marBottom w:val="0"/>
                  <w:divBdr>
                    <w:top w:val="none" w:sz="0" w:space="0" w:color="auto"/>
                    <w:left w:val="none" w:sz="0" w:space="0" w:color="auto"/>
                    <w:bottom w:val="none" w:sz="0" w:space="0" w:color="auto"/>
                    <w:right w:val="none" w:sz="0" w:space="0" w:color="auto"/>
                  </w:divBdr>
                  <w:divsChild>
                    <w:div w:id="2049836158">
                      <w:marLeft w:val="0"/>
                      <w:marRight w:val="0"/>
                      <w:marTop w:val="0"/>
                      <w:marBottom w:val="0"/>
                      <w:divBdr>
                        <w:top w:val="none" w:sz="0" w:space="0" w:color="auto"/>
                        <w:left w:val="none" w:sz="0" w:space="0" w:color="auto"/>
                        <w:bottom w:val="none" w:sz="0" w:space="0" w:color="auto"/>
                        <w:right w:val="none" w:sz="0" w:space="0" w:color="auto"/>
                      </w:divBdr>
                      <w:divsChild>
                        <w:div w:id="210036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621964">
          <w:marLeft w:val="0"/>
          <w:marRight w:val="0"/>
          <w:marTop w:val="0"/>
          <w:marBottom w:val="0"/>
          <w:divBdr>
            <w:top w:val="none" w:sz="0" w:space="0" w:color="auto"/>
            <w:left w:val="none" w:sz="0" w:space="0" w:color="auto"/>
            <w:bottom w:val="none" w:sz="0" w:space="0" w:color="auto"/>
            <w:right w:val="none" w:sz="0" w:space="0" w:color="auto"/>
          </w:divBdr>
        </w:div>
      </w:divsChild>
    </w:div>
    <w:div w:id="987442064">
      <w:bodyDiv w:val="1"/>
      <w:marLeft w:val="0"/>
      <w:marRight w:val="0"/>
      <w:marTop w:val="0"/>
      <w:marBottom w:val="0"/>
      <w:divBdr>
        <w:top w:val="none" w:sz="0" w:space="0" w:color="auto"/>
        <w:left w:val="none" w:sz="0" w:space="0" w:color="auto"/>
        <w:bottom w:val="none" w:sz="0" w:space="0" w:color="auto"/>
        <w:right w:val="none" w:sz="0" w:space="0" w:color="auto"/>
      </w:divBdr>
    </w:div>
    <w:div w:id="1025985296">
      <w:bodyDiv w:val="1"/>
      <w:marLeft w:val="0"/>
      <w:marRight w:val="0"/>
      <w:marTop w:val="0"/>
      <w:marBottom w:val="0"/>
      <w:divBdr>
        <w:top w:val="none" w:sz="0" w:space="0" w:color="auto"/>
        <w:left w:val="none" w:sz="0" w:space="0" w:color="auto"/>
        <w:bottom w:val="none" w:sz="0" w:space="0" w:color="auto"/>
        <w:right w:val="none" w:sz="0" w:space="0" w:color="auto"/>
      </w:divBdr>
    </w:div>
    <w:div w:id="1050156245">
      <w:bodyDiv w:val="1"/>
      <w:marLeft w:val="0"/>
      <w:marRight w:val="0"/>
      <w:marTop w:val="0"/>
      <w:marBottom w:val="0"/>
      <w:divBdr>
        <w:top w:val="none" w:sz="0" w:space="0" w:color="auto"/>
        <w:left w:val="none" w:sz="0" w:space="0" w:color="auto"/>
        <w:bottom w:val="none" w:sz="0" w:space="0" w:color="auto"/>
        <w:right w:val="none" w:sz="0" w:space="0" w:color="auto"/>
      </w:divBdr>
    </w:div>
    <w:div w:id="1052192875">
      <w:bodyDiv w:val="1"/>
      <w:marLeft w:val="0"/>
      <w:marRight w:val="0"/>
      <w:marTop w:val="0"/>
      <w:marBottom w:val="0"/>
      <w:divBdr>
        <w:top w:val="none" w:sz="0" w:space="0" w:color="auto"/>
        <w:left w:val="none" w:sz="0" w:space="0" w:color="auto"/>
        <w:bottom w:val="none" w:sz="0" w:space="0" w:color="auto"/>
        <w:right w:val="none" w:sz="0" w:space="0" w:color="auto"/>
      </w:divBdr>
      <w:divsChild>
        <w:div w:id="523906857">
          <w:marLeft w:val="0"/>
          <w:marRight w:val="0"/>
          <w:marTop w:val="0"/>
          <w:marBottom w:val="0"/>
          <w:divBdr>
            <w:top w:val="none" w:sz="0" w:space="0" w:color="auto"/>
            <w:left w:val="none" w:sz="0" w:space="0" w:color="auto"/>
            <w:bottom w:val="none" w:sz="0" w:space="0" w:color="auto"/>
            <w:right w:val="none" w:sz="0" w:space="0" w:color="auto"/>
          </w:divBdr>
        </w:div>
      </w:divsChild>
    </w:div>
    <w:div w:id="1099133775">
      <w:bodyDiv w:val="1"/>
      <w:marLeft w:val="0"/>
      <w:marRight w:val="0"/>
      <w:marTop w:val="0"/>
      <w:marBottom w:val="0"/>
      <w:divBdr>
        <w:top w:val="none" w:sz="0" w:space="0" w:color="auto"/>
        <w:left w:val="none" w:sz="0" w:space="0" w:color="auto"/>
        <w:bottom w:val="none" w:sz="0" w:space="0" w:color="auto"/>
        <w:right w:val="none" w:sz="0" w:space="0" w:color="auto"/>
      </w:divBdr>
    </w:div>
    <w:div w:id="1147360214">
      <w:bodyDiv w:val="1"/>
      <w:marLeft w:val="0"/>
      <w:marRight w:val="0"/>
      <w:marTop w:val="0"/>
      <w:marBottom w:val="0"/>
      <w:divBdr>
        <w:top w:val="none" w:sz="0" w:space="0" w:color="auto"/>
        <w:left w:val="none" w:sz="0" w:space="0" w:color="auto"/>
        <w:bottom w:val="none" w:sz="0" w:space="0" w:color="auto"/>
        <w:right w:val="none" w:sz="0" w:space="0" w:color="auto"/>
      </w:divBdr>
      <w:divsChild>
        <w:div w:id="210770631">
          <w:marLeft w:val="0"/>
          <w:marRight w:val="0"/>
          <w:marTop w:val="0"/>
          <w:marBottom w:val="0"/>
          <w:divBdr>
            <w:top w:val="none" w:sz="0" w:space="0" w:color="auto"/>
            <w:left w:val="none" w:sz="0" w:space="0" w:color="auto"/>
            <w:bottom w:val="none" w:sz="0" w:space="0" w:color="auto"/>
            <w:right w:val="none" w:sz="0" w:space="0" w:color="auto"/>
          </w:divBdr>
          <w:divsChild>
            <w:div w:id="1006983568">
              <w:marLeft w:val="0"/>
              <w:marRight w:val="0"/>
              <w:marTop w:val="100"/>
              <w:marBottom w:val="100"/>
              <w:divBdr>
                <w:top w:val="none" w:sz="0" w:space="0" w:color="auto"/>
                <w:left w:val="none" w:sz="0" w:space="0" w:color="auto"/>
                <w:bottom w:val="none" w:sz="0" w:space="0" w:color="auto"/>
                <w:right w:val="none" w:sz="0" w:space="0" w:color="auto"/>
              </w:divBdr>
              <w:divsChild>
                <w:div w:id="304504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481340">
          <w:marLeft w:val="0"/>
          <w:marRight w:val="0"/>
          <w:marTop w:val="0"/>
          <w:marBottom w:val="0"/>
          <w:divBdr>
            <w:top w:val="none" w:sz="0" w:space="0" w:color="auto"/>
            <w:left w:val="none" w:sz="0" w:space="0" w:color="auto"/>
            <w:bottom w:val="none" w:sz="0" w:space="0" w:color="auto"/>
            <w:right w:val="none" w:sz="0" w:space="0" w:color="auto"/>
          </w:divBdr>
        </w:div>
      </w:divsChild>
    </w:div>
    <w:div w:id="1169757845">
      <w:bodyDiv w:val="1"/>
      <w:marLeft w:val="0"/>
      <w:marRight w:val="0"/>
      <w:marTop w:val="0"/>
      <w:marBottom w:val="0"/>
      <w:divBdr>
        <w:top w:val="none" w:sz="0" w:space="0" w:color="auto"/>
        <w:left w:val="none" w:sz="0" w:space="0" w:color="auto"/>
        <w:bottom w:val="none" w:sz="0" w:space="0" w:color="auto"/>
        <w:right w:val="none" w:sz="0" w:space="0" w:color="auto"/>
      </w:divBdr>
      <w:divsChild>
        <w:div w:id="1394498573">
          <w:marLeft w:val="0"/>
          <w:marRight w:val="0"/>
          <w:marTop w:val="0"/>
          <w:marBottom w:val="0"/>
          <w:divBdr>
            <w:top w:val="none" w:sz="0" w:space="0" w:color="auto"/>
            <w:left w:val="none" w:sz="0" w:space="0" w:color="auto"/>
            <w:bottom w:val="none" w:sz="0" w:space="0" w:color="auto"/>
            <w:right w:val="none" w:sz="0" w:space="0" w:color="auto"/>
          </w:divBdr>
        </w:div>
        <w:div w:id="1822623080">
          <w:marLeft w:val="0"/>
          <w:marRight w:val="0"/>
          <w:marTop w:val="0"/>
          <w:marBottom w:val="0"/>
          <w:divBdr>
            <w:top w:val="none" w:sz="0" w:space="0" w:color="auto"/>
            <w:left w:val="none" w:sz="0" w:space="0" w:color="auto"/>
            <w:bottom w:val="none" w:sz="0" w:space="0" w:color="auto"/>
            <w:right w:val="none" w:sz="0" w:space="0" w:color="auto"/>
          </w:divBdr>
          <w:divsChild>
            <w:div w:id="79647936">
              <w:marLeft w:val="0"/>
              <w:marRight w:val="0"/>
              <w:marTop w:val="0"/>
              <w:marBottom w:val="0"/>
              <w:divBdr>
                <w:top w:val="none" w:sz="0" w:space="0" w:color="auto"/>
                <w:left w:val="single" w:sz="6" w:space="0" w:color="D8D9DA"/>
                <w:bottom w:val="none" w:sz="0" w:space="0" w:color="auto"/>
                <w:right w:val="none" w:sz="0" w:space="0" w:color="auto"/>
              </w:divBdr>
              <w:divsChild>
                <w:div w:id="368147518">
                  <w:marLeft w:val="0"/>
                  <w:marRight w:val="0"/>
                  <w:marTop w:val="0"/>
                  <w:marBottom w:val="0"/>
                  <w:divBdr>
                    <w:top w:val="none" w:sz="0" w:space="0" w:color="auto"/>
                    <w:left w:val="none" w:sz="0" w:space="0" w:color="auto"/>
                    <w:bottom w:val="none" w:sz="0" w:space="0" w:color="auto"/>
                    <w:right w:val="none" w:sz="0" w:space="0" w:color="auto"/>
                  </w:divBdr>
                  <w:divsChild>
                    <w:div w:id="25991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90243">
          <w:marLeft w:val="0"/>
          <w:marRight w:val="0"/>
          <w:marTop w:val="0"/>
          <w:marBottom w:val="0"/>
          <w:divBdr>
            <w:top w:val="none" w:sz="0" w:space="0" w:color="auto"/>
            <w:left w:val="none" w:sz="0" w:space="0" w:color="auto"/>
            <w:bottom w:val="none" w:sz="0" w:space="0" w:color="auto"/>
            <w:right w:val="none" w:sz="0" w:space="0" w:color="auto"/>
          </w:divBdr>
          <w:divsChild>
            <w:div w:id="2072272192">
              <w:marLeft w:val="0"/>
              <w:marRight w:val="0"/>
              <w:marTop w:val="0"/>
              <w:marBottom w:val="0"/>
              <w:divBdr>
                <w:top w:val="none" w:sz="0" w:space="0" w:color="auto"/>
                <w:left w:val="none" w:sz="0" w:space="0" w:color="auto"/>
                <w:bottom w:val="none" w:sz="0" w:space="0" w:color="auto"/>
                <w:right w:val="none" w:sz="0" w:space="0" w:color="auto"/>
              </w:divBdr>
              <w:divsChild>
                <w:div w:id="949363331">
                  <w:marLeft w:val="0"/>
                  <w:marRight w:val="0"/>
                  <w:marTop w:val="0"/>
                  <w:marBottom w:val="0"/>
                  <w:divBdr>
                    <w:top w:val="none" w:sz="0" w:space="0" w:color="auto"/>
                    <w:left w:val="none" w:sz="0" w:space="0" w:color="auto"/>
                    <w:bottom w:val="none" w:sz="0" w:space="0" w:color="auto"/>
                    <w:right w:val="none" w:sz="0" w:space="0" w:color="auto"/>
                  </w:divBdr>
                  <w:divsChild>
                    <w:div w:id="533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399633">
          <w:marLeft w:val="0"/>
          <w:marRight w:val="0"/>
          <w:marTop w:val="0"/>
          <w:marBottom w:val="0"/>
          <w:divBdr>
            <w:top w:val="none" w:sz="0" w:space="0" w:color="auto"/>
            <w:left w:val="none" w:sz="0" w:space="0" w:color="auto"/>
            <w:bottom w:val="none" w:sz="0" w:space="0" w:color="auto"/>
            <w:right w:val="none" w:sz="0" w:space="0" w:color="auto"/>
          </w:divBdr>
          <w:divsChild>
            <w:div w:id="968438420">
              <w:marLeft w:val="0"/>
              <w:marRight w:val="0"/>
              <w:marTop w:val="0"/>
              <w:marBottom w:val="0"/>
              <w:divBdr>
                <w:top w:val="none" w:sz="0" w:space="0" w:color="auto"/>
                <w:left w:val="none" w:sz="0" w:space="0" w:color="auto"/>
                <w:bottom w:val="none" w:sz="0" w:space="0" w:color="auto"/>
                <w:right w:val="none" w:sz="0" w:space="0" w:color="auto"/>
              </w:divBdr>
            </w:div>
            <w:div w:id="171018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522675">
      <w:bodyDiv w:val="1"/>
      <w:marLeft w:val="0"/>
      <w:marRight w:val="0"/>
      <w:marTop w:val="0"/>
      <w:marBottom w:val="0"/>
      <w:divBdr>
        <w:top w:val="none" w:sz="0" w:space="0" w:color="auto"/>
        <w:left w:val="none" w:sz="0" w:space="0" w:color="auto"/>
        <w:bottom w:val="none" w:sz="0" w:space="0" w:color="auto"/>
        <w:right w:val="none" w:sz="0" w:space="0" w:color="auto"/>
      </w:divBdr>
    </w:div>
    <w:div w:id="1218083666">
      <w:bodyDiv w:val="1"/>
      <w:marLeft w:val="0"/>
      <w:marRight w:val="0"/>
      <w:marTop w:val="0"/>
      <w:marBottom w:val="0"/>
      <w:divBdr>
        <w:top w:val="none" w:sz="0" w:space="0" w:color="auto"/>
        <w:left w:val="none" w:sz="0" w:space="0" w:color="auto"/>
        <w:bottom w:val="none" w:sz="0" w:space="0" w:color="auto"/>
        <w:right w:val="none" w:sz="0" w:space="0" w:color="auto"/>
      </w:divBdr>
    </w:div>
    <w:div w:id="1240485457">
      <w:bodyDiv w:val="1"/>
      <w:marLeft w:val="0"/>
      <w:marRight w:val="0"/>
      <w:marTop w:val="0"/>
      <w:marBottom w:val="0"/>
      <w:divBdr>
        <w:top w:val="none" w:sz="0" w:space="0" w:color="auto"/>
        <w:left w:val="none" w:sz="0" w:space="0" w:color="auto"/>
        <w:bottom w:val="none" w:sz="0" w:space="0" w:color="auto"/>
        <w:right w:val="none" w:sz="0" w:space="0" w:color="auto"/>
      </w:divBdr>
      <w:divsChild>
        <w:div w:id="404837881">
          <w:marLeft w:val="0"/>
          <w:marRight w:val="0"/>
          <w:marTop w:val="0"/>
          <w:marBottom w:val="0"/>
          <w:divBdr>
            <w:top w:val="none" w:sz="0" w:space="0" w:color="auto"/>
            <w:left w:val="none" w:sz="0" w:space="0" w:color="auto"/>
            <w:bottom w:val="none" w:sz="0" w:space="0" w:color="auto"/>
            <w:right w:val="none" w:sz="0" w:space="0" w:color="auto"/>
          </w:divBdr>
        </w:div>
        <w:div w:id="706759393">
          <w:marLeft w:val="0"/>
          <w:marRight w:val="0"/>
          <w:marTop w:val="0"/>
          <w:marBottom w:val="0"/>
          <w:divBdr>
            <w:top w:val="none" w:sz="0" w:space="0" w:color="auto"/>
            <w:left w:val="none" w:sz="0" w:space="0" w:color="auto"/>
            <w:bottom w:val="none" w:sz="0" w:space="0" w:color="auto"/>
            <w:right w:val="none" w:sz="0" w:space="0" w:color="auto"/>
          </w:divBdr>
          <w:divsChild>
            <w:div w:id="380985569">
              <w:marLeft w:val="0"/>
              <w:marRight w:val="0"/>
              <w:marTop w:val="0"/>
              <w:marBottom w:val="0"/>
              <w:divBdr>
                <w:top w:val="none" w:sz="0" w:space="0" w:color="auto"/>
                <w:left w:val="single" w:sz="6" w:space="0" w:color="D8D9DA"/>
                <w:bottom w:val="none" w:sz="0" w:space="0" w:color="auto"/>
                <w:right w:val="none" w:sz="0" w:space="0" w:color="auto"/>
              </w:divBdr>
              <w:divsChild>
                <w:div w:id="1072236425">
                  <w:marLeft w:val="0"/>
                  <w:marRight w:val="0"/>
                  <w:marTop w:val="0"/>
                  <w:marBottom w:val="0"/>
                  <w:divBdr>
                    <w:top w:val="none" w:sz="0" w:space="0" w:color="auto"/>
                    <w:left w:val="none" w:sz="0" w:space="0" w:color="auto"/>
                    <w:bottom w:val="none" w:sz="0" w:space="0" w:color="auto"/>
                    <w:right w:val="none" w:sz="0" w:space="0" w:color="auto"/>
                  </w:divBdr>
                  <w:divsChild>
                    <w:div w:id="161416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637651">
          <w:marLeft w:val="0"/>
          <w:marRight w:val="0"/>
          <w:marTop w:val="0"/>
          <w:marBottom w:val="0"/>
          <w:divBdr>
            <w:top w:val="none" w:sz="0" w:space="0" w:color="auto"/>
            <w:left w:val="none" w:sz="0" w:space="0" w:color="auto"/>
            <w:bottom w:val="none" w:sz="0" w:space="0" w:color="auto"/>
            <w:right w:val="none" w:sz="0" w:space="0" w:color="auto"/>
          </w:divBdr>
          <w:divsChild>
            <w:div w:id="395325187">
              <w:marLeft w:val="0"/>
              <w:marRight w:val="0"/>
              <w:marTop w:val="0"/>
              <w:marBottom w:val="0"/>
              <w:divBdr>
                <w:top w:val="none" w:sz="0" w:space="0" w:color="auto"/>
                <w:left w:val="none" w:sz="0" w:space="0" w:color="auto"/>
                <w:bottom w:val="none" w:sz="0" w:space="0" w:color="auto"/>
                <w:right w:val="none" w:sz="0" w:space="0" w:color="auto"/>
              </w:divBdr>
              <w:divsChild>
                <w:div w:id="141046268">
                  <w:marLeft w:val="0"/>
                  <w:marRight w:val="0"/>
                  <w:marTop w:val="0"/>
                  <w:marBottom w:val="0"/>
                  <w:divBdr>
                    <w:top w:val="none" w:sz="0" w:space="0" w:color="auto"/>
                    <w:left w:val="none" w:sz="0" w:space="0" w:color="auto"/>
                    <w:bottom w:val="none" w:sz="0" w:space="0" w:color="auto"/>
                    <w:right w:val="none" w:sz="0" w:space="0" w:color="auto"/>
                  </w:divBdr>
                  <w:divsChild>
                    <w:div w:id="109906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371402">
          <w:marLeft w:val="0"/>
          <w:marRight w:val="0"/>
          <w:marTop w:val="0"/>
          <w:marBottom w:val="0"/>
          <w:divBdr>
            <w:top w:val="none" w:sz="0" w:space="0" w:color="auto"/>
            <w:left w:val="none" w:sz="0" w:space="0" w:color="auto"/>
            <w:bottom w:val="none" w:sz="0" w:space="0" w:color="auto"/>
            <w:right w:val="none" w:sz="0" w:space="0" w:color="auto"/>
          </w:divBdr>
          <w:divsChild>
            <w:div w:id="1971858840">
              <w:marLeft w:val="0"/>
              <w:marRight w:val="0"/>
              <w:marTop w:val="0"/>
              <w:marBottom w:val="0"/>
              <w:divBdr>
                <w:top w:val="none" w:sz="0" w:space="0" w:color="auto"/>
                <w:left w:val="none" w:sz="0" w:space="0" w:color="auto"/>
                <w:bottom w:val="none" w:sz="0" w:space="0" w:color="auto"/>
                <w:right w:val="none" w:sz="0" w:space="0" w:color="auto"/>
              </w:divBdr>
            </w:div>
            <w:div w:id="88028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820294">
      <w:bodyDiv w:val="1"/>
      <w:marLeft w:val="0"/>
      <w:marRight w:val="0"/>
      <w:marTop w:val="0"/>
      <w:marBottom w:val="0"/>
      <w:divBdr>
        <w:top w:val="none" w:sz="0" w:space="0" w:color="auto"/>
        <w:left w:val="none" w:sz="0" w:space="0" w:color="auto"/>
        <w:bottom w:val="none" w:sz="0" w:space="0" w:color="auto"/>
        <w:right w:val="none" w:sz="0" w:space="0" w:color="auto"/>
      </w:divBdr>
    </w:div>
    <w:div w:id="1308515035">
      <w:bodyDiv w:val="1"/>
      <w:marLeft w:val="0"/>
      <w:marRight w:val="0"/>
      <w:marTop w:val="0"/>
      <w:marBottom w:val="0"/>
      <w:divBdr>
        <w:top w:val="none" w:sz="0" w:space="0" w:color="auto"/>
        <w:left w:val="none" w:sz="0" w:space="0" w:color="auto"/>
        <w:bottom w:val="none" w:sz="0" w:space="0" w:color="auto"/>
        <w:right w:val="none" w:sz="0" w:space="0" w:color="auto"/>
      </w:divBdr>
      <w:divsChild>
        <w:div w:id="1445493459">
          <w:marLeft w:val="0"/>
          <w:marRight w:val="0"/>
          <w:marTop w:val="0"/>
          <w:marBottom w:val="0"/>
          <w:divBdr>
            <w:top w:val="none" w:sz="0" w:space="0" w:color="auto"/>
            <w:left w:val="none" w:sz="0" w:space="0" w:color="auto"/>
            <w:bottom w:val="none" w:sz="0" w:space="0" w:color="auto"/>
            <w:right w:val="none" w:sz="0" w:space="0" w:color="auto"/>
          </w:divBdr>
          <w:divsChild>
            <w:div w:id="848058450">
              <w:marLeft w:val="0"/>
              <w:marRight w:val="0"/>
              <w:marTop w:val="100"/>
              <w:marBottom w:val="100"/>
              <w:divBdr>
                <w:top w:val="none" w:sz="0" w:space="0" w:color="auto"/>
                <w:left w:val="none" w:sz="0" w:space="0" w:color="auto"/>
                <w:bottom w:val="none" w:sz="0" w:space="0" w:color="auto"/>
                <w:right w:val="none" w:sz="0" w:space="0" w:color="auto"/>
              </w:divBdr>
              <w:divsChild>
                <w:div w:id="1094939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6291">
          <w:marLeft w:val="0"/>
          <w:marRight w:val="0"/>
          <w:marTop w:val="0"/>
          <w:marBottom w:val="0"/>
          <w:divBdr>
            <w:top w:val="none" w:sz="0" w:space="0" w:color="auto"/>
            <w:left w:val="none" w:sz="0" w:space="0" w:color="auto"/>
            <w:bottom w:val="none" w:sz="0" w:space="0" w:color="auto"/>
            <w:right w:val="none" w:sz="0" w:space="0" w:color="auto"/>
          </w:divBdr>
        </w:div>
        <w:div w:id="691152397">
          <w:marLeft w:val="0"/>
          <w:marRight w:val="0"/>
          <w:marTop w:val="0"/>
          <w:marBottom w:val="120"/>
          <w:divBdr>
            <w:top w:val="none" w:sz="0" w:space="0" w:color="auto"/>
            <w:left w:val="none" w:sz="0" w:space="0" w:color="auto"/>
            <w:bottom w:val="none" w:sz="0" w:space="0" w:color="auto"/>
            <w:right w:val="none" w:sz="0" w:space="0" w:color="auto"/>
          </w:divBdr>
          <w:divsChild>
            <w:div w:id="595676643">
              <w:marLeft w:val="0"/>
              <w:marRight w:val="0"/>
              <w:marTop w:val="0"/>
              <w:marBottom w:val="0"/>
              <w:divBdr>
                <w:top w:val="none" w:sz="0" w:space="0" w:color="auto"/>
                <w:left w:val="none" w:sz="0" w:space="0" w:color="auto"/>
                <w:bottom w:val="none" w:sz="0" w:space="0" w:color="auto"/>
                <w:right w:val="none" w:sz="0" w:space="0" w:color="auto"/>
              </w:divBdr>
              <w:divsChild>
                <w:div w:id="541937467">
                  <w:marLeft w:val="0"/>
                  <w:marRight w:val="0"/>
                  <w:marTop w:val="0"/>
                  <w:marBottom w:val="0"/>
                  <w:divBdr>
                    <w:top w:val="none" w:sz="0" w:space="0" w:color="auto"/>
                    <w:left w:val="none" w:sz="0" w:space="0" w:color="auto"/>
                    <w:bottom w:val="none" w:sz="0" w:space="0" w:color="auto"/>
                    <w:right w:val="none" w:sz="0" w:space="0" w:color="auto"/>
                  </w:divBdr>
                  <w:divsChild>
                    <w:div w:id="40271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387649">
              <w:marLeft w:val="0"/>
              <w:marRight w:val="0"/>
              <w:marTop w:val="0"/>
              <w:marBottom w:val="0"/>
              <w:divBdr>
                <w:top w:val="none" w:sz="0" w:space="0" w:color="auto"/>
                <w:left w:val="none" w:sz="0" w:space="0" w:color="auto"/>
                <w:bottom w:val="single" w:sz="6" w:space="0" w:color="000000"/>
                <w:right w:val="none" w:sz="0" w:space="0" w:color="auto"/>
              </w:divBdr>
              <w:divsChild>
                <w:div w:id="1558739936">
                  <w:marLeft w:val="0"/>
                  <w:marRight w:val="0"/>
                  <w:marTop w:val="0"/>
                  <w:marBottom w:val="0"/>
                  <w:divBdr>
                    <w:top w:val="none" w:sz="0" w:space="0" w:color="auto"/>
                    <w:left w:val="none" w:sz="0" w:space="0" w:color="auto"/>
                    <w:bottom w:val="none" w:sz="0" w:space="0" w:color="auto"/>
                    <w:right w:val="none" w:sz="0" w:space="0" w:color="auto"/>
                  </w:divBdr>
                  <w:divsChild>
                    <w:div w:id="1384256953">
                      <w:marLeft w:val="0"/>
                      <w:marRight w:val="0"/>
                      <w:marTop w:val="0"/>
                      <w:marBottom w:val="0"/>
                      <w:divBdr>
                        <w:top w:val="none" w:sz="0" w:space="0" w:color="auto"/>
                        <w:left w:val="none" w:sz="0" w:space="0" w:color="auto"/>
                        <w:bottom w:val="none" w:sz="0" w:space="0" w:color="auto"/>
                        <w:right w:val="none" w:sz="0" w:space="0" w:color="auto"/>
                      </w:divBdr>
                      <w:divsChild>
                        <w:div w:id="69384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102090">
                  <w:marLeft w:val="0"/>
                  <w:marRight w:val="0"/>
                  <w:marTop w:val="0"/>
                  <w:marBottom w:val="0"/>
                  <w:divBdr>
                    <w:top w:val="none" w:sz="0" w:space="0" w:color="auto"/>
                    <w:left w:val="none" w:sz="0" w:space="0" w:color="auto"/>
                    <w:bottom w:val="none" w:sz="0" w:space="0" w:color="auto"/>
                    <w:right w:val="none" w:sz="0" w:space="0" w:color="auto"/>
                  </w:divBdr>
                  <w:divsChild>
                    <w:div w:id="1286812630">
                      <w:marLeft w:val="0"/>
                      <w:marRight w:val="0"/>
                      <w:marTop w:val="0"/>
                      <w:marBottom w:val="0"/>
                      <w:divBdr>
                        <w:top w:val="none" w:sz="0" w:space="0" w:color="auto"/>
                        <w:left w:val="none" w:sz="0" w:space="0" w:color="auto"/>
                        <w:bottom w:val="none" w:sz="0" w:space="0" w:color="auto"/>
                        <w:right w:val="none" w:sz="0" w:space="0" w:color="auto"/>
                      </w:divBdr>
                      <w:divsChild>
                        <w:div w:id="155550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453186">
          <w:marLeft w:val="0"/>
          <w:marRight w:val="0"/>
          <w:marTop w:val="0"/>
          <w:marBottom w:val="120"/>
          <w:divBdr>
            <w:top w:val="none" w:sz="0" w:space="0" w:color="auto"/>
            <w:left w:val="none" w:sz="0" w:space="0" w:color="auto"/>
            <w:bottom w:val="none" w:sz="0" w:space="0" w:color="auto"/>
            <w:right w:val="none" w:sz="0" w:space="0" w:color="auto"/>
          </w:divBdr>
        </w:div>
      </w:divsChild>
    </w:div>
    <w:div w:id="1352103034">
      <w:bodyDiv w:val="1"/>
      <w:marLeft w:val="0"/>
      <w:marRight w:val="0"/>
      <w:marTop w:val="0"/>
      <w:marBottom w:val="0"/>
      <w:divBdr>
        <w:top w:val="none" w:sz="0" w:space="0" w:color="auto"/>
        <w:left w:val="none" w:sz="0" w:space="0" w:color="auto"/>
        <w:bottom w:val="none" w:sz="0" w:space="0" w:color="auto"/>
        <w:right w:val="none" w:sz="0" w:space="0" w:color="auto"/>
      </w:divBdr>
    </w:div>
    <w:div w:id="1353070656">
      <w:bodyDiv w:val="1"/>
      <w:marLeft w:val="0"/>
      <w:marRight w:val="0"/>
      <w:marTop w:val="0"/>
      <w:marBottom w:val="0"/>
      <w:divBdr>
        <w:top w:val="none" w:sz="0" w:space="0" w:color="auto"/>
        <w:left w:val="none" w:sz="0" w:space="0" w:color="auto"/>
        <w:bottom w:val="none" w:sz="0" w:space="0" w:color="auto"/>
        <w:right w:val="none" w:sz="0" w:space="0" w:color="auto"/>
      </w:divBdr>
    </w:div>
    <w:div w:id="1371759847">
      <w:bodyDiv w:val="1"/>
      <w:marLeft w:val="0"/>
      <w:marRight w:val="0"/>
      <w:marTop w:val="0"/>
      <w:marBottom w:val="0"/>
      <w:divBdr>
        <w:top w:val="none" w:sz="0" w:space="0" w:color="auto"/>
        <w:left w:val="none" w:sz="0" w:space="0" w:color="auto"/>
        <w:bottom w:val="none" w:sz="0" w:space="0" w:color="auto"/>
        <w:right w:val="none" w:sz="0" w:space="0" w:color="auto"/>
      </w:divBdr>
    </w:div>
    <w:div w:id="1373456784">
      <w:bodyDiv w:val="1"/>
      <w:marLeft w:val="0"/>
      <w:marRight w:val="0"/>
      <w:marTop w:val="0"/>
      <w:marBottom w:val="0"/>
      <w:divBdr>
        <w:top w:val="none" w:sz="0" w:space="0" w:color="auto"/>
        <w:left w:val="none" w:sz="0" w:space="0" w:color="auto"/>
        <w:bottom w:val="none" w:sz="0" w:space="0" w:color="auto"/>
        <w:right w:val="none" w:sz="0" w:space="0" w:color="auto"/>
      </w:divBdr>
      <w:divsChild>
        <w:div w:id="1285307569">
          <w:marLeft w:val="0"/>
          <w:marRight w:val="0"/>
          <w:marTop w:val="0"/>
          <w:marBottom w:val="0"/>
          <w:divBdr>
            <w:top w:val="none" w:sz="0" w:space="0" w:color="auto"/>
            <w:left w:val="none" w:sz="0" w:space="0" w:color="auto"/>
            <w:bottom w:val="none" w:sz="0" w:space="0" w:color="auto"/>
            <w:right w:val="none" w:sz="0" w:space="0" w:color="auto"/>
          </w:divBdr>
          <w:divsChild>
            <w:div w:id="2060400249">
              <w:marLeft w:val="0"/>
              <w:marRight w:val="0"/>
              <w:marTop w:val="0"/>
              <w:marBottom w:val="0"/>
              <w:divBdr>
                <w:top w:val="none" w:sz="0" w:space="0" w:color="auto"/>
                <w:left w:val="none" w:sz="0" w:space="0" w:color="auto"/>
                <w:bottom w:val="none" w:sz="0" w:space="0" w:color="auto"/>
                <w:right w:val="none" w:sz="0" w:space="0" w:color="auto"/>
              </w:divBdr>
            </w:div>
            <w:div w:id="1233853398">
              <w:marLeft w:val="0"/>
              <w:marRight w:val="0"/>
              <w:marTop w:val="0"/>
              <w:marBottom w:val="0"/>
              <w:divBdr>
                <w:top w:val="none" w:sz="0" w:space="0" w:color="auto"/>
                <w:left w:val="none" w:sz="0" w:space="0" w:color="auto"/>
                <w:bottom w:val="none" w:sz="0" w:space="0" w:color="auto"/>
                <w:right w:val="none" w:sz="0" w:space="0" w:color="auto"/>
              </w:divBdr>
              <w:divsChild>
                <w:div w:id="1590387667">
                  <w:marLeft w:val="0"/>
                  <w:marRight w:val="0"/>
                  <w:marTop w:val="0"/>
                  <w:marBottom w:val="0"/>
                  <w:divBdr>
                    <w:top w:val="none" w:sz="0" w:space="0" w:color="auto"/>
                    <w:left w:val="none" w:sz="0" w:space="0" w:color="auto"/>
                    <w:bottom w:val="none" w:sz="0" w:space="0" w:color="auto"/>
                    <w:right w:val="none" w:sz="0" w:space="0" w:color="auto"/>
                  </w:divBdr>
                </w:div>
              </w:divsChild>
            </w:div>
            <w:div w:id="876813079">
              <w:marLeft w:val="0"/>
              <w:marRight w:val="0"/>
              <w:marTop w:val="0"/>
              <w:marBottom w:val="0"/>
              <w:divBdr>
                <w:top w:val="none" w:sz="0" w:space="0" w:color="auto"/>
                <w:left w:val="none" w:sz="0" w:space="0" w:color="auto"/>
                <w:bottom w:val="none" w:sz="0" w:space="0" w:color="auto"/>
                <w:right w:val="none" w:sz="0" w:space="0" w:color="auto"/>
              </w:divBdr>
              <w:divsChild>
                <w:div w:id="1895503188">
                  <w:marLeft w:val="0"/>
                  <w:marRight w:val="0"/>
                  <w:marTop w:val="0"/>
                  <w:marBottom w:val="0"/>
                  <w:divBdr>
                    <w:top w:val="none" w:sz="0" w:space="0" w:color="auto"/>
                    <w:left w:val="none" w:sz="0" w:space="0" w:color="auto"/>
                    <w:bottom w:val="none" w:sz="0" w:space="0" w:color="auto"/>
                    <w:right w:val="none" w:sz="0" w:space="0" w:color="auto"/>
                  </w:divBdr>
                  <w:divsChild>
                    <w:div w:id="161704493">
                      <w:marLeft w:val="0"/>
                      <w:marRight w:val="0"/>
                      <w:marTop w:val="0"/>
                      <w:marBottom w:val="0"/>
                      <w:divBdr>
                        <w:top w:val="none" w:sz="0" w:space="0" w:color="auto"/>
                        <w:left w:val="none" w:sz="0" w:space="0" w:color="auto"/>
                        <w:bottom w:val="none" w:sz="0" w:space="0" w:color="auto"/>
                        <w:right w:val="none" w:sz="0" w:space="0" w:color="auto"/>
                      </w:divBdr>
                      <w:divsChild>
                        <w:div w:id="207100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777288">
          <w:marLeft w:val="0"/>
          <w:marRight w:val="0"/>
          <w:marTop w:val="0"/>
          <w:marBottom w:val="0"/>
          <w:divBdr>
            <w:top w:val="none" w:sz="0" w:space="0" w:color="auto"/>
            <w:left w:val="none" w:sz="0" w:space="0" w:color="auto"/>
            <w:bottom w:val="none" w:sz="0" w:space="0" w:color="auto"/>
            <w:right w:val="none" w:sz="0" w:space="0" w:color="auto"/>
          </w:divBdr>
        </w:div>
      </w:divsChild>
    </w:div>
    <w:div w:id="1376660459">
      <w:bodyDiv w:val="1"/>
      <w:marLeft w:val="0"/>
      <w:marRight w:val="0"/>
      <w:marTop w:val="0"/>
      <w:marBottom w:val="0"/>
      <w:divBdr>
        <w:top w:val="none" w:sz="0" w:space="0" w:color="auto"/>
        <w:left w:val="none" w:sz="0" w:space="0" w:color="auto"/>
        <w:bottom w:val="none" w:sz="0" w:space="0" w:color="auto"/>
        <w:right w:val="none" w:sz="0" w:space="0" w:color="auto"/>
      </w:divBdr>
    </w:div>
    <w:div w:id="1393388909">
      <w:bodyDiv w:val="1"/>
      <w:marLeft w:val="0"/>
      <w:marRight w:val="0"/>
      <w:marTop w:val="0"/>
      <w:marBottom w:val="0"/>
      <w:divBdr>
        <w:top w:val="none" w:sz="0" w:space="0" w:color="auto"/>
        <w:left w:val="none" w:sz="0" w:space="0" w:color="auto"/>
        <w:bottom w:val="none" w:sz="0" w:space="0" w:color="auto"/>
        <w:right w:val="none" w:sz="0" w:space="0" w:color="auto"/>
      </w:divBdr>
    </w:div>
    <w:div w:id="1407849096">
      <w:bodyDiv w:val="1"/>
      <w:marLeft w:val="0"/>
      <w:marRight w:val="0"/>
      <w:marTop w:val="0"/>
      <w:marBottom w:val="0"/>
      <w:divBdr>
        <w:top w:val="none" w:sz="0" w:space="0" w:color="auto"/>
        <w:left w:val="none" w:sz="0" w:space="0" w:color="auto"/>
        <w:bottom w:val="none" w:sz="0" w:space="0" w:color="auto"/>
        <w:right w:val="none" w:sz="0" w:space="0" w:color="auto"/>
      </w:divBdr>
      <w:divsChild>
        <w:div w:id="1325621287">
          <w:marLeft w:val="0"/>
          <w:marRight w:val="0"/>
          <w:marTop w:val="0"/>
          <w:marBottom w:val="0"/>
          <w:divBdr>
            <w:top w:val="none" w:sz="0" w:space="0" w:color="auto"/>
            <w:left w:val="none" w:sz="0" w:space="0" w:color="auto"/>
            <w:bottom w:val="none" w:sz="0" w:space="0" w:color="auto"/>
            <w:right w:val="none" w:sz="0" w:space="0" w:color="auto"/>
          </w:divBdr>
        </w:div>
      </w:divsChild>
    </w:div>
    <w:div w:id="1451707794">
      <w:bodyDiv w:val="1"/>
      <w:marLeft w:val="0"/>
      <w:marRight w:val="0"/>
      <w:marTop w:val="0"/>
      <w:marBottom w:val="0"/>
      <w:divBdr>
        <w:top w:val="none" w:sz="0" w:space="0" w:color="auto"/>
        <w:left w:val="none" w:sz="0" w:space="0" w:color="auto"/>
        <w:bottom w:val="none" w:sz="0" w:space="0" w:color="auto"/>
        <w:right w:val="none" w:sz="0" w:space="0" w:color="auto"/>
      </w:divBdr>
      <w:divsChild>
        <w:div w:id="1647664342">
          <w:marLeft w:val="0"/>
          <w:marRight w:val="0"/>
          <w:marTop w:val="0"/>
          <w:marBottom w:val="0"/>
          <w:divBdr>
            <w:top w:val="none" w:sz="0" w:space="0" w:color="auto"/>
            <w:left w:val="none" w:sz="0" w:space="0" w:color="auto"/>
            <w:bottom w:val="none" w:sz="0" w:space="0" w:color="auto"/>
            <w:right w:val="none" w:sz="0" w:space="0" w:color="auto"/>
          </w:divBdr>
        </w:div>
        <w:div w:id="62222144">
          <w:marLeft w:val="0"/>
          <w:marRight w:val="0"/>
          <w:marTop w:val="0"/>
          <w:marBottom w:val="0"/>
          <w:divBdr>
            <w:top w:val="none" w:sz="0" w:space="0" w:color="auto"/>
            <w:left w:val="none" w:sz="0" w:space="0" w:color="auto"/>
            <w:bottom w:val="none" w:sz="0" w:space="0" w:color="auto"/>
            <w:right w:val="none" w:sz="0" w:space="0" w:color="auto"/>
          </w:divBdr>
          <w:divsChild>
            <w:div w:id="1972787023">
              <w:marLeft w:val="0"/>
              <w:marRight w:val="0"/>
              <w:marTop w:val="0"/>
              <w:marBottom w:val="0"/>
              <w:divBdr>
                <w:top w:val="none" w:sz="0" w:space="0" w:color="auto"/>
                <w:left w:val="single" w:sz="6" w:space="0" w:color="D8D9DA"/>
                <w:bottom w:val="none" w:sz="0" w:space="0" w:color="auto"/>
                <w:right w:val="none" w:sz="0" w:space="0" w:color="auto"/>
              </w:divBdr>
              <w:divsChild>
                <w:div w:id="1101221486">
                  <w:marLeft w:val="0"/>
                  <w:marRight w:val="0"/>
                  <w:marTop w:val="0"/>
                  <w:marBottom w:val="0"/>
                  <w:divBdr>
                    <w:top w:val="none" w:sz="0" w:space="0" w:color="auto"/>
                    <w:left w:val="none" w:sz="0" w:space="0" w:color="auto"/>
                    <w:bottom w:val="none" w:sz="0" w:space="0" w:color="auto"/>
                    <w:right w:val="none" w:sz="0" w:space="0" w:color="auto"/>
                  </w:divBdr>
                  <w:divsChild>
                    <w:div w:id="83218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524754">
          <w:marLeft w:val="0"/>
          <w:marRight w:val="0"/>
          <w:marTop w:val="0"/>
          <w:marBottom w:val="0"/>
          <w:divBdr>
            <w:top w:val="none" w:sz="0" w:space="0" w:color="auto"/>
            <w:left w:val="none" w:sz="0" w:space="0" w:color="auto"/>
            <w:bottom w:val="none" w:sz="0" w:space="0" w:color="auto"/>
            <w:right w:val="none" w:sz="0" w:space="0" w:color="auto"/>
          </w:divBdr>
          <w:divsChild>
            <w:div w:id="1415979992">
              <w:marLeft w:val="0"/>
              <w:marRight w:val="0"/>
              <w:marTop w:val="0"/>
              <w:marBottom w:val="0"/>
              <w:divBdr>
                <w:top w:val="none" w:sz="0" w:space="0" w:color="auto"/>
                <w:left w:val="none" w:sz="0" w:space="0" w:color="auto"/>
                <w:bottom w:val="none" w:sz="0" w:space="0" w:color="auto"/>
                <w:right w:val="none" w:sz="0" w:space="0" w:color="auto"/>
              </w:divBdr>
              <w:divsChild>
                <w:div w:id="830633758">
                  <w:marLeft w:val="0"/>
                  <w:marRight w:val="0"/>
                  <w:marTop w:val="0"/>
                  <w:marBottom w:val="0"/>
                  <w:divBdr>
                    <w:top w:val="none" w:sz="0" w:space="0" w:color="auto"/>
                    <w:left w:val="none" w:sz="0" w:space="0" w:color="auto"/>
                    <w:bottom w:val="none" w:sz="0" w:space="0" w:color="auto"/>
                    <w:right w:val="none" w:sz="0" w:space="0" w:color="auto"/>
                  </w:divBdr>
                  <w:divsChild>
                    <w:div w:id="22873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045242">
          <w:marLeft w:val="0"/>
          <w:marRight w:val="0"/>
          <w:marTop w:val="0"/>
          <w:marBottom w:val="0"/>
          <w:divBdr>
            <w:top w:val="none" w:sz="0" w:space="0" w:color="auto"/>
            <w:left w:val="none" w:sz="0" w:space="0" w:color="auto"/>
            <w:bottom w:val="none" w:sz="0" w:space="0" w:color="auto"/>
            <w:right w:val="none" w:sz="0" w:space="0" w:color="auto"/>
          </w:divBdr>
          <w:divsChild>
            <w:div w:id="1413770916">
              <w:marLeft w:val="0"/>
              <w:marRight w:val="0"/>
              <w:marTop w:val="0"/>
              <w:marBottom w:val="0"/>
              <w:divBdr>
                <w:top w:val="none" w:sz="0" w:space="0" w:color="auto"/>
                <w:left w:val="none" w:sz="0" w:space="0" w:color="auto"/>
                <w:bottom w:val="none" w:sz="0" w:space="0" w:color="auto"/>
                <w:right w:val="none" w:sz="0" w:space="0" w:color="auto"/>
              </w:divBdr>
            </w:div>
            <w:div w:id="101156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079857">
      <w:bodyDiv w:val="1"/>
      <w:marLeft w:val="0"/>
      <w:marRight w:val="0"/>
      <w:marTop w:val="0"/>
      <w:marBottom w:val="0"/>
      <w:divBdr>
        <w:top w:val="none" w:sz="0" w:space="0" w:color="auto"/>
        <w:left w:val="none" w:sz="0" w:space="0" w:color="auto"/>
        <w:bottom w:val="none" w:sz="0" w:space="0" w:color="auto"/>
        <w:right w:val="none" w:sz="0" w:space="0" w:color="auto"/>
      </w:divBdr>
      <w:divsChild>
        <w:div w:id="61951573">
          <w:marLeft w:val="0"/>
          <w:marRight w:val="0"/>
          <w:marTop w:val="0"/>
          <w:marBottom w:val="0"/>
          <w:divBdr>
            <w:top w:val="none" w:sz="0" w:space="0" w:color="auto"/>
            <w:left w:val="none" w:sz="0" w:space="0" w:color="auto"/>
            <w:bottom w:val="none" w:sz="0" w:space="0" w:color="auto"/>
            <w:right w:val="none" w:sz="0" w:space="0" w:color="auto"/>
          </w:divBdr>
        </w:div>
        <w:div w:id="2124572770">
          <w:marLeft w:val="0"/>
          <w:marRight w:val="0"/>
          <w:marTop w:val="0"/>
          <w:marBottom w:val="0"/>
          <w:divBdr>
            <w:top w:val="none" w:sz="0" w:space="0" w:color="auto"/>
            <w:left w:val="none" w:sz="0" w:space="0" w:color="auto"/>
            <w:bottom w:val="none" w:sz="0" w:space="0" w:color="auto"/>
            <w:right w:val="none" w:sz="0" w:space="0" w:color="auto"/>
          </w:divBdr>
          <w:divsChild>
            <w:div w:id="250938141">
              <w:marLeft w:val="0"/>
              <w:marRight w:val="0"/>
              <w:marTop w:val="0"/>
              <w:marBottom w:val="0"/>
              <w:divBdr>
                <w:top w:val="none" w:sz="0" w:space="0" w:color="auto"/>
                <w:left w:val="single" w:sz="6" w:space="0" w:color="D8D9DA"/>
                <w:bottom w:val="none" w:sz="0" w:space="0" w:color="auto"/>
                <w:right w:val="none" w:sz="0" w:space="0" w:color="auto"/>
              </w:divBdr>
              <w:divsChild>
                <w:div w:id="497159443">
                  <w:marLeft w:val="0"/>
                  <w:marRight w:val="0"/>
                  <w:marTop w:val="0"/>
                  <w:marBottom w:val="0"/>
                  <w:divBdr>
                    <w:top w:val="none" w:sz="0" w:space="0" w:color="auto"/>
                    <w:left w:val="none" w:sz="0" w:space="0" w:color="auto"/>
                    <w:bottom w:val="none" w:sz="0" w:space="0" w:color="auto"/>
                    <w:right w:val="none" w:sz="0" w:space="0" w:color="auto"/>
                  </w:divBdr>
                  <w:divsChild>
                    <w:div w:id="58184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346171">
          <w:marLeft w:val="0"/>
          <w:marRight w:val="0"/>
          <w:marTop w:val="0"/>
          <w:marBottom w:val="0"/>
          <w:divBdr>
            <w:top w:val="none" w:sz="0" w:space="0" w:color="auto"/>
            <w:left w:val="none" w:sz="0" w:space="0" w:color="auto"/>
            <w:bottom w:val="none" w:sz="0" w:space="0" w:color="auto"/>
            <w:right w:val="none" w:sz="0" w:space="0" w:color="auto"/>
          </w:divBdr>
          <w:divsChild>
            <w:div w:id="1037781927">
              <w:marLeft w:val="0"/>
              <w:marRight w:val="0"/>
              <w:marTop w:val="0"/>
              <w:marBottom w:val="0"/>
              <w:divBdr>
                <w:top w:val="none" w:sz="0" w:space="0" w:color="auto"/>
                <w:left w:val="none" w:sz="0" w:space="0" w:color="auto"/>
                <w:bottom w:val="none" w:sz="0" w:space="0" w:color="auto"/>
                <w:right w:val="none" w:sz="0" w:space="0" w:color="auto"/>
              </w:divBdr>
              <w:divsChild>
                <w:div w:id="281234055">
                  <w:marLeft w:val="0"/>
                  <w:marRight w:val="0"/>
                  <w:marTop w:val="0"/>
                  <w:marBottom w:val="0"/>
                  <w:divBdr>
                    <w:top w:val="none" w:sz="0" w:space="0" w:color="auto"/>
                    <w:left w:val="none" w:sz="0" w:space="0" w:color="auto"/>
                    <w:bottom w:val="none" w:sz="0" w:space="0" w:color="auto"/>
                    <w:right w:val="none" w:sz="0" w:space="0" w:color="auto"/>
                  </w:divBdr>
                  <w:divsChild>
                    <w:div w:id="55909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833438">
          <w:marLeft w:val="0"/>
          <w:marRight w:val="0"/>
          <w:marTop w:val="0"/>
          <w:marBottom w:val="0"/>
          <w:divBdr>
            <w:top w:val="none" w:sz="0" w:space="0" w:color="auto"/>
            <w:left w:val="none" w:sz="0" w:space="0" w:color="auto"/>
            <w:bottom w:val="none" w:sz="0" w:space="0" w:color="auto"/>
            <w:right w:val="none" w:sz="0" w:space="0" w:color="auto"/>
          </w:divBdr>
          <w:divsChild>
            <w:div w:id="845942154">
              <w:marLeft w:val="0"/>
              <w:marRight w:val="0"/>
              <w:marTop w:val="0"/>
              <w:marBottom w:val="0"/>
              <w:divBdr>
                <w:top w:val="none" w:sz="0" w:space="0" w:color="auto"/>
                <w:left w:val="none" w:sz="0" w:space="0" w:color="auto"/>
                <w:bottom w:val="none" w:sz="0" w:space="0" w:color="auto"/>
                <w:right w:val="none" w:sz="0" w:space="0" w:color="auto"/>
              </w:divBdr>
            </w:div>
            <w:div w:id="196426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928218">
      <w:bodyDiv w:val="1"/>
      <w:marLeft w:val="0"/>
      <w:marRight w:val="0"/>
      <w:marTop w:val="0"/>
      <w:marBottom w:val="0"/>
      <w:divBdr>
        <w:top w:val="none" w:sz="0" w:space="0" w:color="auto"/>
        <w:left w:val="none" w:sz="0" w:space="0" w:color="auto"/>
        <w:bottom w:val="none" w:sz="0" w:space="0" w:color="auto"/>
        <w:right w:val="none" w:sz="0" w:space="0" w:color="auto"/>
      </w:divBdr>
    </w:div>
    <w:div w:id="1525559969">
      <w:bodyDiv w:val="1"/>
      <w:marLeft w:val="0"/>
      <w:marRight w:val="0"/>
      <w:marTop w:val="0"/>
      <w:marBottom w:val="0"/>
      <w:divBdr>
        <w:top w:val="none" w:sz="0" w:space="0" w:color="auto"/>
        <w:left w:val="none" w:sz="0" w:space="0" w:color="auto"/>
        <w:bottom w:val="none" w:sz="0" w:space="0" w:color="auto"/>
        <w:right w:val="none" w:sz="0" w:space="0" w:color="auto"/>
      </w:divBdr>
      <w:divsChild>
        <w:div w:id="139930100">
          <w:marLeft w:val="0"/>
          <w:marRight w:val="0"/>
          <w:marTop w:val="0"/>
          <w:marBottom w:val="0"/>
          <w:divBdr>
            <w:top w:val="none" w:sz="0" w:space="0" w:color="auto"/>
            <w:left w:val="none" w:sz="0" w:space="0" w:color="auto"/>
            <w:bottom w:val="none" w:sz="0" w:space="0" w:color="auto"/>
            <w:right w:val="none" w:sz="0" w:space="0" w:color="auto"/>
          </w:divBdr>
          <w:divsChild>
            <w:div w:id="754325406">
              <w:marLeft w:val="0"/>
              <w:marRight w:val="0"/>
              <w:marTop w:val="100"/>
              <w:marBottom w:val="100"/>
              <w:divBdr>
                <w:top w:val="none" w:sz="0" w:space="0" w:color="auto"/>
                <w:left w:val="none" w:sz="0" w:space="0" w:color="auto"/>
                <w:bottom w:val="none" w:sz="0" w:space="0" w:color="auto"/>
                <w:right w:val="none" w:sz="0" w:space="0" w:color="auto"/>
              </w:divBdr>
              <w:divsChild>
                <w:div w:id="1429934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32973">
          <w:marLeft w:val="0"/>
          <w:marRight w:val="0"/>
          <w:marTop w:val="0"/>
          <w:marBottom w:val="0"/>
          <w:divBdr>
            <w:top w:val="none" w:sz="0" w:space="0" w:color="auto"/>
            <w:left w:val="none" w:sz="0" w:space="0" w:color="auto"/>
            <w:bottom w:val="none" w:sz="0" w:space="0" w:color="auto"/>
            <w:right w:val="none" w:sz="0" w:space="0" w:color="auto"/>
          </w:divBdr>
        </w:div>
      </w:divsChild>
    </w:div>
    <w:div w:id="1553275204">
      <w:bodyDiv w:val="1"/>
      <w:marLeft w:val="0"/>
      <w:marRight w:val="0"/>
      <w:marTop w:val="0"/>
      <w:marBottom w:val="0"/>
      <w:divBdr>
        <w:top w:val="none" w:sz="0" w:space="0" w:color="auto"/>
        <w:left w:val="none" w:sz="0" w:space="0" w:color="auto"/>
        <w:bottom w:val="none" w:sz="0" w:space="0" w:color="auto"/>
        <w:right w:val="none" w:sz="0" w:space="0" w:color="auto"/>
      </w:divBdr>
    </w:div>
    <w:div w:id="1559394240">
      <w:bodyDiv w:val="1"/>
      <w:marLeft w:val="0"/>
      <w:marRight w:val="0"/>
      <w:marTop w:val="0"/>
      <w:marBottom w:val="0"/>
      <w:divBdr>
        <w:top w:val="none" w:sz="0" w:space="0" w:color="auto"/>
        <w:left w:val="none" w:sz="0" w:space="0" w:color="auto"/>
        <w:bottom w:val="none" w:sz="0" w:space="0" w:color="auto"/>
        <w:right w:val="none" w:sz="0" w:space="0" w:color="auto"/>
      </w:divBdr>
      <w:divsChild>
        <w:div w:id="922302905">
          <w:marLeft w:val="0"/>
          <w:marRight w:val="0"/>
          <w:marTop w:val="0"/>
          <w:marBottom w:val="0"/>
          <w:divBdr>
            <w:top w:val="none" w:sz="0" w:space="0" w:color="auto"/>
            <w:left w:val="none" w:sz="0" w:space="0" w:color="auto"/>
            <w:bottom w:val="none" w:sz="0" w:space="0" w:color="auto"/>
            <w:right w:val="none" w:sz="0" w:space="0" w:color="auto"/>
          </w:divBdr>
        </w:div>
        <w:div w:id="108160097">
          <w:marLeft w:val="0"/>
          <w:marRight w:val="0"/>
          <w:marTop w:val="0"/>
          <w:marBottom w:val="0"/>
          <w:divBdr>
            <w:top w:val="none" w:sz="0" w:space="0" w:color="auto"/>
            <w:left w:val="none" w:sz="0" w:space="0" w:color="auto"/>
            <w:bottom w:val="none" w:sz="0" w:space="0" w:color="auto"/>
            <w:right w:val="none" w:sz="0" w:space="0" w:color="auto"/>
          </w:divBdr>
        </w:div>
        <w:div w:id="233202420">
          <w:marLeft w:val="0"/>
          <w:marRight w:val="0"/>
          <w:marTop w:val="0"/>
          <w:marBottom w:val="0"/>
          <w:divBdr>
            <w:top w:val="none" w:sz="0" w:space="0" w:color="auto"/>
            <w:left w:val="none" w:sz="0" w:space="0" w:color="auto"/>
            <w:bottom w:val="none" w:sz="0" w:space="0" w:color="auto"/>
            <w:right w:val="none" w:sz="0" w:space="0" w:color="auto"/>
          </w:divBdr>
        </w:div>
      </w:divsChild>
    </w:div>
    <w:div w:id="1582835839">
      <w:bodyDiv w:val="1"/>
      <w:marLeft w:val="0"/>
      <w:marRight w:val="0"/>
      <w:marTop w:val="0"/>
      <w:marBottom w:val="0"/>
      <w:divBdr>
        <w:top w:val="none" w:sz="0" w:space="0" w:color="auto"/>
        <w:left w:val="none" w:sz="0" w:space="0" w:color="auto"/>
        <w:bottom w:val="none" w:sz="0" w:space="0" w:color="auto"/>
        <w:right w:val="none" w:sz="0" w:space="0" w:color="auto"/>
      </w:divBdr>
    </w:div>
    <w:div w:id="1614246527">
      <w:bodyDiv w:val="1"/>
      <w:marLeft w:val="0"/>
      <w:marRight w:val="0"/>
      <w:marTop w:val="0"/>
      <w:marBottom w:val="0"/>
      <w:divBdr>
        <w:top w:val="none" w:sz="0" w:space="0" w:color="auto"/>
        <w:left w:val="none" w:sz="0" w:space="0" w:color="auto"/>
        <w:bottom w:val="none" w:sz="0" w:space="0" w:color="auto"/>
        <w:right w:val="none" w:sz="0" w:space="0" w:color="auto"/>
      </w:divBdr>
      <w:divsChild>
        <w:div w:id="448621563">
          <w:marLeft w:val="0"/>
          <w:marRight w:val="0"/>
          <w:marTop w:val="0"/>
          <w:marBottom w:val="0"/>
          <w:divBdr>
            <w:top w:val="single" w:sz="2" w:space="0" w:color="E5E7EB"/>
            <w:left w:val="single" w:sz="2" w:space="0" w:color="E5E7EB"/>
            <w:bottom w:val="single" w:sz="2" w:space="0" w:color="E5E7EB"/>
            <w:right w:val="single" w:sz="6" w:space="0" w:color="E5E7EB"/>
          </w:divBdr>
          <w:divsChild>
            <w:div w:id="9150901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91222505">
          <w:marLeft w:val="0"/>
          <w:marRight w:val="0"/>
          <w:marTop w:val="0"/>
          <w:marBottom w:val="0"/>
          <w:divBdr>
            <w:top w:val="single" w:sz="2" w:space="0" w:color="E5E7EB"/>
            <w:left w:val="single" w:sz="2" w:space="0" w:color="E5E7EB"/>
            <w:bottom w:val="single" w:sz="2" w:space="0" w:color="E5E7EB"/>
            <w:right w:val="single" w:sz="6" w:space="0" w:color="E5E7EB"/>
          </w:divBdr>
          <w:divsChild>
            <w:div w:id="7124635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50697170">
          <w:marLeft w:val="0"/>
          <w:marRight w:val="0"/>
          <w:marTop w:val="0"/>
          <w:marBottom w:val="0"/>
          <w:divBdr>
            <w:top w:val="single" w:sz="2" w:space="0" w:color="E5E7EB"/>
            <w:left w:val="single" w:sz="2" w:space="0" w:color="E5E7EB"/>
            <w:bottom w:val="single" w:sz="2" w:space="0" w:color="E5E7EB"/>
            <w:right w:val="single" w:sz="6" w:space="0" w:color="E5E7EB"/>
          </w:divBdr>
          <w:divsChild>
            <w:div w:id="5155795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26199608">
          <w:marLeft w:val="0"/>
          <w:marRight w:val="0"/>
          <w:marTop w:val="0"/>
          <w:marBottom w:val="0"/>
          <w:divBdr>
            <w:top w:val="single" w:sz="2" w:space="0" w:color="E5E7EB"/>
            <w:left w:val="single" w:sz="2" w:space="0" w:color="E5E7EB"/>
            <w:bottom w:val="single" w:sz="2" w:space="0" w:color="E5E7EB"/>
            <w:right w:val="single" w:sz="2" w:space="0" w:color="E5E7EB"/>
          </w:divBdr>
          <w:divsChild>
            <w:div w:id="19358193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41762743">
      <w:bodyDiv w:val="1"/>
      <w:marLeft w:val="0"/>
      <w:marRight w:val="0"/>
      <w:marTop w:val="0"/>
      <w:marBottom w:val="0"/>
      <w:divBdr>
        <w:top w:val="none" w:sz="0" w:space="0" w:color="auto"/>
        <w:left w:val="none" w:sz="0" w:space="0" w:color="auto"/>
        <w:bottom w:val="none" w:sz="0" w:space="0" w:color="auto"/>
        <w:right w:val="none" w:sz="0" w:space="0" w:color="auto"/>
      </w:divBdr>
      <w:divsChild>
        <w:div w:id="1323120108">
          <w:marLeft w:val="0"/>
          <w:marRight w:val="120"/>
          <w:marTop w:val="0"/>
          <w:marBottom w:val="0"/>
          <w:divBdr>
            <w:top w:val="none" w:sz="0" w:space="0" w:color="auto"/>
            <w:left w:val="none" w:sz="0" w:space="0" w:color="auto"/>
            <w:bottom w:val="none" w:sz="0" w:space="0" w:color="auto"/>
            <w:right w:val="none" w:sz="0" w:space="0" w:color="auto"/>
          </w:divBdr>
        </w:div>
        <w:div w:id="910192038">
          <w:marLeft w:val="0"/>
          <w:marRight w:val="120"/>
          <w:marTop w:val="0"/>
          <w:marBottom w:val="0"/>
          <w:divBdr>
            <w:top w:val="none" w:sz="0" w:space="0" w:color="auto"/>
            <w:left w:val="none" w:sz="0" w:space="0" w:color="auto"/>
            <w:bottom w:val="none" w:sz="0" w:space="0" w:color="auto"/>
            <w:right w:val="none" w:sz="0" w:space="0" w:color="auto"/>
          </w:divBdr>
        </w:div>
        <w:div w:id="868030495">
          <w:marLeft w:val="0"/>
          <w:marRight w:val="120"/>
          <w:marTop w:val="0"/>
          <w:marBottom w:val="0"/>
          <w:divBdr>
            <w:top w:val="none" w:sz="0" w:space="0" w:color="auto"/>
            <w:left w:val="none" w:sz="0" w:space="0" w:color="auto"/>
            <w:bottom w:val="none" w:sz="0" w:space="0" w:color="auto"/>
            <w:right w:val="none" w:sz="0" w:space="0" w:color="auto"/>
          </w:divBdr>
        </w:div>
        <w:div w:id="1776317081">
          <w:marLeft w:val="0"/>
          <w:marRight w:val="0"/>
          <w:marTop w:val="0"/>
          <w:marBottom w:val="0"/>
          <w:divBdr>
            <w:top w:val="none" w:sz="0" w:space="0" w:color="auto"/>
            <w:left w:val="none" w:sz="0" w:space="0" w:color="auto"/>
            <w:bottom w:val="none" w:sz="0" w:space="0" w:color="auto"/>
            <w:right w:val="none" w:sz="0" w:space="0" w:color="auto"/>
          </w:divBdr>
        </w:div>
        <w:div w:id="273904427">
          <w:marLeft w:val="0"/>
          <w:marRight w:val="0"/>
          <w:marTop w:val="0"/>
          <w:marBottom w:val="0"/>
          <w:divBdr>
            <w:top w:val="none" w:sz="0" w:space="0" w:color="auto"/>
            <w:left w:val="none" w:sz="0" w:space="0" w:color="auto"/>
            <w:bottom w:val="none" w:sz="0" w:space="0" w:color="auto"/>
            <w:right w:val="none" w:sz="0" w:space="0" w:color="auto"/>
          </w:divBdr>
        </w:div>
      </w:divsChild>
    </w:div>
    <w:div w:id="1650552042">
      <w:bodyDiv w:val="1"/>
      <w:marLeft w:val="0"/>
      <w:marRight w:val="0"/>
      <w:marTop w:val="0"/>
      <w:marBottom w:val="0"/>
      <w:divBdr>
        <w:top w:val="none" w:sz="0" w:space="0" w:color="auto"/>
        <w:left w:val="none" w:sz="0" w:space="0" w:color="auto"/>
        <w:bottom w:val="none" w:sz="0" w:space="0" w:color="auto"/>
        <w:right w:val="none" w:sz="0" w:space="0" w:color="auto"/>
      </w:divBdr>
    </w:div>
    <w:div w:id="1655452188">
      <w:bodyDiv w:val="1"/>
      <w:marLeft w:val="0"/>
      <w:marRight w:val="0"/>
      <w:marTop w:val="0"/>
      <w:marBottom w:val="0"/>
      <w:divBdr>
        <w:top w:val="none" w:sz="0" w:space="0" w:color="auto"/>
        <w:left w:val="none" w:sz="0" w:space="0" w:color="auto"/>
        <w:bottom w:val="none" w:sz="0" w:space="0" w:color="auto"/>
        <w:right w:val="none" w:sz="0" w:space="0" w:color="auto"/>
      </w:divBdr>
    </w:div>
    <w:div w:id="1685670105">
      <w:bodyDiv w:val="1"/>
      <w:marLeft w:val="0"/>
      <w:marRight w:val="0"/>
      <w:marTop w:val="0"/>
      <w:marBottom w:val="0"/>
      <w:divBdr>
        <w:top w:val="none" w:sz="0" w:space="0" w:color="auto"/>
        <w:left w:val="none" w:sz="0" w:space="0" w:color="auto"/>
        <w:bottom w:val="none" w:sz="0" w:space="0" w:color="auto"/>
        <w:right w:val="none" w:sz="0" w:space="0" w:color="auto"/>
      </w:divBdr>
    </w:div>
    <w:div w:id="1704984826">
      <w:bodyDiv w:val="1"/>
      <w:marLeft w:val="0"/>
      <w:marRight w:val="0"/>
      <w:marTop w:val="0"/>
      <w:marBottom w:val="0"/>
      <w:divBdr>
        <w:top w:val="none" w:sz="0" w:space="0" w:color="auto"/>
        <w:left w:val="none" w:sz="0" w:space="0" w:color="auto"/>
        <w:bottom w:val="none" w:sz="0" w:space="0" w:color="auto"/>
        <w:right w:val="none" w:sz="0" w:space="0" w:color="auto"/>
      </w:divBdr>
    </w:div>
    <w:div w:id="1731414903">
      <w:bodyDiv w:val="1"/>
      <w:marLeft w:val="0"/>
      <w:marRight w:val="0"/>
      <w:marTop w:val="0"/>
      <w:marBottom w:val="0"/>
      <w:divBdr>
        <w:top w:val="none" w:sz="0" w:space="0" w:color="auto"/>
        <w:left w:val="none" w:sz="0" w:space="0" w:color="auto"/>
        <w:bottom w:val="none" w:sz="0" w:space="0" w:color="auto"/>
        <w:right w:val="none" w:sz="0" w:space="0" w:color="auto"/>
      </w:divBdr>
      <w:divsChild>
        <w:div w:id="573902534">
          <w:marLeft w:val="0"/>
          <w:marRight w:val="0"/>
          <w:marTop w:val="0"/>
          <w:marBottom w:val="0"/>
          <w:divBdr>
            <w:top w:val="none" w:sz="0" w:space="0" w:color="auto"/>
            <w:left w:val="none" w:sz="0" w:space="0" w:color="auto"/>
            <w:bottom w:val="none" w:sz="0" w:space="0" w:color="auto"/>
            <w:right w:val="none" w:sz="0" w:space="0" w:color="auto"/>
          </w:divBdr>
        </w:div>
        <w:div w:id="1488672520">
          <w:marLeft w:val="0"/>
          <w:marRight w:val="0"/>
          <w:marTop w:val="0"/>
          <w:marBottom w:val="0"/>
          <w:divBdr>
            <w:top w:val="none" w:sz="0" w:space="0" w:color="auto"/>
            <w:left w:val="none" w:sz="0" w:space="0" w:color="auto"/>
            <w:bottom w:val="none" w:sz="0" w:space="0" w:color="auto"/>
            <w:right w:val="none" w:sz="0" w:space="0" w:color="auto"/>
          </w:divBdr>
        </w:div>
      </w:divsChild>
    </w:div>
    <w:div w:id="1744136012">
      <w:bodyDiv w:val="1"/>
      <w:marLeft w:val="0"/>
      <w:marRight w:val="0"/>
      <w:marTop w:val="0"/>
      <w:marBottom w:val="0"/>
      <w:divBdr>
        <w:top w:val="none" w:sz="0" w:space="0" w:color="auto"/>
        <w:left w:val="none" w:sz="0" w:space="0" w:color="auto"/>
        <w:bottom w:val="none" w:sz="0" w:space="0" w:color="auto"/>
        <w:right w:val="none" w:sz="0" w:space="0" w:color="auto"/>
      </w:divBdr>
      <w:divsChild>
        <w:div w:id="496386254">
          <w:marLeft w:val="0"/>
          <w:marRight w:val="0"/>
          <w:marTop w:val="0"/>
          <w:marBottom w:val="0"/>
          <w:divBdr>
            <w:top w:val="none" w:sz="0" w:space="0" w:color="auto"/>
            <w:left w:val="none" w:sz="0" w:space="0" w:color="auto"/>
            <w:bottom w:val="none" w:sz="0" w:space="0" w:color="auto"/>
            <w:right w:val="none" w:sz="0" w:space="0" w:color="auto"/>
          </w:divBdr>
        </w:div>
        <w:div w:id="735058141">
          <w:marLeft w:val="0"/>
          <w:marRight w:val="0"/>
          <w:marTop w:val="0"/>
          <w:marBottom w:val="0"/>
          <w:divBdr>
            <w:top w:val="none" w:sz="0" w:space="0" w:color="auto"/>
            <w:left w:val="none" w:sz="0" w:space="0" w:color="auto"/>
            <w:bottom w:val="none" w:sz="0" w:space="0" w:color="auto"/>
            <w:right w:val="none" w:sz="0" w:space="0" w:color="auto"/>
          </w:divBdr>
        </w:div>
      </w:divsChild>
    </w:div>
    <w:div w:id="1776712985">
      <w:bodyDiv w:val="1"/>
      <w:marLeft w:val="0"/>
      <w:marRight w:val="0"/>
      <w:marTop w:val="0"/>
      <w:marBottom w:val="0"/>
      <w:divBdr>
        <w:top w:val="none" w:sz="0" w:space="0" w:color="auto"/>
        <w:left w:val="none" w:sz="0" w:space="0" w:color="auto"/>
        <w:bottom w:val="none" w:sz="0" w:space="0" w:color="auto"/>
        <w:right w:val="none" w:sz="0" w:space="0" w:color="auto"/>
      </w:divBdr>
      <w:divsChild>
        <w:div w:id="2001081948">
          <w:marLeft w:val="0"/>
          <w:marRight w:val="0"/>
          <w:marTop w:val="0"/>
          <w:marBottom w:val="0"/>
          <w:divBdr>
            <w:top w:val="none" w:sz="0" w:space="0" w:color="auto"/>
            <w:left w:val="none" w:sz="0" w:space="0" w:color="auto"/>
            <w:bottom w:val="none" w:sz="0" w:space="0" w:color="auto"/>
            <w:right w:val="none" w:sz="0" w:space="0" w:color="auto"/>
          </w:divBdr>
        </w:div>
        <w:div w:id="505904771">
          <w:marLeft w:val="0"/>
          <w:marRight w:val="0"/>
          <w:marTop w:val="0"/>
          <w:marBottom w:val="0"/>
          <w:divBdr>
            <w:top w:val="none" w:sz="0" w:space="0" w:color="auto"/>
            <w:left w:val="none" w:sz="0" w:space="0" w:color="auto"/>
            <w:bottom w:val="none" w:sz="0" w:space="0" w:color="auto"/>
            <w:right w:val="none" w:sz="0" w:space="0" w:color="auto"/>
          </w:divBdr>
          <w:divsChild>
            <w:div w:id="1491869822">
              <w:marLeft w:val="0"/>
              <w:marRight w:val="0"/>
              <w:marTop w:val="0"/>
              <w:marBottom w:val="0"/>
              <w:divBdr>
                <w:top w:val="none" w:sz="0" w:space="0" w:color="auto"/>
                <w:left w:val="single" w:sz="6" w:space="0" w:color="D8D9DA"/>
                <w:bottom w:val="none" w:sz="0" w:space="0" w:color="auto"/>
                <w:right w:val="none" w:sz="0" w:space="0" w:color="auto"/>
              </w:divBdr>
              <w:divsChild>
                <w:div w:id="1093208193">
                  <w:marLeft w:val="0"/>
                  <w:marRight w:val="0"/>
                  <w:marTop w:val="0"/>
                  <w:marBottom w:val="0"/>
                  <w:divBdr>
                    <w:top w:val="none" w:sz="0" w:space="0" w:color="auto"/>
                    <w:left w:val="none" w:sz="0" w:space="0" w:color="auto"/>
                    <w:bottom w:val="none" w:sz="0" w:space="0" w:color="auto"/>
                    <w:right w:val="none" w:sz="0" w:space="0" w:color="auto"/>
                  </w:divBdr>
                  <w:divsChild>
                    <w:div w:id="175659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87106">
          <w:marLeft w:val="0"/>
          <w:marRight w:val="0"/>
          <w:marTop w:val="0"/>
          <w:marBottom w:val="0"/>
          <w:divBdr>
            <w:top w:val="none" w:sz="0" w:space="0" w:color="auto"/>
            <w:left w:val="none" w:sz="0" w:space="0" w:color="auto"/>
            <w:bottom w:val="none" w:sz="0" w:space="0" w:color="auto"/>
            <w:right w:val="none" w:sz="0" w:space="0" w:color="auto"/>
          </w:divBdr>
          <w:divsChild>
            <w:div w:id="621881534">
              <w:marLeft w:val="0"/>
              <w:marRight w:val="0"/>
              <w:marTop w:val="0"/>
              <w:marBottom w:val="0"/>
              <w:divBdr>
                <w:top w:val="none" w:sz="0" w:space="0" w:color="auto"/>
                <w:left w:val="none" w:sz="0" w:space="0" w:color="auto"/>
                <w:bottom w:val="none" w:sz="0" w:space="0" w:color="auto"/>
                <w:right w:val="none" w:sz="0" w:space="0" w:color="auto"/>
              </w:divBdr>
              <w:divsChild>
                <w:div w:id="2053995126">
                  <w:marLeft w:val="0"/>
                  <w:marRight w:val="0"/>
                  <w:marTop w:val="0"/>
                  <w:marBottom w:val="0"/>
                  <w:divBdr>
                    <w:top w:val="none" w:sz="0" w:space="0" w:color="auto"/>
                    <w:left w:val="none" w:sz="0" w:space="0" w:color="auto"/>
                    <w:bottom w:val="none" w:sz="0" w:space="0" w:color="auto"/>
                    <w:right w:val="none" w:sz="0" w:space="0" w:color="auto"/>
                  </w:divBdr>
                  <w:divsChild>
                    <w:div w:id="50864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689918">
          <w:marLeft w:val="0"/>
          <w:marRight w:val="0"/>
          <w:marTop w:val="0"/>
          <w:marBottom w:val="0"/>
          <w:divBdr>
            <w:top w:val="none" w:sz="0" w:space="0" w:color="auto"/>
            <w:left w:val="none" w:sz="0" w:space="0" w:color="auto"/>
            <w:bottom w:val="none" w:sz="0" w:space="0" w:color="auto"/>
            <w:right w:val="none" w:sz="0" w:space="0" w:color="auto"/>
          </w:divBdr>
          <w:divsChild>
            <w:div w:id="1657762822">
              <w:marLeft w:val="0"/>
              <w:marRight w:val="0"/>
              <w:marTop w:val="0"/>
              <w:marBottom w:val="0"/>
              <w:divBdr>
                <w:top w:val="none" w:sz="0" w:space="0" w:color="auto"/>
                <w:left w:val="none" w:sz="0" w:space="0" w:color="auto"/>
                <w:bottom w:val="none" w:sz="0" w:space="0" w:color="auto"/>
                <w:right w:val="none" w:sz="0" w:space="0" w:color="auto"/>
              </w:divBdr>
            </w:div>
            <w:div w:id="110993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427270">
      <w:bodyDiv w:val="1"/>
      <w:marLeft w:val="0"/>
      <w:marRight w:val="0"/>
      <w:marTop w:val="0"/>
      <w:marBottom w:val="0"/>
      <w:divBdr>
        <w:top w:val="none" w:sz="0" w:space="0" w:color="auto"/>
        <w:left w:val="none" w:sz="0" w:space="0" w:color="auto"/>
        <w:bottom w:val="none" w:sz="0" w:space="0" w:color="auto"/>
        <w:right w:val="none" w:sz="0" w:space="0" w:color="auto"/>
      </w:divBdr>
      <w:divsChild>
        <w:div w:id="853614467">
          <w:marLeft w:val="0"/>
          <w:marRight w:val="0"/>
          <w:marTop w:val="0"/>
          <w:marBottom w:val="0"/>
          <w:divBdr>
            <w:top w:val="none" w:sz="0" w:space="0" w:color="auto"/>
            <w:left w:val="none" w:sz="0" w:space="0" w:color="auto"/>
            <w:bottom w:val="none" w:sz="0" w:space="0" w:color="auto"/>
            <w:right w:val="none" w:sz="0" w:space="0" w:color="auto"/>
          </w:divBdr>
        </w:div>
      </w:divsChild>
    </w:div>
    <w:div w:id="1821531598">
      <w:bodyDiv w:val="1"/>
      <w:marLeft w:val="0"/>
      <w:marRight w:val="0"/>
      <w:marTop w:val="0"/>
      <w:marBottom w:val="0"/>
      <w:divBdr>
        <w:top w:val="none" w:sz="0" w:space="0" w:color="auto"/>
        <w:left w:val="none" w:sz="0" w:space="0" w:color="auto"/>
        <w:bottom w:val="none" w:sz="0" w:space="0" w:color="auto"/>
        <w:right w:val="none" w:sz="0" w:space="0" w:color="auto"/>
      </w:divBdr>
    </w:div>
    <w:div w:id="1888107222">
      <w:bodyDiv w:val="1"/>
      <w:marLeft w:val="0"/>
      <w:marRight w:val="0"/>
      <w:marTop w:val="0"/>
      <w:marBottom w:val="0"/>
      <w:divBdr>
        <w:top w:val="none" w:sz="0" w:space="0" w:color="auto"/>
        <w:left w:val="none" w:sz="0" w:space="0" w:color="auto"/>
        <w:bottom w:val="none" w:sz="0" w:space="0" w:color="auto"/>
        <w:right w:val="none" w:sz="0" w:space="0" w:color="auto"/>
      </w:divBdr>
      <w:divsChild>
        <w:div w:id="891499805">
          <w:marLeft w:val="0"/>
          <w:marRight w:val="120"/>
          <w:marTop w:val="0"/>
          <w:marBottom w:val="0"/>
          <w:divBdr>
            <w:top w:val="none" w:sz="0" w:space="0" w:color="auto"/>
            <w:left w:val="none" w:sz="0" w:space="0" w:color="auto"/>
            <w:bottom w:val="none" w:sz="0" w:space="0" w:color="auto"/>
            <w:right w:val="none" w:sz="0" w:space="0" w:color="auto"/>
          </w:divBdr>
        </w:div>
        <w:div w:id="875310046">
          <w:marLeft w:val="0"/>
          <w:marRight w:val="120"/>
          <w:marTop w:val="0"/>
          <w:marBottom w:val="0"/>
          <w:divBdr>
            <w:top w:val="none" w:sz="0" w:space="0" w:color="auto"/>
            <w:left w:val="none" w:sz="0" w:space="0" w:color="auto"/>
            <w:bottom w:val="none" w:sz="0" w:space="0" w:color="auto"/>
            <w:right w:val="none" w:sz="0" w:space="0" w:color="auto"/>
          </w:divBdr>
        </w:div>
        <w:div w:id="2129543179">
          <w:marLeft w:val="0"/>
          <w:marRight w:val="120"/>
          <w:marTop w:val="0"/>
          <w:marBottom w:val="0"/>
          <w:divBdr>
            <w:top w:val="none" w:sz="0" w:space="0" w:color="auto"/>
            <w:left w:val="none" w:sz="0" w:space="0" w:color="auto"/>
            <w:bottom w:val="none" w:sz="0" w:space="0" w:color="auto"/>
            <w:right w:val="none" w:sz="0" w:space="0" w:color="auto"/>
          </w:divBdr>
        </w:div>
        <w:div w:id="1869446161">
          <w:marLeft w:val="0"/>
          <w:marRight w:val="0"/>
          <w:marTop w:val="0"/>
          <w:marBottom w:val="0"/>
          <w:divBdr>
            <w:top w:val="none" w:sz="0" w:space="0" w:color="auto"/>
            <w:left w:val="none" w:sz="0" w:space="0" w:color="auto"/>
            <w:bottom w:val="none" w:sz="0" w:space="0" w:color="auto"/>
            <w:right w:val="none" w:sz="0" w:space="0" w:color="auto"/>
          </w:divBdr>
        </w:div>
        <w:div w:id="1367410218">
          <w:marLeft w:val="0"/>
          <w:marRight w:val="0"/>
          <w:marTop w:val="0"/>
          <w:marBottom w:val="0"/>
          <w:divBdr>
            <w:top w:val="none" w:sz="0" w:space="0" w:color="auto"/>
            <w:left w:val="none" w:sz="0" w:space="0" w:color="auto"/>
            <w:bottom w:val="none" w:sz="0" w:space="0" w:color="auto"/>
            <w:right w:val="none" w:sz="0" w:space="0" w:color="auto"/>
          </w:divBdr>
        </w:div>
      </w:divsChild>
    </w:div>
    <w:div w:id="1900245460">
      <w:bodyDiv w:val="1"/>
      <w:marLeft w:val="0"/>
      <w:marRight w:val="0"/>
      <w:marTop w:val="0"/>
      <w:marBottom w:val="0"/>
      <w:divBdr>
        <w:top w:val="none" w:sz="0" w:space="0" w:color="auto"/>
        <w:left w:val="none" w:sz="0" w:space="0" w:color="auto"/>
        <w:bottom w:val="none" w:sz="0" w:space="0" w:color="auto"/>
        <w:right w:val="none" w:sz="0" w:space="0" w:color="auto"/>
      </w:divBdr>
      <w:divsChild>
        <w:div w:id="1758207074">
          <w:marLeft w:val="0"/>
          <w:marRight w:val="0"/>
          <w:marTop w:val="0"/>
          <w:marBottom w:val="0"/>
          <w:divBdr>
            <w:top w:val="none" w:sz="0" w:space="0" w:color="auto"/>
            <w:left w:val="none" w:sz="0" w:space="0" w:color="auto"/>
            <w:bottom w:val="none" w:sz="0" w:space="0" w:color="auto"/>
            <w:right w:val="none" w:sz="0" w:space="0" w:color="auto"/>
          </w:divBdr>
          <w:divsChild>
            <w:div w:id="853691864">
              <w:marLeft w:val="0"/>
              <w:marRight w:val="0"/>
              <w:marTop w:val="100"/>
              <w:marBottom w:val="100"/>
              <w:divBdr>
                <w:top w:val="none" w:sz="0" w:space="0" w:color="auto"/>
                <w:left w:val="none" w:sz="0" w:space="0" w:color="auto"/>
                <w:bottom w:val="none" w:sz="0" w:space="0" w:color="auto"/>
                <w:right w:val="none" w:sz="0" w:space="0" w:color="auto"/>
              </w:divBdr>
              <w:divsChild>
                <w:div w:id="1142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283947">
          <w:marLeft w:val="0"/>
          <w:marRight w:val="0"/>
          <w:marTop w:val="0"/>
          <w:marBottom w:val="120"/>
          <w:divBdr>
            <w:top w:val="none" w:sz="0" w:space="0" w:color="auto"/>
            <w:left w:val="none" w:sz="0" w:space="0" w:color="auto"/>
            <w:bottom w:val="none" w:sz="0" w:space="0" w:color="auto"/>
            <w:right w:val="none" w:sz="0" w:space="0" w:color="auto"/>
          </w:divBdr>
          <w:divsChild>
            <w:div w:id="1986739905">
              <w:marLeft w:val="0"/>
              <w:marRight w:val="0"/>
              <w:marTop w:val="0"/>
              <w:marBottom w:val="0"/>
              <w:divBdr>
                <w:top w:val="none" w:sz="0" w:space="0" w:color="auto"/>
                <w:left w:val="none" w:sz="0" w:space="0" w:color="auto"/>
                <w:bottom w:val="none" w:sz="0" w:space="0" w:color="auto"/>
                <w:right w:val="none" w:sz="0" w:space="0" w:color="auto"/>
              </w:divBdr>
              <w:divsChild>
                <w:div w:id="1011488389">
                  <w:marLeft w:val="0"/>
                  <w:marRight w:val="0"/>
                  <w:marTop w:val="0"/>
                  <w:marBottom w:val="0"/>
                  <w:divBdr>
                    <w:top w:val="none" w:sz="0" w:space="0" w:color="auto"/>
                    <w:left w:val="none" w:sz="0" w:space="0" w:color="auto"/>
                    <w:bottom w:val="none" w:sz="0" w:space="0" w:color="auto"/>
                    <w:right w:val="none" w:sz="0" w:space="0" w:color="auto"/>
                  </w:divBdr>
                  <w:divsChild>
                    <w:div w:id="157269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932075">
              <w:marLeft w:val="0"/>
              <w:marRight w:val="0"/>
              <w:marTop w:val="0"/>
              <w:marBottom w:val="0"/>
              <w:divBdr>
                <w:top w:val="none" w:sz="0" w:space="0" w:color="auto"/>
                <w:left w:val="none" w:sz="0" w:space="0" w:color="auto"/>
                <w:bottom w:val="single" w:sz="6" w:space="0" w:color="000000"/>
                <w:right w:val="none" w:sz="0" w:space="0" w:color="auto"/>
              </w:divBdr>
              <w:divsChild>
                <w:div w:id="1727099365">
                  <w:marLeft w:val="0"/>
                  <w:marRight w:val="0"/>
                  <w:marTop w:val="0"/>
                  <w:marBottom w:val="0"/>
                  <w:divBdr>
                    <w:top w:val="none" w:sz="0" w:space="0" w:color="auto"/>
                    <w:left w:val="none" w:sz="0" w:space="0" w:color="auto"/>
                    <w:bottom w:val="none" w:sz="0" w:space="0" w:color="auto"/>
                    <w:right w:val="none" w:sz="0" w:space="0" w:color="auto"/>
                  </w:divBdr>
                  <w:divsChild>
                    <w:div w:id="771126066">
                      <w:marLeft w:val="0"/>
                      <w:marRight w:val="0"/>
                      <w:marTop w:val="0"/>
                      <w:marBottom w:val="0"/>
                      <w:divBdr>
                        <w:top w:val="none" w:sz="0" w:space="0" w:color="auto"/>
                        <w:left w:val="none" w:sz="0" w:space="0" w:color="auto"/>
                        <w:bottom w:val="none" w:sz="0" w:space="0" w:color="auto"/>
                        <w:right w:val="none" w:sz="0" w:space="0" w:color="auto"/>
                      </w:divBdr>
                      <w:divsChild>
                        <w:div w:id="4044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877989">
                  <w:marLeft w:val="0"/>
                  <w:marRight w:val="0"/>
                  <w:marTop w:val="0"/>
                  <w:marBottom w:val="0"/>
                  <w:divBdr>
                    <w:top w:val="none" w:sz="0" w:space="0" w:color="auto"/>
                    <w:left w:val="none" w:sz="0" w:space="0" w:color="auto"/>
                    <w:bottom w:val="none" w:sz="0" w:space="0" w:color="auto"/>
                    <w:right w:val="none" w:sz="0" w:space="0" w:color="auto"/>
                  </w:divBdr>
                  <w:divsChild>
                    <w:div w:id="920479927">
                      <w:marLeft w:val="0"/>
                      <w:marRight w:val="0"/>
                      <w:marTop w:val="0"/>
                      <w:marBottom w:val="0"/>
                      <w:divBdr>
                        <w:top w:val="none" w:sz="0" w:space="0" w:color="auto"/>
                        <w:left w:val="none" w:sz="0" w:space="0" w:color="auto"/>
                        <w:bottom w:val="none" w:sz="0" w:space="0" w:color="auto"/>
                        <w:right w:val="none" w:sz="0" w:space="0" w:color="auto"/>
                      </w:divBdr>
                      <w:divsChild>
                        <w:div w:id="28993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90347">
          <w:marLeft w:val="0"/>
          <w:marRight w:val="0"/>
          <w:marTop w:val="0"/>
          <w:marBottom w:val="120"/>
          <w:divBdr>
            <w:top w:val="none" w:sz="0" w:space="0" w:color="auto"/>
            <w:left w:val="none" w:sz="0" w:space="0" w:color="auto"/>
            <w:bottom w:val="none" w:sz="0" w:space="0" w:color="auto"/>
            <w:right w:val="none" w:sz="0" w:space="0" w:color="auto"/>
          </w:divBdr>
        </w:div>
      </w:divsChild>
    </w:div>
    <w:div w:id="1918052505">
      <w:bodyDiv w:val="1"/>
      <w:marLeft w:val="0"/>
      <w:marRight w:val="0"/>
      <w:marTop w:val="0"/>
      <w:marBottom w:val="0"/>
      <w:divBdr>
        <w:top w:val="none" w:sz="0" w:space="0" w:color="auto"/>
        <w:left w:val="none" w:sz="0" w:space="0" w:color="auto"/>
        <w:bottom w:val="none" w:sz="0" w:space="0" w:color="auto"/>
        <w:right w:val="none" w:sz="0" w:space="0" w:color="auto"/>
      </w:divBdr>
      <w:divsChild>
        <w:div w:id="33119948">
          <w:marLeft w:val="0"/>
          <w:marRight w:val="0"/>
          <w:marTop w:val="0"/>
          <w:marBottom w:val="0"/>
          <w:divBdr>
            <w:top w:val="none" w:sz="0" w:space="0" w:color="auto"/>
            <w:left w:val="none" w:sz="0" w:space="0" w:color="auto"/>
            <w:bottom w:val="none" w:sz="0" w:space="0" w:color="auto"/>
            <w:right w:val="none" w:sz="0" w:space="0" w:color="auto"/>
          </w:divBdr>
          <w:divsChild>
            <w:div w:id="238566234">
              <w:marLeft w:val="0"/>
              <w:marRight w:val="0"/>
              <w:marTop w:val="100"/>
              <w:marBottom w:val="100"/>
              <w:divBdr>
                <w:top w:val="none" w:sz="0" w:space="0" w:color="auto"/>
                <w:left w:val="none" w:sz="0" w:space="0" w:color="auto"/>
                <w:bottom w:val="none" w:sz="0" w:space="0" w:color="auto"/>
                <w:right w:val="none" w:sz="0" w:space="0" w:color="auto"/>
              </w:divBdr>
              <w:divsChild>
                <w:div w:id="9372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323441">
          <w:marLeft w:val="0"/>
          <w:marRight w:val="0"/>
          <w:marTop w:val="0"/>
          <w:marBottom w:val="0"/>
          <w:divBdr>
            <w:top w:val="none" w:sz="0" w:space="0" w:color="auto"/>
            <w:left w:val="none" w:sz="0" w:space="0" w:color="auto"/>
            <w:bottom w:val="none" w:sz="0" w:space="0" w:color="auto"/>
            <w:right w:val="none" w:sz="0" w:space="0" w:color="auto"/>
          </w:divBdr>
        </w:div>
        <w:div w:id="1859730623">
          <w:marLeft w:val="0"/>
          <w:marRight w:val="0"/>
          <w:marTop w:val="0"/>
          <w:marBottom w:val="120"/>
          <w:divBdr>
            <w:top w:val="none" w:sz="0" w:space="0" w:color="auto"/>
            <w:left w:val="none" w:sz="0" w:space="0" w:color="auto"/>
            <w:bottom w:val="none" w:sz="0" w:space="0" w:color="auto"/>
            <w:right w:val="none" w:sz="0" w:space="0" w:color="auto"/>
          </w:divBdr>
          <w:divsChild>
            <w:div w:id="929974306">
              <w:marLeft w:val="0"/>
              <w:marRight w:val="0"/>
              <w:marTop w:val="0"/>
              <w:marBottom w:val="0"/>
              <w:divBdr>
                <w:top w:val="none" w:sz="0" w:space="0" w:color="auto"/>
                <w:left w:val="none" w:sz="0" w:space="0" w:color="auto"/>
                <w:bottom w:val="none" w:sz="0" w:space="0" w:color="auto"/>
                <w:right w:val="none" w:sz="0" w:space="0" w:color="auto"/>
              </w:divBdr>
              <w:divsChild>
                <w:div w:id="466045865">
                  <w:marLeft w:val="0"/>
                  <w:marRight w:val="0"/>
                  <w:marTop w:val="0"/>
                  <w:marBottom w:val="0"/>
                  <w:divBdr>
                    <w:top w:val="none" w:sz="0" w:space="0" w:color="auto"/>
                    <w:left w:val="none" w:sz="0" w:space="0" w:color="auto"/>
                    <w:bottom w:val="none" w:sz="0" w:space="0" w:color="auto"/>
                    <w:right w:val="none" w:sz="0" w:space="0" w:color="auto"/>
                  </w:divBdr>
                  <w:divsChild>
                    <w:div w:id="368646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34040">
              <w:marLeft w:val="0"/>
              <w:marRight w:val="0"/>
              <w:marTop w:val="0"/>
              <w:marBottom w:val="0"/>
              <w:divBdr>
                <w:top w:val="none" w:sz="0" w:space="0" w:color="auto"/>
                <w:left w:val="none" w:sz="0" w:space="0" w:color="auto"/>
                <w:bottom w:val="single" w:sz="6" w:space="0" w:color="000000"/>
                <w:right w:val="none" w:sz="0" w:space="0" w:color="auto"/>
              </w:divBdr>
              <w:divsChild>
                <w:div w:id="789476108">
                  <w:marLeft w:val="0"/>
                  <w:marRight w:val="0"/>
                  <w:marTop w:val="0"/>
                  <w:marBottom w:val="0"/>
                  <w:divBdr>
                    <w:top w:val="none" w:sz="0" w:space="0" w:color="auto"/>
                    <w:left w:val="none" w:sz="0" w:space="0" w:color="auto"/>
                    <w:bottom w:val="none" w:sz="0" w:space="0" w:color="auto"/>
                    <w:right w:val="none" w:sz="0" w:space="0" w:color="auto"/>
                  </w:divBdr>
                  <w:divsChild>
                    <w:div w:id="155194978">
                      <w:marLeft w:val="0"/>
                      <w:marRight w:val="0"/>
                      <w:marTop w:val="0"/>
                      <w:marBottom w:val="0"/>
                      <w:divBdr>
                        <w:top w:val="none" w:sz="0" w:space="0" w:color="auto"/>
                        <w:left w:val="none" w:sz="0" w:space="0" w:color="auto"/>
                        <w:bottom w:val="none" w:sz="0" w:space="0" w:color="auto"/>
                        <w:right w:val="none" w:sz="0" w:space="0" w:color="auto"/>
                      </w:divBdr>
                      <w:divsChild>
                        <w:div w:id="187696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206210">
                  <w:marLeft w:val="0"/>
                  <w:marRight w:val="0"/>
                  <w:marTop w:val="0"/>
                  <w:marBottom w:val="0"/>
                  <w:divBdr>
                    <w:top w:val="none" w:sz="0" w:space="0" w:color="auto"/>
                    <w:left w:val="none" w:sz="0" w:space="0" w:color="auto"/>
                    <w:bottom w:val="none" w:sz="0" w:space="0" w:color="auto"/>
                    <w:right w:val="none" w:sz="0" w:space="0" w:color="auto"/>
                  </w:divBdr>
                  <w:divsChild>
                    <w:div w:id="194848675">
                      <w:marLeft w:val="0"/>
                      <w:marRight w:val="0"/>
                      <w:marTop w:val="0"/>
                      <w:marBottom w:val="0"/>
                      <w:divBdr>
                        <w:top w:val="none" w:sz="0" w:space="0" w:color="auto"/>
                        <w:left w:val="none" w:sz="0" w:space="0" w:color="auto"/>
                        <w:bottom w:val="none" w:sz="0" w:space="0" w:color="auto"/>
                        <w:right w:val="none" w:sz="0" w:space="0" w:color="auto"/>
                      </w:divBdr>
                      <w:divsChild>
                        <w:div w:id="99395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1283281">
          <w:marLeft w:val="0"/>
          <w:marRight w:val="0"/>
          <w:marTop w:val="0"/>
          <w:marBottom w:val="120"/>
          <w:divBdr>
            <w:top w:val="none" w:sz="0" w:space="0" w:color="auto"/>
            <w:left w:val="none" w:sz="0" w:space="0" w:color="auto"/>
            <w:bottom w:val="none" w:sz="0" w:space="0" w:color="auto"/>
            <w:right w:val="none" w:sz="0" w:space="0" w:color="auto"/>
          </w:divBdr>
        </w:div>
      </w:divsChild>
    </w:div>
    <w:div w:id="1929995519">
      <w:bodyDiv w:val="1"/>
      <w:marLeft w:val="0"/>
      <w:marRight w:val="0"/>
      <w:marTop w:val="0"/>
      <w:marBottom w:val="0"/>
      <w:divBdr>
        <w:top w:val="none" w:sz="0" w:space="0" w:color="auto"/>
        <w:left w:val="none" w:sz="0" w:space="0" w:color="auto"/>
        <w:bottom w:val="none" w:sz="0" w:space="0" w:color="auto"/>
        <w:right w:val="none" w:sz="0" w:space="0" w:color="auto"/>
      </w:divBdr>
    </w:div>
    <w:div w:id="1937899749">
      <w:bodyDiv w:val="1"/>
      <w:marLeft w:val="0"/>
      <w:marRight w:val="0"/>
      <w:marTop w:val="0"/>
      <w:marBottom w:val="0"/>
      <w:divBdr>
        <w:top w:val="none" w:sz="0" w:space="0" w:color="auto"/>
        <w:left w:val="none" w:sz="0" w:space="0" w:color="auto"/>
        <w:bottom w:val="none" w:sz="0" w:space="0" w:color="auto"/>
        <w:right w:val="none" w:sz="0" w:space="0" w:color="auto"/>
      </w:divBdr>
      <w:divsChild>
        <w:div w:id="283855065">
          <w:marLeft w:val="0"/>
          <w:marRight w:val="0"/>
          <w:marTop w:val="0"/>
          <w:marBottom w:val="0"/>
          <w:divBdr>
            <w:top w:val="none" w:sz="0" w:space="0" w:color="auto"/>
            <w:left w:val="none" w:sz="0" w:space="0" w:color="auto"/>
            <w:bottom w:val="none" w:sz="0" w:space="0" w:color="auto"/>
            <w:right w:val="none" w:sz="0" w:space="0" w:color="auto"/>
          </w:divBdr>
        </w:div>
        <w:div w:id="1095515746">
          <w:marLeft w:val="0"/>
          <w:marRight w:val="0"/>
          <w:marTop w:val="0"/>
          <w:marBottom w:val="0"/>
          <w:divBdr>
            <w:top w:val="none" w:sz="0" w:space="0" w:color="auto"/>
            <w:left w:val="none" w:sz="0" w:space="0" w:color="auto"/>
            <w:bottom w:val="none" w:sz="0" w:space="0" w:color="auto"/>
            <w:right w:val="none" w:sz="0" w:space="0" w:color="auto"/>
          </w:divBdr>
          <w:divsChild>
            <w:div w:id="1505634508">
              <w:marLeft w:val="0"/>
              <w:marRight w:val="0"/>
              <w:marTop w:val="0"/>
              <w:marBottom w:val="0"/>
              <w:divBdr>
                <w:top w:val="none" w:sz="0" w:space="0" w:color="auto"/>
                <w:left w:val="single" w:sz="6" w:space="0" w:color="D8D9DA"/>
                <w:bottom w:val="none" w:sz="0" w:space="0" w:color="auto"/>
                <w:right w:val="none" w:sz="0" w:space="0" w:color="auto"/>
              </w:divBdr>
              <w:divsChild>
                <w:div w:id="732510811">
                  <w:marLeft w:val="0"/>
                  <w:marRight w:val="0"/>
                  <w:marTop w:val="0"/>
                  <w:marBottom w:val="0"/>
                  <w:divBdr>
                    <w:top w:val="none" w:sz="0" w:space="0" w:color="auto"/>
                    <w:left w:val="none" w:sz="0" w:space="0" w:color="auto"/>
                    <w:bottom w:val="none" w:sz="0" w:space="0" w:color="auto"/>
                    <w:right w:val="none" w:sz="0" w:space="0" w:color="auto"/>
                  </w:divBdr>
                  <w:divsChild>
                    <w:div w:id="106032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243406">
          <w:marLeft w:val="0"/>
          <w:marRight w:val="0"/>
          <w:marTop w:val="0"/>
          <w:marBottom w:val="0"/>
          <w:divBdr>
            <w:top w:val="none" w:sz="0" w:space="0" w:color="auto"/>
            <w:left w:val="none" w:sz="0" w:space="0" w:color="auto"/>
            <w:bottom w:val="none" w:sz="0" w:space="0" w:color="auto"/>
            <w:right w:val="none" w:sz="0" w:space="0" w:color="auto"/>
          </w:divBdr>
          <w:divsChild>
            <w:div w:id="1720589830">
              <w:marLeft w:val="0"/>
              <w:marRight w:val="0"/>
              <w:marTop w:val="0"/>
              <w:marBottom w:val="0"/>
              <w:divBdr>
                <w:top w:val="none" w:sz="0" w:space="0" w:color="auto"/>
                <w:left w:val="none" w:sz="0" w:space="0" w:color="auto"/>
                <w:bottom w:val="none" w:sz="0" w:space="0" w:color="auto"/>
                <w:right w:val="none" w:sz="0" w:space="0" w:color="auto"/>
              </w:divBdr>
              <w:divsChild>
                <w:div w:id="627590085">
                  <w:marLeft w:val="0"/>
                  <w:marRight w:val="0"/>
                  <w:marTop w:val="0"/>
                  <w:marBottom w:val="0"/>
                  <w:divBdr>
                    <w:top w:val="none" w:sz="0" w:space="0" w:color="auto"/>
                    <w:left w:val="none" w:sz="0" w:space="0" w:color="auto"/>
                    <w:bottom w:val="none" w:sz="0" w:space="0" w:color="auto"/>
                    <w:right w:val="none" w:sz="0" w:space="0" w:color="auto"/>
                  </w:divBdr>
                  <w:divsChild>
                    <w:div w:id="135838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642366">
          <w:marLeft w:val="0"/>
          <w:marRight w:val="0"/>
          <w:marTop w:val="0"/>
          <w:marBottom w:val="0"/>
          <w:divBdr>
            <w:top w:val="none" w:sz="0" w:space="0" w:color="auto"/>
            <w:left w:val="none" w:sz="0" w:space="0" w:color="auto"/>
            <w:bottom w:val="none" w:sz="0" w:space="0" w:color="auto"/>
            <w:right w:val="none" w:sz="0" w:space="0" w:color="auto"/>
          </w:divBdr>
          <w:divsChild>
            <w:div w:id="276108814">
              <w:marLeft w:val="0"/>
              <w:marRight w:val="0"/>
              <w:marTop w:val="0"/>
              <w:marBottom w:val="0"/>
              <w:divBdr>
                <w:top w:val="none" w:sz="0" w:space="0" w:color="auto"/>
                <w:left w:val="none" w:sz="0" w:space="0" w:color="auto"/>
                <w:bottom w:val="none" w:sz="0" w:space="0" w:color="auto"/>
                <w:right w:val="none" w:sz="0" w:space="0" w:color="auto"/>
              </w:divBdr>
            </w:div>
            <w:div w:id="40267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628968">
      <w:bodyDiv w:val="1"/>
      <w:marLeft w:val="0"/>
      <w:marRight w:val="0"/>
      <w:marTop w:val="0"/>
      <w:marBottom w:val="0"/>
      <w:divBdr>
        <w:top w:val="none" w:sz="0" w:space="0" w:color="auto"/>
        <w:left w:val="none" w:sz="0" w:space="0" w:color="auto"/>
        <w:bottom w:val="none" w:sz="0" w:space="0" w:color="auto"/>
        <w:right w:val="none" w:sz="0" w:space="0" w:color="auto"/>
      </w:divBdr>
    </w:div>
    <w:div w:id="1989899804">
      <w:bodyDiv w:val="1"/>
      <w:marLeft w:val="0"/>
      <w:marRight w:val="0"/>
      <w:marTop w:val="0"/>
      <w:marBottom w:val="0"/>
      <w:divBdr>
        <w:top w:val="none" w:sz="0" w:space="0" w:color="auto"/>
        <w:left w:val="none" w:sz="0" w:space="0" w:color="auto"/>
        <w:bottom w:val="none" w:sz="0" w:space="0" w:color="auto"/>
        <w:right w:val="none" w:sz="0" w:space="0" w:color="auto"/>
      </w:divBdr>
    </w:div>
    <w:div w:id="1998194051">
      <w:bodyDiv w:val="1"/>
      <w:marLeft w:val="0"/>
      <w:marRight w:val="0"/>
      <w:marTop w:val="0"/>
      <w:marBottom w:val="0"/>
      <w:divBdr>
        <w:top w:val="none" w:sz="0" w:space="0" w:color="auto"/>
        <w:left w:val="none" w:sz="0" w:space="0" w:color="auto"/>
        <w:bottom w:val="none" w:sz="0" w:space="0" w:color="auto"/>
        <w:right w:val="none" w:sz="0" w:space="0" w:color="auto"/>
      </w:divBdr>
    </w:div>
    <w:div w:id="2013681903">
      <w:bodyDiv w:val="1"/>
      <w:marLeft w:val="0"/>
      <w:marRight w:val="0"/>
      <w:marTop w:val="0"/>
      <w:marBottom w:val="0"/>
      <w:divBdr>
        <w:top w:val="none" w:sz="0" w:space="0" w:color="auto"/>
        <w:left w:val="none" w:sz="0" w:space="0" w:color="auto"/>
        <w:bottom w:val="none" w:sz="0" w:space="0" w:color="auto"/>
        <w:right w:val="none" w:sz="0" w:space="0" w:color="auto"/>
      </w:divBdr>
    </w:div>
    <w:div w:id="2034575799">
      <w:bodyDiv w:val="1"/>
      <w:marLeft w:val="0"/>
      <w:marRight w:val="0"/>
      <w:marTop w:val="0"/>
      <w:marBottom w:val="0"/>
      <w:divBdr>
        <w:top w:val="none" w:sz="0" w:space="0" w:color="auto"/>
        <w:left w:val="none" w:sz="0" w:space="0" w:color="auto"/>
        <w:bottom w:val="none" w:sz="0" w:space="0" w:color="auto"/>
        <w:right w:val="none" w:sz="0" w:space="0" w:color="auto"/>
      </w:divBdr>
      <w:divsChild>
        <w:div w:id="749085576">
          <w:marLeft w:val="0"/>
          <w:marRight w:val="0"/>
          <w:marTop w:val="0"/>
          <w:marBottom w:val="120"/>
          <w:divBdr>
            <w:top w:val="none" w:sz="0" w:space="0" w:color="auto"/>
            <w:left w:val="none" w:sz="0" w:space="0" w:color="auto"/>
            <w:bottom w:val="single" w:sz="12" w:space="9" w:color="F0F0F0"/>
            <w:right w:val="none" w:sz="0" w:space="0" w:color="auto"/>
          </w:divBdr>
          <w:divsChild>
            <w:div w:id="1896306835">
              <w:marLeft w:val="0"/>
              <w:marRight w:val="0"/>
              <w:marTop w:val="100"/>
              <w:marBottom w:val="100"/>
              <w:divBdr>
                <w:top w:val="none" w:sz="0" w:space="0" w:color="auto"/>
                <w:left w:val="none" w:sz="0" w:space="0" w:color="auto"/>
                <w:bottom w:val="none" w:sz="0" w:space="0" w:color="auto"/>
                <w:right w:val="none" w:sz="0" w:space="0" w:color="auto"/>
              </w:divBdr>
              <w:divsChild>
                <w:div w:id="200149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510457">
          <w:marLeft w:val="0"/>
          <w:marRight w:val="0"/>
          <w:marTop w:val="0"/>
          <w:marBottom w:val="120"/>
          <w:divBdr>
            <w:top w:val="none" w:sz="0" w:space="0" w:color="auto"/>
            <w:left w:val="none" w:sz="0" w:space="0" w:color="auto"/>
            <w:bottom w:val="none" w:sz="0" w:space="0" w:color="auto"/>
            <w:right w:val="none" w:sz="0" w:space="0" w:color="auto"/>
          </w:divBdr>
          <w:divsChild>
            <w:div w:id="1934781430">
              <w:marLeft w:val="0"/>
              <w:marRight w:val="0"/>
              <w:marTop w:val="0"/>
              <w:marBottom w:val="0"/>
              <w:divBdr>
                <w:top w:val="none" w:sz="0" w:space="0" w:color="auto"/>
                <w:left w:val="none" w:sz="0" w:space="0" w:color="auto"/>
                <w:bottom w:val="none" w:sz="0" w:space="0" w:color="auto"/>
                <w:right w:val="none" w:sz="0" w:space="0" w:color="auto"/>
              </w:divBdr>
              <w:divsChild>
                <w:div w:id="2029259619">
                  <w:marLeft w:val="0"/>
                  <w:marRight w:val="0"/>
                  <w:marTop w:val="0"/>
                  <w:marBottom w:val="0"/>
                  <w:divBdr>
                    <w:top w:val="none" w:sz="0" w:space="0" w:color="auto"/>
                    <w:left w:val="none" w:sz="0" w:space="0" w:color="auto"/>
                    <w:bottom w:val="none" w:sz="0" w:space="0" w:color="auto"/>
                    <w:right w:val="none" w:sz="0" w:space="0" w:color="auto"/>
                  </w:divBdr>
                  <w:divsChild>
                    <w:div w:id="824129036">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2076196205">
      <w:bodyDiv w:val="1"/>
      <w:marLeft w:val="0"/>
      <w:marRight w:val="0"/>
      <w:marTop w:val="0"/>
      <w:marBottom w:val="0"/>
      <w:divBdr>
        <w:top w:val="none" w:sz="0" w:space="0" w:color="auto"/>
        <w:left w:val="none" w:sz="0" w:space="0" w:color="auto"/>
        <w:bottom w:val="none" w:sz="0" w:space="0" w:color="auto"/>
        <w:right w:val="none" w:sz="0" w:space="0" w:color="auto"/>
      </w:divBdr>
    </w:div>
    <w:div w:id="2088184742">
      <w:bodyDiv w:val="1"/>
      <w:marLeft w:val="0"/>
      <w:marRight w:val="0"/>
      <w:marTop w:val="0"/>
      <w:marBottom w:val="0"/>
      <w:divBdr>
        <w:top w:val="none" w:sz="0" w:space="0" w:color="auto"/>
        <w:left w:val="none" w:sz="0" w:space="0" w:color="auto"/>
        <w:bottom w:val="none" w:sz="0" w:space="0" w:color="auto"/>
        <w:right w:val="none" w:sz="0" w:space="0" w:color="auto"/>
      </w:divBdr>
    </w:div>
    <w:div w:id="2126582364">
      <w:bodyDiv w:val="1"/>
      <w:marLeft w:val="0"/>
      <w:marRight w:val="0"/>
      <w:marTop w:val="0"/>
      <w:marBottom w:val="0"/>
      <w:divBdr>
        <w:top w:val="none" w:sz="0" w:space="0" w:color="auto"/>
        <w:left w:val="none" w:sz="0" w:space="0" w:color="auto"/>
        <w:bottom w:val="none" w:sz="0" w:space="0" w:color="auto"/>
        <w:right w:val="none" w:sz="0" w:space="0" w:color="auto"/>
      </w:divBdr>
      <w:divsChild>
        <w:div w:id="1650556869">
          <w:marLeft w:val="0"/>
          <w:marRight w:val="0"/>
          <w:marTop w:val="0"/>
          <w:marBottom w:val="0"/>
          <w:divBdr>
            <w:top w:val="none" w:sz="0" w:space="0" w:color="auto"/>
            <w:left w:val="none" w:sz="0" w:space="0" w:color="auto"/>
            <w:bottom w:val="none" w:sz="0" w:space="0" w:color="auto"/>
            <w:right w:val="none" w:sz="0" w:space="0" w:color="auto"/>
          </w:divBdr>
        </w:div>
        <w:div w:id="1438986019">
          <w:marLeft w:val="0"/>
          <w:marRight w:val="0"/>
          <w:marTop w:val="0"/>
          <w:marBottom w:val="0"/>
          <w:divBdr>
            <w:top w:val="none" w:sz="0" w:space="0" w:color="auto"/>
            <w:left w:val="none" w:sz="0" w:space="0" w:color="auto"/>
            <w:bottom w:val="none" w:sz="0" w:space="0" w:color="auto"/>
            <w:right w:val="none" w:sz="0" w:space="0" w:color="auto"/>
          </w:divBdr>
        </w:div>
        <w:div w:id="1657220913">
          <w:marLeft w:val="0"/>
          <w:marRight w:val="0"/>
          <w:marTop w:val="0"/>
          <w:marBottom w:val="0"/>
          <w:divBdr>
            <w:top w:val="none" w:sz="0" w:space="0" w:color="auto"/>
            <w:left w:val="none" w:sz="0" w:space="0" w:color="auto"/>
            <w:bottom w:val="none" w:sz="0" w:space="0" w:color="auto"/>
            <w:right w:val="none" w:sz="0" w:space="0" w:color="auto"/>
          </w:divBdr>
        </w:div>
      </w:divsChild>
    </w:div>
    <w:div w:id="2135519155">
      <w:bodyDiv w:val="1"/>
      <w:marLeft w:val="0"/>
      <w:marRight w:val="0"/>
      <w:marTop w:val="0"/>
      <w:marBottom w:val="0"/>
      <w:divBdr>
        <w:top w:val="none" w:sz="0" w:space="0" w:color="auto"/>
        <w:left w:val="none" w:sz="0" w:space="0" w:color="auto"/>
        <w:bottom w:val="none" w:sz="0" w:space="0" w:color="auto"/>
        <w:right w:val="none" w:sz="0" w:space="0" w:color="auto"/>
      </w:divBdr>
      <w:divsChild>
        <w:div w:id="1008750724">
          <w:marLeft w:val="0"/>
          <w:marRight w:val="0"/>
          <w:marTop w:val="0"/>
          <w:marBottom w:val="0"/>
          <w:divBdr>
            <w:top w:val="none" w:sz="0" w:space="0" w:color="auto"/>
            <w:left w:val="none" w:sz="0" w:space="0" w:color="auto"/>
            <w:bottom w:val="none" w:sz="0" w:space="0" w:color="auto"/>
            <w:right w:val="none" w:sz="0" w:space="0" w:color="auto"/>
          </w:divBdr>
        </w:div>
        <w:div w:id="1993874693">
          <w:marLeft w:val="0"/>
          <w:marRight w:val="0"/>
          <w:marTop w:val="0"/>
          <w:marBottom w:val="0"/>
          <w:divBdr>
            <w:top w:val="none" w:sz="0" w:space="0" w:color="auto"/>
            <w:left w:val="none" w:sz="0" w:space="0" w:color="auto"/>
            <w:bottom w:val="none" w:sz="0" w:space="0" w:color="auto"/>
            <w:right w:val="none" w:sz="0" w:space="0" w:color="auto"/>
          </w:divBdr>
        </w:div>
        <w:div w:id="134179153">
          <w:marLeft w:val="0"/>
          <w:marRight w:val="0"/>
          <w:marTop w:val="0"/>
          <w:marBottom w:val="0"/>
          <w:divBdr>
            <w:top w:val="none" w:sz="0" w:space="0" w:color="auto"/>
            <w:left w:val="none" w:sz="0" w:space="0" w:color="auto"/>
            <w:bottom w:val="none" w:sz="0" w:space="0" w:color="auto"/>
            <w:right w:val="none" w:sz="0" w:space="0" w:color="auto"/>
          </w:divBdr>
          <w:divsChild>
            <w:div w:id="1086654021">
              <w:marLeft w:val="0"/>
              <w:marRight w:val="0"/>
              <w:marTop w:val="0"/>
              <w:marBottom w:val="0"/>
              <w:divBdr>
                <w:top w:val="none" w:sz="0" w:space="0" w:color="auto"/>
                <w:left w:val="none" w:sz="0" w:space="0" w:color="auto"/>
                <w:bottom w:val="none" w:sz="0" w:space="0" w:color="auto"/>
                <w:right w:val="none" w:sz="0" w:space="0" w:color="auto"/>
              </w:divBdr>
              <w:divsChild>
                <w:div w:id="1844735946">
                  <w:marLeft w:val="0"/>
                  <w:marRight w:val="0"/>
                  <w:marTop w:val="0"/>
                  <w:marBottom w:val="0"/>
                  <w:divBdr>
                    <w:top w:val="none" w:sz="0" w:space="0" w:color="auto"/>
                    <w:left w:val="none" w:sz="0" w:space="0" w:color="auto"/>
                    <w:bottom w:val="none" w:sz="0" w:space="0" w:color="auto"/>
                    <w:right w:val="none" w:sz="0" w:space="0" w:color="auto"/>
                  </w:divBdr>
                  <w:divsChild>
                    <w:div w:id="148728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830359">
          <w:marLeft w:val="0"/>
          <w:marRight w:val="0"/>
          <w:marTop w:val="0"/>
          <w:marBottom w:val="0"/>
          <w:divBdr>
            <w:top w:val="none" w:sz="0" w:space="0" w:color="auto"/>
            <w:left w:val="none" w:sz="0" w:space="0" w:color="auto"/>
            <w:bottom w:val="none" w:sz="0" w:space="0" w:color="auto"/>
            <w:right w:val="none" w:sz="0" w:space="0" w:color="auto"/>
          </w:divBdr>
          <w:divsChild>
            <w:div w:id="1791629258">
              <w:marLeft w:val="0"/>
              <w:marRight w:val="0"/>
              <w:marTop w:val="0"/>
              <w:marBottom w:val="0"/>
              <w:divBdr>
                <w:top w:val="none" w:sz="0" w:space="0" w:color="auto"/>
                <w:left w:val="none" w:sz="0" w:space="0" w:color="auto"/>
                <w:bottom w:val="none" w:sz="0" w:space="0" w:color="auto"/>
                <w:right w:val="none" w:sz="0" w:space="0" w:color="auto"/>
              </w:divBdr>
            </w:div>
            <w:div w:id="101261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6CD6E6DAD724A5584B41C4D08927C65"/>
        <w:category>
          <w:name w:val="General"/>
          <w:gallery w:val="placeholder"/>
        </w:category>
        <w:types>
          <w:type w:val="bbPlcHdr"/>
        </w:types>
        <w:behaviors>
          <w:behavior w:val="content"/>
        </w:behaviors>
        <w:guid w:val="{310011D5-742F-4482-86A6-83075EFCA95D}"/>
      </w:docPartPr>
      <w:docPartBody>
        <w:p w:rsidR="00606760" w:rsidRDefault="0069326B" w:rsidP="0069326B">
          <w:pPr>
            <w:pStyle w:val="86CD6E6DAD724A5584B41C4D08927C65"/>
          </w:pPr>
          <w:r>
            <w:rPr>
              <w:color w:val="0F4761" w:themeColor="accent1" w:themeShade="BF"/>
            </w:rPr>
            <w:t>[Company name]</w:t>
          </w:r>
        </w:p>
      </w:docPartBody>
    </w:docPart>
    <w:docPart>
      <w:docPartPr>
        <w:name w:val="5037EBA90EFF41089AC4031FBC08AA33"/>
        <w:category>
          <w:name w:val="General"/>
          <w:gallery w:val="placeholder"/>
        </w:category>
        <w:types>
          <w:type w:val="bbPlcHdr"/>
        </w:types>
        <w:behaviors>
          <w:behavior w:val="content"/>
        </w:behaviors>
        <w:guid w:val="{2A22CC15-AD58-46AD-8D1A-6245C2347D1D}"/>
      </w:docPartPr>
      <w:docPartBody>
        <w:p w:rsidR="00606760" w:rsidRDefault="0069326B" w:rsidP="0069326B">
          <w:pPr>
            <w:pStyle w:val="5037EBA90EFF41089AC4031FBC08AA33"/>
          </w:pPr>
          <w:r>
            <w:rPr>
              <w:rFonts w:asciiTheme="majorHAnsi" w:eastAsiaTheme="majorEastAsia" w:hAnsiTheme="majorHAnsi" w:cstheme="majorBidi"/>
              <w:color w:val="156082" w:themeColor="accent1"/>
              <w:sz w:val="88"/>
              <w:szCs w:val="88"/>
            </w:rPr>
            <w:t>[Document title]</w:t>
          </w:r>
        </w:p>
      </w:docPartBody>
    </w:docPart>
    <w:docPart>
      <w:docPartPr>
        <w:name w:val="02BE25ED1B0C4FB5A8B385C1C35C1A22"/>
        <w:category>
          <w:name w:val="General"/>
          <w:gallery w:val="placeholder"/>
        </w:category>
        <w:types>
          <w:type w:val="bbPlcHdr"/>
        </w:types>
        <w:behaviors>
          <w:behavior w:val="content"/>
        </w:behaviors>
        <w:guid w:val="{243E796F-89C9-4EC9-9455-365E2FE73C9D}"/>
      </w:docPartPr>
      <w:docPartBody>
        <w:p w:rsidR="00606760" w:rsidRDefault="0069326B" w:rsidP="0069326B">
          <w:pPr>
            <w:pStyle w:val="02BE25ED1B0C4FB5A8B385C1C35C1A22"/>
          </w:pPr>
          <w:r>
            <w:rPr>
              <w:color w:val="0F4761" w:themeColor="accent1" w:themeShade="BF"/>
            </w:rPr>
            <w:t>[Document subtitle]</w:t>
          </w:r>
        </w:p>
      </w:docPartBody>
    </w:docPart>
    <w:docPart>
      <w:docPartPr>
        <w:name w:val="AE8AEB6961744DFF90EA49A193F1E998"/>
        <w:category>
          <w:name w:val="General"/>
          <w:gallery w:val="placeholder"/>
        </w:category>
        <w:types>
          <w:type w:val="bbPlcHdr"/>
        </w:types>
        <w:behaviors>
          <w:behavior w:val="content"/>
        </w:behaviors>
        <w:guid w:val="{8093B201-E591-4CE8-BEBF-3A77D628FE5F}"/>
      </w:docPartPr>
      <w:docPartBody>
        <w:p w:rsidR="00E1622F" w:rsidRDefault="00606760" w:rsidP="00606760">
          <w:pPr>
            <w:pStyle w:val="AE8AEB6961744DFF90EA49A193F1E998"/>
          </w:pPr>
          <w:r>
            <w:rPr>
              <w:color w:val="156082" w:themeColor="accent1"/>
              <w:sz w:val="28"/>
              <w:szCs w:val="28"/>
            </w:rPr>
            <w:t>[Author name]</w:t>
          </w:r>
        </w:p>
      </w:docPartBody>
    </w:docPart>
    <w:docPart>
      <w:docPartPr>
        <w:name w:val="158F1DAC467D49F99AEEED565F7C551E"/>
        <w:category>
          <w:name w:val="General"/>
          <w:gallery w:val="placeholder"/>
        </w:category>
        <w:types>
          <w:type w:val="bbPlcHdr"/>
        </w:types>
        <w:behaviors>
          <w:behavior w:val="content"/>
        </w:behaviors>
        <w:guid w:val="{1144E27C-1A41-46BF-A00C-169978B23F3C}"/>
      </w:docPartPr>
      <w:docPartBody>
        <w:p w:rsidR="00E1622F" w:rsidRDefault="00606760" w:rsidP="00606760">
          <w:pPr>
            <w:pStyle w:val="158F1DAC467D49F99AEEED565F7C551E"/>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26B"/>
    <w:rsid w:val="003502C2"/>
    <w:rsid w:val="00352648"/>
    <w:rsid w:val="005645C2"/>
    <w:rsid w:val="00606760"/>
    <w:rsid w:val="0069326B"/>
    <w:rsid w:val="00E162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CD6E6DAD724A5584B41C4D08927C65">
    <w:name w:val="86CD6E6DAD724A5584B41C4D08927C65"/>
    <w:rsid w:val="0069326B"/>
  </w:style>
  <w:style w:type="paragraph" w:customStyle="1" w:styleId="5037EBA90EFF41089AC4031FBC08AA33">
    <w:name w:val="5037EBA90EFF41089AC4031FBC08AA33"/>
    <w:rsid w:val="0069326B"/>
  </w:style>
  <w:style w:type="paragraph" w:customStyle="1" w:styleId="02BE25ED1B0C4FB5A8B385C1C35C1A22">
    <w:name w:val="02BE25ED1B0C4FB5A8B385C1C35C1A22"/>
    <w:rsid w:val="0069326B"/>
  </w:style>
  <w:style w:type="paragraph" w:customStyle="1" w:styleId="AE8AEB6961744DFF90EA49A193F1E998">
    <w:name w:val="AE8AEB6961744DFF90EA49A193F1E998"/>
    <w:rsid w:val="00606760"/>
  </w:style>
  <w:style w:type="paragraph" w:customStyle="1" w:styleId="158F1DAC467D49F99AEEED565F7C551E">
    <w:name w:val="158F1DAC467D49F99AEEED565F7C551E"/>
    <w:rsid w:val="006067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1051704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4595</TotalTime>
  <Pages>36</Pages>
  <Words>11309</Words>
  <Characters>64464</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Critical Literature Review</vt:lpstr>
    </vt:vector>
  </TitlesOfParts>
  <Company>ECDE7016</Company>
  <LinksUpToDate>false</LinksUpToDate>
  <CharactersWithSpaces>75622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Literature Review</dc:title>
  <dc:subject>Why Don’t Men Care? A perspective of gender bias within nurse education</dc:subject>
  <dc:creator>Donna Morgan</dc:creator>
  <cp:keywords/>
  <dc:description/>
  <cp:lastModifiedBy>Donna Morgan</cp:lastModifiedBy>
  <cp:revision>1369</cp:revision>
  <dcterms:created xsi:type="dcterms:W3CDTF">2025-05-16T20:14:00Z</dcterms:created>
  <dcterms:modified xsi:type="dcterms:W3CDTF">2025-05-20T04:05:00Z</dcterms:modified>
</cp:coreProperties>
</file>