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2234F61" w:rsidP="167DB4A6" w:rsidRDefault="12234F61" w14:paraId="2AEA5C3A" w14:textId="39899B10">
      <w:pPr>
        <w:keepNext w:val="0"/>
        <w:keepLines w:val="1"/>
        <w:spacing w:before="240" w:beforeAutospacing="off" w:after="240" w:afterAutospacing="off" w:line="360" w:lineRule="auto"/>
        <w:ind/>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7DB4A6" w:rsidR="7F430DE2">
        <w:rPr>
          <w:rFonts w:ascii="Arial" w:hAnsi="Arial" w:eastAsia="Arial" w:cs="Arial"/>
          <w:b w:val="1"/>
          <w:bCs w:val="1"/>
          <w:i w:val="0"/>
          <w:iCs w:val="0"/>
          <w:caps w:val="0"/>
          <w:smallCaps w:val="0"/>
          <w:noProof w:val="0"/>
          <w:color w:val="000000" w:themeColor="text1" w:themeTint="FF" w:themeShade="FF"/>
          <w:sz w:val="22"/>
          <w:szCs w:val="22"/>
          <w:lang w:val="en-GB"/>
        </w:rPr>
        <w:t>University of Wales Trinity Saint David</w:t>
      </w:r>
      <w:r>
        <w:br/>
      </w:r>
      <w:r w:rsidRPr="167DB4A6" w:rsidR="7F430DE2">
        <w:rPr>
          <w:rFonts w:ascii="Arial" w:hAnsi="Arial" w:eastAsia="Arial" w:cs="Arial"/>
          <w:b w:val="1"/>
          <w:bCs w:val="1"/>
          <w:i w:val="0"/>
          <w:iCs w:val="0"/>
          <w:caps w:val="0"/>
          <w:smallCaps w:val="0"/>
          <w:noProof w:val="0"/>
          <w:color w:val="000000" w:themeColor="text1" w:themeTint="FF" w:themeShade="FF"/>
          <w:sz w:val="22"/>
          <w:szCs w:val="22"/>
          <w:lang w:val="en-GB"/>
        </w:rPr>
        <w:t>Programme:</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 xml:space="preserve"> MSc Public Health and Social Care in Practice</w:t>
      </w:r>
      <w:r>
        <w:br/>
      </w:r>
      <w:r w:rsidRPr="167DB4A6" w:rsidR="7F430DE2">
        <w:rPr>
          <w:rFonts w:ascii="Arial" w:hAnsi="Arial" w:eastAsia="Arial" w:cs="Arial"/>
          <w:b w:val="1"/>
          <w:bCs w:val="1"/>
          <w:i w:val="0"/>
          <w:iCs w:val="0"/>
          <w:caps w:val="0"/>
          <w:smallCaps w:val="0"/>
          <w:noProof w:val="0"/>
          <w:color w:val="000000" w:themeColor="text1" w:themeTint="FF" w:themeShade="FF"/>
          <w:sz w:val="22"/>
          <w:szCs w:val="22"/>
          <w:lang w:val="en-GB"/>
        </w:rPr>
        <w:t>Module:</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 xml:space="preserve"> Social Epidemiology and Public Health Development</w:t>
      </w:r>
      <w:r>
        <w:br/>
      </w:r>
      <w:r w:rsidRPr="167DB4A6" w:rsidR="7F430DE2">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 xml:space="preserve"> LCHS7000</w:t>
      </w:r>
      <w:r>
        <w:br/>
      </w:r>
      <w:r w:rsidRPr="167DB4A6" w:rsidR="7F430DE2">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 xml:space="preserve"> 2 - Analytical Report</w:t>
      </w:r>
      <w:r>
        <w:br/>
      </w:r>
      <w:r w:rsidRPr="167DB4A6" w:rsidR="7F430DE2">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 xml:space="preserve"> Nazia Ali</w:t>
      </w:r>
      <w:r>
        <w:br/>
      </w:r>
      <w:r w:rsidRPr="167DB4A6" w:rsidR="7F430DE2">
        <w:rPr>
          <w:rFonts w:ascii="Arial" w:hAnsi="Arial" w:eastAsia="Arial" w:cs="Arial"/>
          <w:b w:val="1"/>
          <w:bCs w:val="1"/>
          <w:i w:val="0"/>
          <w:iCs w:val="0"/>
          <w:caps w:val="0"/>
          <w:smallCaps w:val="0"/>
          <w:noProof w:val="0"/>
          <w:color w:val="000000" w:themeColor="text1" w:themeTint="FF" w:themeShade="FF"/>
          <w:sz w:val="22"/>
          <w:szCs w:val="22"/>
          <w:lang w:val="en-GB"/>
        </w:rPr>
        <w:t>Student ID:</w:t>
      </w:r>
      <w:r w:rsidRPr="167DB4A6" w:rsidR="7F430DE2">
        <w:rPr>
          <w:rFonts w:ascii="Arial" w:hAnsi="Arial" w:eastAsia="Arial" w:cs="Arial"/>
          <w:b w:val="0"/>
          <w:bCs w:val="0"/>
          <w:i w:val="0"/>
          <w:iCs w:val="0"/>
          <w:caps w:val="0"/>
          <w:smallCaps w:val="0"/>
          <w:noProof w:val="0"/>
          <w:color w:val="000000" w:themeColor="text1" w:themeTint="FF" w:themeShade="FF"/>
          <w:sz w:val="22"/>
          <w:szCs w:val="22"/>
          <w:lang w:val="en-GB"/>
        </w:rPr>
        <w:t xml:space="preserve"> 2208450</w:t>
      </w:r>
    </w:p>
    <w:p w:rsidR="12234F61" w:rsidP="167DB4A6" w:rsidRDefault="12234F61" w14:paraId="55DDF357" w14:textId="2FD12F51">
      <w:pPr>
        <w:keepNext w:val="0"/>
        <w:keepLines w:val="1"/>
        <w:spacing w:before="240" w:beforeAutospacing="off" w:after="240" w:afterAutospacing="off" w:line="360" w:lineRule="auto"/>
        <w:ind/>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2234F61" w:rsidP="167DB4A6" w:rsidRDefault="12234F61" w14:paraId="5047B303" w14:textId="580E7D3E">
      <w:pPr>
        <w:keepNext w:val="0"/>
        <w:keepLines w:val="1"/>
        <w:spacing w:before="240" w:beforeAutospacing="off" w:after="240" w:afterAutospacing="off" w:line="360" w:lineRule="auto"/>
        <w:ind/>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2234F61" w:rsidP="167DB4A6" w:rsidRDefault="12234F61" w14:paraId="2330EBE8" w14:textId="36F28F25">
      <w:pPr>
        <w:keepNext w:val="0"/>
        <w:keepLines w:val="1"/>
        <w:spacing w:before="240" w:beforeAutospacing="off" w:after="240" w:afterAutospacing="off" w:line="360" w:lineRule="auto"/>
        <w:ind/>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67DB4A6" w:rsidR="7F430DE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Ethnicity and Health Inequality in the United Kingdom</w:t>
      </w:r>
    </w:p>
    <w:p w:rsidR="12234F61" w:rsidP="167DB4A6" w:rsidRDefault="12234F61" w14:paraId="17569748" w14:textId="5B42F108">
      <w:pPr>
        <w:pStyle w:val="Normal"/>
        <w:keepNext w:val="0"/>
        <w:keepLines w:val="1"/>
        <w:spacing w:before="240" w:beforeAutospacing="off" w:after="240" w:afterAutospacing="off" w:line="360" w:lineRule="auto"/>
        <w:ind/>
        <w:contextualSpacing/>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1BBBF04B" w14:textId="5C2CEC35">
      <w:pPr>
        <w:keepNext w:val="0"/>
        <w:keepLines w:val="1"/>
        <w:spacing w:before="240" w:beforeAutospacing="off" w:after="240" w:afterAutospacing="off" w:line="360" w:lineRule="auto"/>
        <w:ind/>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2234F61" w:rsidP="167DB4A6" w:rsidRDefault="12234F61" w14:paraId="4B19597A" w14:textId="2DD98069">
      <w:pPr>
        <w:keepNext w:val="0"/>
        <w:keepLines w:val="1"/>
        <w:spacing w:before="240" w:beforeAutospacing="off" w:after="240" w:afterAutospacing="off" w:line="360" w:lineRule="auto"/>
        <w:ind/>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2234F61" w:rsidP="167DB4A6" w:rsidRDefault="12234F61" w14:paraId="4BB08EF9" w14:textId="2E987FEE">
      <w:pPr>
        <w:pStyle w:val="Heading1"/>
        <w:keepNext w:val="0"/>
        <w:keepLines w:val="1"/>
        <w:spacing w:before="240" w:beforeAutospacing="off" w:after="240" w:afterAutospacing="off" w:line="360" w:lineRule="auto"/>
        <w:ind/>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2234F61" w:rsidP="167DB4A6" w:rsidRDefault="12234F61" w14:paraId="53B37DFF" w14:textId="0DBC9E81">
      <w:pPr>
        <w:pStyle w:val="Normal"/>
        <w:keepNext w:val="0"/>
        <w:keepLines w:val="1"/>
        <w:spacing/>
        <w:contextualSpacing/>
        <w:jc w:val="both"/>
        <w:rPr>
          <w:rFonts w:ascii="Arial" w:hAnsi="Arial" w:eastAsia="Arial" w:cs="Arial"/>
          <w:noProof w:val="0"/>
          <w:sz w:val="22"/>
          <w:szCs w:val="22"/>
          <w:lang w:val="en-GB"/>
        </w:rPr>
      </w:pPr>
    </w:p>
    <w:p w:rsidR="12234F61" w:rsidP="167DB4A6" w:rsidRDefault="12234F61" w14:paraId="3F47B8E9" w14:textId="27DC5B0A">
      <w:pPr>
        <w:pStyle w:val="Normal"/>
        <w:keepNext w:val="0"/>
        <w:keepLines w:val="1"/>
        <w:spacing/>
        <w:contextualSpacing/>
        <w:jc w:val="both"/>
        <w:rPr>
          <w:rFonts w:ascii="Arial" w:hAnsi="Arial" w:eastAsia="Arial" w:cs="Arial"/>
          <w:noProof w:val="0"/>
          <w:sz w:val="22"/>
          <w:szCs w:val="22"/>
          <w:lang w:val="en-GB"/>
        </w:rPr>
      </w:pPr>
    </w:p>
    <w:p w:rsidR="12234F61" w:rsidP="167DB4A6" w:rsidRDefault="12234F61" w14:paraId="13A8F279" w14:textId="68A19260">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7B263D8C" w14:textId="7B9137DD">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1A75E6CD" w14:textId="7BF60C60">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70D07CF4" w14:textId="026848FC">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09B3D086" w14:textId="56B60C31">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238EA0EA" w14:textId="4E08EF1C">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54B220CE" w14:textId="6A1C69DB">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6E95976B" w14:textId="3498223F">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75E27820" w14:textId="6455AC64">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6992CA3A" w14:textId="661F540C">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030B5BB1" w14:textId="3547012D">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212761A7" w14:textId="62169E6B">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05A651C2" w14:textId="0A84DAAF">
      <w:pPr>
        <w:pStyle w:val="Heading1"/>
        <w:keepNext w:val="0"/>
        <w:keepLines w:val="1"/>
        <w:spacing w:before="240" w:beforeAutospacing="off" w:after="240" w:afterAutospacing="off" w:line="360" w:lineRule="auto"/>
        <w:ind/>
        <w:contextualSpacing/>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2234F61" w:rsidP="167DB4A6" w:rsidRDefault="12234F61" w14:paraId="033AE941" w14:textId="5638C8CB">
      <w:pPr>
        <w:pStyle w:val="Heading3"/>
        <w:keepNext w:val="0"/>
        <w:keepLines w:val="0"/>
        <w:spacing w:before="281" w:beforeAutospacing="off" w:after="281" w:afterAutospacing="off" w:line="360" w:lineRule="auto"/>
        <w:ind/>
        <w:jc w:val="center"/>
        <w:rPr>
          <w:rFonts w:ascii="Arial" w:hAnsi="Arial" w:eastAsia="Arial" w:cs="Arial"/>
          <w:b w:val="1"/>
          <w:bCs w:val="1"/>
          <w:noProof w:val="0"/>
          <w:color w:val="000000" w:themeColor="text1" w:themeTint="FF" w:themeShade="FF"/>
          <w:sz w:val="22"/>
          <w:szCs w:val="22"/>
          <w:u w:val="single"/>
          <w:lang w:val="en-GB"/>
        </w:rPr>
      </w:pPr>
    </w:p>
    <w:p w:rsidR="12234F61" w:rsidP="167DB4A6" w:rsidRDefault="12234F61" w14:paraId="5BB19A73" w14:textId="463C7546">
      <w:pPr>
        <w:pStyle w:val="Heading3"/>
        <w:keepNext w:val="0"/>
        <w:keepLines w:val="0"/>
        <w:spacing w:before="281" w:beforeAutospacing="off" w:after="281" w:afterAutospacing="off" w:line="360" w:lineRule="auto"/>
        <w:ind/>
        <w:jc w:val="center"/>
        <w:rPr>
          <w:rFonts w:ascii="Arial" w:hAnsi="Arial" w:eastAsia="Arial" w:cs="Arial"/>
          <w:b w:val="1"/>
          <w:bCs w:val="1"/>
          <w:noProof w:val="0"/>
          <w:color w:val="000000" w:themeColor="text1" w:themeTint="FF" w:themeShade="FF"/>
          <w:sz w:val="22"/>
          <w:szCs w:val="22"/>
          <w:u w:val="single"/>
          <w:lang w:val="en-GB"/>
        </w:rPr>
      </w:pPr>
      <w:r w:rsidRPr="167DB4A6" w:rsidR="0208EF9E">
        <w:rPr>
          <w:rFonts w:ascii="Arial" w:hAnsi="Arial" w:eastAsia="Arial" w:cs="Arial"/>
          <w:b w:val="1"/>
          <w:bCs w:val="1"/>
          <w:noProof w:val="0"/>
          <w:color w:val="000000" w:themeColor="text1" w:themeTint="FF" w:themeShade="FF"/>
          <w:sz w:val="22"/>
          <w:szCs w:val="22"/>
          <w:u w:val="single"/>
          <w:lang w:val="en-GB"/>
        </w:rPr>
        <w:t>Task 1: Social Epidemiological Analysis</w:t>
      </w:r>
    </w:p>
    <w:p w:rsidR="12234F61" w:rsidP="167DB4A6" w:rsidRDefault="12234F61" w14:paraId="43ECFE58" w14:textId="3F34FCD3">
      <w:pPr>
        <w:keepNext w:val="0"/>
        <w:keepLines w:val="0"/>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r w:rsidRPr="167DB4A6" w:rsidR="0208EF9E">
        <w:rPr>
          <w:rFonts w:ascii="Arial" w:hAnsi="Arial" w:eastAsia="Arial" w:cs="Arial"/>
          <w:b w:val="1"/>
          <w:bCs w:val="1"/>
          <w:noProof w:val="0"/>
          <w:color w:val="000000" w:themeColor="text1" w:themeTint="FF" w:themeShade="FF"/>
          <w:sz w:val="22"/>
          <w:szCs w:val="22"/>
          <w:lang w:val="en-GB"/>
        </w:rPr>
        <w:t>Introduction</w:t>
      </w:r>
    </w:p>
    <w:p w:rsidR="12234F61" w:rsidP="167DB4A6" w:rsidRDefault="12234F61" w14:paraId="10832F3D" w14:textId="2C0F5E87">
      <w:pPr>
        <w:keepNext w:val="0"/>
        <w:keepLines w:val="0"/>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0208EF9E">
        <w:rPr>
          <w:rFonts w:ascii="Arial" w:hAnsi="Arial" w:eastAsia="Arial" w:cs="Arial"/>
          <w:noProof w:val="0"/>
          <w:color w:val="000000" w:themeColor="text1" w:themeTint="FF" w:themeShade="FF"/>
          <w:sz w:val="22"/>
          <w:szCs w:val="22"/>
          <w:lang w:val="en-GB"/>
        </w:rPr>
        <w:t>Ethnic minority populations in the UK face persistent health inequalities compared to the White British population. These disparities exist in the prevalence and outcomes of chronic and acute conditions, as well as access to healthcare (</w:t>
      </w:r>
      <w:r w:rsidRPr="167DB4A6" w:rsidR="0208EF9E">
        <w:rPr>
          <w:rFonts w:ascii="Arial" w:hAnsi="Arial" w:eastAsia="Arial" w:cs="Arial"/>
          <w:noProof w:val="0"/>
          <w:color w:val="000000" w:themeColor="text1" w:themeTint="FF" w:themeShade="FF"/>
          <w:sz w:val="22"/>
          <w:szCs w:val="22"/>
          <w:lang w:val="en-GB"/>
        </w:rPr>
        <w:t>Nazroo</w:t>
      </w:r>
      <w:r w:rsidRPr="167DB4A6" w:rsidR="0208EF9E">
        <w:rPr>
          <w:rFonts w:ascii="Arial" w:hAnsi="Arial" w:eastAsia="Arial" w:cs="Arial"/>
          <w:noProof w:val="0"/>
          <w:color w:val="000000" w:themeColor="text1" w:themeTint="FF" w:themeShade="FF"/>
          <w:sz w:val="22"/>
          <w:szCs w:val="22"/>
          <w:lang w:val="en-GB"/>
        </w:rPr>
        <w:t>, 2017; Public Health England, 2020). Biological, social, economic, and cultural factors shape these inequalities. Higher rates of obesity and type 2 diabetes among South Asians are linked to genetic predisposition and lifestyle factors (Sattar &amp; Gill, 2015). Black African and Caribbean populations show higher hypertension and cardiovascular disease rates (Agyemang &amp; van den Born, 2022).</w:t>
      </w:r>
    </w:p>
    <w:p w:rsidR="12234F61" w:rsidP="167DB4A6" w:rsidRDefault="12234F61" w14:paraId="6F6C9100" w14:textId="3720EA9E">
      <w:pPr>
        <w:keepNext w:val="0"/>
        <w:keepLines w:val="0"/>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0208EF9E">
        <w:rPr>
          <w:rFonts w:ascii="Arial" w:hAnsi="Arial" w:eastAsia="Arial" w:cs="Arial"/>
          <w:noProof w:val="0"/>
          <w:color w:val="000000" w:themeColor="text1" w:themeTint="FF" w:themeShade="FF"/>
          <w:sz w:val="22"/>
          <w:szCs w:val="22"/>
          <w:lang w:val="en-GB"/>
        </w:rPr>
        <w:t xml:space="preserve">Socioeconomic determinants, including income, education, and employment, </w:t>
      </w:r>
      <w:r w:rsidRPr="167DB4A6" w:rsidR="0208EF9E">
        <w:rPr>
          <w:rFonts w:ascii="Arial" w:hAnsi="Arial" w:eastAsia="Arial" w:cs="Arial"/>
          <w:noProof w:val="0"/>
          <w:color w:val="000000" w:themeColor="text1" w:themeTint="FF" w:themeShade="FF"/>
          <w:sz w:val="22"/>
          <w:szCs w:val="22"/>
          <w:lang w:val="en-GB"/>
        </w:rPr>
        <w:t>exacerbate</w:t>
      </w:r>
      <w:r w:rsidRPr="167DB4A6" w:rsidR="0208EF9E">
        <w:rPr>
          <w:rFonts w:ascii="Arial" w:hAnsi="Arial" w:eastAsia="Arial" w:cs="Arial"/>
          <w:noProof w:val="0"/>
          <w:color w:val="000000" w:themeColor="text1" w:themeTint="FF" w:themeShade="FF"/>
          <w:sz w:val="22"/>
          <w:szCs w:val="22"/>
          <w:lang w:val="en-GB"/>
        </w:rPr>
        <w:t xml:space="preserve"> disparities (Bambra, 2020). Structural barriers, such as discrimination, language difficulties, and low health literacy, limit access to effective care, affecting outcomes and life expectancy (</w:t>
      </w:r>
      <w:r w:rsidRPr="167DB4A6" w:rsidR="0208EF9E">
        <w:rPr>
          <w:rFonts w:ascii="Arial" w:hAnsi="Arial" w:eastAsia="Arial" w:cs="Arial"/>
          <w:noProof w:val="0"/>
          <w:color w:val="000000" w:themeColor="text1" w:themeTint="FF" w:themeShade="FF"/>
          <w:sz w:val="22"/>
          <w:szCs w:val="22"/>
          <w:lang w:val="en-GB"/>
        </w:rPr>
        <w:t>Nazroo</w:t>
      </w:r>
      <w:r w:rsidRPr="167DB4A6" w:rsidR="0208EF9E">
        <w:rPr>
          <w:rFonts w:ascii="Arial" w:hAnsi="Arial" w:eastAsia="Arial" w:cs="Arial"/>
          <w:noProof w:val="0"/>
          <w:color w:val="000000" w:themeColor="text1" w:themeTint="FF" w:themeShade="FF"/>
          <w:sz w:val="22"/>
          <w:szCs w:val="22"/>
          <w:lang w:val="en-GB"/>
        </w:rPr>
        <w:t xml:space="preserve"> &amp; Williams, 2006; Office for National Statistics, 2021). Mental health disparities are pronounced, with ethnic minorities less likely to access psychological support and more likely to be misdiagnosed (</w:t>
      </w:r>
      <w:r w:rsidRPr="167DB4A6" w:rsidR="0208EF9E">
        <w:rPr>
          <w:rFonts w:ascii="Arial" w:hAnsi="Arial" w:eastAsia="Arial" w:cs="Arial"/>
          <w:noProof w:val="0"/>
          <w:color w:val="000000" w:themeColor="text1" w:themeTint="FF" w:themeShade="FF"/>
          <w:sz w:val="22"/>
          <w:szCs w:val="22"/>
          <w:lang w:val="en-GB"/>
        </w:rPr>
        <w:t>Bhui</w:t>
      </w:r>
      <w:r w:rsidRPr="167DB4A6" w:rsidR="0208EF9E">
        <w:rPr>
          <w:rFonts w:ascii="Arial" w:hAnsi="Arial" w:eastAsia="Arial" w:cs="Arial"/>
          <w:noProof w:val="0"/>
          <w:color w:val="000000" w:themeColor="text1" w:themeTint="FF" w:themeShade="FF"/>
          <w:sz w:val="22"/>
          <w:szCs w:val="22"/>
          <w:lang w:val="en-GB"/>
        </w:rPr>
        <w:t xml:space="preserve">, Halvorsrud &amp; </w:t>
      </w:r>
      <w:r w:rsidRPr="167DB4A6" w:rsidR="0208EF9E">
        <w:rPr>
          <w:rFonts w:ascii="Arial" w:hAnsi="Arial" w:eastAsia="Arial" w:cs="Arial"/>
          <w:noProof w:val="0"/>
          <w:color w:val="000000" w:themeColor="text1" w:themeTint="FF" w:themeShade="FF"/>
          <w:sz w:val="22"/>
          <w:szCs w:val="22"/>
          <w:lang w:val="en-GB"/>
        </w:rPr>
        <w:t>Nazroo</w:t>
      </w:r>
      <w:r w:rsidRPr="167DB4A6" w:rsidR="0208EF9E">
        <w:rPr>
          <w:rFonts w:ascii="Arial" w:hAnsi="Arial" w:eastAsia="Arial" w:cs="Arial"/>
          <w:noProof w:val="0"/>
          <w:color w:val="000000" w:themeColor="text1" w:themeTint="FF" w:themeShade="FF"/>
          <w:sz w:val="22"/>
          <w:szCs w:val="22"/>
          <w:lang w:val="en-GB"/>
        </w:rPr>
        <w:t>, 2018).</w:t>
      </w:r>
    </w:p>
    <w:p w:rsidR="12234F61" w:rsidP="167DB4A6" w:rsidRDefault="12234F61" w14:paraId="6D4352EB" w14:textId="43AA4346">
      <w:pPr>
        <w:keepNext w:val="0"/>
        <w:keepLines w:val="0"/>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0208EF9E">
        <w:rPr>
          <w:rFonts w:ascii="Arial" w:hAnsi="Arial" w:eastAsia="Arial" w:cs="Arial"/>
          <w:noProof w:val="0"/>
          <w:color w:val="000000" w:themeColor="text1" w:themeTint="FF" w:themeShade="FF"/>
          <w:sz w:val="22"/>
          <w:szCs w:val="22"/>
          <w:lang w:val="en-GB"/>
        </w:rPr>
        <w:t>This report analyses inequalities in cardiovascular disease, type 2 diabetes, and mental health disorders, explores three key social determinants, and evaluates national strategies and organisational interventions aimed at promoting equity.</w:t>
      </w:r>
    </w:p>
    <w:p w:rsidR="12234F61" w:rsidP="167DB4A6" w:rsidRDefault="12234F61" w14:paraId="1417DEB9" w14:textId="0EA9DB8D">
      <w:pPr>
        <w:pStyle w:val="Heading3"/>
        <w:keepNext w:val="0"/>
        <w:keepLines w:val="0"/>
        <w:spacing w:before="281" w:beforeAutospacing="off" w:after="281" w:afterAutospacing="off" w:line="360" w:lineRule="auto"/>
        <w:ind/>
        <w:jc w:val="center"/>
        <w:rPr>
          <w:rFonts w:ascii="Arial" w:hAnsi="Arial" w:eastAsia="Arial" w:cs="Arial"/>
          <w:b w:val="1"/>
          <w:bCs w:val="1"/>
          <w:noProof w:val="0"/>
          <w:color w:val="000000" w:themeColor="text1" w:themeTint="FF" w:themeShade="FF"/>
          <w:sz w:val="22"/>
          <w:szCs w:val="22"/>
          <w:u w:val="single"/>
          <w:lang w:val="en-GB"/>
        </w:rPr>
      </w:pPr>
      <w:r w:rsidRPr="167DB4A6" w:rsidR="76D7A80E">
        <w:rPr>
          <w:rFonts w:ascii="Arial" w:hAnsi="Arial" w:eastAsia="Arial" w:cs="Arial"/>
          <w:b w:val="1"/>
          <w:bCs w:val="1"/>
          <w:noProof w:val="0"/>
          <w:color w:val="000000" w:themeColor="text1" w:themeTint="FF" w:themeShade="FF"/>
          <w:sz w:val="22"/>
          <w:szCs w:val="22"/>
          <w:u w:val="single"/>
          <w:lang w:val="en-GB"/>
        </w:rPr>
        <w:t>Disease and Illness Contextual Background and Contributing Factors</w:t>
      </w:r>
    </w:p>
    <w:p w:rsidR="12234F61" w:rsidP="167DB4A6" w:rsidRDefault="12234F61" w14:paraId="10B0B5E5" w14:textId="25652A37">
      <w:pPr>
        <w:keepNext w:val="0"/>
        <w:keepLines w:val="0"/>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76D7A80E">
        <w:rPr>
          <w:rFonts w:ascii="Arial" w:hAnsi="Arial" w:eastAsia="Arial" w:cs="Arial"/>
          <w:b w:val="1"/>
          <w:bCs w:val="1"/>
          <w:noProof w:val="0"/>
          <w:sz w:val="22"/>
          <w:szCs w:val="22"/>
          <w:lang w:val="en-GB"/>
        </w:rPr>
        <w:t>Disease 1: Cardiovascular Disease</w:t>
      </w:r>
    </w:p>
    <w:p w:rsidR="12234F61" w:rsidP="167DB4A6" w:rsidRDefault="12234F61" w14:paraId="35F2E90A" w14:textId="48E33D09">
      <w:pPr>
        <w:keepNext w:val="0"/>
        <w:keepLines w:val="0"/>
        <w:spacing w:before="240" w:beforeAutospacing="off" w:after="240" w:afterAutospacing="off" w:line="360" w:lineRule="auto"/>
        <w:ind/>
        <w:jc w:val="both"/>
        <w:rPr>
          <w:rFonts w:ascii="Arial" w:hAnsi="Arial" w:eastAsia="Arial" w:cs="Arial"/>
          <w:noProof w:val="0"/>
          <w:sz w:val="22"/>
          <w:szCs w:val="22"/>
          <w:lang w:val="en-GB"/>
        </w:rPr>
      </w:pPr>
      <w:r w:rsidRPr="167DB4A6" w:rsidR="76D7A80E">
        <w:rPr>
          <w:rFonts w:ascii="Arial" w:hAnsi="Arial" w:eastAsia="Arial" w:cs="Arial"/>
          <w:noProof w:val="0"/>
          <w:sz w:val="22"/>
          <w:szCs w:val="22"/>
          <w:lang w:val="en-GB"/>
        </w:rPr>
        <w:t xml:space="preserve">Cardiovascular disease (CVD), including coronary heart disease and stroke, disproportionately affects South Asian and Black African/Caribbean populations in the UK (Agyemang &amp; van den Born, 2022; The King’s Fund, 2023). South Asians have a significantly higher risk of coronary heart disease, </w:t>
      </w:r>
      <w:r w:rsidRPr="167DB4A6" w:rsidR="76D7A80E">
        <w:rPr>
          <w:rFonts w:ascii="Arial" w:hAnsi="Arial" w:eastAsia="Arial" w:cs="Arial"/>
          <w:noProof w:val="0"/>
          <w:sz w:val="22"/>
          <w:szCs w:val="22"/>
          <w:lang w:val="en-GB"/>
        </w:rPr>
        <w:t>largely due to</w:t>
      </w:r>
      <w:r w:rsidRPr="167DB4A6" w:rsidR="76D7A80E">
        <w:rPr>
          <w:rFonts w:ascii="Arial" w:hAnsi="Arial" w:eastAsia="Arial" w:cs="Arial"/>
          <w:noProof w:val="0"/>
          <w:sz w:val="22"/>
          <w:szCs w:val="22"/>
          <w:lang w:val="en-GB"/>
        </w:rPr>
        <w:t xml:space="preserve"> genetic predisposition, insulin resistance, and cultural dietary practices (Sattar &amp; Gill, 2015; </w:t>
      </w:r>
      <w:r w:rsidRPr="167DB4A6" w:rsidR="76D7A80E">
        <w:rPr>
          <w:rFonts w:ascii="Arial" w:hAnsi="Arial" w:eastAsia="Arial" w:cs="Arial"/>
          <w:noProof w:val="0"/>
          <w:sz w:val="22"/>
          <w:szCs w:val="22"/>
          <w:lang w:val="en-GB"/>
        </w:rPr>
        <w:t>Forouhi</w:t>
      </w:r>
      <w:r w:rsidRPr="167DB4A6" w:rsidR="76D7A80E">
        <w:rPr>
          <w:rFonts w:ascii="Arial" w:hAnsi="Arial" w:eastAsia="Arial" w:cs="Arial"/>
          <w:noProof w:val="0"/>
          <w:sz w:val="22"/>
          <w:szCs w:val="22"/>
          <w:lang w:val="en-GB"/>
        </w:rPr>
        <w:t xml:space="preserve"> et al., 2018). Socioeconomic factors, including low income, poor housing, and limited education, contribute to hypertension and obesity, increasing CVD risk (Bambra, 2020; </w:t>
      </w:r>
      <w:r w:rsidRPr="167DB4A6" w:rsidR="76D7A80E">
        <w:rPr>
          <w:rFonts w:ascii="Arial" w:hAnsi="Arial" w:eastAsia="Arial" w:cs="Arial"/>
          <w:noProof w:val="0"/>
          <w:sz w:val="22"/>
          <w:szCs w:val="22"/>
          <w:lang w:val="en-GB"/>
        </w:rPr>
        <w:t>Nazroo</w:t>
      </w:r>
      <w:r w:rsidRPr="167DB4A6" w:rsidR="76D7A80E">
        <w:rPr>
          <w:rFonts w:ascii="Arial" w:hAnsi="Arial" w:eastAsia="Arial" w:cs="Arial"/>
          <w:noProof w:val="0"/>
          <w:sz w:val="22"/>
          <w:szCs w:val="22"/>
          <w:lang w:val="en-GB"/>
        </w:rPr>
        <w:t xml:space="preserve"> &amp; Williams, 2006). Structural barriers, such as institutional racism, language difficulties, and unequal access to healthcare services, delay diagnosis and worsen outcomes (BMC Public Health, 2021; ONS, 2021). Public health initiatives have introduced culturally </w:t>
      </w:r>
      <w:r w:rsidRPr="167DB4A6" w:rsidR="76D7A80E">
        <w:rPr>
          <w:rFonts w:ascii="Arial" w:hAnsi="Arial" w:eastAsia="Arial" w:cs="Arial"/>
          <w:noProof w:val="0"/>
          <w:sz w:val="22"/>
          <w:szCs w:val="22"/>
          <w:lang w:val="en-GB"/>
        </w:rPr>
        <w:t>appropriate interventions</w:t>
      </w:r>
      <w:r w:rsidRPr="167DB4A6" w:rsidR="76D7A80E">
        <w:rPr>
          <w:rFonts w:ascii="Arial" w:hAnsi="Arial" w:eastAsia="Arial" w:cs="Arial"/>
          <w:noProof w:val="0"/>
          <w:sz w:val="22"/>
          <w:szCs w:val="22"/>
          <w:lang w:val="en-GB"/>
        </w:rPr>
        <w:t xml:space="preserve">, community health checks, and targeted awareness campaigns, yet disparities persist, </w:t>
      </w:r>
      <w:r w:rsidRPr="167DB4A6" w:rsidR="76D7A80E">
        <w:rPr>
          <w:rFonts w:ascii="Arial" w:hAnsi="Arial" w:eastAsia="Arial" w:cs="Arial"/>
          <w:noProof w:val="0"/>
          <w:sz w:val="22"/>
          <w:szCs w:val="22"/>
          <w:lang w:val="en-GB"/>
        </w:rPr>
        <w:t>indicating</w:t>
      </w:r>
      <w:r w:rsidRPr="167DB4A6" w:rsidR="76D7A80E">
        <w:rPr>
          <w:rFonts w:ascii="Arial" w:hAnsi="Arial" w:eastAsia="Arial" w:cs="Arial"/>
          <w:noProof w:val="0"/>
          <w:sz w:val="22"/>
          <w:szCs w:val="22"/>
          <w:lang w:val="en-GB"/>
        </w:rPr>
        <w:t xml:space="preserve"> the need for integrated strategies addressing both biological and social determinants (The King’s Fund, 2023).</w:t>
      </w:r>
    </w:p>
    <w:p w:rsidR="12234F61" w:rsidP="167DB4A6" w:rsidRDefault="12234F61" w14:paraId="060A6CFB" w14:textId="79D2CA36">
      <w:pPr>
        <w:keepNext w:val="0"/>
        <w:keepLines w:val="0"/>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76D7A80E">
        <w:rPr>
          <w:rFonts w:ascii="Arial" w:hAnsi="Arial" w:eastAsia="Arial" w:cs="Arial"/>
          <w:b w:val="1"/>
          <w:bCs w:val="1"/>
          <w:noProof w:val="0"/>
          <w:sz w:val="22"/>
          <w:szCs w:val="22"/>
          <w:lang w:val="en-GB"/>
        </w:rPr>
        <w:t>Disease 2: Type 2 Diabetes</w:t>
      </w:r>
    </w:p>
    <w:p w:rsidR="12234F61" w:rsidP="167DB4A6" w:rsidRDefault="12234F61" w14:paraId="424D8B3F" w14:textId="21D2DE95">
      <w:pPr>
        <w:keepNext w:val="0"/>
        <w:keepLines w:val="0"/>
        <w:spacing w:before="240" w:beforeAutospacing="off" w:after="240" w:afterAutospacing="off" w:line="360" w:lineRule="auto"/>
        <w:ind/>
        <w:jc w:val="both"/>
        <w:rPr>
          <w:rFonts w:ascii="Arial" w:hAnsi="Arial" w:eastAsia="Arial" w:cs="Arial"/>
          <w:noProof w:val="0"/>
          <w:sz w:val="22"/>
          <w:szCs w:val="22"/>
          <w:lang w:val="en-GB"/>
        </w:rPr>
      </w:pPr>
      <w:r w:rsidRPr="167DB4A6" w:rsidR="76D7A80E">
        <w:rPr>
          <w:rFonts w:ascii="Arial" w:hAnsi="Arial" w:eastAsia="Arial" w:cs="Arial"/>
          <w:noProof w:val="0"/>
          <w:sz w:val="22"/>
          <w:szCs w:val="22"/>
          <w:lang w:val="en-GB"/>
        </w:rPr>
        <w:t xml:space="preserve">Type 2 diabetes (T2D) is more prevalent among South Asian, Black African, and Caribbean populations compared to White groups in the UK (Public Health England, 2020; </w:t>
      </w:r>
      <w:r w:rsidRPr="167DB4A6" w:rsidR="76D7A80E">
        <w:rPr>
          <w:rFonts w:ascii="Arial" w:hAnsi="Arial" w:eastAsia="Arial" w:cs="Arial"/>
          <w:noProof w:val="0"/>
          <w:sz w:val="22"/>
          <w:szCs w:val="22"/>
          <w:lang w:val="en-GB"/>
        </w:rPr>
        <w:t>Gov.Scot</w:t>
      </w:r>
      <w:r w:rsidRPr="167DB4A6" w:rsidR="76D7A80E">
        <w:rPr>
          <w:rFonts w:ascii="Arial" w:hAnsi="Arial" w:eastAsia="Arial" w:cs="Arial"/>
          <w:noProof w:val="0"/>
          <w:sz w:val="22"/>
          <w:szCs w:val="22"/>
          <w:lang w:val="en-GB"/>
        </w:rPr>
        <w:t>, 2021). South Asians are up to six times more likely to develop T2D, often at a younger age and lower body mass index (BMI) (</w:t>
      </w:r>
      <w:r w:rsidRPr="167DB4A6" w:rsidR="76D7A80E">
        <w:rPr>
          <w:rFonts w:ascii="Arial" w:hAnsi="Arial" w:eastAsia="Arial" w:cs="Arial"/>
          <w:noProof w:val="0"/>
          <w:sz w:val="22"/>
          <w:szCs w:val="22"/>
          <w:lang w:val="en-GB"/>
        </w:rPr>
        <w:t>Forouhi</w:t>
      </w:r>
      <w:r w:rsidRPr="167DB4A6" w:rsidR="76D7A80E">
        <w:rPr>
          <w:rFonts w:ascii="Arial" w:hAnsi="Arial" w:eastAsia="Arial" w:cs="Arial"/>
          <w:noProof w:val="0"/>
          <w:sz w:val="22"/>
          <w:szCs w:val="22"/>
          <w:lang w:val="en-GB"/>
        </w:rPr>
        <w:t xml:space="preserve"> et al., 2018; </w:t>
      </w:r>
      <w:r w:rsidRPr="167DB4A6" w:rsidR="76D7A80E">
        <w:rPr>
          <w:rFonts w:ascii="Arial" w:hAnsi="Arial" w:eastAsia="Arial" w:cs="Arial"/>
          <w:noProof w:val="0"/>
          <w:sz w:val="22"/>
          <w:szCs w:val="22"/>
          <w:lang w:val="en-GB"/>
        </w:rPr>
        <w:t>Khunti</w:t>
      </w:r>
      <w:r w:rsidRPr="167DB4A6" w:rsidR="76D7A80E">
        <w:rPr>
          <w:rFonts w:ascii="Arial" w:hAnsi="Arial" w:eastAsia="Arial" w:cs="Arial"/>
          <w:noProof w:val="0"/>
          <w:sz w:val="22"/>
          <w:szCs w:val="22"/>
          <w:lang w:val="en-GB"/>
        </w:rPr>
        <w:t xml:space="preserve"> et al., 2023). Genetic susceptibility, coupled with central adiposity and sedentary lifestyles, heightens risk (Sattar &amp; Gill, 2015). Social determinants</w:t>
      </w:r>
      <w:r w:rsidRPr="167DB4A6" w:rsidR="7DC69DC6">
        <w:rPr>
          <w:rFonts w:ascii="Arial" w:hAnsi="Arial" w:eastAsia="Arial" w:cs="Arial"/>
          <w:noProof w:val="0"/>
          <w:sz w:val="22"/>
          <w:szCs w:val="22"/>
          <w:lang w:val="en-GB"/>
        </w:rPr>
        <w:t xml:space="preserve"> </w:t>
      </w:r>
      <w:r w:rsidRPr="167DB4A6" w:rsidR="76D7A80E">
        <w:rPr>
          <w:rFonts w:ascii="Arial" w:hAnsi="Arial" w:eastAsia="Arial" w:cs="Arial"/>
          <w:noProof w:val="0"/>
          <w:sz w:val="22"/>
          <w:szCs w:val="22"/>
          <w:lang w:val="en-GB"/>
        </w:rPr>
        <w:t>such as lower income, restricted access to nutritious foods, and limited engagement with healthcare</w:t>
      </w:r>
      <w:r w:rsidRPr="167DB4A6" w:rsidR="5A8319BD">
        <w:rPr>
          <w:rFonts w:ascii="Arial" w:hAnsi="Arial" w:eastAsia="Arial" w:cs="Arial"/>
          <w:noProof w:val="0"/>
          <w:sz w:val="22"/>
          <w:szCs w:val="22"/>
          <w:lang w:val="en-GB"/>
        </w:rPr>
        <w:t xml:space="preserve"> </w:t>
      </w:r>
      <w:r w:rsidRPr="167DB4A6" w:rsidR="76D7A80E">
        <w:rPr>
          <w:rFonts w:ascii="Arial" w:hAnsi="Arial" w:eastAsia="Arial" w:cs="Arial"/>
          <w:noProof w:val="0"/>
          <w:sz w:val="22"/>
          <w:szCs w:val="22"/>
          <w:lang w:val="en-GB"/>
        </w:rPr>
        <w:t xml:space="preserve">further </w:t>
      </w:r>
      <w:r w:rsidRPr="167DB4A6" w:rsidR="76D7A80E">
        <w:rPr>
          <w:rFonts w:ascii="Arial" w:hAnsi="Arial" w:eastAsia="Arial" w:cs="Arial"/>
          <w:noProof w:val="0"/>
          <w:sz w:val="22"/>
          <w:szCs w:val="22"/>
          <w:lang w:val="en-GB"/>
        </w:rPr>
        <w:t>exacerbate</w:t>
      </w:r>
      <w:r w:rsidRPr="167DB4A6" w:rsidR="76D7A80E">
        <w:rPr>
          <w:rFonts w:ascii="Arial" w:hAnsi="Arial" w:eastAsia="Arial" w:cs="Arial"/>
          <w:noProof w:val="0"/>
          <w:sz w:val="22"/>
          <w:szCs w:val="22"/>
          <w:lang w:val="en-GB"/>
        </w:rPr>
        <w:t xml:space="preserve"> outcomes (Bambra, 2020). Black African and Caribbean groups also experience higher rates of complications, including retinopathy and kidney disease, partly due to delayed diagnosis and culturally inappropriate care (</w:t>
      </w:r>
      <w:r w:rsidRPr="167DB4A6" w:rsidR="76D7A80E">
        <w:rPr>
          <w:rFonts w:ascii="Arial" w:hAnsi="Arial" w:eastAsia="Arial" w:cs="Arial"/>
          <w:noProof w:val="0"/>
          <w:sz w:val="22"/>
          <w:szCs w:val="22"/>
          <w:lang w:val="en-GB"/>
        </w:rPr>
        <w:t>Nazroo</w:t>
      </w:r>
      <w:r w:rsidRPr="167DB4A6" w:rsidR="76D7A80E">
        <w:rPr>
          <w:rFonts w:ascii="Arial" w:hAnsi="Arial" w:eastAsia="Arial" w:cs="Arial"/>
          <w:noProof w:val="0"/>
          <w:sz w:val="22"/>
          <w:szCs w:val="22"/>
          <w:lang w:val="en-GB"/>
        </w:rPr>
        <w:t xml:space="preserve"> &amp; Williams, 2006; BMC Public Health, 2021). Although public health strategies have introduced culturally adapted lifestyle programmes and community screening, persistent inequalities highlight the need for policy-driven, community-centred approaches to improve engagement and self-management (</w:t>
      </w:r>
      <w:r w:rsidRPr="167DB4A6" w:rsidR="76D7A80E">
        <w:rPr>
          <w:rFonts w:ascii="Arial" w:hAnsi="Arial" w:eastAsia="Arial" w:cs="Arial"/>
          <w:noProof w:val="0"/>
          <w:sz w:val="22"/>
          <w:szCs w:val="22"/>
          <w:lang w:val="en-GB"/>
        </w:rPr>
        <w:t>Khunti</w:t>
      </w:r>
      <w:r w:rsidRPr="167DB4A6" w:rsidR="76D7A80E">
        <w:rPr>
          <w:rFonts w:ascii="Arial" w:hAnsi="Arial" w:eastAsia="Arial" w:cs="Arial"/>
          <w:noProof w:val="0"/>
          <w:sz w:val="22"/>
          <w:szCs w:val="22"/>
          <w:lang w:val="en-GB"/>
        </w:rPr>
        <w:t xml:space="preserve"> et al., 2023).</w:t>
      </w:r>
    </w:p>
    <w:p w:rsidR="12234F61" w:rsidP="167DB4A6" w:rsidRDefault="12234F61" w14:paraId="44DB5A7F" w14:textId="2E0324AA">
      <w:pPr>
        <w:keepNext w:val="0"/>
        <w:keepLines w:val="0"/>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76D7A80E">
        <w:rPr>
          <w:rFonts w:ascii="Arial" w:hAnsi="Arial" w:eastAsia="Arial" w:cs="Arial"/>
          <w:b w:val="1"/>
          <w:bCs w:val="1"/>
          <w:noProof w:val="0"/>
          <w:sz w:val="22"/>
          <w:szCs w:val="22"/>
          <w:lang w:val="en-GB"/>
        </w:rPr>
        <w:t>Disease 3: Mental Health Disorders</w:t>
      </w:r>
    </w:p>
    <w:p w:rsidR="12234F61" w:rsidP="167DB4A6" w:rsidRDefault="12234F61" w14:paraId="4AE75432" w14:textId="278A0011">
      <w:pPr>
        <w:keepNext w:val="0"/>
        <w:keepLines w:val="0"/>
        <w:spacing w:before="240" w:beforeAutospacing="off" w:after="240" w:afterAutospacing="off" w:line="360" w:lineRule="auto"/>
        <w:ind/>
        <w:jc w:val="both"/>
        <w:rPr>
          <w:rFonts w:ascii="Arial" w:hAnsi="Arial" w:eastAsia="Arial" w:cs="Arial"/>
          <w:noProof w:val="0"/>
          <w:sz w:val="22"/>
          <w:szCs w:val="22"/>
          <w:lang w:val="en-GB"/>
        </w:rPr>
      </w:pPr>
      <w:r w:rsidRPr="167DB4A6" w:rsidR="76D7A80E">
        <w:rPr>
          <w:rFonts w:ascii="Arial" w:hAnsi="Arial" w:eastAsia="Arial" w:cs="Arial"/>
          <w:noProof w:val="0"/>
          <w:sz w:val="22"/>
          <w:szCs w:val="22"/>
          <w:lang w:val="en-GB"/>
        </w:rPr>
        <w:t>Mental health disorders, such as depression, anxiety, and psychosis, are disproportionately higher among ethnic minority groups. Black African and Caribbean populations are more likely to be diagnosed with severe mental illness, including schizophrenia, compared to their White counterparts (</w:t>
      </w:r>
      <w:r w:rsidRPr="167DB4A6" w:rsidR="76D7A80E">
        <w:rPr>
          <w:rFonts w:ascii="Arial" w:hAnsi="Arial" w:eastAsia="Arial" w:cs="Arial"/>
          <w:noProof w:val="0"/>
          <w:sz w:val="22"/>
          <w:szCs w:val="22"/>
          <w:lang w:val="en-GB"/>
        </w:rPr>
        <w:t>Bhui</w:t>
      </w:r>
      <w:r w:rsidRPr="167DB4A6" w:rsidR="76D7A80E">
        <w:rPr>
          <w:rFonts w:ascii="Arial" w:hAnsi="Arial" w:eastAsia="Arial" w:cs="Arial"/>
          <w:noProof w:val="0"/>
          <w:sz w:val="22"/>
          <w:szCs w:val="22"/>
          <w:lang w:val="en-GB"/>
        </w:rPr>
        <w:t xml:space="preserve">, Halvorsrud &amp; </w:t>
      </w:r>
      <w:r w:rsidRPr="167DB4A6" w:rsidR="76D7A80E">
        <w:rPr>
          <w:rFonts w:ascii="Arial" w:hAnsi="Arial" w:eastAsia="Arial" w:cs="Arial"/>
          <w:noProof w:val="0"/>
          <w:sz w:val="22"/>
          <w:szCs w:val="22"/>
          <w:lang w:val="en-GB"/>
        </w:rPr>
        <w:t>Nazroo</w:t>
      </w:r>
      <w:r w:rsidRPr="167DB4A6" w:rsidR="76D7A80E">
        <w:rPr>
          <w:rFonts w:ascii="Arial" w:hAnsi="Arial" w:eastAsia="Arial" w:cs="Arial"/>
          <w:noProof w:val="0"/>
          <w:sz w:val="22"/>
          <w:szCs w:val="22"/>
          <w:lang w:val="en-GB"/>
        </w:rPr>
        <w:t xml:space="preserve">, 2018; </w:t>
      </w:r>
      <w:r w:rsidRPr="167DB4A6" w:rsidR="76D7A80E">
        <w:rPr>
          <w:rFonts w:ascii="Arial" w:hAnsi="Arial" w:eastAsia="Arial" w:cs="Arial"/>
          <w:noProof w:val="0"/>
          <w:sz w:val="22"/>
          <w:szCs w:val="22"/>
          <w:lang w:val="en-GB"/>
        </w:rPr>
        <w:t>Nazroo</w:t>
      </w:r>
      <w:r w:rsidRPr="167DB4A6" w:rsidR="76D7A80E">
        <w:rPr>
          <w:rFonts w:ascii="Arial" w:hAnsi="Arial" w:eastAsia="Arial" w:cs="Arial"/>
          <w:noProof w:val="0"/>
          <w:sz w:val="22"/>
          <w:szCs w:val="22"/>
          <w:lang w:val="en-GB"/>
        </w:rPr>
        <w:t>, 2017). South Asians show increased rates of depression and anxiety, often linked to socioeconomic disadvantage, social isolation, and migration-related stress (</w:t>
      </w:r>
      <w:r w:rsidRPr="167DB4A6" w:rsidR="76D7A80E">
        <w:rPr>
          <w:rFonts w:ascii="Arial" w:hAnsi="Arial" w:eastAsia="Arial" w:cs="Arial"/>
          <w:noProof w:val="0"/>
          <w:sz w:val="22"/>
          <w:szCs w:val="22"/>
          <w:lang w:val="en-GB"/>
        </w:rPr>
        <w:t>Bhui</w:t>
      </w:r>
      <w:r w:rsidRPr="167DB4A6" w:rsidR="76D7A80E">
        <w:rPr>
          <w:rFonts w:ascii="Arial" w:hAnsi="Arial" w:eastAsia="Arial" w:cs="Arial"/>
          <w:noProof w:val="0"/>
          <w:sz w:val="22"/>
          <w:szCs w:val="22"/>
          <w:lang w:val="en-GB"/>
        </w:rPr>
        <w:t xml:space="preserve"> et al., 2018; The King’s Fund, 2023). Social and structural inequalities</w:t>
      </w:r>
      <w:r w:rsidRPr="167DB4A6" w:rsidR="295D0508">
        <w:rPr>
          <w:rFonts w:ascii="Arial" w:hAnsi="Arial" w:eastAsia="Arial" w:cs="Arial"/>
          <w:noProof w:val="0"/>
          <w:sz w:val="22"/>
          <w:szCs w:val="22"/>
          <w:lang w:val="en-GB"/>
        </w:rPr>
        <w:t xml:space="preserve"> </w:t>
      </w:r>
      <w:r w:rsidRPr="167DB4A6" w:rsidR="76D7A80E">
        <w:rPr>
          <w:rFonts w:ascii="Arial" w:hAnsi="Arial" w:eastAsia="Arial" w:cs="Arial"/>
          <w:noProof w:val="0"/>
          <w:sz w:val="22"/>
          <w:szCs w:val="22"/>
          <w:lang w:val="en-GB"/>
        </w:rPr>
        <w:t>such as racial discrimination, stigma, and lack of culturally competent services</w:t>
      </w:r>
      <w:r w:rsidRPr="167DB4A6" w:rsidR="7C17D6B4">
        <w:rPr>
          <w:rFonts w:ascii="Arial" w:hAnsi="Arial" w:eastAsia="Arial" w:cs="Arial"/>
          <w:noProof w:val="0"/>
          <w:sz w:val="22"/>
          <w:szCs w:val="22"/>
          <w:lang w:val="en-GB"/>
        </w:rPr>
        <w:t xml:space="preserve"> </w:t>
      </w:r>
      <w:r w:rsidRPr="167DB4A6" w:rsidR="76D7A80E">
        <w:rPr>
          <w:rFonts w:ascii="Arial" w:hAnsi="Arial" w:eastAsia="Arial" w:cs="Arial"/>
          <w:noProof w:val="0"/>
          <w:sz w:val="22"/>
          <w:szCs w:val="22"/>
          <w:lang w:val="en-GB"/>
        </w:rPr>
        <w:t>further restrict access to early support (Bambra, 2020; ONS, 2021). Cultural stigma within communities often prevents individuals from seeking help, while language barriers and a shortage of culturally aware practitioners reduce treatment effectiveness (</w:t>
      </w:r>
      <w:r w:rsidRPr="167DB4A6" w:rsidR="76D7A80E">
        <w:rPr>
          <w:rFonts w:ascii="Arial" w:hAnsi="Arial" w:eastAsia="Arial" w:cs="Arial"/>
          <w:noProof w:val="0"/>
          <w:sz w:val="22"/>
          <w:szCs w:val="22"/>
          <w:lang w:val="en-GB"/>
        </w:rPr>
        <w:t>Nazroo</w:t>
      </w:r>
      <w:r w:rsidRPr="167DB4A6" w:rsidR="76D7A80E">
        <w:rPr>
          <w:rFonts w:ascii="Arial" w:hAnsi="Arial" w:eastAsia="Arial" w:cs="Arial"/>
          <w:noProof w:val="0"/>
          <w:sz w:val="22"/>
          <w:szCs w:val="22"/>
          <w:lang w:val="en-GB"/>
        </w:rPr>
        <w:t xml:space="preserve"> &amp; Williams, 2006; Public Health England, 2020). Current approaches emphasise culturally adapted outreach, inclusive mental health training, and policy-level reforms; however, service inequalities </w:t>
      </w:r>
      <w:r w:rsidRPr="167DB4A6" w:rsidR="76D7A80E">
        <w:rPr>
          <w:rFonts w:ascii="Arial" w:hAnsi="Arial" w:eastAsia="Arial" w:cs="Arial"/>
          <w:noProof w:val="0"/>
          <w:sz w:val="22"/>
          <w:szCs w:val="22"/>
          <w:lang w:val="en-GB"/>
        </w:rPr>
        <w:t>remain</w:t>
      </w:r>
      <w:r w:rsidRPr="167DB4A6" w:rsidR="76D7A80E">
        <w:rPr>
          <w:rFonts w:ascii="Arial" w:hAnsi="Arial" w:eastAsia="Arial" w:cs="Arial"/>
          <w:noProof w:val="0"/>
          <w:sz w:val="22"/>
          <w:szCs w:val="22"/>
          <w:lang w:val="en-GB"/>
        </w:rPr>
        <w:t>, requiring systemic integration between community, clinical, and governmental initiatives (</w:t>
      </w:r>
      <w:r w:rsidRPr="167DB4A6" w:rsidR="76D7A80E">
        <w:rPr>
          <w:rFonts w:ascii="Arial" w:hAnsi="Arial" w:eastAsia="Arial" w:cs="Arial"/>
          <w:noProof w:val="0"/>
          <w:sz w:val="22"/>
          <w:szCs w:val="22"/>
          <w:lang w:val="en-GB"/>
        </w:rPr>
        <w:t>Bhui</w:t>
      </w:r>
      <w:r w:rsidRPr="167DB4A6" w:rsidR="76D7A80E">
        <w:rPr>
          <w:rFonts w:ascii="Arial" w:hAnsi="Arial" w:eastAsia="Arial" w:cs="Arial"/>
          <w:noProof w:val="0"/>
          <w:sz w:val="22"/>
          <w:szCs w:val="22"/>
          <w:lang w:val="en-GB"/>
        </w:rPr>
        <w:t xml:space="preserve"> et al., 2018; The King’s Fund, 2023).</w:t>
      </w:r>
    </w:p>
    <w:p w:rsidR="12234F61" w:rsidP="167DB4A6" w:rsidRDefault="12234F61" w14:paraId="269BC92A" w14:textId="0D13B552">
      <w:pPr>
        <w:pStyle w:val="Heading1"/>
        <w:keepNext w:val="0"/>
        <w:keepLines w:val="1"/>
        <w:spacing w:before="240" w:beforeAutospacing="off" w:after="240" w:afterAutospacing="off" w:line="360" w:lineRule="auto"/>
        <w:ind/>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86112993" w:id="744054654"/>
      <w:r w:rsidRPr="167DB4A6" w:rsidR="7F430DE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Social Issues</w:t>
      </w:r>
      <w:bookmarkEnd w:id="744054654"/>
    </w:p>
    <w:p w:rsidR="12234F61" w:rsidP="167DB4A6" w:rsidRDefault="12234F61" w14:paraId="51C3C696" w14:textId="27C98BBD">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534F14A6">
        <w:rPr>
          <w:rFonts w:ascii="Arial" w:hAnsi="Arial" w:eastAsia="Arial" w:cs="Arial"/>
          <w:b w:val="1"/>
          <w:bCs w:val="1"/>
          <w:noProof w:val="0"/>
          <w:sz w:val="22"/>
          <w:szCs w:val="22"/>
          <w:lang w:val="en-GB"/>
        </w:rPr>
        <w:t>Poverty and Low Income</w:t>
      </w:r>
    </w:p>
    <w:p w:rsidR="12234F61" w:rsidP="167DB4A6" w:rsidRDefault="12234F61" w14:paraId="632D229B" w14:textId="74AC274B">
      <w:pPr>
        <w:spacing w:before="240" w:beforeAutospacing="off" w:after="240" w:afterAutospacing="off" w:line="360" w:lineRule="auto"/>
        <w:ind/>
        <w:jc w:val="both"/>
        <w:rPr>
          <w:rFonts w:ascii="Arial" w:hAnsi="Arial" w:eastAsia="Arial" w:cs="Arial"/>
          <w:noProof w:val="0"/>
          <w:sz w:val="22"/>
          <w:szCs w:val="22"/>
          <w:lang w:val="en-GB"/>
        </w:rPr>
      </w:pPr>
      <w:r w:rsidRPr="167DB4A6" w:rsidR="534F14A6">
        <w:rPr>
          <w:rFonts w:ascii="Arial" w:hAnsi="Arial" w:eastAsia="Arial" w:cs="Arial"/>
          <w:noProof w:val="0"/>
          <w:sz w:val="22"/>
          <w:szCs w:val="22"/>
          <w:lang w:val="en-GB"/>
        </w:rPr>
        <w:t xml:space="preserve">Economic deprivation is a key driver of health inequalities among ethnic minority populations. Households from Black, Bangladeshi, and Pakistani backgrounds are more likely to experience income poverty, limiting access to nutritious food, stable housing, and healthcare, which increases the risk of chronic disease (ONS, 2021; Bambra, 2020). Low income interacts with other social determinants: poor environmental quality, limited access to green spaces, and high neighbourhood crime contribute to adverse health outcomes (Public Health England, 2020; </w:t>
      </w:r>
      <w:r w:rsidRPr="167DB4A6" w:rsidR="534F14A6">
        <w:rPr>
          <w:rFonts w:ascii="Arial" w:hAnsi="Arial" w:eastAsia="Arial" w:cs="Arial"/>
          <w:noProof w:val="0"/>
          <w:sz w:val="22"/>
          <w:szCs w:val="22"/>
          <w:lang w:val="en-GB"/>
        </w:rPr>
        <w:t>Nazroo</w:t>
      </w:r>
      <w:r w:rsidRPr="167DB4A6" w:rsidR="534F14A6">
        <w:rPr>
          <w:rFonts w:ascii="Arial" w:hAnsi="Arial" w:eastAsia="Arial" w:cs="Arial"/>
          <w:noProof w:val="0"/>
          <w:sz w:val="22"/>
          <w:szCs w:val="22"/>
          <w:lang w:val="en-GB"/>
        </w:rPr>
        <w:t>, 2017). While welfare support and community initiatives help mitigate some effects, persistent inequalities highlight the need for sustained, multi-sectoral strategies to improve health equity (The King’s Fund, 2023).</w:t>
      </w:r>
    </w:p>
    <w:p w:rsidR="12234F61" w:rsidP="167DB4A6" w:rsidRDefault="12234F61" w14:paraId="1C24A373" w14:textId="5D70C780">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534F14A6">
        <w:rPr>
          <w:rFonts w:ascii="Arial" w:hAnsi="Arial" w:eastAsia="Arial" w:cs="Arial"/>
          <w:b w:val="1"/>
          <w:bCs w:val="1"/>
          <w:noProof w:val="0"/>
          <w:sz w:val="22"/>
          <w:szCs w:val="22"/>
          <w:lang w:val="en-GB"/>
        </w:rPr>
        <w:t>Housing and Environmental Factors</w:t>
      </w:r>
    </w:p>
    <w:p w:rsidR="12234F61" w:rsidP="167DB4A6" w:rsidRDefault="12234F61" w14:paraId="3BD4CC51" w14:textId="130D2F91">
      <w:pPr>
        <w:spacing w:before="240" w:beforeAutospacing="off" w:after="240" w:afterAutospacing="off" w:line="360" w:lineRule="auto"/>
        <w:ind/>
        <w:jc w:val="both"/>
        <w:rPr>
          <w:rFonts w:ascii="Arial" w:hAnsi="Arial" w:eastAsia="Arial" w:cs="Arial"/>
          <w:noProof w:val="0"/>
          <w:sz w:val="22"/>
          <w:szCs w:val="22"/>
          <w:lang w:val="en-GB"/>
        </w:rPr>
      </w:pPr>
      <w:r w:rsidRPr="167DB4A6" w:rsidR="534F14A6">
        <w:rPr>
          <w:rFonts w:ascii="Arial" w:hAnsi="Arial" w:eastAsia="Arial" w:cs="Arial"/>
          <w:noProof w:val="0"/>
          <w:sz w:val="22"/>
          <w:szCs w:val="22"/>
          <w:lang w:val="en-GB"/>
        </w:rPr>
        <w:t xml:space="preserve">Substandard housing and neighbourhood deprivation </w:t>
      </w:r>
      <w:r w:rsidRPr="167DB4A6" w:rsidR="534F14A6">
        <w:rPr>
          <w:rFonts w:ascii="Arial" w:hAnsi="Arial" w:eastAsia="Arial" w:cs="Arial"/>
          <w:noProof w:val="0"/>
          <w:sz w:val="22"/>
          <w:szCs w:val="22"/>
          <w:lang w:val="en-GB"/>
        </w:rPr>
        <w:t>exacerbate</w:t>
      </w:r>
      <w:r w:rsidRPr="167DB4A6" w:rsidR="534F14A6">
        <w:rPr>
          <w:rFonts w:ascii="Arial" w:hAnsi="Arial" w:eastAsia="Arial" w:cs="Arial"/>
          <w:noProof w:val="0"/>
          <w:sz w:val="22"/>
          <w:szCs w:val="22"/>
          <w:lang w:val="en-GB"/>
        </w:rPr>
        <w:t xml:space="preserve"> health risks. Overcrowding, dampness, and inadequate heating are more prevalent among BAME households, increasing vulnerability to respiratory illnesses, infections, and stress-related mental health problems (ONS, 2021; Marmot, 2020). Limited access to healthcare facilities, poor transport links, and exposure to environmental pollutants further compound these disparities (</w:t>
      </w:r>
      <w:r w:rsidRPr="167DB4A6" w:rsidR="534F14A6">
        <w:rPr>
          <w:rFonts w:ascii="Arial" w:hAnsi="Arial" w:eastAsia="Arial" w:cs="Arial"/>
          <w:noProof w:val="0"/>
          <w:sz w:val="22"/>
          <w:szCs w:val="22"/>
          <w:lang w:val="en-GB"/>
        </w:rPr>
        <w:t>Nazroo</w:t>
      </w:r>
      <w:r w:rsidRPr="167DB4A6" w:rsidR="534F14A6">
        <w:rPr>
          <w:rFonts w:ascii="Arial" w:hAnsi="Arial" w:eastAsia="Arial" w:cs="Arial"/>
          <w:noProof w:val="0"/>
          <w:sz w:val="22"/>
          <w:szCs w:val="22"/>
          <w:lang w:val="en-GB"/>
        </w:rPr>
        <w:t xml:space="preserve">, 2017). Effective interventions include housing improvement schemes, urban regeneration projects, and </w:t>
      </w:r>
      <w:r w:rsidRPr="167DB4A6" w:rsidR="534F14A6">
        <w:rPr>
          <w:rFonts w:ascii="Arial" w:hAnsi="Arial" w:eastAsia="Arial" w:cs="Arial"/>
          <w:noProof w:val="0"/>
          <w:sz w:val="22"/>
          <w:szCs w:val="22"/>
          <w:lang w:val="en-GB"/>
        </w:rPr>
        <w:t>equitable</w:t>
      </w:r>
      <w:r w:rsidRPr="167DB4A6" w:rsidR="534F14A6">
        <w:rPr>
          <w:rFonts w:ascii="Arial" w:hAnsi="Arial" w:eastAsia="Arial" w:cs="Arial"/>
          <w:noProof w:val="0"/>
          <w:sz w:val="22"/>
          <w:szCs w:val="22"/>
          <w:lang w:val="en-GB"/>
        </w:rPr>
        <w:t xml:space="preserve"> allocation of local resources (Marmot, 2020).</w:t>
      </w:r>
    </w:p>
    <w:p w:rsidR="12234F61" w:rsidP="167DB4A6" w:rsidRDefault="12234F61" w14:paraId="685CE8C0" w14:textId="0F26B122">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534F14A6">
        <w:rPr>
          <w:rFonts w:ascii="Arial" w:hAnsi="Arial" w:eastAsia="Arial" w:cs="Arial"/>
          <w:b w:val="1"/>
          <w:bCs w:val="1"/>
          <w:noProof w:val="0"/>
          <w:sz w:val="22"/>
          <w:szCs w:val="22"/>
          <w:lang w:val="en-GB"/>
        </w:rPr>
        <w:t>Discrimination and Barriers to Healthcare Access</w:t>
      </w:r>
    </w:p>
    <w:p w:rsidR="12234F61" w:rsidP="167DB4A6" w:rsidRDefault="12234F61" w14:paraId="11843D94" w14:textId="1A24A4A0">
      <w:pPr>
        <w:spacing w:before="240" w:beforeAutospacing="off" w:after="240" w:afterAutospacing="off" w:line="360" w:lineRule="auto"/>
        <w:ind/>
        <w:jc w:val="both"/>
        <w:rPr>
          <w:rFonts w:ascii="Arial" w:hAnsi="Arial" w:eastAsia="Arial" w:cs="Arial"/>
          <w:noProof w:val="0"/>
          <w:sz w:val="22"/>
          <w:szCs w:val="22"/>
          <w:lang w:val="en-GB"/>
        </w:rPr>
      </w:pPr>
      <w:r w:rsidRPr="167DB4A6" w:rsidR="534F14A6">
        <w:rPr>
          <w:rFonts w:ascii="Arial" w:hAnsi="Arial" w:eastAsia="Arial" w:cs="Arial"/>
          <w:noProof w:val="0"/>
          <w:sz w:val="22"/>
          <w:szCs w:val="22"/>
          <w:lang w:val="en-GB"/>
        </w:rPr>
        <w:t>Structural and interpersonal discrimination restricts healthcare access and worsens outcomes. Ethnic minority patients experience delayed referrals, misdiagnosis, and lower patient satisfaction (</w:t>
      </w:r>
      <w:r w:rsidRPr="167DB4A6" w:rsidR="534F14A6">
        <w:rPr>
          <w:rFonts w:ascii="Arial" w:hAnsi="Arial" w:eastAsia="Arial" w:cs="Arial"/>
          <w:noProof w:val="0"/>
          <w:sz w:val="22"/>
          <w:szCs w:val="22"/>
          <w:lang w:val="en-GB"/>
        </w:rPr>
        <w:t>Bhui</w:t>
      </w:r>
      <w:r w:rsidRPr="167DB4A6" w:rsidR="534F14A6">
        <w:rPr>
          <w:rFonts w:ascii="Arial" w:hAnsi="Arial" w:eastAsia="Arial" w:cs="Arial"/>
          <w:noProof w:val="0"/>
          <w:sz w:val="22"/>
          <w:szCs w:val="22"/>
          <w:lang w:val="en-GB"/>
        </w:rPr>
        <w:t xml:space="preserve">, Halvorsrud &amp; </w:t>
      </w:r>
      <w:r w:rsidRPr="167DB4A6" w:rsidR="534F14A6">
        <w:rPr>
          <w:rFonts w:ascii="Arial" w:hAnsi="Arial" w:eastAsia="Arial" w:cs="Arial"/>
          <w:noProof w:val="0"/>
          <w:sz w:val="22"/>
          <w:szCs w:val="22"/>
          <w:lang w:val="en-GB"/>
        </w:rPr>
        <w:t>Nazroo</w:t>
      </w:r>
      <w:r w:rsidRPr="167DB4A6" w:rsidR="534F14A6">
        <w:rPr>
          <w:rFonts w:ascii="Arial" w:hAnsi="Arial" w:eastAsia="Arial" w:cs="Arial"/>
          <w:noProof w:val="0"/>
          <w:sz w:val="22"/>
          <w:szCs w:val="22"/>
          <w:lang w:val="en-GB"/>
        </w:rPr>
        <w:t xml:space="preserve">, 2018; </w:t>
      </w:r>
      <w:r w:rsidRPr="167DB4A6" w:rsidR="534F14A6">
        <w:rPr>
          <w:rFonts w:ascii="Arial" w:hAnsi="Arial" w:eastAsia="Arial" w:cs="Arial"/>
          <w:noProof w:val="0"/>
          <w:sz w:val="22"/>
          <w:szCs w:val="22"/>
          <w:lang w:val="en-GB"/>
        </w:rPr>
        <w:t>Nazroo</w:t>
      </w:r>
      <w:r w:rsidRPr="167DB4A6" w:rsidR="534F14A6">
        <w:rPr>
          <w:rFonts w:ascii="Arial" w:hAnsi="Arial" w:eastAsia="Arial" w:cs="Arial"/>
          <w:noProof w:val="0"/>
          <w:sz w:val="22"/>
          <w:szCs w:val="22"/>
          <w:lang w:val="en-GB"/>
        </w:rPr>
        <w:t>, 2017). Language barriers, low health literacy, and historical mistrust reduce engagement with health services (</w:t>
      </w:r>
      <w:r w:rsidRPr="167DB4A6" w:rsidR="534F14A6">
        <w:rPr>
          <w:rFonts w:ascii="Arial" w:hAnsi="Arial" w:eastAsia="Arial" w:cs="Arial"/>
          <w:noProof w:val="0"/>
          <w:sz w:val="22"/>
          <w:szCs w:val="22"/>
          <w:lang w:val="en-GB"/>
        </w:rPr>
        <w:t>Nazroo</w:t>
      </w:r>
      <w:r w:rsidRPr="167DB4A6" w:rsidR="534F14A6">
        <w:rPr>
          <w:rFonts w:ascii="Arial" w:hAnsi="Arial" w:eastAsia="Arial" w:cs="Arial"/>
          <w:noProof w:val="0"/>
          <w:sz w:val="22"/>
          <w:szCs w:val="22"/>
          <w:lang w:val="en-GB"/>
        </w:rPr>
        <w:t xml:space="preserve"> &amp; Williams, 2006; The King’s Fund, 2023). Interventions such as culturally tailored public health campaigns, interpreter services, and staff training in cultural competence are in place, but systemic reforms </w:t>
      </w:r>
      <w:r w:rsidRPr="167DB4A6" w:rsidR="534F14A6">
        <w:rPr>
          <w:rFonts w:ascii="Arial" w:hAnsi="Arial" w:eastAsia="Arial" w:cs="Arial"/>
          <w:noProof w:val="0"/>
          <w:sz w:val="22"/>
          <w:szCs w:val="22"/>
          <w:lang w:val="en-GB"/>
        </w:rPr>
        <w:t>remain</w:t>
      </w:r>
      <w:r w:rsidRPr="167DB4A6" w:rsidR="534F14A6">
        <w:rPr>
          <w:rFonts w:ascii="Arial" w:hAnsi="Arial" w:eastAsia="Arial" w:cs="Arial"/>
          <w:noProof w:val="0"/>
          <w:sz w:val="22"/>
          <w:szCs w:val="22"/>
          <w:lang w:val="en-GB"/>
        </w:rPr>
        <w:t xml:space="preserve"> essential to achieving equity (Public Health England, 2020; </w:t>
      </w:r>
      <w:r w:rsidRPr="167DB4A6" w:rsidR="534F14A6">
        <w:rPr>
          <w:rFonts w:ascii="Arial" w:hAnsi="Arial" w:eastAsia="Arial" w:cs="Arial"/>
          <w:noProof w:val="0"/>
          <w:sz w:val="22"/>
          <w:szCs w:val="22"/>
          <w:lang w:val="en-GB"/>
        </w:rPr>
        <w:t>Bhui</w:t>
      </w:r>
      <w:r w:rsidRPr="167DB4A6" w:rsidR="534F14A6">
        <w:rPr>
          <w:rFonts w:ascii="Arial" w:hAnsi="Arial" w:eastAsia="Arial" w:cs="Arial"/>
          <w:noProof w:val="0"/>
          <w:sz w:val="22"/>
          <w:szCs w:val="22"/>
          <w:lang w:val="en-GB"/>
        </w:rPr>
        <w:t xml:space="preserve"> et al., 2018).</w:t>
      </w:r>
    </w:p>
    <w:p w:rsidR="12234F61" w:rsidP="167DB4A6" w:rsidRDefault="12234F61" w14:paraId="3DFE46D6" w14:textId="29C07AC6">
      <w:pPr>
        <w:pStyle w:val="Heading3"/>
        <w:keepNext w:val="0"/>
        <w:keepLines w:val="1"/>
        <w:spacing w:line="360" w:lineRule="auto"/>
        <w:jc w:val="center"/>
        <w:rPr>
          <w:rFonts w:ascii="Arial" w:hAnsi="Arial" w:eastAsia="Arial" w:cs="Arial"/>
          <w:b w:val="1"/>
          <w:bCs w:val="1"/>
          <w:noProof w:val="0"/>
          <w:color w:val="000000" w:themeColor="text1" w:themeTint="FF" w:themeShade="FF"/>
          <w:sz w:val="22"/>
          <w:szCs w:val="22"/>
          <w:u w:val="single"/>
          <w:lang w:val="en-GB"/>
        </w:rPr>
      </w:pPr>
      <w:r w:rsidRPr="167DB4A6" w:rsidR="40C4F6ED">
        <w:rPr>
          <w:rFonts w:ascii="Arial" w:hAnsi="Arial" w:eastAsia="Arial" w:cs="Arial"/>
          <w:b w:val="1"/>
          <w:bCs w:val="1"/>
          <w:noProof w:val="0"/>
          <w:color w:val="000000" w:themeColor="text1" w:themeTint="FF" w:themeShade="FF"/>
          <w:sz w:val="22"/>
          <w:szCs w:val="22"/>
          <w:u w:val="single"/>
          <w:lang w:val="en-GB"/>
        </w:rPr>
        <w:t>National Response to Reduce Health Inequalities</w:t>
      </w:r>
    </w:p>
    <w:p w:rsidR="12234F61" w:rsidP="167DB4A6" w:rsidRDefault="12234F61" w14:paraId="4A61F097" w14:textId="3B8D8765">
      <w:pPr>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r w:rsidRPr="167DB4A6" w:rsidR="40C4F6ED">
        <w:rPr>
          <w:rFonts w:ascii="Arial" w:hAnsi="Arial" w:eastAsia="Arial" w:cs="Arial"/>
          <w:b w:val="1"/>
          <w:bCs w:val="1"/>
          <w:noProof w:val="0"/>
          <w:color w:val="000000" w:themeColor="text1" w:themeTint="FF" w:themeShade="FF"/>
          <w:sz w:val="22"/>
          <w:szCs w:val="22"/>
          <w:lang w:val="en-GB"/>
        </w:rPr>
        <w:t>Policy Frameworks</w:t>
      </w:r>
    </w:p>
    <w:p w:rsidR="12234F61" w:rsidP="167DB4A6" w:rsidRDefault="12234F61" w14:paraId="0C33060F" w14:textId="43734519">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40C4F6ED">
        <w:rPr>
          <w:rFonts w:ascii="Arial" w:hAnsi="Arial" w:eastAsia="Arial" w:cs="Arial"/>
          <w:noProof w:val="0"/>
          <w:color w:val="000000" w:themeColor="text1" w:themeTint="FF" w:themeShade="FF"/>
          <w:sz w:val="22"/>
          <w:szCs w:val="22"/>
          <w:lang w:val="en-GB"/>
        </w:rPr>
        <w:t xml:space="preserve">The NHS Long Term Plan (2019) </w:t>
      </w:r>
      <w:r w:rsidRPr="167DB4A6" w:rsidR="40C4F6ED">
        <w:rPr>
          <w:rFonts w:ascii="Arial" w:hAnsi="Arial" w:eastAsia="Arial" w:cs="Arial"/>
          <w:noProof w:val="0"/>
          <w:color w:val="000000" w:themeColor="text1" w:themeTint="FF" w:themeShade="FF"/>
          <w:sz w:val="22"/>
          <w:szCs w:val="22"/>
          <w:lang w:val="en-GB"/>
        </w:rPr>
        <w:t>identifies</w:t>
      </w:r>
      <w:r w:rsidRPr="167DB4A6" w:rsidR="40C4F6ED">
        <w:rPr>
          <w:rFonts w:ascii="Arial" w:hAnsi="Arial" w:eastAsia="Arial" w:cs="Arial"/>
          <w:noProof w:val="0"/>
          <w:color w:val="000000" w:themeColor="text1" w:themeTint="FF" w:themeShade="FF"/>
          <w:sz w:val="22"/>
          <w:szCs w:val="22"/>
          <w:lang w:val="en-GB"/>
        </w:rPr>
        <w:t xml:space="preserve"> ethnic disparities in chronic disease and mental health, highlighting the importance of community engagement, preventive care, and culturally </w:t>
      </w:r>
      <w:r w:rsidRPr="167DB4A6" w:rsidR="40C4F6ED">
        <w:rPr>
          <w:rFonts w:ascii="Arial" w:hAnsi="Arial" w:eastAsia="Arial" w:cs="Arial"/>
          <w:noProof w:val="0"/>
          <w:color w:val="000000" w:themeColor="text1" w:themeTint="FF" w:themeShade="FF"/>
          <w:sz w:val="22"/>
          <w:szCs w:val="22"/>
          <w:lang w:val="en-GB"/>
        </w:rPr>
        <w:t>appropriate health</w:t>
      </w:r>
      <w:r w:rsidRPr="167DB4A6" w:rsidR="40C4F6ED">
        <w:rPr>
          <w:rFonts w:ascii="Arial" w:hAnsi="Arial" w:eastAsia="Arial" w:cs="Arial"/>
          <w:noProof w:val="0"/>
          <w:color w:val="000000" w:themeColor="text1" w:themeTint="FF" w:themeShade="FF"/>
          <w:sz w:val="22"/>
          <w:szCs w:val="22"/>
          <w:lang w:val="en-GB"/>
        </w:rPr>
        <w:t xml:space="preserve"> promotion (NHS England, 2019). Core20PLUS5 (NHS England, 2021) targets the most deprived 20% of communities, prioritising ethnic minorities for enhanced access, health checks, screening programmes, and outcome monitoring. The Equality Act 2010 protects individuals from discrimination and ensures </w:t>
      </w:r>
      <w:r w:rsidRPr="167DB4A6" w:rsidR="40C4F6ED">
        <w:rPr>
          <w:rFonts w:ascii="Arial" w:hAnsi="Arial" w:eastAsia="Arial" w:cs="Arial"/>
          <w:noProof w:val="0"/>
          <w:color w:val="000000" w:themeColor="text1" w:themeTint="FF" w:themeShade="FF"/>
          <w:sz w:val="22"/>
          <w:szCs w:val="22"/>
          <w:lang w:val="en-GB"/>
        </w:rPr>
        <w:t>equitable</w:t>
      </w:r>
      <w:r w:rsidRPr="167DB4A6" w:rsidR="40C4F6ED">
        <w:rPr>
          <w:rFonts w:ascii="Arial" w:hAnsi="Arial" w:eastAsia="Arial" w:cs="Arial"/>
          <w:noProof w:val="0"/>
          <w:color w:val="000000" w:themeColor="text1" w:themeTint="FF" w:themeShade="FF"/>
          <w:sz w:val="22"/>
          <w:szCs w:val="22"/>
          <w:lang w:val="en-GB"/>
        </w:rPr>
        <w:t xml:space="preserve"> access to services (Equality and Human Rights Commission, 2018). Despite these frameworks, health inequalities persist, </w:t>
      </w:r>
      <w:r w:rsidRPr="167DB4A6" w:rsidR="40C4F6ED">
        <w:rPr>
          <w:rFonts w:ascii="Arial" w:hAnsi="Arial" w:eastAsia="Arial" w:cs="Arial"/>
          <w:noProof w:val="0"/>
          <w:color w:val="000000" w:themeColor="text1" w:themeTint="FF" w:themeShade="FF"/>
          <w:sz w:val="22"/>
          <w:szCs w:val="22"/>
          <w:lang w:val="en-GB"/>
        </w:rPr>
        <w:t>demonstrating</w:t>
      </w:r>
      <w:r w:rsidRPr="167DB4A6" w:rsidR="40C4F6ED">
        <w:rPr>
          <w:rFonts w:ascii="Arial" w:hAnsi="Arial" w:eastAsia="Arial" w:cs="Arial"/>
          <w:noProof w:val="0"/>
          <w:color w:val="000000" w:themeColor="text1" w:themeTint="FF" w:themeShade="FF"/>
          <w:sz w:val="22"/>
          <w:szCs w:val="22"/>
          <w:lang w:val="en-GB"/>
        </w:rPr>
        <w:t xml:space="preserve"> the need for multi-level interventions integrating policy, community engagement, and systemic NHS reform (Public Health England, 2020; The King’s Fund, 2023).</w:t>
      </w:r>
    </w:p>
    <w:p w:rsidR="12234F61" w:rsidP="167DB4A6" w:rsidRDefault="12234F61" w14:paraId="2730E722" w14:textId="24DAE5EF">
      <w:pPr>
        <w:spacing w:before="240" w:beforeAutospacing="off" w:after="240" w:afterAutospacing="off" w:line="360" w:lineRule="auto"/>
        <w:ind/>
        <w:jc w:val="center"/>
        <w:rPr>
          <w:rFonts w:ascii="Arial" w:hAnsi="Arial" w:eastAsia="Arial" w:cs="Arial"/>
          <w:b w:val="1"/>
          <w:bCs w:val="1"/>
          <w:noProof w:val="0"/>
          <w:color w:val="000000" w:themeColor="text1" w:themeTint="FF" w:themeShade="FF"/>
          <w:sz w:val="22"/>
          <w:szCs w:val="22"/>
          <w:u w:val="single"/>
          <w:lang w:val="en-GB"/>
        </w:rPr>
      </w:pPr>
      <w:r w:rsidRPr="167DB4A6" w:rsidR="40C4F6ED">
        <w:rPr>
          <w:rFonts w:ascii="Arial" w:hAnsi="Arial" w:eastAsia="Arial" w:cs="Arial"/>
          <w:b w:val="1"/>
          <w:bCs w:val="1"/>
          <w:noProof w:val="0"/>
          <w:color w:val="000000" w:themeColor="text1" w:themeTint="FF" w:themeShade="FF"/>
          <w:sz w:val="22"/>
          <w:szCs w:val="22"/>
          <w:u w:val="single"/>
          <w:lang w:val="en-GB"/>
        </w:rPr>
        <w:t>Organisations Supporting Ethnic Minority Health</w:t>
      </w:r>
    </w:p>
    <w:p w:rsidR="12234F61" w:rsidP="167DB4A6" w:rsidRDefault="12234F61" w14:paraId="3009067A" w14:textId="53FE4347">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40C4F6ED">
        <w:rPr>
          <w:rFonts w:ascii="Arial" w:hAnsi="Arial" w:eastAsia="Arial" w:cs="Arial"/>
          <w:noProof w:val="0"/>
          <w:color w:val="000000" w:themeColor="text1" w:themeTint="FF" w:themeShade="FF"/>
          <w:sz w:val="22"/>
          <w:szCs w:val="22"/>
          <w:lang w:val="en-GB"/>
        </w:rPr>
        <w:t>Charitable and non-governmental organisations complement national policies by addressing gaps in access and equity. The Runnymede Trust promotes racial justice through research, policy analysis, and advocacy, tackling inequalities in health, education, employment, and housing (Runnymede Trust, 2020; The King’s Fund, 2023). Mind provides culturally tailored mental health support, including community outreach, interpreter services, and staff training, improving early intervention, accessibility, and stigma reduction among ethnic minority groups (Mind, 2021). Such organisations enhance national strategies by delivering community-focused solutions and advocacy that reduce structural barriers to health equity.</w:t>
      </w:r>
    </w:p>
    <w:p w:rsidR="12234F61" w:rsidP="167DB4A6" w:rsidRDefault="12234F61" w14:paraId="055F71B0" w14:textId="142CF45B">
      <w:pPr>
        <w:pStyle w:val="Normal"/>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428F2628" w14:textId="244C5986">
      <w:pPr>
        <w:pStyle w:val="Normal"/>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3CDD73D4" w14:textId="3F579622">
      <w:pPr>
        <w:pStyle w:val="Normal"/>
        <w:spacing w:before="240" w:beforeAutospacing="off" w:after="240" w:afterAutospacing="off" w:line="360" w:lineRule="auto"/>
        <w:ind/>
        <w:jc w:val="center"/>
        <w:rPr>
          <w:rFonts w:ascii="Arial" w:hAnsi="Arial" w:eastAsia="Arial" w:cs="Arial"/>
          <w:b w:val="1"/>
          <w:bCs w:val="1"/>
          <w:noProof w:val="0"/>
          <w:color w:val="000000" w:themeColor="text1" w:themeTint="FF" w:themeShade="FF"/>
          <w:sz w:val="22"/>
          <w:szCs w:val="22"/>
          <w:u w:val="single"/>
          <w:lang w:val="en-GB"/>
        </w:rPr>
      </w:pPr>
      <w:r w:rsidRPr="167DB4A6" w:rsidR="40C4F6ED">
        <w:rPr>
          <w:rFonts w:ascii="Arial" w:hAnsi="Arial" w:eastAsia="Arial" w:cs="Arial"/>
          <w:b w:val="1"/>
          <w:bCs w:val="1"/>
          <w:noProof w:val="0"/>
          <w:color w:val="000000" w:themeColor="text1" w:themeTint="FF" w:themeShade="FF"/>
          <w:sz w:val="22"/>
          <w:szCs w:val="22"/>
          <w:u w:val="single"/>
          <w:lang w:val="en-GB"/>
        </w:rPr>
        <w:t>Conclusion</w:t>
      </w:r>
    </w:p>
    <w:p w:rsidR="12234F61" w:rsidP="167DB4A6" w:rsidRDefault="12234F61" w14:paraId="654DB698" w14:textId="6F227CFB">
      <w:pPr>
        <w:pStyle w:val="Normal"/>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40C4F6ED">
        <w:rPr>
          <w:rFonts w:ascii="Arial" w:hAnsi="Arial" w:eastAsia="Arial" w:cs="Arial"/>
          <w:noProof w:val="0"/>
          <w:color w:val="000000" w:themeColor="text1" w:themeTint="FF" w:themeShade="FF"/>
          <w:sz w:val="22"/>
          <w:szCs w:val="22"/>
          <w:lang w:val="en-GB"/>
        </w:rPr>
        <w:t xml:space="preserve">Ethnic minority populations in the UK continue to experience significant health inequalities shaped by biological, social, and structural determinants. Cardiovascular disease, type 2 diabetes, and mental health disorders disproportionately affect South Asian, Black African, and Caribbean communities (Agyemang &amp; van den Born, 2022; </w:t>
      </w:r>
      <w:r w:rsidRPr="167DB4A6" w:rsidR="40C4F6ED">
        <w:rPr>
          <w:rFonts w:ascii="Arial" w:hAnsi="Arial" w:eastAsia="Arial" w:cs="Arial"/>
          <w:noProof w:val="0"/>
          <w:color w:val="000000" w:themeColor="text1" w:themeTint="FF" w:themeShade="FF"/>
          <w:sz w:val="22"/>
          <w:szCs w:val="22"/>
          <w:lang w:val="en-GB"/>
        </w:rPr>
        <w:t>Bhui</w:t>
      </w:r>
      <w:r w:rsidRPr="167DB4A6" w:rsidR="40C4F6ED">
        <w:rPr>
          <w:rFonts w:ascii="Arial" w:hAnsi="Arial" w:eastAsia="Arial" w:cs="Arial"/>
          <w:noProof w:val="0"/>
          <w:color w:val="000000" w:themeColor="text1" w:themeTint="FF" w:themeShade="FF"/>
          <w:sz w:val="22"/>
          <w:szCs w:val="22"/>
          <w:lang w:val="en-GB"/>
        </w:rPr>
        <w:t xml:space="preserve">, Halvorsrud &amp; </w:t>
      </w:r>
      <w:r w:rsidRPr="167DB4A6" w:rsidR="40C4F6ED">
        <w:rPr>
          <w:rFonts w:ascii="Arial" w:hAnsi="Arial" w:eastAsia="Arial" w:cs="Arial"/>
          <w:noProof w:val="0"/>
          <w:color w:val="000000" w:themeColor="text1" w:themeTint="FF" w:themeShade="FF"/>
          <w:sz w:val="22"/>
          <w:szCs w:val="22"/>
          <w:lang w:val="en-GB"/>
        </w:rPr>
        <w:t>Nazroo</w:t>
      </w:r>
      <w:r w:rsidRPr="167DB4A6" w:rsidR="40C4F6ED">
        <w:rPr>
          <w:rFonts w:ascii="Arial" w:hAnsi="Arial" w:eastAsia="Arial" w:cs="Arial"/>
          <w:noProof w:val="0"/>
          <w:color w:val="000000" w:themeColor="text1" w:themeTint="FF" w:themeShade="FF"/>
          <w:sz w:val="22"/>
          <w:szCs w:val="22"/>
          <w:lang w:val="en-GB"/>
        </w:rPr>
        <w:t xml:space="preserve">, 2018; </w:t>
      </w:r>
      <w:r w:rsidRPr="167DB4A6" w:rsidR="40C4F6ED">
        <w:rPr>
          <w:rFonts w:ascii="Arial" w:hAnsi="Arial" w:eastAsia="Arial" w:cs="Arial"/>
          <w:noProof w:val="0"/>
          <w:color w:val="000000" w:themeColor="text1" w:themeTint="FF" w:themeShade="FF"/>
          <w:sz w:val="22"/>
          <w:szCs w:val="22"/>
          <w:lang w:val="en-GB"/>
        </w:rPr>
        <w:t>Khunti</w:t>
      </w:r>
      <w:r w:rsidRPr="167DB4A6" w:rsidR="40C4F6ED">
        <w:rPr>
          <w:rFonts w:ascii="Arial" w:hAnsi="Arial" w:eastAsia="Arial" w:cs="Arial"/>
          <w:noProof w:val="0"/>
          <w:color w:val="000000" w:themeColor="text1" w:themeTint="FF" w:themeShade="FF"/>
          <w:sz w:val="22"/>
          <w:szCs w:val="22"/>
          <w:lang w:val="en-GB"/>
        </w:rPr>
        <w:t xml:space="preserve"> et al., 2023). Socioeconomic deprivation, inadequate housing, and systemic discrimination </w:t>
      </w:r>
      <w:r w:rsidRPr="167DB4A6" w:rsidR="40C4F6ED">
        <w:rPr>
          <w:rFonts w:ascii="Arial" w:hAnsi="Arial" w:eastAsia="Arial" w:cs="Arial"/>
          <w:noProof w:val="0"/>
          <w:color w:val="000000" w:themeColor="text1" w:themeTint="FF" w:themeShade="FF"/>
          <w:sz w:val="22"/>
          <w:szCs w:val="22"/>
          <w:lang w:val="en-GB"/>
        </w:rPr>
        <w:t>exacerbate</w:t>
      </w:r>
      <w:r w:rsidRPr="167DB4A6" w:rsidR="40C4F6ED">
        <w:rPr>
          <w:rFonts w:ascii="Arial" w:hAnsi="Arial" w:eastAsia="Arial" w:cs="Arial"/>
          <w:noProof w:val="0"/>
          <w:color w:val="000000" w:themeColor="text1" w:themeTint="FF" w:themeShade="FF"/>
          <w:sz w:val="22"/>
          <w:szCs w:val="22"/>
          <w:lang w:val="en-GB"/>
        </w:rPr>
        <w:t xml:space="preserve"> disease risk and limit access to care (Bambra, 2020; Marmot, 2020; </w:t>
      </w:r>
      <w:r w:rsidRPr="167DB4A6" w:rsidR="40C4F6ED">
        <w:rPr>
          <w:rFonts w:ascii="Arial" w:hAnsi="Arial" w:eastAsia="Arial" w:cs="Arial"/>
          <w:noProof w:val="0"/>
          <w:color w:val="000000" w:themeColor="text1" w:themeTint="FF" w:themeShade="FF"/>
          <w:sz w:val="22"/>
          <w:szCs w:val="22"/>
          <w:lang w:val="en-GB"/>
        </w:rPr>
        <w:t>Nazroo</w:t>
      </w:r>
      <w:r w:rsidRPr="167DB4A6" w:rsidR="40C4F6ED">
        <w:rPr>
          <w:rFonts w:ascii="Arial" w:hAnsi="Arial" w:eastAsia="Arial" w:cs="Arial"/>
          <w:noProof w:val="0"/>
          <w:color w:val="000000" w:themeColor="text1" w:themeTint="FF" w:themeShade="FF"/>
          <w:sz w:val="22"/>
          <w:szCs w:val="22"/>
          <w:lang w:val="en-GB"/>
        </w:rPr>
        <w:t xml:space="preserve"> &amp; Williams, 2006).</w:t>
      </w:r>
    </w:p>
    <w:p w:rsidR="12234F61" w:rsidP="167DB4A6" w:rsidRDefault="12234F61" w14:paraId="3A4EE4F3" w14:textId="14CFFB95">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40C4F6ED">
        <w:rPr>
          <w:rFonts w:ascii="Arial" w:hAnsi="Arial" w:eastAsia="Arial" w:cs="Arial"/>
          <w:noProof w:val="0"/>
          <w:color w:val="000000" w:themeColor="text1" w:themeTint="FF" w:themeShade="FF"/>
          <w:sz w:val="22"/>
          <w:szCs w:val="22"/>
          <w:lang w:val="en-GB"/>
        </w:rPr>
        <w:t>National frameworks such as the NHS Long Term Plan, Core20PLUS5, and the Equality Act provide guidance to reduce inequalities, but persistent disparities require systemic, multi-level approaches (NHS England, 2019; NHS England, 2021). Charities and advocacy groups, including the Runnymede Trust and Mind, complement these policies through research, community engagement, and culturally competent service provision.</w:t>
      </w:r>
    </w:p>
    <w:p w:rsidR="12234F61" w:rsidP="167DB4A6" w:rsidRDefault="12234F61" w14:paraId="3CA0E339" w14:textId="57A7B320">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40C4F6ED">
        <w:rPr>
          <w:rFonts w:ascii="Arial" w:hAnsi="Arial" w:eastAsia="Arial" w:cs="Arial"/>
          <w:noProof w:val="0"/>
          <w:color w:val="000000" w:themeColor="text1" w:themeTint="FF" w:themeShade="FF"/>
          <w:sz w:val="22"/>
          <w:szCs w:val="22"/>
          <w:lang w:val="en-GB"/>
        </w:rPr>
        <w:t xml:space="preserve">Addressing health inequalities demands holistic, evidence-based strategies combining disease prevention, social policy reform, community participation, and culturally competent care. Future approaches must critically </w:t>
      </w:r>
      <w:r w:rsidRPr="167DB4A6" w:rsidR="40C4F6ED">
        <w:rPr>
          <w:rFonts w:ascii="Arial" w:hAnsi="Arial" w:eastAsia="Arial" w:cs="Arial"/>
          <w:noProof w:val="0"/>
          <w:color w:val="000000" w:themeColor="text1" w:themeTint="FF" w:themeShade="FF"/>
          <w:sz w:val="22"/>
          <w:szCs w:val="22"/>
          <w:lang w:val="en-GB"/>
        </w:rPr>
        <w:t>monitor</w:t>
      </w:r>
      <w:r w:rsidRPr="167DB4A6" w:rsidR="40C4F6ED">
        <w:rPr>
          <w:rFonts w:ascii="Arial" w:hAnsi="Arial" w:eastAsia="Arial" w:cs="Arial"/>
          <w:noProof w:val="0"/>
          <w:color w:val="000000" w:themeColor="text1" w:themeTint="FF" w:themeShade="FF"/>
          <w:sz w:val="22"/>
          <w:szCs w:val="22"/>
          <w:lang w:val="en-GB"/>
        </w:rPr>
        <w:t xml:space="preserve"> outcomes, evaluate interventions, and adapt to the diverse needs of populations to achieve meaningful reductions in health disparities.</w:t>
      </w:r>
    </w:p>
    <w:p w:rsidR="12234F61" w:rsidP="167DB4A6" w:rsidRDefault="12234F61" w14:paraId="01784538" w14:textId="2F9ACCBF">
      <w:pPr>
        <w:pStyle w:val="Heading3"/>
        <w:keepNext w:val="0"/>
        <w:keepLines w:val="1"/>
        <w:spacing w:before="240" w:beforeAutospacing="off" w:after="240" w:afterAutospacing="off" w:line="360" w:lineRule="auto"/>
        <w:ind/>
        <w:contextualSpacing/>
        <w:jc w:val="center"/>
        <w:rPr>
          <w:rFonts w:ascii="Arial" w:hAnsi="Arial" w:eastAsia="Arial" w:cs="Arial"/>
          <w:b w:val="1"/>
          <w:bCs w:val="1"/>
          <w:noProof w:val="0"/>
          <w:color w:val="000000" w:themeColor="text1" w:themeTint="FF" w:themeShade="FF"/>
          <w:sz w:val="22"/>
          <w:szCs w:val="22"/>
          <w:u w:val="single"/>
          <w:lang w:val="en-GB"/>
        </w:rPr>
      </w:pPr>
      <w:r w:rsidRPr="167DB4A6" w:rsidR="2709FF0B">
        <w:rPr>
          <w:rFonts w:ascii="Arial" w:hAnsi="Arial" w:eastAsia="Arial" w:cs="Arial"/>
          <w:b w:val="1"/>
          <w:bCs w:val="1"/>
          <w:noProof w:val="0"/>
          <w:color w:val="000000" w:themeColor="text1" w:themeTint="FF" w:themeShade="FF"/>
          <w:sz w:val="22"/>
          <w:szCs w:val="22"/>
          <w:u w:val="single"/>
          <w:lang w:val="en-GB"/>
        </w:rPr>
        <w:t>Task 2: Epidemiological Analysis</w:t>
      </w:r>
    </w:p>
    <w:p w:rsidR="12234F61" w:rsidP="167DB4A6" w:rsidRDefault="12234F61" w14:paraId="61735441" w14:textId="55CD7D88">
      <w:pPr>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r w:rsidRPr="167DB4A6" w:rsidR="2709FF0B">
        <w:rPr>
          <w:rFonts w:ascii="Arial" w:hAnsi="Arial" w:eastAsia="Arial" w:cs="Arial"/>
          <w:b w:val="1"/>
          <w:bCs w:val="1"/>
          <w:noProof w:val="0"/>
          <w:color w:val="000000" w:themeColor="text1" w:themeTint="FF" w:themeShade="FF"/>
          <w:sz w:val="22"/>
          <w:szCs w:val="22"/>
          <w:lang w:val="en-GB"/>
        </w:rPr>
        <w:t>Introduction</w:t>
      </w:r>
    </w:p>
    <w:p w:rsidR="12234F61" w:rsidP="167DB4A6" w:rsidRDefault="12234F61" w14:paraId="6A7B35B6" w14:textId="4C4ADA90">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2709FF0B">
        <w:rPr>
          <w:rFonts w:ascii="Arial" w:hAnsi="Arial" w:eastAsia="Arial" w:cs="Arial"/>
          <w:noProof w:val="0"/>
          <w:color w:val="000000" w:themeColor="text1" w:themeTint="FF" w:themeShade="FF"/>
          <w:sz w:val="22"/>
          <w:szCs w:val="22"/>
          <w:lang w:val="en-GB"/>
        </w:rPr>
        <w:t>Type 2 diabetes (T2D) is a chronic metabolic disorder characterised by insulin resistance and hyperglycaemia, leading to complications including cardiovascular disease, nephropathy, retinopathy, and neuropathy (</w:t>
      </w:r>
      <w:r w:rsidRPr="167DB4A6" w:rsidR="2709FF0B">
        <w:rPr>
          <w:rFonts w:ascii="Arial" w:hAnsi="Arial" w:eastAsia="Arial" w:cs="Arial"/>
          <w:noProof w:val="0"/>
          <w:color w:val="000000" w:themeColor="text1" w:themeTint="FF" w:themeShade="FF"/>
          <w:sz w:val="22"/>
          <w:szCs w:val="22"/>
          <w:lang w:val="en-GB"/>
        </w:rPr>
        <w:t>Khunti</w:t>
      </w:r>
      <w:r w:rsidRPr="167DB4A6" w:rsidR="2709FF0B">
        <w:rPr>
          <w:rFonts w:ascii="Arial" w:hAnsi="Arial" w:eastAsia="Arial" w:cs="Arial"/>
          <w:noProof w:val="0"/>
          <w:color w:val="000000" w:themeColor="text1" w:themeTint="FF" w:themeShade="FF"/>
          <w:sz w:val="22"/>
          <w:szCs w:val="22"/>
          <w:lang w:val="en-GB"/>
        </w:rPr>
        <w:t xml:space="preserve"> et al., 2023). In the UK, South Asian populations have disproportionately high prevalence, with onset 5</w:t>
      </w:r>
      <w:r w:rsidRPr="167DB4A6" w:rsidR="56FC9CFC">
        <w:rPr>
          <w:rFonts w:ascii="Arial" w:hAnsi="Arial" w:eastAsia="Arial" w:cs="Arial"/>
          <w:noProof w:val="0"/>
          <w:color w:val="000000" w:themeColor="text1" w:themeTint="FF" w:themeShade="FF"/>
          <w:sz w:val="22"/>
          <w:szCs w:val="22"/>
          <w:lang w:val="en-GB"/>
        </w:rPr>
        <w:t>-</w:t>
      </w:r>
      <w:r w:rsidRPr="167DB4A6" w:rsidR="2709FF0B">
        <w:rPr>
          <w:rFonts w:ascii="Arial" w:hAnsi="Arial" w:eastAsia="Arial" w:cs="Arial"/>
          <w:noProof w:val="0"/>
          <w:color w:val="000000" w:themeColor="text1" w:themeTint="FF" w:themeShade="FF"/>
          <w:sz w:val="22"/>
          <w:szCs w:val="22"/>
          <w:lang w:val="en-GB"/>
        </w:rPr>
        <w:t xml:space="preserve">10 years earlier than White British populations (Public Health England, 2020; Sattar &amp; Gill, 2015). Birmingham, with a substantial South Asian community, </w:t>
      </w:r>
      <w:r w:rsidRPr="167DB4A6" w:rsidR="2709FF0B">
        <w:rPr>
          <w:rFonts w:ascii="Arial" w:hAnsi="Arial" w:eastAsia="Arial" w:cs="Arial"/>
          <w:noProof w:val="0"/>
          <w:color w:val="000000" w:themeColor="text1" w:themeTint="FF" w:themeShade="FF"/>
          <w:sz w:val="22"/>
          <w:szCs w:val="22"/>
          <w:lang w:val="en-GB"/>
        </w:rPr>
        <w:t>demonstrates</w:t>
      </w:r>
      <w:r w:rsidRPr="167DB4A6" w:rsidR="2709FF0B">
        <w:rPr>
          <w:rFonts w:ascii="Arial" w:hAnsi="Arial" w:eastAsia="Arial" w:cs="Arial"/>
          <w:noProof w:val="0"/>
          <w:color w:val="000000" w:themeColor="text1" w:themeTint="FF" w:themeShade="FF"/>
          <w:sz w:val="22"/>
          <w:szCs w:val="22"/>
          <w:lang w:val="en-GB"/>
        </w:rPr>
        <w:t xml:space="preserve"> one of the highest regional prevalence rates, reflecting both genetic susceptibility and socio-environmental risk factors (The King’s Fund, 2023).</w:t>
      </w:r>
    </w:p>
    <w:p w:rsidR="12234F61" w:rsidP="167DB4A6" w:rsidRDefault="12234F61" w14:paraId="5D3788F5" w14:textId="2AE431CC">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2709FF0B">
        <w:rPr>
          <w:rFonts w:ascii="Arial" w:hAnsi="Arial" w:eastAsia="Arial" w:cs="Arial"/>
          <w:noProof w:val="0"/>
          <w:color w:val="000000" w:themeColor="text1" w:themeTint="FF" w:themeShade="FF"/>
          <w:sz w:val="22"/>
          <w:szCs w:val="22"/>
          <w:lang w:val="en-GB"/>
        </w:rPr>
        <w:t xml:space="preserve">The social and health consequences of T2D are significant. Poorly controlled T2D increases risk of cardiovascular events, kidney disease, and reduces quality of life. The economic burden is </w:t>
      </w:r>
      <w:r w:rsidRPr="167DB4A6" w:rsidR="2709FF0B">
        <w:rPr>
          <w:rFonts w:ascii="Arial" w:hAnsi="Arial" w:eastAsia="Arial" w:cs="Arial"/>
          <w:noProof w:val="0"/>
          <w:color w:val="000000" w:themeColor="text1" w:themeTint="FF" w:themeShade="FF"/>
          <w:sz w:val="22"/>
          <w:szCs w:val="22"/>
          <w:lang w:val="en-GB"/>
        </w:rPr>
        <w:t>substantial</w:t>
      </w:r>
      <w:r w:rsidRPr="167DB4A6" w:rsidR="2709FF0B">
        <w:rPr>
          <w:rFonts w:ascii="Arial" w:hAnsi="Arial" w:eastAsia="Arial" w:cs="Arial"/>
          <w:noProof w:val="0"/>
          <w:color w:val="000000" w:themeColor="text1" w:themeTint="FF" w:themeShade="FF"/>
          <w:sz w:val="22"/>
          <w:szCs w:val="22"/>
          <w:lang w:val="en-GB"/>
        </w:rPr>
        <w:t xml:space="preserve">, costing the NHS over £10 billion annually (Diabetes UK, 2022). Socioeconomic deprivation, cultural dietary patterns, and limited access to culturally </w:t>
      </w:r>
      <w:r w:rsidRPr="167DB4A6" w:rsidR="2709FF0B">
        <w:rPr>
          <w:rFonts w:ascii="Arial" w:hAnsi="Arial" w:eastAsia="Arial" w:cs="Arial"/>
          <w:noProof w:val="0"/>
          <w:color w:val="000000" w:themeColor="text1" w:themeTint="FF" w:themeShade="FF"/>
          <w:sz w:val="22"/>
          <w:szCs w:val="22"/>
          <w:lang w:val="en-GB"/>
        </w:rPr>
        <w:t>appropriate care</w:t>
      </w:r>
      <w:r w:rsidRPr="167DB4A6" w:rsidR="2709FF0B">
        <w:rPr>
          <w:rFonts w:ascii="Arial" w:hAnsi="Arial" w:eastAsia="Arial" w:cs="Arial"/>
          <w:noProof w:val="0"/>
          <w:color w:val="000000" w:themeColor="text1" w:themeTint="FF" w:themeShade="FF"/>
          <w:sz w:val="22"/>
          <w:szCs w:val="22"/>
          <w:lang w:val="en-GB"/>
        </w:rPr>
        <w:t xml:space="preserve"> </w:t>
      </w:r>
      <w:r w:rsidRPr="167DB4A6" w:rsidR="2709FF0B">
        <w:rPr>
          <w:rFonts w:ascii="Arial" w:hAnsi="Arial" w:eastAsia="Arial" w:cs="Arial"/>
          <w:noProof w:val="0"/>
          <w:color w:val="000000" w:themeColor="text1" w:themeTint="FF" w:themeShade="FF"/>
          <w:sz w:val="22"/>
          <w:szCs w:val="22"/>
          <w:lang w:val="en-GB"/>
        </w:rPr>
        <w:t>exacerbate</w:t>
      </w:r>
      <w:r w:rsidRPr="167DB4A6" w:rsidR="2709FF0B">
        <w:rPr>
          <w:rFonts w:ascii="Arial" w:hAnsi="Arial" w:eastAsia="Arial" w:cs="Arial"/>
          <w:noProof w:val="0"/>
          <w:color w:val="000000" w:themeColor="text1" w:themeTint="FF" w:themeShade="FF"/>
          <w:sz w:val="22"/>
          <w:szCs w:val="22"/>
          <w:lang w:val="en-GB"/>
        </w:rPr>
        <w:t xml:space="preserve"> risk and complications (Bambra, 2020; </w:t>
      </w:r>
      <w:r w:rsidRPr="167DB4A6" w:rsidR="2709FF0B">
        <w:rPr>
          <w:rFonts w:ascii="Arial" w:hAnsi="Arial" w:eastAsia="Arial" w:cs="Arial"/>
          <w:noProof w:val="0"/>
          <w:color w:val="000000" w:themeColor="text1" w:themeTint="FF" w:themeShade="FF"/>
          <w:sz w:val="22"/>
          <w:szCs w:val="22"/>
          <w:lang w:val="en-GB"/>
        </w:rPr>
        <w:t>Nazroo</w:t>
      </w:r>
      <w:r w:rsidRPr="167DB4A6" w:rsidR="2709FF0B">
        <w:rPr>
          <w:rFonts w:ascii="Arial" w:hAnsi="Arial" w:eastAsia="Arial" w:cs="Arial"/>
          <w:noProof w:val="0"/>
          <w:color w:val="000000" w:themeColor="text1" w:themeTint="FF" w:themeShade="FF"/>
          <w:sz w:val="22"/>
          <w:szCs w:val="22"/>
          <w:lang w:val="en-GB"/>
        </w:rPr>
        <w:t xml:space="preserve"> &amp; Williams, 2006).</w:t>
      </w:r>
    </w:p>
    <w:p w:rsidR="12234F61" w:rsidP="167DB4A6" w:rsidRDefault="12234F61" w14:paraId="516DFEDF" w14:textId="3E822B82">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2709FF0B">
        <w:rPr>
          <w:rFonts w:ascii="Arial" w:hAnsi="Arial" w:eastAsia="Arial" w:cs="Arial"/>
          <w:noProof w:val="0"/>
          <w:color w:val="000000" w:themeColor="text1" w:themeTint="FF" w:themeShade="FF"/>
          <w:sz w:val="22"/>
          <w:szCs w:val="22"/>
          <w:lang w:val="en-GB"/>
        </w:rPr>
        <w:t xml:space="preserve">Nationally, prevalence estimates suggest </w:t>
      </w:r>
      <w:r w:rsidRPr="167DB4A6" w:rsidR="2709FF0B">
        <w:rPr>
          <w:rFonts w:ascii="Arial" w:hAnsi="Arial" w:eastAsia="Arial" w:cs="Arial"/>
          <w:noProof w:val="0"/>
          <w:color w:val="000000" w:themeColor="text1" w:themeTint="FF" w:themeShade="FF"/>
          <w:sz w:val="22"/>
          <w:szCs w:val="22"/>
          <w:lang w:val="en-GB"/>
        </w:rPr>
        <w:t>approximately 20%</w:t>
      </w:r>
      <w:r w:rsidRPr="167DB4A6" w:rsidR="2709FF0B">
        <w:rPr>
          <w:rFonts w:ascii="Arial" w:hAnsi="Arial" w:eastAsia="Arial" w:cs="Arial"/>
          <w:noProof w:val="0"/>
          <w:color w:val="000000" w:themeColor="text1" w:themeTint="FF" w:themeShade="FF"/>
          <w:sz w:val="22"/>
          <w:szCs w:val="22"/>
          <w:lang w:val="en-GB"/>
        </w:rPr>
        <w:t xml:space="preserve"> of South Asian adults in the West Midlands have T2D, compared with around 7% of the general population (Public Health England, 2020). Epidemiological approaches are essential to quantify disease burden, </w:t>
      </w:r>
      <w:r w:rsidRPr="167DB4A6" w:rsidR="2709FF0B">
        <w:rPr>
          <w:rFonts w:ascii="Arial" w:hAnsi="Arial" w:eastAsia="Arial" w:cs="Arial"/>
          <w:noProof w:val="0"/>
          <w:color w:val="000000" w:themeColor="text1" w:themeTint="FF" w:themeShade="FF"/>
          <w:sz w:val="22"/>
          <w:szCs w:val="22"/>
          <w:lang w:val="en-GB"/>
        </w:rPr>
        <w:t>identify</w:t>
      </w:r>
      <w:r w:rsidRPr="167DB4A6" w:rsidR="2709FF0B">
        <w:rPr>
          <w:rFonts w:ascii="Arial" w:hAnsi="Arial" w:eastAsia="Arial" w:cs="Arial"/>
          <w:noProof w:val="0"/>
          <w:color w:val="000000" w:themeColor="text1" w:themeTint="FF" w:themeShade="FF"/>
          <w:sz w:val="22"/>
          <w:szCs w:val="22"/>
          <w:lang w:val="en-GB"/>
        </w:rPr>
        <w:t xml:space="preserve"> modifiable risk factors, evaluate interventions, and inform policies targeting inequalities. This report examines T2D epidemiology in South Asian adults in Birmingham, including risk factors, population-level surveillance, impact assessment, and intervention design.</w:t>
      </w:r>
    </w:p>
    <w:p w:rsidR="12234F61" w:rsidP="167DB4A6" w:rsidRDefault="12234F61" w14:paraId="1C055D7A" w14:textId="1DE03E56">
      <w:pPr>
        <w:pStyle w:val="Normal"/>
        <w:spacing w:before="240" w:beforeAutospacing="off" w:after="240" w:afterAutospacing="off" w:line="360" w:lineRule="auto"/>
        <w:ind/>
        <w:jc w:val="center"/>
        <w:rPr>
          <w:rFonts w:ascii="Arial" w:hAnsi="Arial" w:eastAsia="Arial" w:cs="Arial"/>
          <w:b w:val="1"/>
          <w:bCs w:val="1"/>
          <w:noProof w:val="0"/>
          <w:color w:val="000000" w:themeColor="text1" w:themeTint="FF" w:themeShade="FF"/>
          <w:sz w:val="22"/>
          <w:szCs w:val="22"/>
          <w:lang w:val="en-GB"/>
        </w:rPr>
      </w:pPr>
      <w:r w:rsidRPr="167DB4A6" w:rsidR="2709FF0B">
        <w:rPr>
          <w:rFonts w:ascii="Arial" w:hAnsi="Arial" w:eastAsia="Arial" w:cs="Arial"/>
          <w:b w:val="1"/>
          <w:bCs w:val="1"/>
          <w:noProof w:val="0"/>
          <w:color w:val="000000" w:themeColor="text1" w:themeTint="FF" w:themeShade="FF"/>
          <w:sz w:val="22"/>
          <w:szCs w:val="22"/>
          <w:u w:val="single"/>
          <w:lang w:val="en-GB"/>
        </w:rPr>
        <w:t>Public Health Measures: Prevention, Promotion, Protection</w:t>
      </w:r>
    </w:p>
    <w:p w:rsidR="12234F61" w:rsidP="167DB4A6" w:rsidRDefault="12234F61" w14:paraId="4A0E8E3D" w14:textId="1E215683">
      <w:pPr>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r w:rsidRPr="167DB4A6" w:rsidR="2709FF0B">
        <w:rPr>
          <w:rFonts w:ascii="Arial" w:hAnsi="Arial" w:eastAsia="Arial" w:cs="Arial"/>
          <w:b w:val="1"/>
          <w:bCs w:val="1"/>
          <w:noProof w:val="0"/>
          <w:color w:val="000000" w:themeColor="text1" w:themeTint="FF" w:themeShade="FF"/>
          <w:sz w:val="22"/>
          <w:szCs w:val="22"/>
          <w:lang w:val="en-GB"/>
        </w:rPr>
        <w:t>Prevention</w:t>
      </w:r>
    </w:p>
    <w:p w:rsidR="12234F61" w:rsidP="167DB4A6" w:rsidRDefault="12234F61" w14:paraId="031CCDBF" w14:textId="60A50AAF">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2709FF0B">
        <w:rPr>
          <w:rFonts w:ascii="Arial" w:hAnsi="Arial" w:eastAsia="Arial" w:cs="Arial"/>
          <w:noProof w:val="0"/>
          <w:color w:val="000000" w:themeColor="text1" w:themeTint="FF" w:themeShade="FF"/>
          <w:sz w:val="22"/>
          <w:szCs w:val="22"/>
          <w:lang w:val="en-GB"/>
        </w:rPr>
        <w:t>Primary prevention aims to reduce modifiable risk factors. Lifestyle interventions focusing on diet, physical activity, and weight management are central. Culturally tailored programmes, such as the South Asian Diabetes Prevention Programme, which integrates traditional dietary practices and community engagement, have been shown to reduce progression from prediabetes to T2D (</w:t>
      </w:r>
      <w:r w:rsidRPr="167DB4A6" w:rsidR="2709FF0B">
        <w:rPr>
          <w:rFonts w:ascii="Arial" w:hAnsi="Arial" w:eastAsia="Arial" w:cs="Arial"/>
          <w:noProof w:val="0"/>
          <w:color w:val="000000" w:themeColor="text1" w:themeTint="FF" w:themeShade="FF"/>
          <w:sz w:val="22"/>
          <w:szCs w:val="22"/>
          <w:lang w:val="en-GB"/>
        </w:rPr>
        <w:t>Khunti</w:t>
      </w:r>
      <w:r w:rsidRPr="167DB4A6" w:rsidR="2709FF0B">
        <w:rPr>
          <w:rFonts w:ascii="Arial" w:hAnsi="Arial" w:eastAsia="Arial" w:cs="Arial"/>
          <w:noProof w:val="0"/>
          <w:color w:val="000000" w:themeColor="text1" w:themeTint="FF" w:themeShade="FF"/>
          <w:sz w:val="22"/>
          <w:szCs w:val="22"/>
          <w:lang w:val="en-GB"/>
        </w:rPr>
        <w:t xml:space="preserve"> et al., 2017).</w:t>
      </w:r>
    </w:p>
    <w:p w:rsidR="12234F61" w:rsidP="167DB4A6" w:rsidRDefault="12234F61" w14:paraId="1A98FFA0" w14:textId="7B4324D9">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2709FF0B">
        <w:rPr>
          <w:rFonts w:ascii="Arial" w:hAnsi="Arial" w:eastAsia="Arial" w:cs="Arial"/>
          <w:noProof w:val="0"/>
          <w:color w:val="000000" w:themeColor="text1" w:themeTint="FF" w:themeShade="FF"/>
          <w:sz w:val="22"/>
          <w:szCs w:val="22"/>
          <w:lang w:val="en-GB"/>
        </w:rPr>
        <w:t>Secondary prevention involves early detection through screening and risk assessment. NHS Health Checks for adults aged 40</w:t>
      </w:r>
      <w:r w:rsidRPr="167DB4A6" w:rsidR="36E1CAD7">
        <w:rPr>
          <w:rFonts w:ascii="Arial" w:hAnsi="Arial" w:eastAsia="Arial" w:cs="Arial"/>
          <w:noProof w:val="0"/>
          <w:color w:val="000000" w:themeColor="text1" w:themeTint="FF" w:themeShade="FF"/>
          <w:sz w:val="22"/>
          <w:szCs w:val="22"/>
          <w:lang w:val="en-GB"/>
        </w:rPr>
        <w:t>-</w:t>
      </w:r>
      <w:r w:rsidRPr="167DB4A6" w:rsidR="2709FF0B">
        <w:rPr>
          <w:rFonts w:ascii="Arial" w:hAnsi="Arial" w:eastAsia="Arial" w:cs="Arial"/>
          <w:noProof w:val="0"/>
          <w:color w:val="000000" w:themeColor="text1" w:themeTint="FF" w:themeShade="FF"/>
          <w:sz w:val="22"/>
          <w:szCs w:val="22"/>
          <w:lang w:val="en-GB"/>
        </w:rPr>
        <w:t xml:space="preserve">74 </w:t>
      </w:r>
      <w:r w:rsidRPr="167DB4A6" w:rsidR="2709FF0B">
        <w:rPr>
          <w:rFonts w:ascii="Arial" w:hAnsi="Arial" w:eastAsia="Arial" w:cs="Arial"/>
          <w:noProof w:val="0"/>
          <w:color w:val="000000" w:themeColor="text1" w:themeTint="FF" w:themeShade="FF"/>
          <w:sz w:val="22"/>
          <w:szCs w:val="22"/>
          <w:lang w:val="en-GB"/>
        </w:rPr>
        <w:t>identify</w:t>
      </w:r>
      <w:r w:rsidRPr="167DB4A6" w:rsidR="2709FF0B">
        <w:rPr>
          <w:rFonts w:ascii="Arial" w:hAnsi="Arial" w:eastAsia="Arial" w:cs="Arial"/>
          <w:noProof w:val="0"/>
          <w:color w:val="000000" w:themeColor="text1" w:themeTint="FF" w:themeShade="FF"/>
          <w:sz w:val="22"/>
          <w:szCs w:val="22"/>
          <w:lang w:val="en-GB"/>
        </w:rPr>
        <w:t xml:space="preserve"> elevated risk factors, including obesity, hypertension, and hyperglycaemia (Public Health England, 2020). In Birmingham, public health teams enhance outreach with multilingual resources and community-based screening, addressing cultural and linguistic barriers (The King’s Fund, 2023).</w:t>
      </w:r>
    </w:p>
    <w:p w:rsidR="12234F61" w:rsidP="167DB4A6" w:rsidRDefault="12234F61" w14:paraId="1D74351F" w14:textId="1B5BF9FB">
      <w:pPr>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r w:rsidRPr="167DB4A6" w:rsidR="2709FF0B">
        <w:rPr>
          <w:rFonts w:ascii="Arial" w:hAnsi="Arial" w:eastAsia="Arial" w:cs="Arial"/>
          <w:b w:val="1"/>
          <w:bCs w:val="1"/>
          <w:noProof w:val="0"/>
          <w:color w:val="000000" w:themeColor="text1" w:themeTint="FF" w:themeShade="FF"/>
          <w:sz w:val="22"/>
          <w:szCs w:val="22"/>
          <w:lang w:val="en-GB"/>
        </w:rPr>
        <w:t>Promotion</w:t>
      </w:r>
    </w:p>
    <w:p w:rsidR="12234F61" w:rsidP="167DB4A6" w:rsidRDefault="12234F61" w14:paraId="41E8E035" w14:textId="44CD527A">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2709FF0B">
        <w:rPr>
          <w:rFonts w:ascii="Arial" w:hAnsi="Arial" w:eastAsia="Arial" w:cs="Arial"/>
          <w:noProof w:val="0"/>
          <w:color w:val="000000" w:themeColor="text1" w:themeTint="FF" w:themeShade="FF"/>
          <w:sz w:val="22"/>
          <w:szCs w:val="22"/>
          <w:lang w:val="en-GB"/>
        </w:rPr>
        <w:t>Health promotion increases awareness of T2D risk factors, self-management, and preventive behaviours. Campaigns tailored for South Asian populations emphasise culturally relevant messaging on diet, physical activity, and glucose monitoring (Diabetes UK, 2022). Community engagement via faith-based organisations, mosques, temples, and community centres delivers education sessions, cooking workshops, and exercise programmes specifically for South Asian adults (The King’s Fund, 2023). These initiatives improve health literacy and support sustained behavioural changes.</w:t>
      </w:r>
    </w:p>
    <w:p w:rsidR="12234F61" w:rsidP="167DB4A6" w:rsidRDefault="12234F61" w14:paraId="7E2CB0C4" w14:textId="5888504E">
      <w:pPr>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r w:rsidRPr="167DB4A6" w:rsidR="2709FF0B">
        <w:rPr>
          <w:rFonts w:ascii="Arial" w:hAnsi="Arial" w:eastAsia="Arial" w:cs="Arial"/>
          <w:b w:val="1"/>
          <w:bCs w:val="1"/>
          <w:noProof w:val="0"/>
          <w:color w:val="000000" w:themeColor="text1" w:themeTint="FF" w:themeShade="FF"/>
          <w:sz w:val="22"/>
          <w:szCs w:val="22"/>
          <w:lang w:val="en-GB"/>
        </w:rPr>
        <w:t>Protection</w:t>
      </w:r>
    </w:p>
    <w:p w:rsidR="12234F61" w:rsidP="167DB4A6" w:rsidRDefault="12234F61" w14:paraId="77058086" w14:textId="03CC3B3B">
      <w:pPr>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2709FF0B">
        <w:rPr>
          <w:rFonts w:ascii="Arial" w:hAnsi="Arial" w:eastAsia="Arial" w:cs="Arial"/>
          <w:noProof w:val="0"/>
          <w:color w:val="000000" w:themeColor="text1" w:themeTint="FF" w:themeShade="FF"/>
          <w:sz w:val="22"/>
          <w:szCs w:val="22"/>
          <w:lang w:val="en-GB"/>
        </w:rPr>
        <w:t>Protection focuses on structural interventions to reduce disease onset and complications. Birmingham healthcare providers ensure access to diagnostics and treatment, including HbA1c monitoring, retinal screening, and cardiovascular risk assessment (Public Health England, 2020). Policy initiatives such as the NHS Diabetes Prevention Programme target ethnic minorities in deprived areas, improving access and outcomes (</w:t>
      </w:r>
      <w:r w:rsidRPr="167DB4A6" w:rsidR="2709FF0B">
        <w:rPr>
          <w:rFonts w:ascii="Arial" w:hAnsi="Arial" w:eastAsia="Arial" w:cs="Arial"/>
          <w:noProof w:val="0"/>
          <w:color w:val="000000" w:themeColor="text1" w:themeTint="FF" w:themeShade="FF"/>
          <w:sz w:val="22"/>
          <w:szCs w:val="22"/>
          <w:lang w:val="en-GB"/>
        </w:rPr>
        <w:t>Khunti</w:t>
      </w:r>
      <w:r w:rsidRPr="167DB4A6" w:rsidR="2709FF0B">
        <w:rPr>
          <w:rFonts w:ascii="Arial" w:hAnsi="Arial" w:eastAsia="Arial" w:cs="Arial"/>
          <w:noProof w:val="0"/>
          <w:color w:val="000000" w:themeColor="text1" w:themeTint="FF" w:themeShade="FF"/>
          <w:sz w:val="22"/>
          <w:szCs w:val="22"/>
          <w:lang w:val="en-GB"/>
        </w:rPr>
        <w:t xml:space="preserve"> et al., 2023). Regulatory measures addressing food labelling, marketing of sugary products, and promotion of healthy environments further contribute to population-level protection (Bambra, 2020).</w:t>
      </w:r>
    </w:p>
    <w:p w:rsidR="12234F61" w:rsidP="167DB4A6" w:rsidRDefault="12234F61" w14:paraId="50974539" w14:textId="2DAF0470">
      <w:pPr>
        <w:pStyle w:val="Heading3"/>
        <w:keepNext w:val="0"/>
        <w:keepLines w:val="1"/>
        <w:spacing w:before="240" w:beforeAutospacing="off" w:after="240" w:afterAutospacing="off" w:line="360" w:lineRule="auto"/>
        <w:ind/>
        <w:contextualSpacing/>
        <w:jc w:val="center"/>
        <w:rPr>
          <w:rFonts w:ascii="Arial" w:hAnsi="Arial" w:eastAsia="Arial" w:cs="Arial"/>
          <w:b w:val="1"/>
          <w:bCs w:val="1"/>
          <w:noProof w:val="0"/>
          <w:color w:val="000000" w:themeColor="text1" w:themeTint="FF" w:themeShade="FF"/>
          <w:sz w:val="22"/>
          <w:szCs w:val="22"/>
          <w:u w:val="single"/>
          <w:lang w:val="en-GB"/>
        </w:rPr>
      </w:pPr>
      <w:r w:rsidRPr="167DB4A6" w:rsidR="16C3EDF3">
        <w:rPr>
          <w:rFonts w:ascii="Arial" w:hAnsi="Arial" w:eastAsia="Arial" w:cs="Arial"/>
          <w:b w:val="1"/>
          <w:bCs w:val="1"/>
          <w:noProof w:val="0"/>
          <w:color w:val="000000" w:themeColor="text1" w:themeTint="FF" w:themeShade="FF"/>
          <w:sz w:val="22"/>
          <w:szCs w:val="22"/>
          <w:u w:val="single"/>
          <w:lang w:val="en-GB"/>
        </w:rPr>
        <w:t>Key Determinants and Risk Factors</w:t>
      </w:r>
    </w:p>
    <w:p w:rsidR="12234F61" w:rsidP="167DB4A6" w:rsidRDefault="12234F61" w14:paraId="6DDCA9B7" w14:textId="541DB4DE">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16C3EDF3">
        <w:rPr>
          <w:rFonts w:ascii="Arial" w:hAnsi="Arial" w:eastAsia="Arial" w:cs="Arial"/>
          <w:b w:val="1"/>
          <w:bCs w:val="1"/>
          <w:noProof w:val="0"/>
          <w:color w:val="000000" w:themeColor="text1" w:themeTint="FF" w:themeShade="FF"/>
          <w:sz w:val="22"/>
          <w:szCs w:val="22"/>
          <w:lang w:val="en-GB"/>
        </w:rPr>
        <w:t>Genetic and Biological Facto</w:t>
      </w:r>
      <w:r w:rsidRPr="167DB4A6" w:rsidR="16C3EDF3">
        <w:rPr>
          <w:rFonts w:ascii="Arial" w:hAnsi="Arial" w:eastAsia="Arial" w:cs="Arial"/>
          <w:b w:val="1"/>
          <w:bCs w:val="1"/>
          <w:noProof w:val="0"/>
          <w:sz w:val="22"/>
          <w:szCs w:val="22"/>
          <w:lang w:val="en-GB"/>
        </w:rPr>
        <w:t>rs</w:t>
      </w:r>
    </w:p>
    <w:p w:rsidR="12234F61" w:rsidP="167DB4A6" w:rsidRDefault="12234F61" w14:paraId="67D6D91B" w14:textId="598253CF">
      <w:pPr>
        <w:spacing w:before="240" w:beforeAutospacing="off" w:after="240" w:afterAutospacing="off" w:line="360" w:lineRule="auto"/>
        <w:ind/>
        <w:jc w:val="both"/>
        <w:rPr>
          <w:rFonts w:ascii="Arial" w:hAnsi="Arial" w:eastAsia="Arial" w:cs="Arial"/>
          <w:noProof w:val="0"/>
          <w:sz w:val="22"/>
          <w:szCs w:val="22"/>
          <w:lang w:val="en-GB"/>
        </w:rPr>
      </w:pPr>
      <w:r w:rsidRPr="167DB4A6" w:rsidR="16C3EDF3">
        <w:rPr>
          <w:rFonts w:ascii="Arial" w:hAnsi="Arial" w:eastAsia="Arial" w:cs="Arial"/>
          <w:noProof w:val="0"/>
          <w:sz w:val="22"/>
          <w:szCs w:val="22"/>
          <w:lang w:val="en-GB"/>
        </w:rPr>
        <w:t>South Asian populations have a higher genetic predisposition to insulin resistance, central adiposity, and beta-cell dysfunction, increasing susceptibility to T2D even at lower BMI (</w:t>
      </w:r>
      <w:r w:rsidRPr="167DB4A6" w:rsidR="16C3EDF3">
        <w:rPr>
          <w:rFonts w:ascii="Arial" w:hAnsi="Arial" w:eastAsia="Arial" w:cs="Arial"/>
          <w:noProof w:val="0"/>
          <w:sz w:val="22"/>
          <w:szCs w:val="22"/>
          <w:lang w:val="en-GB"/>
        </w:rPr>
        <w:t>Khunti</w:t>
      </w:r>
      <w:r w:rsidRPr="167DB4A6" w:rsidR="16C3EDF3">
        <w:rPr>
          <w:rFonts w:ascii="Arial" w:hAnsi="Arial" w:eastAsia="Arial" w:cs="Arial"/>
          <w:noProof w:val="0"/>
          <w:sz w:val="22"/>
          <w:szCs w:val="22"/>
          <w:lang w:val="en-GB"/>
        </w:rPr>
        <w:t xml:space="preserve"> et al., 2023; Sattar &amp; Gill, 2015). Onset of T2D typically occurs 5</w:t>
      </w:r>
      <w:r w:rsidRPr="167DB4A6" w:rsidR="32F60431">
        <w:rPr>
          <w:rFonts w:ascii="Arial" w:hAnsi="Arial" w:eastAsia="Arial" w:cs="Arial"/>
          <w:noProof w:val="0"/>
          <w:sz w:val="22"/>
          <w:szCs w:val="22"/>
          <w:lang w:val="en-GB"/>
        </w:rPr>
        <w:t>-</w:t>
      </w:r>
      <w:r w:rsidRPr="167DB4A6" w:rsidR="16C3EDF3">
        <w:rPr>
          <w:rFonts w:ascii="Arial" w:hAnsi="Arial" w:eastAsia="Arial" w:cs="Arial"/>
          <w:noProof w:val="0"/>
          <w:sz w:val="22"/>
          <w:szCs w:val="22"/>
          <w:lang w:val="en-GB"/>
        </w:rPr>
        <w:t>10 years earlier than in White populations, with elevated risk of complications including cardiovascular disease and nephropathy (The King’s Fund, 2023).</w:t>
      </w:r>
    </w:p>
    <w:p w:rsidR="12234F61" w:rsidP="167DB4A6" w:rsidRDefault="12234F61" w14:paraId="103A3C78" w14:textId="1A26E14A">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16C3EDF3">
        <w:rPr>
          <w:rFonts w:ascii="Arial" w:hAnsi="Arial" w:eastAsia="Arial" w:cs="Arial"/>
          <w:b w:val="1"/>
          <w:bCs w:val="1"/>
          <w:noProof w:val="0"/>
          <w:sz w:val="22"/>
          <w:szCs w:val="22"/>
          <w:lang w:val="en-GB"/>
        </w:rPr>
        <w:t>Lifestyle and Behavioural Factors</w:t>
      </w:r>
    </w:p>
    <w:p w:rsidR="12234F61" w:rsidP="167DB4A6" w:rsidRDefault="12234F61" w14:paraId="4F961335" w14:textId="0F32C8FD">
      <w:pPr>
        <w:spacing w:before="240" w:beforeAutospacing="off" w:after="240" w:afterAutospacing="off" w:line="360" w:lineRule="auto"/>
        <w:ind/>
        <w:jc w:val="both"/>
        <w:rPr>
          <w:rFonts w:ascii="Arial" w:hAnsi="Arial" w:eastAsia="Arial" w:cs="Arial"/>
          <w:noProof w:val="0"/>
          <w:sz w:val="22"/>
          <w:szCs w:val="22"/>
          <w:lang w:val="en-GB"/>
        </w:rPr>
      </w:pPr>
      <w:r w:rsidRPr="167DB4A6" w:rsidR="16C3EDF3">
        <w:rPr>
          <w:rFonts w:ascii="Arial" w:hAnsi="Arial" w:eastAsia="Arial" w:cs="Arial"/>
          <w:noProof w:val="0"/>
          <w:sz w:val="22"/>
          <w:szCs w:val="22"/>
          <w:lang w:val="en-GB"/>
        </w:rPr>
        <w:t>High-calorie diets rich in refined carbohydrates, saturated fats, and sugars, combined with sedentary lifestyles and urban living, contribute to obesity and insulin resistance (Diabetes UK, 2022; Bambra, 2020). Cultural norms, including lower participation in structured exercise and gender-specific activity restrictions, further influence T2D risk (</w:t>
      </w:r>
      <w:r w:rsidRPr="167DB4A6" w:rsidR="16C3EDF3">
        <w:rPr>
          <w:rFonts w:ascii="Arial" w:hAnsi="Arial" w:eastAsia="Arial" w:cs="Arial"/>
          <w:noProof w:val="0"/>
          <w:sz w:val="22"/>
          <w:szCs w:val="22"/>
          <w:lang w:val="en-GB"/>
        </w:rPr>
        <w:t>Nazroo</w:t>
      </w:r>
      <w:r w:rsidRPr="167DB4A6" w:rsidR="16C3EDF3">
        <w:rPr>
          <w:rFonts w:ascii="Arial" w:hAnsi="Arial" w:eastAsia="Arial" w:cs="Arial"/>
          <w:noProof w:val="0"/>
          <w:sz w:val="22"/>
          <w:szCs w:val="22"/>
          <w:lang w:val="en-GB"/>
        </w:rPr>
        <w:t xml:space="preserve"> &amp; Williams, 2006).</w:t>
      </w:r>
    </w:p>
    <w:p w:rsidR="12234F61" w:rsidP="167DB4A6" w:rsidRDefault="12234F61" w14:paraId="0312B43C" w14:textId="1E271F31">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16C3EDF3">
        <w:rPr>
          <w:rFonts w:ascii="Arial" w:hAnsi="Arial" w:eastAsia="Arial" w:cs="Arial"/>
          <w:b w:val="1"/>
          <w:bCs w:val="1"/>
          <w:noProof w:val="0"/>
          <w:sz w:val="22"/>
          <w:szCs w:val="22"/>
          <w:lang w:val="en-GB"/>
        </w:rPr>
        <w:t>Socioeconomic and Environmental Determinants</w:t>
      </w:r>
    </w:p>
    <w:p w:rsidR="12234F61" w:rsidP="167DB4A6" w:rsidRDefault="12234F61" w14:paraId="74069FE8" w14:textId="53820F16">
      <w:pPr>
        <w:spacing w:before="240" w:beforeAutospacing="off" w:after="240" w:afterAutospacing="off" w:line="360" w:lineRule="auto"/>
        <w:ind/>
        <w:jc w:val="both"/>
        <w:rPr>
          <w:rFonts w:ascii="Arial" w:hAnsi="Arial" w:eastAsia="Arial" w:cs="Arial"/>
          <w:noProof w:val="0"/>
          <w:sz w:val="22"/>
          <w:szCs w:val="22"/>
          <w:lang w:val="en-GB"/>
        </w:rPr>
      </w:pPr>
      <w:r w:rsidRPr="167DB4A6" w:rsidR="16C3EDF3">
        <w:rPr>
          <w:rFonts w:ascii="Arial" w:hAnsi="Arial" w:eastAsia="Arial" w:cs="Arial"/>
          <w:noProof w:val="0"/>
          <w:sz w:val="22"/>
          <w:szCs w:val="22"/>
          <w:lang w:val="en-GB"/>
        </w:rPr>
        <w:t xml:space="preserve">Socioeconomic deprivation limits access to healthy foods, safe recreational spaces, and healthcare services (Public Health England, 2020). Many South Asian communities in Birmingham </w:t>
      </w:r>
      <w:r w:rsidRPr="167DB4A6" w:rsidR="16C3EDF3">
        <w:rPr>
          <w:rFonts w:ascii="Arial" w:hAnsi="Arial" w:eastAsia="Arial" w:cs="Arial"/>
          <w:noProof w:val="0"/>
          <w:sz w:val="22"/>
          <w:szCs w:val="22"/>
          <w:lang w:val="en-GB"/>
        </w:rPr>
        <w:t>reside</w:t>
      </w:r>
      <w:r w:rsidRPr="167DB4A6" w:rsidR="16C3EDF3">
        <w:rPr>
          <w:rFonts w:ascii="Arial" w:hAnsi="Arial" w:eastAsia="Arial" w:cs="Arial"/>
          <w:noProof w:val="0"/>
          <w:sz w:val="22"/>
          <w:szCs w:val="22"/>
          <w:lang w:val="en-GB"/>
        </w:rPr>
        <w:t xml:space="preserve"> in high-deprivation areas, facing overcrowding, pollution, and limited green space (Marmot, 2020). Low levels of education and health literacy delay diagnosis and reduce effective self-management of T2D (</w:t>
      </w:r>
      <w:r w:rsidRPr="167DB4A6" w:rsidR="16C3EDF3">
        <w:rPr>
          <w:rFonts w:ascii="Arial" w:hAnsi="Arial" w:eastAsia="Arial" w:cs="Arial"/>
          <w:noProof w:val="0"/>
          <w:sz w:val="22"/>
          <w:szCs w:val="22"/>
          <w:lang w:val="en-GB"/>
        </w:rPr>
        <w:t>Nazroo</w:t>
      </w:r>
      <w:r w:rsidRPr="167DB4A6" w:rsidR="16C3EDF3">
        <w:rPr>
          <w:rFonts w:ascii="Arial" w:hAnsi="Arial" w:eastAsia="Arial" w:cs="Arial"/>
          <w:noProof w:val="0"/>
          <w:sz w:val="22"/>
          <w:szCs w:val="22"/>
          <w:lang w:val="en-GB"/>
        </w:rPr>
        <w:t xml:space="preserve"> &amp; Williams, 2006).</w:t>
      </w:r>
    </w:p>
    <w:p w:rsidR="12234F61" w:rsidP="167DB4A6" w:rsidRDefault="12234F61" w14:paraId="27661E03" w14:textId="65C7A346">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16C3EDF3">
        <w:rPr>
          <w:rFonts w:ascii="Arial" w:hAnsi="Arial" w:eastAsia="Arial" w:cs="Arial"/>
          <w:b w:val="1"/>
          <w:bCs w:val="1"/>
          <w:noProof w:val="0"/>
          <w:sz w:val="22"/>
          <w:szCs w:val="22"/>
          <w:lang w:val="en-GB"/>
        </w:rPr>
        <w:t>Psychosocial Determinants</w:t>
      </w:r>
    </w:p>
    <w:p w:rsidR="12234F61" w:rsidP="167DB4A6" w:rsidRDefault="12234F61" w14:paraId="13AD7224" w14:textId="38CCA88A">
      <w:pPr>
        <w:spacing w:before="240" w:beforeAutospacing="off" w:after="240" w:afterAutospacing="off" w:line="360" w:lineRule="auto"/>
        <w:ind/>
        <w:jc w:val="both"/>
        <w:rPr>
          <w:rFonts w:ascii="Arial" w:hAnsi="Arial" w:eastAsia="Arial" w:cs="Arial"/>
          <w:noProof w:val="0"/>
          <w:sz w:val="22"/>
          <w:szCs w:val="22"/>
          <w:lang w:val="en-GB"/>
        </w:rPr>
      </w:pPr>
      <w:r w:rsidRPr="167DB4A6" w:rsidR="16C3EDF3">
        <w:rPr>
          <w:rFonts w:ascii="Arial" w:hAnsi="Arial" w:eastAsia="Arial" w:cs="Arial"/>
          <w:noProof w:val="0"/>
          <w:sz w:val="22"/>
          <w:szCs w:val="22"/>
          <w:lang w:val="en-GB"/>
        </w:rPr>
        <w:t xml:space="preserve">Chronic stress, social isolation, and migration-related factors influence the risk of T2D. Experiences of discrimination, financial insecurity, and intergenerational pressures elevate cortisol levels, contributing to insulin resistance and poorer metabolic control (Bambra, 2020; </w:t>
      </w:r>
      <w:r w:rsidRPr="167DB4A6" w:rsidR="16C3EDF3">
        <w:rPr>
          <w:rFonts w:ascii="Arial" w:hAnsi="Arial" w:eastAsia="Arial" w:cs="Arial"/>
          <w:noProof w:val="0"/>
          <w:sz w:val="22"/>
          <w:szCs w:val="22"/>
          <w:lang w:val="en-GB"/>
        </w:rPr>
        <w:t>Bhui</w:t>
      </w:r>
      <w:r w:rsidRPr="167DB4A6" w:rsidR="16C3EDF3">
        <w:rPr>
          <w:rFonts w:ascii="Arial" w:hAnsi="Arial" w:eastAsia="Arial" w:cs="Arial"/>
          <w:noProof w:val="0"/>
          <w:sz w:val="22"/>
          <w:szCs w:val="22"/>
          <w:lang w:val="en-GB"/>
        </w:rPr>
        <w:t xml:space="preserve">, Halvorsrud &amp; </w:t>
      </w:r>
      <w:r w:rsidRPr="167DB4A6" w:rsidR="16C3EDF3">
        <w:rPr>
          <w:rFonts w:ascii="Arial" w:hAnsi="Arial" w:eastAsia="Arial" w:cs="Arial"/>
          <w:noProof w:val="0"/>
          <w:sz w:val="22"/>
          <w:szCs w:val="22"/>
          <w:lang w:val="en-GB"/>
        </w:rPr>
        <w:t>Nazroo</w:t>
      </w:r>
      <w:r w:rsidRPr="167DB4A6" w:rsidR="16C3EDF3">
        <w:rPr>
          <w:rFonts w:ascii="Arial" w:hAnsi="Arial" w:eastAsia="Arial" w:cs="Arial"/>
          <w:noProof w:val="0"/>
          <w:sz w:val="22"/>
          <w:szCs w:val="22"/>
          <w:lang w:val="en-GB"/>
        </w:rPr>
        <w:t>, 2018).</w:t>
      </w:r>
    </w:p>
    <w:p w:rsidR="12234F61" w:rsidP="167DB4A6" w:rsidRDefault="12234F61" w14:paraId="260DD877" w14:textId="386D5DC5">
      <w:pPr>
        <w:pStyle w:val="Normal"/>
        <w:spacing w:before="240" w:beforeAutospacing="off" w:after="240" w:afterAutospacing="off" w:line="360" w:lineRule="auto"/>
        <w:ind/>
        <w:jc w:val="center"/>
        <w:rPr>
          <w:rFonts w:ascii="Arial" w:hAnsi="Arial" w:eastAsia="Arial" w:cs="Arial"/>
          <w:b w:val="1"/>
          <w:bCs w:val="1"/>
          <w:noProof w:val="0"/>
          <w:sz w:val="22"/>
          <w:szCs w:val="22"/>
          <w:u w:val="single"/>
          <w:lang w:val="en-GB"/>
        </w:rPr>
      </w:pPr>
      <w:r w:rsidRPr="167DB4A6" w:rsidR="16C3EDF3">
        <w:rPr>
          <w:rFonts w:ascii="Arial" w:hAnsi="Arial" w:eastAsia="Arial" w:cs="Arial"/>
          <w:b w:val="1"/>
          <w:bCs w:val="1"/>
          <w:noProof w:val="0"/>
          <w:sz w:val="22"/>
          <w:szCs w:val="22"/>
          <w:u w:val="single"/>
          <w:lang w:val="en-GB"/>
        </w:rPr>
        <w:t>Identification of At-Risk Population / Health Needs Assessment</w:t>
      </w:r>
    </w:p>
    <w:p w:rsidR="12234F61" w:rsidP="167DB4A6" w:rsidRDefault="12234F61" w14:paraId="5C42DECA" w14:textId="1C8F0EB5">
      <w:pPr>
        <w:spacing w:before="240" w:beforeAutospacing="off" w:after="240" w:afterAutospacing="off" w:line="360" w:lineRule="auto"/>
        <w:ind/>
        <w:jc w:val="both"/>
        <w:rPr>
          <w:rFonts w:ascii="Arial" w:hAnsi="Arial" w:eastAsia="Arial" w:cs="Arial"/>
          <w:b w:val="1"/>
          <w:bCs w:val="1"/>
          <w:noProof w:val="0"/>
          <w:sz w:val="22"/>
          <w:szCs w:val="22"/>
          <w:lang w:val="en-GB"/>
        </w:rPr>
      </w:pPr>
      <w:r w:rsidRPr="167DB4A6" w:rsidR="16C3EDF3">
        <w:rPr>
          <w:rFonts w:ascii="Arial" w:hAnsi="Arial" w:eastAsia="Arial" w:cs="Arial"/>
          <w:b w:val="1"/>
          <w:bCs w:val="1"/>
          <w:noProof w:val="0"/>
          <w:sz w:val="22"/>
          <w:szCs w:val="22"/>
          <w:lang w:val="en-GB"/>
        </w:rPr>
        <w:t>Demographic and Geographic Focus</w:t>
      </w:r>
    </w:p>
    <w:p w:rsidR="12234F61" w:rsidP="167DB4A6" w:rsidRDefault="12234F61" w14:paraId="4611EA88" w14:textId="1AA4C862">
      <w:pPr>
        <w:spacing w:before="240" w:beforeAutospacing="off" w:after="240" w:afterAutospacing="off" w:line="360" w:lineRule="auto"/>
        <w:ind/>
        <w:jc w:val="both"/>
        <w:rPr>
          <w:rFonts w:ascii="Arial" w:hAnsi="Arial" w:eastAsia="Arial" w:cs="Arial"/>
          <w:noProof w:val="0"/>
          <w:sz w:val="22"/>
          <w:szCs w:val="22"/>
          <w:lang w:val="en-GB"/>
        </w:rPr>
      </w:pPr>
      <w:r w:rsidRPr="167DB4A6" w:rsidR="16C3EDF3">
        <w:rPr>
          <w:rFonts w:ascii="Arial" w:hAnsi="Arial" w:eastAsia="Arial" w:cs="Arial"/>
          <w:noProof w:val="0"/>
          <w:sz w:val="22"/>
          <w:szCs w:val="22"/>
          <w:lang w:val="en-GB"/>
        </w:rPr>
        <w:t xml:space="preserve">South Asians </w:t>
      </w:r>
      <w:r w:rsidRPr="167DB4A6" w:rsidR="16C3EDF3">
        <w:rPr>
          <w:rFonts w:ascii="Arial" w:hAnsi="Arial" w:eastAsia="Arial" w:cs="Arial"/>
          <w:noProof w:val="0"/>
          <w:sz w:val="22"/>
          <w:szCs w:val="22"/>
          <w:lang w:val="en-GB"/>
        </w:rPr>
        <w:t>comprise</w:t>
      </w:r>
      <w:r w:rsidRPr="167DB4A6" w:rsidR="16C3EDF3">
        <w:rPr>
          <w:rFonts w:ascii="Arial" w:hAnsi="Arial" w:eastAsia="Arial" w:cs="Arial"/>
          <w:noProof w:val="0"/>
          <w:sz w:val="22"/>
          <w:szCs w:val="22"/>
          <w:lang w:val="en-GB"/>
        </w:rPr>
        <w:t xml:space="preserve"> approximately 23% of Birmingham’s population, concentrated in areas such as Sparkhill, Handsworth, and Small Heath (ONS, 2021). Local data indicate T2D prevalence of 18</w:t>
      </w:r>
      <w:r w:rsidRPr="167DB4A6" w:rsidR="1B2A91A0">
        <w:rPr>
          <w:rFonts w:ascii="Arial" w:hAnsi="Arial" w:eastAsia="Arial" w:cs="Arial"/>
          <w:noProof w:val="0"/>
          <w:sz w:val="22"/>
          <w:szCs w:val="22"/>
          <w:lang w:val="en-GB"/>
        </w:rPr>
        <w:t>-</w:t>
      </w:r>
      <w:r w:rsidRPr="167DB4A6" w:rsidR="16C3EDF3">
        <w:rPr>
          <w:rFonts w:ascii="Arial" w:hAnsi="Arial" w:eastAsia="Arial" w:cs="Arial"/>
          <w:noProof w:val="0"/>
          <w:sz w:val="22"/>
          <w:szCs w:val="22"/>
          <w:lang w:val="en-GB"/>
        </w:rPr>
        <w:t>20% among South Asian adults, compared to 7</w:t>
      </w:r>
      <w:r w:rsidRPr="167DB4A6" w:rsidR="0F502781">
        <w:rPr>
          <w:rFonts w:ascii="Arial" w:hAnsi="Arial" w:eastAsia="Arial" w:cs="Arial"/>
          <w:noProof w:val="0"/>
          <w:sz w:val="22"/>
          <w:szCs w:val="22"/>
          <w:lang w:val="en-GB"/>
        </w:rPr>
        <w:t>-</w:t>
      </w:r>
      <w:r w:rsidRPr="167DB4A6" w:rsidR="16C3EDF3">
        <w:rPr>
          <w:rFonts w:ascii="Arial" w:hAnsi="Arial" w:eastAsia="Arial" w:cs="Arial"/>
          <w:noProof w:val="0"/>
          <w:sz w:val="22"/>
          <w:szCs w:val="22"/>
          <w:lang w:val="en-GB"/>
        </w:rPr>
        <w:t>8% among White adults (Diabetes UK, 2022). Targeting these communities with culturally sensitive interventions is crucial for early detection and prevention of complications.</w:t>
      </w:r>
    </w:p>
    <w:p w:rsidR="12234F61" w:rsidP="167DB4A6" w:rsidRDefault="12234F61" w14:paraId="2DD2CB5A" w14:textId="30ADBFDF">
      <w:pPr>
        <w:spacing w:before="240" w:beforeAutospacing="off" w:after="240" w:afterAutospacing="off" w:line="360" w:lineRule="auto"/>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Health Needs Assessment</w:t>
      </w:r>
    </w:p>
    <w:p w:rsidR="12234F61" w:rsidP="167DB4A6" w:rsidRDefault="12234F61" w14:paraId="57D5998E" w14:textId="11898ADA">
      <w:pPr>
        <w:spacing w:before="240" w:beforeAutospacing="off" w:after="240" w:afterAutospacing="off"/>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Key Findings</w:t>
      </w:r>
    </w:p>
    <w:p w:rsidR="12234F61" w:rsidP="167DB4A6" w:rsidRDefault="12234F61" w14:paraId="38EA10F6" w14:textId="3A4AA566">
      <w:pPr>
        <w:pStyle w:val="ListParagraph"/>
        <w:numPr>
          <w:ilvl w:val="0"/>
          <w:numId w:val="19"/>
        </w:num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Early onset of T2D increases lifetime complication risk among South Asian adults (</w:t>
      </w:r>
      <w:r w:rsidRPr="167DB4A6" w:rsidR="0D7BA14C">
        <w:rPr>
          <w:rFonts w:ascii="Arial" w:hAnsi="Arial" w:eastAsia="Arial" w:cs="Arial"/>
          <w:noProof w:val="0"/>
          <w:color w:val="000000" w:themeColor="text1" w:themeTint="FF" w:themeShade="FF"/>
          <w:sz w:val="22"/>
          <w:szCs w:val="22"/>
          <w:lang w:val="en-GB"/>
        </w:rPr>
        <w:t>Khunti</w:t>
      </w:r>
      <w:r w:rsidRPr="167DB4A6" w:rsidR="0D7BA14C">
        <w:rPr>
          <w:rFonts w:ascii="Arial" w:hAnsi="Arial" w:eastAsia="Arial" w:cs="Arial"/>
          <w:noProof w:val="0"/>
          <w:color w:val="000000" w:themeColor="text1" w:themeTint="FF" w:themeShade="FF"/>
          <w:sz w:val="22"/>
          <w:szCs w:val="22"/>
          <w:lang w:val="en-GB"/>
        </w:rPr>
        <w:t xml:space="preserve"> et al., 2023).</w:t>
      </w:r>
    </w:p>
    <w:p w:rsidR="12234F61" w:rsidP="167DB4A6" w:rsidRDefault="12234F61" w14:paraId="34883519" w14:textId="043C445C">
      <w:pPr>
        <w:pStyle w:val="ListParagraph"/>
        <w:numPr>
          <w:ilvl w:val="0"/>
          <w:numId w:val="19"/>
        </w:num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 xml:space="preserve">High comorbidity rates are </w:t>
      </w:r>
      <w:r w:rsidRPr="167DB4A6" w:rsidR="0D7BA14C">
        <w:rPr>
          <w:rFonts w:ascii="Arial" w:hAnsi="Arial" w:eastAsia="Arial" w:cs="Arial"/>
          <w:noProof w:val="0"/>
          <w:color w:val="000000" w:themeColor="text1" w:themeTint="FF" w:themeShade="FF"/>
          <w:sz w:val="22"/>
          <w:szCs w:val="22"/>
          <w:lang w:val="en-GB"/>
        </w:rPr>
        <w:t>observed</w:t>
      </w:r>
      <w:r w:rsidRPr="167DB4A6" w:rsidR="0D7BA14C">
        <w:rPr>
          <w:rFonts w:ascii="Arial" w:hAnsi="Arial" w:eastAsia="Arial" w:cs="Arial"/>
          <w:noProof w:val="0"/>
          <w:color w:val="000000" w:themeColor="text1" w:themeTint="FF" w:themeShade="FF"/>
          <w:sz w:val="22"/>
          <w:szCs w:val="22"/>
          <w:lang w:val="en-GB"/>
        </w:rPr>
        <w:t>, including cardiovascular disease, hypertension, and obesity (The King’s Fund, 2023).</w:t>
      </w:r>
    </w:p>
    <w:p w:rsidR="12234F61" w:rsidP="167DB4A6" w:rsidRDefault="12234F61" w14:paraId="32BA7A66" w14:textId="2DA866E0">
      <w:pPr>
        <w:pStyle w:val="ListParagraph"/>
        <w:numPr>
          <w:ilvl w:val="0"/>
          <w:numId w:val="19"/>
        </w:num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Engagement with preventive services is limited due to cultural, linguistic, and socioeconomic barriers (</w:t>
      </w:r>
      <w:r w:rsidRPr="167DB4A6" w:rsidR="0D7BA14C">
        <w:rPr>
          <w:rFonts w:ascii="Arial" w:hAnsi="Arial" w:eastAsia="Arial" w:cs="Arial"/>
          <w:noProof w:val="0"/>
          <w:color w:val="000000" w:themeColor="text1" w:themeTint="FF" w:themeShade="FF"/>
          <w:sz w:val="22"/>
          <w:szCs w:val="22"/>
          <w:lang w:val="en-GB"/>
        </w:rPr>
        <w:t>Nazroo</w:t>
      </w:r>
      <w:r w:rsidRPr="167DB4A6" w:rsidR="0D7BA14C">
        <w:rPr>
          <w:rFonts w:ascii="Arial" w:hAnsi="Arial" w:eastAsia="Arial" w:cs="Arial"/>
          <w:noProof w:val="0"/>
          <w:color w:val="000000" w:themeColor="text1" w:themeTint="FF" w:themeShade="FF"/>
          <w:sz w:val="22"/>
          <w:szCs w:val="22"/>
          <w:lang w:val="en-GB"/>
        </w:rPr>
        <w:t xml:space="preserve"> &amp; Williams, 2006).</w:t>
      </w:r>
    </w:p>
    <w:p w:rsidR="12234F61" w:rsidP="167DB4A6" w:rsidRDefault="12234F61" w14:paraId="27E0C771" w14:textId="3347C5AC">
      <w:pPr>
        <w:pStyle w:val="ListParagraph"/>
        <w:numPr>
          <w:ilvl w:val="0"/>
          <w:numId w:val="19"/>
        </w:num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 xml:space="preserve">Targeted interventions are </w:t>
      </w:r>
      <w:r w:rsidRPr="167DB4A6" w:rsidR="0D7BA14C">
        <w:rPr>
          <w:rFonts w:ascii="Arial" w:hAnsi="Arial" w:eastAsia="Arial" w:cs="Arial"/>
          <w:noProof w:val="0"/>
          <w:color w:val="000000" w:themeColor="text1" w:themeTint="FF" w:themeShade="FF"/>
          <w:sz w:val="22"/>
          <w:szCs w:val="22"/>
          <w:lang w:val="en-GB"/>
        </w:rPr>
        <w:t>required</w:t>
      </w:r>
      <w:r w:rsidRPr="167DB4A6" w:rsidR="0D7BA14C">
        <w:rPr>
          <w:rFonts w:ascii="Arial" w:hAnsi="Arial" w:eastAsia="Arial" w:cs="Arial"/>
          <w:noProof w:val="0"/>
          <w:color w:val="000000" w:themeColor="text1" w:themeTint="FF" w:themeShade="FF"/>
          <w:sz w:val="22"/>
          <w:szCs w:val="22"/>
          <w:lang w:val="en-GB"/>
        </w:rPr>
        <w:t>, including enhanced community outreach, culturally tailored education, and improved screening and primary care access.</w:t>
      </w:r>
    </w:p>
    <w:p w:rsidR="12234F61" w:rsidP="167DB4A6" w:rsidRDefault="12234F61" w14:paraId="6BEF634A" w14:textId="1DEB4C98">
      <w:pPr>
        <w:pStyle w:val="Normal"/>
        <w:spacing w:before="240" w:beforeAutospacing="off" w:after="240" w:afterAutospacing="off"/>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Risk Stratification</w:t>
      </w:r>
    </w:p>
    <w:p w:rsidR="12234F61" w:rsidP="167DB4A6" w:rsidRDefault="12234F61" w14:paraId="549CAC2F" w14:textId="4B177937">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High-risk individuals include those with a family history of diabetes, obesity, sedentary lifestyle, or residence in deprived areas (Public Health England, 2020</w:t>
      </w:r>
      <w:r w:rsidRPr="167DB4A6" w:rsidR="62C8ECCF">
        <w:rPr>
          <w:rFonts w:ascii="Arial" w:hAnsi="Arial" w:eastAsia="Arial" w:cs="Arial"/>
          <w:noProof w:val="0"/>
          <w:color w:val="000000" w:themeColor="text1" w:themeTint="FF" w:themeShade="FF"/>
          <w:sz w:val="22"/>
          <w:szCs w:val="22"/>
          <w:lang w:val="en-GB"/>
        </w:rPr>
        <w:t>). Risk</w:t>
      </w:r>
      <w:r w:rsidRPr="167DB4A6" w:rsidR="0D7BA14C">
        <w:rPr>
          <w:rFonts w:ascii="Arial" w:hAnsi="Arial" w:eastAsia="Arial" w:cs="Arial"/>
          <w:noProof w:val="0"/>
          <w:color w:val="000000" w:themeColor="text1" w:themeTint="FF" w:themeShade="FF"/>
          <w:sz w:val="22"/>
          <w:szCs w:val="22"/>
          <w:lang w:val="en-GB"/>
        </w:rPr>
        <w:t xml:space="preserve"> stratification enables focused allocation of resources for prevention, monitoring, and treatment.</w:t>
      </w:r>
    </w:p>
    <w:p w:rsidR="12234F61" w:rsidP="167DB4A6" w:rsidRDefault="12234F61" w14:paraId="7D504CBD" w14:textId="03860C16">
      <w:pPr>
        <w:pStyle w:val="Normal"/>
        <w:spacing w:before="240" w:beforeAutospacing="off" w:after="240" w:afterAutospacing="off"/>
        <w:ind/>
        <w:jc w:val="center"/>
        <w:rPr>
          <w:rFonts w:ascii="Arial" w:hAnsi="Arial" w:eastAsia="Arial" w:cs="Arial"/>
          <w:b w:val="1"/>
          <w:bCs w:val="1"/>
          <w:noProof w:val="0"/>
          <w:color w:val="000000" w:themeColor="text1" w:themeTint="FF" w:themeShade="FF"/>
          <w:sz w:val="22"/>
          <w:szCs w:val="22"/>
          <w:u w:val="single"/>
          <w:lang w:val="en-GB"/>
        </w:rPr>
      </w:pPr>
      <w:r w:rsidRPr="167DB4A6" w:rsidR="0D7BA14C">
        <w:rPr>
          <w:rFonts w:ascii="Arial" w:hAnsi="Arial" w:eastAsia="Arial" w:cs="Arial"/>
          <w:b w:val="1"/>
          <w:bCs w:val="1"/>
          <w:noProof w:val="0"/>
          <w:color w:val="000000" w:themeColor="text1" w:themeTint="FF" w:themeShade="FF"/>
          <w:sz w:val="22"/>
          <w:szCs w:val="22"/>
          <w:u w:val="single"/>
          <w:lang w:val="en-GB"/>
        </w:rPr>
        <w:t>Monitoring and Surveillance Systems for Type 2 Diabetes</w:t>
      </w:r>
    </w:p>
    <w:p w:rsidR="12234F61" w:rsidP="167DB4A6" w:rsidRDefault="12234F61" w14:paraId="43DD5C29" w14:textId="31413714">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National Diabetes Audit (NDA)</w:t>
      </w:r>
      <w:r>
        <w:br/>
      </w:r>
      <w:r w:rsidRPr="167DB4A6" w:rsidR="0D7BA14C">
        <w:rPr>
          <w:rFonts w:ascii="Arial" w:hAnsi="Arial" w:eastAsia="Arial" w:cs="Arial"/>
          <w:noProof w:val="0"/>
          <w:color w:val="000000" w:themeColor="text1" w:themeTint="FF" w:themeShade="FF"/>
          <w:sz w:val="22"/>
          <w:szCs w:val="22"/>
          <w:lang w:val="en-GB"/>
        </w:rPr>
        <w:t>The NDA provides comprehensive data on diabetes prevalence, management, and outcomes, including breakdowns by ethnicity and geography (NHS Digital, 2022).</w:t>
      </w:r>
    </w:p>
    <w:p w:rsidR="12234F61" w:rsidP="167DB4A6" w:rsidRDefault="12234F61" w14:paraId="20EDC9DE" w14:textId="3D43C907">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Public Health Surveillance Systems</w:t>
      </w:r>
      <w:r>
        <w:br/>
      </w:r>
      <w:r w:rsidRPr="167DB4A6" w:rsidR="0D7BA14C">
        <w:rPr>
          <w:rFonts w:ascii="Arial" w:hAnsi="Arial" w:eastAsia="Arial" w:cs="Arial"/>
          <w:noProof w:val="0"/>
          <w:color w:val="000000" w:themeColor="text1" w:themeTint="FF" w:themeShade="FF"/>
          <w:sz w:val="22"/>
          <w:szCs w:val="22"/>
          <w:lang w:val="en-GB"/>
        </w:rPr>
        <w:t>Public Health England utilises Public Health Profiles and hospital episode statistics to monitor T2D incidence, comorbidities, and hospital admissions (Public Health England, 2020).</w:t>
      </w:r>
    </w:p>
    <w:p w:rsidR="12234F61" w:rsidP="167DB4A6" w:rsidRDefault="12234F61" w14:paraId="770E0090" w14:textId="3A2D5525">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Primary Care and Community-Based Surveillance</w:t>
      </w:r>
      <w:r>
        <w:br/>
      </w:r>
      <w:r w:rsidRPr="167DB4A6" w:rsidR="0D7BA14C">
        <w:rPr>
          <w:rFonts w:ascii="Arial" w:hAnsi="Arial" w:eastAsia="Arial" w:cs="Arial"/>
          <w:noProof w:val="0"/>
          <w:color w:val="000000" w:themeColor="text1" w:themeTint="FF" w:themeShade="FF"/>
          <w:sz w:val="22"/>
          <w:szCs w:val="22"/>
          <w:lang w:val="en-GB"/>
        </w:rPr>
        <w:t>GP registers capture patient demographics, clinical metrics, and adherence patterns, supporting targeted care interventions (</w:t>
      </w:r>
      <w:r w:rsidRPr="167DB4A6" w:rsidR="0D7BA14C">
        <w:rPr>
          <w:rFonts w:ascii="Arial" w:hAnsi="Arial" w:eastAsia="Arial" w:cs="Arial"/>
          <w:noProof w:val="0"/>
          <w:color w:val="000000" w:themeColor="text1" w:themeTint="FF" w:themeShade="FF"/>
          <w:sz w:val="22"/>
          <w:szCs w:val="22"/>
          <w:lang w:val="en-GB"/>
        </w:rPr>
        <w:t>Khunti</w:t>
      </w:r>
      <w:r w:rsidRPr="167DB4A6" w:rsidR="0D7BA14C">
        <w:rPr>
          <w:rFonts w:ascii="Arial" w:hAnsi="Arial" w:eastAsia="Arial" w:cs="Arial"/>
          <w:noProof w:val="0"/>
          <w:color w:val="000000" w:themeColor="text1" w:themeTint="FF" w:themeShade="FF"/>
          <w:sz w:val="22"/>
          <w:szCs w:val="22"/>
          <w:lang w:val="en-GB"/>
        </w:rPr>
        <w:t xml:space="preserve"> et al., 2023).</w:t>
      </w:r>
    </w:p>
    <w:p w:rsidR="12234F61" w:rsidP="167DB4A6" w:rsidRDefault="12234F61" w14:paraId="0EFB8BAC" w14:textId="431B13B6">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Limitations and Challenges</w:t>
      </w:r>
      <w:r>
        <w:br/>
      </w:r>
      <w:r w:rsidRPr="167DB4A6" w:rsidR="0D7BA14C">
        <w:rPr>
          <w:rFonts w:ascii="Arial" w:hAnsi="Arial" w:eastAsia="Arial" w:cs="Arial"/>
          <w:noProof w:val="0"/>
          <w:color w:val="000000" w:themeColor="text1" w:themeTint="FF" w:themeShade="FF"/>
          <w:sz w:val="22"/>
          <w:szCs w:val="22"/>
          <w:lang w:val="en-GB"/>
        </w:rPr>
        <w:t>Incomplete ethnic coding, variations in data collection, and cultural barriers limit the accuracy of prevalence estimates (</w:t>
      </w:r>
      <w:r w:rsidRPr="167DB4A6" w:rsidR="0D7BA14C">
        <w:rPr>
          <w:rFonts w:ascii="Arial" w:hAnsi="Arial" w:eastAsia="Arial" w:cs="Arial"/>
          <w:noProof w:val="0"/>
          <w:color w:val="000000" w:themeColor="text1" w:themeTint="FF" w:themeShade="FF"/>
          <w:sz w:val="22"/>
          <w:szCs w:val="22"/>
          <w:lang w:val="en-GB"/>
        </w:rPr>
        <w:t>Nazroo</w:t>
      </w:r>
      <w:r w:rsidRPr="167DB4A6" w:rsidR="0D7BA14C">
        <w:rPr>
          <w:rFonts w:ascii="Arial" w:hAnsi="Arial" w:eastAsia="Arial" w:cs="Arial"/>
          <w:noProof w:val="0"/>
          <w:color w:val="000000" w:themeColor="text1" w:themeTint="FF" w:themeShade="FF"/>
          <w:sz w:val="22"/>
          <w:szCs w:val="22"/>
          <w:lang w:val="en-GB"/>
        </w:rPr>
        <w:t xml:space="preserve"> &amp; Williams, 2006).</w:t>
      </w:r>
    </w:p>
    <w:p w:rsidR="12234F61" w:rsidP="167DB4A6" w:rsidRDefault="12234F61" w14:paraId="7A395410" w14:textId="1526A20A">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Integration and Use of Data</w:t>
      </w:r>
      <w:r>
        <w:br/>
      </w:r>
      <w:r w:rsidRPr="167DB4A6" w:rsidR="0D7BA14C">
        <w:rPr>
          <w:rFonts w:ascii="Arial" w:hAnsi="Arial" w:eastAsia="Arial" w:cs="Arial"/>
          <w:noProof w:val="0"/>
          <w:color w:val="000000" w:themeColor="text1" w:themeTint="FF" w:themeShade="FF"/>
          <w:sz w:val="22"/>
          <w:szCs w:val="22"/>
          <w:lang w:val="en-GB"/>
        </w:rPr>
        <w:t>Combining national, regional, and local datasets allows predictive modelling, intervention evaluation, and identification of service gaps (Public Health England, 2020).</w:t>
      </w:r>
    </w:p>
    <w:p w:rsidR="12234F61" w:rsidP="167DB4A6" w:rsidRDefault="12234F61" w14:paraId="56BA51F0" w14:textId="7B564EE6">
      <w:pPr>
        <w:pStyle w:val="Normal"/>
        <w:spacing w:before="240" w:beforeAutospacing="off" w:after="240" w:afterAutospacing="off"/>
        <w:ind/>
        <w:jc w:val="center"/>
        <w:rPr>
          <w:rFonts w:ascii="Arial" w:hAnsi="Arial" w:eastAsia="Arial" w:cs="Arial"/>
          <w:b w:val="1"/>
          <w:bCs w:val="1"/>
          <w:noProof w:val="0"/>
          <w:color w:val="000000" w:themeColor="text1" w:themeTint="FF" w:themeShade="FF"/>
          <w:sz w:val="22"/>
          <w:szCs w:val="22"/>
          <w:u w:val="single"/>
          <w:lang w:val="en-GB"/>
        </w:rPr>
      </w:pPr>
      <w:r w:rsidRPr="167DB4A6" w:rsidR="0D7BA14C">
        <w:rPr>
          <w:rFonts w:ascii="Arial" w:hAnsi="Arial" w:eastAsia="Arial" w:cs="Arial"/>
          <w:b w:val="1"/>
          <w:bCs w:val="1"/>
          <w:noProof w:val="0"/>
          <w:color w:val="000000" w:themeColor="text1" w:themeTint="FF" w:themeShade="FF"/>
          <w:sz w:val="22"/>
          <w:szCs w:val="22"/>
          <w:u w:val="single"/>
          <w:lang w:val="en-GB"/>
        </w:rPr>
        <w:t>Public Health Impact and Consequences</w:t>
      </w:r>
    </w:p>
    <w:p w:rsidR="12234F61" w:rsidP="167DB4A6" w:rsidRDefault="12234F61" w14:paraId="1259AEF5" w14:textId="4B841185">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Individual Health Consequences</w:t>
      </w:r>
      <w:r>
        <w:br/>
      </w:r>
      <w:r w:rsidRPr="167DB4A6" w:rsidR="0D7BA14C">
        <w:rPr>
          <w:rFonts w:ascii="Arial" w:hAnsi="Arial" w:eastAsia="Arial" w:cs="Arial"/>
          <w:noProof w:val="0"/>
          <w:color w:val="000000" w:themeColor="text1" w:themeTint="FF" w:themeShade="FF"/>
          <w:sz w:val="22"/>
          <w:szCs w:val="22"/>
          <w:lang w:val="en-GB"/>
        </w:rPr>
        <w:t>T2D increases risk of microvascular and macrovascular complications, with earlier onset and greater severity among South Asian adults (</w:t>
      </w:r>
      <w:r w:rsidRPr="167DB4A6" w:rsidR="0D7BA14C">
        <w:rPr>
          <w:rFonts w:ascii="Arial" w:hAnsi="Arial" w:eastAsia="Arial" w:cs="Arial"/>
          <w:noProof w:val="0"/>
          <w:color w:val="000000" w:themeColor="text1" w:themeTint="FF" w:themeShade="FF"/>
          <w:sz w:val="22"/>
          <w:szCs w:val="22"/>
          <w:lang w:val="en-GB"/>
        </w:rPr>
        <w:t>Khunti</w:t>
      </w:r>
      <w:r w:rsidRPr="167DB4A6" w:rsidR="0D7BA14C">
        <w:rPr>
          <w:rFonts w:ascii="Arial" w:hAnsi="Arial" w:eastAsia="Arial" w:cs="Arial"/>
          <w:noProof w:val="0"/>
          <w:color w:val="000000" w:themeColor="text1" w:themeTint="FF" w:themeShade="FF"/>
          <w:sz w:val="22"/>
          <w:szCs w:val="22"/>
          <w:lang w:val="en-GB"/>
        </w:rPr>
        <w:t xml:space="preserve"> et al., 2023; The King’s Fund, 2023).</w:t>
      </w:r>
    </w:p>
    <w:p w:rsidR="12234F61" w:rsidP="167DB4A6" w:rsidRDefault="12234F61" w14:paraId="40C2F7C8" w14:textId="5B67A0BF">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Socioeconomic Consequences</w:t>
      </w:r>
      <w:r>
        <w:br/>
      </w:r>
      <w:r w:rsidRPr="167DB4A6" w:rsidR="0D7BA14C">
        <w:rPr>
          <w:rFonts w:ascii="Arial" w:hAnsi="Arial" w:eastAsia="Arial" w:cs="Arial"/>
          <w:noProof w:val="0"/>
          <w:color w:val="000000" w:themeColor="text1" w:themeTint="FF" w:themeShade="FF"/>
          <w:sz w:val="22"/>
          <w:szCs w:val="22"/>
          <w:lang w:val="en-GB"/>
        </w:rPr>
        <w:t>T2D disproportionately affects disadvantaged South Asian adults, with direct healthcare costs exceeding £10 billion annually (Diabetes UK, 2022).</w:t>
      </w:r>
    </w:p>
    <w:p w:rsidR="12234F61" w:rsidP="167DB4A6" w:rsidRDefault="12234F61" w14:paraId="637D5742" w14:textId="6F969F4C">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Population-Level and Systemic Impact</w:t>
      </w:r>
      <w:r>
        <w:br/>
      </w:r>
      <w:r w:rsidRPr="167DB4A6" w:rsidR="0D7BA14C">
        <w:rPr>
          <w:rFonts w:ascii="Arial" w:hAnsi="Arial" w:eastAsia="Arial" w:cs="Arial"/>
          <w:noProof w:val="0"/>
          <w:color w:val="000000" w:themeColor="text1" w:themeTint="FF" w:themeShade="FF"/>
          <w:sz w:val="22"/>
          <w:szCs w:val="22"/>
          <w:lang w:val="en-GB"/>
        </w:rPr>
        <w:t xml:space="preserve">High prevalence strains local health services and risks </w:t>
      </w:r>
      <w:r w:rsidRPr="167DB4A6" w:rsidR="0D7BA14C">
        <w:rPr>
          <w:rFonts w:ascii="Arial" w:hAnsi="Arial" w:eastAsia="Arial" w:cs="Arial"/>
          <w:noProof w:val="0"/>
          <w:color w:val="000000" w:themeColor="text1" w:themeTint="FF" w:themeShade="FF"/>
          <w:sz w:val="22"/>
          <w:szCs w:val="22"/>
          <w:lang w:val="en-GB"/>
        </w:rPr>
        <w:t>exacerbating</w:t>
      </w:r>
      <w:r w:rsidRPr="167DB4A6" w:rsidR="0D7BA14C">
        <w:rPr>
          <w:rFonts w:ascii="Arial" w:hAnsi="Arial" w:eastAsia="Arial" w:cs="Arial"/>
          <w:noProof w:val="0"/>
          <w:color w:val="000000" w:themeColor="text1" w:themeTint="FF" w:themeShade="FF"/>
          <w:sz w:val="22"/>
          <w:szCs w:val="22"/>
          <w:lang w:val="en-GB"/>
        </w:rPr>
        <w:t xml:space="preserve"> health inequalities if preventive measures are insufficient (Public Health England, 2020).</w:t>
      </w:r>
    </w:p>
    <w:p w:rsidR="12234F61" w:rsidP="167DB4A6" w:rsidRDefault="12234F61" w14:paraId="259356B7" w14:textId="6D5A936C">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Psychosocial Consequences</w:t>
      </w:r>
      <w:r>
        <w:br/>
      </w:r>
      <w:r w:rsidRPr="167DB4A6" w:rsidR="0D7BA14C">
        <w:rPr>
          <w:rFonts w:ascii="Arial" w:hAnsi="Arial" w:eastAsia="Arial" w:cs="Arial"/>
          <w:noProof w:val="0"/>
          <w:color w:val="000000" w:themeColor="text1" w:themeTint="FF" w:themeShade="FF"/>
          <w:sz w:val="22"/>
          <w:szCs w:val="22"/>
          <w:lang w:val="en-GB"/>
        </w:rPr>
        <w:t>Chronic disease management induces stress, anxiety, and depression, which are often under-recognised due to stigma and cultural factors (</w:t>
      </w:r>
      <w:r w:rsidRPr="167DB4A6" w:rsidR="0D7BA14C">
        <w:rPr>
          <w:rFonts w:ascii="Arial" w:hAnsi="Arial" w:eastAsia="Arial" w:cs="Arial"/>
          <w:noProof w:val="0"/>
          <w:color w:val="000000" w:themeColor="text1" w:themeTint="FF" w:themeShade="FF"/>
          <w:sz w:val="22"/>
          <w:szCs w:val="22"/>
          <w:lang w:val="en-GB"/>
        </w:rPr>
        <w:t>Bhui</w:t>
      </w:r>
      <w:r w:rsidRPr="167DB4A6" w:rsidR="0D7BA14C">
        <w:rPr>
          <w:rFonts w:ascii="Arial" w:hAnsi="Arial" w:eastAsia="Arial" w:cs="Arial"/>
          <w:noProof w:val="0"/>
          <w:color w:val="000000" w:themeColor="text1" w:themeTint="FF" w:themeShade="FF"/>
          <w:sz w:val="22"/>
          <w:szCs w:val="22"/>
          <w:lang w:val="en-GB"/>
        </w:rPr>
        <w:t xml:space="preserve">, Halvorsrud &amp; </w:t>
      </w:r>
      <w:r w:rsidRPr="167DB4A6" w:rsidR="0D7BA14C">
        <w:rPr>
          <w:rFonts w:ascii="Arial" w:hAnsi="Arial" w:eastAsia="Arial" w:cs="Arial"/>
          <w:noProof w:val="0"/>
          <w:color w:val="000000" w:themeColor="text1" w:themeTint="FF" w:themeShade="FF"/>
          <w:sz w:val="22"/>
          <w:szCs w:val="22"/>
          <w:lang w:val="en-GB"/>
        </w:rPr>
        <w:t>Nazroo</w:t>
      </w:r>
      <w:r w:rsidRPr="167DB4A6" w:rsidR="0D7BA14C">
        <w:rPr>
          <w:rFonts w:ascii="Arial" w:hAnsi="Arial" w:eastAsia="Arial" w:cs="Arial"/>
          <w:noProof w:val="0"/>
          <w:color w:val="000000" w:themeColor="text1" w:themeTint="FF" w:themeShade="FF"/>
          <w:sz w:val="22"/>
          <w:szCs w:val="22"/>
          <w:lang w:val="en-GB"/>
        </w:rPr>
        <w:t>, 2018).</w:t>
      </w:r>
    </w:p>
    <w:p w:rsidR="12234F61" w:rsidP="167DB4A6" w:rsidRDefault="12234F61" w14:paraId="26688D63" w14:textId="5C395895">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Implications for Public Health Planning</w:t>
      </w:r>
      <w:r>
        <w:br/>
      </w:r>
      <w:r w:rsidRPr="167DB4A6" w:rsidR="0D7BA14C">
        <w:rPr>
          <w:rFonts w:ascii="Arial" w:hAnsi="Arial" w:eastAsia="Arial" w:cs="Arial"/>
          <w:noProof w:val="0"/>
          <w:color w:val="000000" w:themeColor="text1" w:themeTint="FF" w:themeShade="FF"/>
          <w:sz w:val="22"/>
          <w:szCs w:val="22"/>
          <w:lang w:val="en-GB"/>
        </w:rPr>
        <w:t>Understanding the multifaceted impact of T2D informs resource allocation, preventive programme design, and targeted service delivery (The King’s Fund, 2023; Public Health England, 2020).</w:t>
      </w:r>
    </w:p>
    <w:p w:rsidR="12234F61" w:rsidP="167DB4A6" w:rsidRDefault="12234F61" w14:paraId="61E7B497" w14:textId="423FBF51">
      <w:pPr>
        <w:pStyle w:val="Normal"/>
        <w:spacing w:before="240" w:beforeAutospacing="off" w:after="240" w:afterAutospacing="off"/>
        <w:ind/>
        <w:jc w:val="center"/>
        <w:rPr>
          <w:rFonts w:ascii="Arial" w:hAnsi="Arial" w:eastAsia="Arial" w:cs="Arial"/>
          <w:b w:val="1"/>
          <w:bCs w:val="1"/>
          <w:noProof w:val="0"/>
          <w:color w:val="000000" w:themeColor="text1" w:themeTint="FF" w:themeShade="FF"/>
          <w:sz w:val="22"/>
          <w:szCs w:val="22"/>
          <w:u w:val="single"/>
          <w:lang w:val="en-GB"/>
        </w:rPr>
      </w:pPr>
      <w:r w:rsidRPr="167DB4A6" w:rsidR="0D7BA14C">
        <w:rPr>
          <w:rFonts w:ascii="Arial" w:hAnsi="Arial" w:eastAsia="Arial" w:cs="Arial"/>
          <w:b w:val="1"/>
          <w:bCs w:val="1"/>
          <w:noProof w:val="0"/>
          <w:color w:val="000000" w:themeColor="text1" w:themeTint="FF" w:themeShade="FF"/>
          <w:sz w:val="22"/>
          <w:szCs w:val="22"/>
          <w:u w:val="single"/>
          <w:lang w:val="en-GB"/>
        </w:rPr>
        <w:t>Design of Health Intervention Programme and Evaluation</w:t>
      </w:r>
    </w:p>
    <w:p w:rsidR="12234F61" w:rsidP="167DB4A6" w:rsidRDefault="12234F61" w14:paraId="6E77DC8D" w14:textId="7FEC5FA2">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Programme Name:</w:t>
      </w:r>
      <w:r w:rsidRPr="167DB4A6" w:rsidR="0D7BA14C">
        <w:rPr>
          <w:rFonts w:ascii="Arial" w:hAnsi="Arial" w:eastAsia="Arial" w:cs="Arial"/>
          <w:noProof w:val="0"/>
          <w:color w:val="000000" w:themeColor="text1" w:themeTint="FF" w:themeShade="FF"/>
          <w:sz w:val="22"/>
          <w:szCs w:val="22"/>
          <w:lang w:val="en-GB"/>
        </w:rPr>
        <w:t xml:space="preserve"> Healthy Futures</w:t>
      </w:r>
      <w:r w:rsidRPr="167DB4A6" w:rsidR="4169372D">
        <w:rPr>
          <w:rFonts w:ascii="Arial" w:hAnsi="Arial" w:eastAsia="Arial" w:cs="Arial"/>
          <w:noProof w:val="0"/>
          <w:color w:val="000000" w:themeColor="text1" w:themeTint="FF" w:themeShade="FF"/>
          <w:sz w:val="22"/>
          <w:szCs w:val="22"/>
          <w:lang w:val="en-GB"/>
        </w:rPr>
        <w:t>-</w:t>
      </w:r>
      <w:r w:rsidRPr="167DB4A6" w:rsidR="0D7BA14C">
        <w:rPr>
          <w:rFonts w:ascii="Arial" w:hAnsi="Arial" w:eastAsia="Arial" w:cs="Arial"/>
          <w:noProof w:val="0"/>
          <w:color w:val="000000" w:themeColor="text1" w:themeTint="FF" w:themeShade="FF"/>
          <w:sz w:val="22"/>
          <w:szCs w:val="22"/>
          <w:lang w:val="en-GB"/>
        </w:rPr>
        <w:t>Birmingham South Asian Diabetes Initiative</w:t>
      </w:r>
    </w:p>
    <w:p w:rsidR="12234F61" w:rsidP="167DB4A6" w:rsidRDefault="12234F61" w14:paraId="3AA39BD5" w14:textId="6C6C10AD">
      <w:pPr>
        <w:spacing w:before="240" w:beforeAutospacing="off" w:after="240" w:afterAutospacing="off"/>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Objective:</w:t>
      </w:r>
    </w:p>
    <w:p w:rsidR="12234F61" w:rsidP="167DB4A6" w:rsidRDefault="12234F61" w14:paraId="4FC34B10" w14:textId="007E99DA">
      <w:pPr>
        <w:spacing w:before="240" w:beforeAutospacing="off" w:after="240" w:afterAutospacing="off"/>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Reduce incidence and complications of T2D among South Asian adults through culturally tailored prevention, early detection, and self-management support.</w:t>
      </w:r>
    </w:p>
    <w:p w:rsidR="12234F61" w:rsidP="167DB4A6" w:rsidRDefault="12234F61" w14:paraId="124F8985" w14:textId="2CA5DF61">
      <w:pPr>
        <w:spacing w:before="240" w:beforeAutospacing="off" w:after="240" w:afterAutospacing="off"/>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Components:</w:t>
      </w:r>
    </w:p>
    <w:p w:rsidR="12234F61" w:rsidP="167DB4A6" w:rsidRDefault="12234F61" w14:paraId="608EAC13" w14:textId="5F670AA0">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Community-Based Education and Lifestyle Workshops</w:t>
      </w:r>
      <w:r w:rsidRPr="167DB4A6" w:rsidR="6D262C19">
        <w:rPr>
          <w:rFonts w:ascii="Arial" w:hAnsi="Arial" w:eastAsia="Arial" w:cs="Arial"/>
          <w:b w:val="0"/>
          <w:bCs w:val="0"/>
          <w:noProof w:val="0"/>
          <w:color w:val="000000" w:themeColor="text1" w:themeTint="FF" w:themeShade="FF"/>
          <w:sz w:val="22"/>
          <w:szCs w:val="22"/>
          <w:lang w:val="en-GB"/>
        </w:rPr>
        <w:t>-</w:t>
      </w:r>
      <w:r w:rsidRPr="167DB4A6" w:rsidR="0D7BA14C">
        <w:rPr>
          <w:rFonts w:ascii="Arial" w:hAnsi="Arial" w:eastAsia="Arial" w:cs="Arial"/>
          <w:b w:val="0"/>
          <w:bCs w:val="0"/>
          <w:noProof w:val="0"/>
          <w:color w:val="000000" w:themeColor="text1" w:themeTint="FF" w:themeShade="FF"/>
          <w:sz w:val="22"/>
          <w:szCs w:val="22"/>
          <w:lang w:val="en-GB"/>
        </w:rPr>
        <w:t>culturally tailored diet and exercise education</w:t>
      </w:r>
    </w:p>
    <w:p w:rsidR="12234F61" w:rsidP="167DB4A6" w:rsidRDefault="12234F61" w14:paraId="21CDE4B1" w14:textId="682E8350">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Screening and Early Detection</w:t>
      </w:r>
      <w:r w:rsidRPr="167DB4A6" w:rsidR="5A6DAAD7">
        <w:rPr>
          <w:rFonts w:ascii="Arial" w:hAnsi="Arial" w:eastAsia="Arial" w:cs="Arial"/>
          <w:b w:val="0"/>
          <w:bCs w:val="0"/>
          <w:noProof w:val="0"/>
          <w:color w:val="000000" w:themeColor="text1" w:themeTint="FF" w:themeShade="FF"/>
          <w:sz w:val="22"/>
          <w:szCs w:val="22"/>
          <w:lang w:val="en-GB"/>
        </w:rPr>
        <w:t>-</w:t>
      </w:r>
      <w:r w:rsidRPr="167DB4A6" w:rsidR="0D7BA14C">
        <w:rPr>
          <w:rFonts w:ascii="Arial" w:hAnsi="Arial" w:eastAsia="Arial" w:cs="Arial"/>
          <w:b w:val="0"/>
          <w:bCs w:val="0"/>
          <w:noProof w:val="0"/>
          <w:color w:val="000000" w:themeColor="text1" w:themeTint="FF" w:themeShade="FF"/>
          <w:sz w:val="22"/>
          <w:szCs w:val="22"/>
          <w:lang w:val="en-GB"/>
        </w:rPr>
        <w:t>community outreach and NHS Health Checks</w:t>
      </w:r>
    </w:p>
    <w:p w:rsidR="12234F61" w:rsidP="167DB4A6" w:rsidRDefault="12234F61" w14:paraId="34EC4D49" w14:textId="579F5F7D">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Self-Management Support</w:t>
      </w:r>
      <w:r w:rsidRPr="167DB4A6" w:rsidR="3CDF411F">
        <w:rPr>
          <w:rFonts w:ascii="Arial" w:hAnsi="Arial" w:eastAsia="Arial" w:cs="Arial"/>
          <w:b w:val="0"/>
          <w:bCs w:val="0"/>
          <w:noProof w:val="0"/>
          <w:color w:val="000000" w:themeColor="text1" w:themeTint="FF" w:themeShade="FF"/>
          <w:sz w:val="22"/>
          <w:szCs w:val="22"/>
          <w:lang w:val="en-GB"/>
        </w:rPr>
        <w:t>-</w:t>
      </w:r>
      <w:r w:rsidRPr="167DB4A6" w:rsidR="0D7BA14C">
        <w:rPr>
          <w:rFonts w:ascii="Arial" w:hAnsi="Arial" w:eastAsia="Arial" w:cs="Arial"/>
          <w:b w:val="0"/>
          <w:bCs w:val="0"/>
          <w:noProof w:val="0"/>
          <w:color w:val="000000" w:themeColor="text1" w:themeTint="FF" w:themeShade="FF"/>
          <w:sz w:val="22"/>
          <w:szCs w:val="22"/>
          <w:lang w:val="en-GB"/>
        </w:rPr>
        <w:t>education on monitoring blood glucose and medication adherence</w:t>
      </w:r>
    </w:p>
    <w:p w:rsidR="12234F61" w:rsidP="167DB4A6" w:rsidRDefault="12234F61" w14:paraId="3A9B41E5" w14:textId="7D206078">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Integration with Primary Care</w:t>
      </w:r>
      <w:r w:rsidRPr="167DB4A6" w:rsidR="376BD55D">
        <w:rPr>
          <w:rFonts w:ascii="Arial" w:hAnsi="Arial" w:eastAsia="Arial" w:cs="Arial"/>
          <w:b w:val="0"/>
          <w:bCs w:val="0"/>
          <w:noProof w:val="0"/>
          <w:color w:val="000000" w:themeColor="text1" w:themeTint="FF" w:themeShade="FF"/>
          <w:sz w:val="22"/>
          <w:szCs w:val="22"/>
          <w:lang w:val="en-GB"/>
        </w:rPr>
        <w:t>-</w:t>
      </w:r>
      <w:r w:rsidRPr="167DB4A6" w:rsidR="0D7BA14C">
        <w:rPr>
          <w:rFonts w:ascii="Arial" w:hAnsi="Arial" w:eastAsia="Arial" w:cs="Arial"/>
          <w:b w:val="0"/>
          <w:bCs w:val="0"/>
          <w:noProof w:val="0"/>
          <w:color w:val="000000" w:themeColor="text1" w:themeTint="FF" w:themeShade="FF"/>
          <w:sz w:val="22"/>
          <w:szCs w:val="22"/>
          <w:lang w:val="en-GB"/>
        </w:rPr>
        <w:t>collaboration with GPs and diabetes specialists</w:t>
      </w:r>
    </w:p>
    <w:p w:rsidR="12234F61" w:rsidP="167DB4A6" w:rsidRDefault="12234F61" w14:paraId="18CC31E3" w14:textId="570B376A">
      <w:pPr>
        <w:pStyle w:val="Normal"/>
        <w:spacing w:before="240" w:beforeAutospacing="off" w:after="240" w:afterAutospacing="off"/>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Evaluation:</w:t>
      </w:r>
    </w:p>
    <w:p w:rsidR="12234F61" w:rsidP="167DB4A6" w:rsidRDefault="12234F61" w14:paraId="039D4895" w14:textId="066FBA34">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Short-Term (1</w:t>
      </w:r>
      <w:r w:rsidRPr="167DB4A6" w:rsidR="5F0C4521">
        <w:rPr>
          <w:rFonts w:ascii="Arial" w:hAnsi="Arial" w:eastAsia="Arial" w:cs="Arial"/>
          <w:b w:val="0"/>
          <w:bCs w:val="0"/>
          <w:noProof w:val="0"/>
          <w:color w:val="000000" w:themeColor="text1" w:themeTint="FF" w:themeShade="FF"/>
          <w:sz w:val="22"/>
          <w:szCs w:val="22"/>
          <w:lang w:val="en-GB"/>
        </w:rPr>
        <w:t>-</w:t>
      </w:r>
      <w:r w:rsidRPr="167DB4A6" w:rsidR="0D7BA14C">
        <w:rPr>
          <w:rFonts w:ascii="Arial" w:hAnsi="Arial" w:eastAsia="Arial" w:cs="Arial"/>
          <w:b w:val="0"/>
          <w:bCs w:val="0"/>
          <w:noProof w:val="0"/>
          <w:color w:val="000000" w:themeColor="text1" w:themeTint="FF" w:themeShade="FF"/>
          <w:sz w:val="22"/>
          <w:szCs w:val="22"/>
          <w:lang w:val="en-GB"/>
        </w:rPr>
        <w:t>2 years):</w:t>
      </w:r>
      <w:r w:rsidRPr="167DB4A6" w:rsidR="0D7BA14C">
        <w:rPr>
          <w:rFonts w:ascii="Arial" w:hAnsi="Arial" w:eastAsia="Arial" w:cs="Arial"/>
          <w:b w:val="0"/>
          <w:bCs w:val="0"/>
          <w:noProof w:val="0"/>
          <w:color w:val="000000" w:themeColor="text1" w:themeTint="FF" w:themeShade="FF"/>
          <w:sz w:val="22"/>
          <w:szCs w:val="22"/>
          <w:lang w:val="en-GB"/>
        </w:rPr>
        <w:t xml:space="preserve"> increased awareness, improved screening uptake, early identification of high-risk individuals</w:t>
      </w:r>
    </w:p>
    <w:p w:rsidR="12234F61" w:rsidP="167DB4A6" w:rsidRDefault="12234F61" w14:paraId="1C7884BF" w14:textId="42B8E16D">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Long-Term (3</w:t>
      </w:r>
      <w:r w:rsidRPr="167DB4A6" w:rsidR="5935D07A">
        <w:rPr>
          <w:rFonts w:ascii="Arial" w:hAnsi="Arial" w:eastAsia="Arial" w:cs="Arial"/>
          <w:b w:val="0"/>
          <w:bCs w:val="0"/>
          <w:noProof w:val="0"/>
          <w:color w:val="000000" w:themeColor="text1" w:themeTint="FF" w:themeShade="FF"/>
          <w:sz w:val="22"/>
          <w:szCs w:val="22"/>
          <w:lang w:val="en-GB"/>
        </w:rPr>
        <w:t>-</w:t>
      </w:r>
      <w:r w:rsidRPr="167DB4A6" w:rsidR="0D7BA14C">
        <w:rPr>
          <w:rFonts w:ascii="Arial" w:hAnsi="Arial" w:eastAsia="Arial" w:cs="Arial"/>
          <w:b w:val="0"/>
          <w:bCs w:val="0"/>
          <w:noProof w:val="0"/>
          <w:color w:val="000000" w:themeColor="text1" w:themeTint="FF" w:themeShade="FF"/>
          <w:sz w:val="22"/>
          <w:szCs w:val="22"/>
          <w:lang w:val="en-GB"/>
        </w:rPr>
        <w:t>5 years):</w:t>
      </w:r>
      <w:r w:rsidRPr="167DB4A6" w:rsidR="0D7BA14C">
        <w:rPr>
          <w:rFonts w:ascii="Arial" w:hAnsi="Arial" w:eastAsia="Arial" w:cs="Arial"/>
          <w:b w:val="0"/>
          <w:bCs w:val="0"/>
          <w:noProof w:val="0"/>
          <w:color w:val="000000" w:themeColor="text1" w:themeTint="FF" w:themeShade="FF"/>
          <w:sz w:val="22"/>
          <w:szCs w:val="22"/>
          <w:lang w:val="en-GB"/>
        </w:rPr>
        <w:t xml:space="preserve"> reduced T2D incidence, improved glycaemic control, decreased healthcare utilisation</w:t>
      </w:r>
    </w:p>
    <w:p w:rsidR="12234F61" w:rsidP="167DB4A6" w:rsidRDefault="12234F61" w14:paraId="364191ED" w14:textId="616D7E7D">
      <w:pPr>
        <w:pStyle w:val="Normal"/>
        <w:spacing w:before="240" w:beforeAutospacing="off" w:after="240" w:afterAutospacing="off"/>
        <w:ind w:left="0"/>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Methods:</w:t>
      </w:r>
      <w:r w:rsidRPr="167DB4A6" w:rsidR="0D7BA14C">
        <w:rPr>
          <w:rFonts w:ascii="Arial" w:hAnsi="Arial" w:eastAsia="Arial" w:cs="Arial"/>
          <w:b w:val="0"/>
          <w:bCs w:val="0"/>
          <w:noProof w:val="0"/>
          <w:color w:val="000000" w:themeColor="text1" w:themeTint="FF" w:themeShade="FF"/>
          <w:sz w:val="22"/>
          <w:szCs w:val="22"/>
          <w:lang w:val="en-GB"/>
        </w:rPr>
        <w:t xml:space="preserve"> q</w:t>
      </w:r>
      <w:r w:rsidRPr="167DB4A6" w:rsidR="0D7BA14C">
        <w:rPr>
          <w:rFonts w:ascii="Arial" w:hAnsi="Arial" w:eastAsia="Arial" w:cs="Arial"/>
          <w:noProof w:val="0"/>
          <w:color w:val="000000" w:themeColor="text1" w:themeTint="FF" w:themeShade="FF"/>
          <w:sz w:val="22"/>
          <w:szCs w:val="22"/>
          <w:lang w:val="en-GB"/>
        </w:rPr>
        <w:t>uantitative monitoring, qualitative focus groups, comparative analysis</w:t>
      </w:r>
    </w:p>
    <w:p w:rsidR="12234F61" w:rsidP="167DB4A6" w:rsidRDefault="12234F61" w14:paraId="26585244" w14:textId="008C2A36">
      <w:pPr>
        <w:spacing w:before="240" w:beforeAutospacing="off" w:after="240" w:afterAutospacing="off"/>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Strengths and Limitations:</w:t>
      </w:r>
    </w:p>
    <w:p w:rsidR="12234F61" w:rsidP="167DB4A6" w:rsidRDefault="12234F61" w14:paraId="749FD194" w14:textId="0D825653">
      <w:pPr>
        <w:pStyle w:val="Normal"/>
        <w:spacing w:before="240" w:beforeAutospacing="off" w:after="240" w:afterAutospacing="off"/>
        <w:ind w:left="0"/>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Strengths: culturally tailored, multi-</w:t>
      </w:r>
      <w:r w:rsidRPr="167DB4A6" w:rsidR="0D7BA14C">
        <w:rPr>
          <w:rFonts w:ascii="Arial" w:hAnsi="Arial" w:eastAsia="Arial" w:cs="Arial"/>
          <w:noProof w:val="0"/>
          <w:color w:val="000000" w:themeColor="text1" w:themeTint="FF" w:themeShade="FF"/>
          <w:sz w:val="22"/>
          <w:szCs w:val="22"/>
          <w:lang w:val="en-GB"/>
        </w:rPr>
        <w:t>component</w:t>
      </w:r>
      <w:r w:rsidRPr="167DB4A6" w:rsidR="0D7BA14C">
        <w:rPr>
          <w:rFonts w:ascii="Arial" w:hAnsi="Arial" w:eastAsia="Arial" w:cs="Arial"/>
          <w:noProof w:val="0"/>
          <w:color w:val="000000" w:themeColor="text1" w:themeTint="FF" w:themeShade="FF"/>
          <w:sz w:val="22"/>
          <w:szCs w:val="22"/>
          <w:lang w:val="en-GB"/>
        </w:rPr>
        <w:t>, integrated with primary care</w:t>
      </w:r>
    </w:p>
    <w:p w:rsidR="12234F61" w:rsidP="167DB4A6" w:rsidRDefault="12234F61" w14:paraId="558B632C" w14:textId="3EDE812B">
      <w:pPr>
        <w:pStyle w:val="Normal"/>
        <w:spacing w:before="240" w:beforeAutospacing="off" w:after="240" w:afterAutospacing="off"/>
        <w:ind w:left="0"/>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Limitations: resource-intensive, adherence challenges, potential data gaps</w:t>
      </w:r>
    </w:p>
    <w:p w:rsidR="12234F61" w:rsidP="167DB4A6" w:rsidRDefault="12234F61" w14:paraId="1627FA4F" w14:textId="2606FEEE">
      <w:pPr>
        <w:pStyle w:val="Normal"/>
        <w:spacing w:before="240" w:beforeAutospacing="off" w:after="240" w:afterAutospacing="off"/>
        <w:ind/>
        <w:jc w:val="both"/>
        <w:rPr>
          <w:rFonts w:ascii="Arial" w:hAnsi="Arial" w:eastAsia="Arial" w:cs="Arial"/>
          <w:b w:val="1"/>
          <w:bCs w:val="1"/>
          <w:noProof w:val="0"/>
          <w:color w:val="000000" w:themeColor="text1" w:themeTint="FF" w:themeShade="FF"/>
          <w:sz w:val="22"/>
          <w:szCs w:val="22"/>
          <w:lang w:val="en-GB"/>
        </w:rPr>
      </w:pPr>
      <w:r w:rsidRPr="167DB4A6" w:rsidR="0D7BA14C">
        <w:rPr>
          <w:rFonts w:ascii="Arial" w:hAnsi="Arial" w:eastAsia="Arial" w:cs="Arial"/>
          <w:b w:val="1"/>
          <w:bCs w:val="1"/>
          <w:noProof w:val="0"/>
          <w:color w:val="000000" w:themeColor="text1" w:themeTint="FF" w:themeShade="FF"/>
          <w:sz w:val="22"/>
          <w:szCs w:val="22"/>
          <w:lang w:val="en-GB"/>
        </w:rPr>
        <w:t>Strengths and Limitations of the Epidemiological Approach</w:t>
      </w:r>
    </w:p>
    <w:p w:rsidR="12234F61" w:rsidP="167DB4A6" w:rsidRDefault="12234F61" w14:paraId="4A564612" w14:textId="7D4294C8">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Strengths:</w:t>
      </w:r>
      <w:r w:rsidRPr="167DB4A6" w:rsidR="0D7BA14C">
        <w:rPr>
          <w:rFonts w:ascii="Arial" w:hAnsi="Arial" w:eastAsia="Arial" w:cs="Arial"/>
          <w:b w:val="0"/>
          <w:bCs w:val="0"/>
          <w:noProof w:val="0"/>
          <w:color w:val="000000" w:themeColor="text1" w:themeTint="FF" w:themeShade="FF"/>
          <w:sz w:val="22"/>
          <w:szCs w:val="22"/>
          <w:lang w:val="en-GB"/>
        </w:rPr>
        <w:t xml:space="preserve"> identification of high-risk populations, evidence-based policy design, </w:t>
      </w:r>
      <w:r w:rsidRPr="167DB4A6" w:rsidR="0D7BA14C">
        <w:rPr>
          <w:rFonts w:ascii="Arial" w:hAnsi="Arial" w:eastAsia="Arial" w:cs="Arial"/>
          <w:b w:val="0"/>
          <w:bCs w:val="0"/>
          <w:noProof w:val="0"/>
          <w:color w:val="000000" w:themeColor="text1" w:themeTint="FF" w:themeShade="FF"/>
          <w:sz w:val="22"/>
          <w:szCs w:val="22"/>
          <w:lang w:val="en-GB"/>
        </w:rPr>
        <w:t>monitoring</w:t>
      </w:r>
      <w:r w:rsidRPr="167DB4A6" w:rsidR="0D7BA14C">
        <w:rPr>
          <w:rFonts w:ascii="Arial" w:hAnsi="Arial" w:eastAsia="Arial" w:cs="Arial"/>
          <w:b w:val="0"/>
          <w:bCs w:val="0"/>
          <w:noProof w:val="0"/>
          <w:color w:val="000000" w:themeColor="text1" w:themeTint="FF" w:themeShade="FF"/>
          <w:sz w:val="22"/>
          <w:szCs w:val="22"/>
          <w:lang w:val="en-GB"/>
        </w:rPr>
        <w:t xml:space="preserve"> trends, integration of social determinants</w:t>
      </w:r>
    </w:p>
    <w:p w:rsidR="12234F61" w:rsidP="167DB4A6" w:rsidRDefault="12234F61" w14:paraId="79637C70" w14:textId="053B57C7">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Limitations:</w:t>
      </w:r>
      <w:r w:rsidRPr="167DB4A6" w:rsidR="0D7BA14C">
        <w:rPr>
          <w:rFonts w:ascii="Arial" w:hAnsi="Arial" w:eastAsia="Arial" w:cs="Arial"/>
          <w:b w:val="0"/>
          <w:bCs w:val="0"/>
          <w:noProof w:val="0"/>
          <w:color w:val="000000" w:themeColor="text1" w:themeTint="FF" w:themeShade="FF"/>
          <w:sz w:val="22"/>
          <w:szCs w:val="22"/>
          <w:lang w:val="en-GB"/>
        </w:rPr>
        <w:t xml:space="preserve"> data quality issues, difficulty </w:t>
      </w:r>
      <w:r w:rsidRPr="167DB4A6" w:rsidR="0D7BA14C">
        <w:rPr>
          <w:rFonts w:ascii="Arial" w:hAnsi="Arial" w:eastAsia="Arial" w:cs="Arial"/>
          <w:b w:val="0"/>
          <w:bCs w:val="0"/>
          <w:noProof w:val="0"/>
          <w:color w:val="000000" w:themeColor="text1" w:themeTint="FF" w:themeShade="FF"/>
          <w:sz w:val="22"/>
          <w:szCs w:val="22"/>
          <w:lang w:val="en-GB"/>
        </w:rPr>
        <w:t>establishing</w:t>
      </w:r>
      <w:r w:rsidRPr="167DB4A6" w:rsidR="0D7BA14C">
        <w:rPr>
          <w:rFonts w:ascii="Arial" w:hAnsi="Arial" w:eastAsia="Arial" w:cs="Arial"/>
          <w:b w:val="0"/>
          <w:bCs w:val="0"/>
          <w:noProof w:val="0"/>
          <w:color w:val="000000" w:themeColor="text1" w:themeTint="FF" w:themeShade="FF"/>
          <w:sz w:val="22"/>
          <w:szCs w:val="22"/>
          <w:lang w:val="en-GB"/>
        </w:rPr>
        <w:t xml:space="preserve"> causality, cultural and behavioural nuances not fully captured, resource and time constraints</w:t>
      </w:r>
    </w:p>
    <w:p w:rsidR="12234F61" w:rsidP="167DB4A6" w:rsidRDefault="12234F61" w14:paraId="33C84FFD" w14:textId="3072E34E">
      <w:pPr>
        <w:pStyle w:val="Normal"/>
        <w:spacing w:before="240" w:beforeAutospacing="off" w:after="240" w:afterAutospacing="off"/>
        <w:ind w:left="0"/>
        <w:jc w:val="both"/>
        <w:rPr>
          <w:rFonts w:ascii="Arial" w:hAnsi="Arial" w:eastAsia="Arial" w:cs="Arial"/>
          <w:b w:val="0"/>
          <w:bCs w:val="0"/>
          <w:noProof w:val="0"/>
          <w:color w:val="000000" w:themeColor="text1" w:themeTint="FF" w:themeShade="FF"/>
          <w:sz w:val="22"/>
          <w:szCs w:val="22"/>
          <w:lang w:val="en-GB"/>
        </w:rPr>
      </w:pPr>
      <w:r w:rsidRPr="167DB4A6" w:rsidR="0D7BA14C">
        <w:rPr>
          <w:rFonts w:ascii="Arial" w:hAnsi="Arial" w:eastAsia="Arial" w:cs="Arial"/>
          <w:b w:val="0"/>
          <w:bCs w:val="0"/>
          <w:noProof w:val="0"/>
          <w:color w:val="000000" w:themeColor="text1" w:themeTint="FF" w:themeShade="FF"/>
          <w:sz w:val="22"/>
          <w:szCs w:val="22"/>
          <w:lang w:val="en-GB"/>
        </w:rPr>
        <w:t>Implications:</w:t>
      </w:r>
      <w:r w:rsidRPr="167DB4A6" w:rsidR="0D7BA14C">
        <w:rPr>
          <w:rFonts w:ascii="Arial" w:hAnsi="Arial" w:eastAsia="Arial" w:cs="Arial"/>
          <w:b w:val="0"/>
          <w:bCs w:val="0"/>
          <w:noProof w:val="0"/>
          <w:color w:val="000000" w:themeColor="text1" w:themeTint="FF" w:themeShade="FF"/>
          <w:sz w:val="22"/>
          <w:szCs w:val="22"/>
          <w:lang w:val="en-GB"/>
        </w:rPr>
        <w:t xml:space="preserve"> addressing data gaps, incorporating qualitative research, and culturally sensitive approaches enhance epidemiological relevance and impact</w:t>
      </w:r>
    </w:p>
    <w:p w:rsidR="12234F61" w:rsidP="167DB4A6" w:rsidRDefault="12234F61" w14:paraId="663E81A0" w14:textId="100F1021">
      <w:pPr>
        <w:pStyle w:val="Normal"/>
        <w:spacing w:before="240" w:beforeAutospacing="off" w:after="240" w:afterAutospacing="off" w:line="360" w:lineRule="auto"/>
        <w:ind/>
        <w:jc w:val="center"/>
        <w:rPr>
          <w:rFonts w:ascii="Arial" w:hAnsi="Arial" w:eastAsia="Arial" w:cs="Arial"/>
          <w:b w:val="1"/>
          <w:bCs w:val="1"/>
          <w:noProof w:val="0"/>
          <w:color w:val="000000" w:themeColor="text1" w:themeTint="FF" w:themeShade="FF"/>
          <w:sz w:val="22"/>
          <w:szCs w:val="22"/>
          <w:u w:val="single"/>
          <w:lang w:val="en-GB"/>
        </w:rPr>
      </w:pPr>
      <w:r w:rsidRPr="167DB4A6" w:rsidR="0D7BA14C">
        <w:rPr>
          <w:rFonts w:ascii="Arial" w:hAnsi="Arial" w:eastAsia="Arial" w:cs="Arial"/>
          <w:b w:val="1"/>
          <w:bCs w:val="1"/>
          <w:noProof w:val="0"/>
          <w:color w:val="000000" w:themeColor="text1" w:themeTint="FF" w:themeShade="FF"/>
          <w:sz w:val="22"/>
          <w:szCs w:val="22"/>
          <w:u w:val="single"/>
          <w:lang w:val="en-GB"/>
        </w:rPr>
        <w:t>Conclusion</w:t>
      </w:r>
    </w:p>
    <w:p w:rsidR="12234F61" w:rsidP="167DB4A6" w:rsidRDefault="12234F61" w14:paraId="698C2573" w14:textId="6651738C">
      <w:pPr>
        <w:pStyle w:val="Normal"/>
        <w:spacing w:before="240" w:beforeAutospacing="off" w:after="240" w:afterAutospacing="off" w:line="360" w:lineRule="auto"/>
        <w:ind/>
        <w:jc w:val="both"/>
        <w:rPr>
          <w:rFonts w:ascii="Arial" w:hAnsi="Arial" w:eastAsia="Arial" w:cs="Arial"/>
          <w:noProof w:val="0"/>
          <w:color w:val="000000" w:themeColor="text1" w:themeTint="FF" w:themeShade="FF"/>
          <w:sz w:val="22"/>
          <w:szCs w:val="22"/>
          <w:lang w:val="en-GB"/>
        </w:rPr>
      </w:pPr>
      <w:r w:rsidRPr="167DB4A6" w:rsidR="0D7BA14C">
        <w:rPr>
          <w:rFonts w:ascii="Arial" w:hAnsi="Arial" w:eastAsia="Arial" w:cs="Arial"/>
          <w:noProof w:val="0"/>
          <w:color w:val="000000" w:themeColor="text1" w:themeTint="FF" w:themeShade="FF"/>
          <w:sz w:val="22"/>
          <w:szCs w:val="22"/>
          <w:lang w:val="en-GB"/>
        </w:rPr>
        <w:t xml:space="preserve">South Asian adults in Birmingham face significant health inequalities due to high prevalence and severity of T2D (Diabetes UK, 2022; </w:t>
      </w:r>
      <w:r w:rsidRPr="167DB4A6" w:rsidR="0D7BA14C">
        <w:rPr>
          <w:rFonts w:ascii="Arial" w:hAnsi="Arial" w:eastAsia="Arial" w:cs="Arial"/>
          <w:noProof w:val="0"/>
          <w:color w:val="000000" w:themeColor="text1" w:themeTint="FF" w:themeShade="FF"/>
          <w:sz w:val="22"/>
          <w:szCs w:val="22"/>
          <w:lang w:val="en-GB"/>
        </w:rPr>
        <w:t>Khunti</w:t>
      </w:r>
      <w:r w:rsidRPr="167DB4A6" w:rsidR="0D7BA14C">
        <w:rPr>
          <w:rFonts w:ascii="Arial" w:hAnsi="Arial" w:eastAsia="Arial" w:cs="Arial"/>
          <w:noProof w:val="0"/>
          <w:color w:val="000000" w:themeColor="text1" w:themeTint="FF" w:themeShade="FF"/>
          <w:sz w:val="22"/>
          <w:szCs w:val="22"/>
          <w:lang w:val="en-GB"/>
        </w:rPr>
        <w:t xml:space="preserve"> et al., 2023). Genetic susceptibility, lifestyle behaviours, and socioeconomic factors contribute to earlier onset and complications (Marmot, 2020; Sattar &amp; Gill, 2015). Public health strategies, including culturally tailored prevention, </w:t>
      </w:r>
      <w:r w:rsidRPr="167DB4A6" w:rsidR="0D7BA14C">
        <w:rPr>
          <w:rFonts w:ascii="Arial" w:hAnsi="Arial" w:eastAsia="Arial" w:cs="Arial"/>
          <w:noProof w:val="0"/>
          <w:color w:val="000000" w:themeColor="text1" w:themeTint="FF" w:themeShade="FF"/>
          <w:sz w:val="22"/>
          <w:szCs w:val="22"/>
          <w:lang w:val="en-GB"/>
        </w:rPr>
        <w:t>monitoring</w:t>
      </w:r>
      <w:r w:rsidRPr="167DB4A6" w:rsidR="0D7BA14C">
        <w:rPr>
          <w:rFonts w:ascii="Arial" w:hAnsi="Arial" w:eastAsia="Arial" w:cs="Arial"/>
          <w:noProof w:val="0"/>
          <w:color w:val="000000" w:themeColor="text1" w:themeTint="FF" w:themeShade="FF"/>
          <w:sz w:val="22"/>
          <w:szCs w:val="22"/>
          <w:lang w:val="en-GB"/>
        </w:rPr>
        <w:t xml:space="preserve"> systems, and community interventions, are essential (Public Health England, 2020; The King’s Fund, 2023). Epidemiology provides a framework for evidence-based action to improve outcomes, reduce prevalence, and address broader health disparities (Bhopal, 2018).</w:t>
      </w:r>
    </w:p>
    <w:p w:rsidR="12234F61" w:rsidP="167DB4A6" w:rsidRDefault="12234F61" w14:paraId="69F5D26C" w14:textId="6596A160">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03EA51E6" w14:textId="0B573A81">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2CE3B169" w14:textId="56A75C1B">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61B6A37B" w14:textId="7B1E5574">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5AAD59A0" w14:textId="29EC8AD6">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025D148A" w14:textId="4B601B31">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228E356C" w14:textId="3BE78547">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25B79CB3" w14:textId="4F3F71A6">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2BD8DA44" w14:textId="2E439D23">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344DEC14" w14:textId="6635B673">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lang w:val="en-GB"/>
        </w:rPr>
      </w:pPr>
    </w:p>
    <w:p w:rsidR="12234F61" w:rsidP="167DB4A6" w:rsidRDefault="12234F61" w14:paraId="0C860ED5" w14:textId="644A962E">
      <w:pPr>
        <w:pStyle w:val="Heading3"/>
        <w:keepNext w:val="0"/>
        <w:keepLines w:val="1"/>
        <w:spacing w:before="240" w:beforeAutospacing="off" w:after="240" w:afterAutospacing="off" w:line="360" w:lineRule="auto"/>
        <w:ind/>
        <w:contextualSpacing/>
        <w:jc w:val="both"/>
        <w:rPr>
          <w:rFonts w:ascii="Arial" w:hAnsi="Arial" w:eastAsia="Arial" w:cs="Arial"/>
          <w:b w:val="1"/>
          <w:bCs w:val="1"/>
          <w:noProof w:val="0"/>
          <w:color w:val="000000" w:themeColor="text1" w:themeTint="FF" w:themeShade="FF"/>
          <w:sz w:val="22"/>
          <w:szCs w:val="22"/>
          <w:u w:val="single"/>
          <w:lang w:val="en-GB"/>
        </w:rPr>
      </w:pPr>
      <w:r w:rsidRPr="167DB4A6" w:rsidR="2D9B2567">
        <w:rPr>
          <w:rFonts w:ascii="Arial" w:hAnsi="Arial" w:eastAsia="Arial" w:cs="Arial"/>
          <w:b w:val="1"/>
          <w:bCs w:val="1"/>
          <w:noProof w:val="0"/>
          <w:color w:val="000000" w:themeColor="text1" w:themeTint="FF" w:themeShade="FF"/>
          <w:sz w:val="22"/>
          <w:szCs w:val="22"/>
          <w:u w:val="single"/>
          <w:lang w:val="en-GB"/>
        </w:rPr>
        <w:t>References</w:t>
      </w:r>
      <w:r w:rsidRPr="167DB4A6" w:rsidR="5B0D6D88">
        <w:rPr>
          <w:rFonts w:ascii="Arial" w:hAnsi="Arial" w:eastAsia="Arial" w:cs="Arial"/>
          <w:b w:val="1"/>
          <w:bCs w:val="1"/>
          <w:noProof w:val="0"/>
          <w:color w:val="000000" w:themeColor="text1" w:themeTint="FF" w:themeShade="FF"/>
          <w:sz w:val="22"/>
          <w:szCs w:val="22"/>
          <w:u w:val="single"/>
          <w:lang w:val="en-GB"/>
        </w:rPr>
        <w:t xml:space="preserve"> </w:t>
      </w:r>
    </w:p>
    <w:p w:rsidR="12234F61" w:rsidP="167DB4A6" w:rsidRDefault="12234F61" w14:paraId="2987E065" w14:textId="6FBE3540">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Agyemang, C. &amp; van den Born, B.-J.H. (2022)</w:t>
      </w:r>
      <w:r w:rsidRPr="167DB4A6" w:rsidR="1C0FDAAF">
        <w:rPr>
          <w:rFonts w:ascii="Arial" w:hAnsi="Arial" w:eastAsia="Arial" w:cs="Arial"/>
          <w:b w:val="0"/>
          <w:bCs w:val="0"/>
          <w:noProof w:val="0"/>
          <w:color w:val="000000" w:themeColor="text1" w:themeTint="FF" w:themeShade="FF"/>
          <w:sz w:val="22"/>
          <w:szCs w:val="22"/>
          <w:lang w:val="en-GB"/>
        </w:rPr>
        <w:t xml:space="preserve"> ‘Cardiovascular health and disease in migrant populations: a call to action’, </w:t>
      </w:r>
      <w:r w:rsidRPr="167DB4A6" w:rsidR="1C0FDAAF">
        <w:rPr>
          <w:rFonts w:ascii="Arial" w:hAnsi="Arial" w:eastAsia="Arial" w:cs="Arial"/>
          <w:b w:val="0"/>
          <w:bCs w:val="0"/>
          <w:i w:val="1"/>
          <w:iCs w:val="1"/>
          <w:noProof w:val="0"/>
          <w:color w:val="000000" w:themeColor="text1" w:themeTint="FF" w:themeShade="FF"/>
          <w:sz w:val="22"/>
          <w:szCs w:val="22"/>
          <w:lang w:val="en-GB"/>
        </w:rPr>
        <w:t>Nature Reviews Cardiology</w:t>
      </w:r>
      <w:r w:rsidRPr="167DB4A6" w:rsidR="1C0FDAAF">
        <w:rPr>
          <w:rFonts w:ascii="Arial" w:hAnsi="Arial" w:eastAsia="Arial" w:cs="Arial"/>
          <w:b w:val="0"/>
          <w:bCs w:val="0"/>
          <w:noProof w:val="0"/>
          <w:color w:val="000000" w:themeColor="text1" w:themeTint="FF" w:themeShade="FF"/>
          <w:sz w:val="22"/>
          <w:szCs w:val="22"/>
          <w:lang w:val="en-GB"/>
        </w:rPr>
        <w:t xml:space="preserve">, 19, pp. 263–277. </w:t>
      </w:r>
      <w:r w:rsidRPr="167DB4A6" w:rsidR="1C0FDAAF">
        <w:rPr>
          <w:rFonts w:ascii="Arial" w:hAnsi="Arial" w:eastAsia="Arial" w:cs="Arial"/>
          <w:b w:val="0"/>
          <w:bCs w:val="0"/>
          <w:noProof w:val="0"/>
          <w:color w:val="000000" w:themeColor="text1" w:themeTint="FF" w:themeShade="FF"/>
          <w:sz w:val="22"/>
          <w:szCs w:val="22"/>
          <w:lang w:val="en-GB"/>
        </w:rPr>
        <w:t>doi</w:t>
      </w:r>
      <w:r w:rsidRPr="167DB4A6" w:rsidR="1C0FDAAF">
        <w:rPr>
          <w:rFonts w:ascii="Arial" w:hAnsi="Arial" w:eastAsia="Arial" w:cs="Arial"/>
          <w:b w:val="0"/>
          <w:bCs w:val="0"/>
          <w:noProof w:val="0"/>
          <w:color w:val="000000" w:themeColor="text1" w:themeTint="FF" w:themeShade="FF"/>
          <w:sz w:val="22"/>
          <w:szCs w:val="22"/>
          <w:lang w:val="en-GB"/>
        </w:rPr>
        <w:t>: 10.1038/s41569-021-00644-y.</w:t>
      </w:r>
    </w:p>
    <w:p w:rsidR="12234F61" w:rsidP="167DB4A6" w:rsidRDefault="12234F61" w14:paraId="673FE650" w14:textId="67045FAB">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Bambra, C. (2020)</w:t>
      </w:r>
      <w:r w:rsidRPr="167DB4A6" w:rsidR="1C0FDAAF">
        <w:rPr>
          <w:rFonts w:ascii="Arial" w:hAnsi="Arial" w:eastAsia="Arial" w:cs="Arial"/>
          <w:b w:val="0"/>
          <w:bCs w:val="0"/>
          <w:noProof w:val="0"/>
          <w:color w:val="000000" w:themeColor="text1" w:themeTint="FF" w:themeShade="FF"/>
          <w:sz w:val="22"/>
          <w:szCs w:val="22"/>
          <w:lang w:val="en-GB"/>
        </w:rPr>
        <w:t xml:space="preserve"> ‘The COVID-19 pandemic and health inequalities’, </w:t>
      </w:r>
      <w:r w:rsidRPr="167DB4A6" w:rsidR="1C0FDAAF">
        <w:rPr>
          <w:rFonts w:ascii="Arial" w:hAnsi="Arial" w:eastAsia="Arial" w:cs="Arial"/>
          <w:b w:val="0"/>
          <w:bCs w:val="0"/>
          <w:i w:val="1"/>
          <w:iCs w:val="1"/>
          <w:noProof w:val="0"/>
          <w:color w:val="000000" w:themeColor="text1" w:themeTint="FF" w:themeShade="FF"/>
          <w:sz w:val="22"/>
          <w:szCs w:val="22"/>
          <w:lang w:val="en-GB"/>
        </w:rPr>
        <w:t>Journal of Epidemiology &amp; Community Health</w:t>
      </w:r>
      <w:r w:rsidRPr="167DB4A6" w:rsidR="1C0FDAAF">
        <w:rPr>
          <w:rFonts w:ascii="Arial" w:hAnsi="Arial" w:eastAsia="Arial" w:cs="Arial"/>
          <w:b w:val="0"/>
          <w:bCs w:val="0"/>
          <w:noProof w:val="0"/>
          <w:color w:val="000000" w:themeColor="text1" w:themeTint="FF" w:themeShade="FF"/>
          <w:sz w:val="22"/>
          <w:szCs w:val="22"/>
          <w:lang w:val="en-GB"/>
        </w:rPr>
        <w:t xml:space="preserve">, 74(11), pp. 964–968. </w:t>
      </w:r>
      <w:r w:rsidRPr="167DB4A6" w:rsidR="1C0FDAAF">
        <w:rPr>
          <w:rFonts w:ascii="Arial" w:hAnsi="Arial" w:eastAsia="Arial" w:cs="Arial"/>
          <w:b w:val="0"/>
          <w:bCs w:val="0"/>
          <w:noProof w:val="0"/>
          <w:color w:val="000000" w:themeColor="text1" w:themeTint="FF" w:themeShade="FF"/>
          <w:sz w:val="22"/>
          <w:szCs w:val="22"/>
          <w:lang w:val="en-GB"/>
        </w:rPr>
        <w:t>doi</w:t>
      </w:r>
      <w:r w:rsidRPr="167DB4A6" w:rsidR="1C0FDAAF">
        <w:rPr>
          <w:rFonts w:ascii="Arial" w:hAnsi="Arial" w:eastAsia="Arial" w:cs="Arial"/>
          <w:b w:val="0"/>
          <w:bCs w:val="0"/>
          <w:noProof w:val="0"/>
          <w:color w:val="000000" w:themeColor="text1" w:themeTint="FF" w:themeShade="FF"/>
          <w:sz w:val="22"/>
          <w:szCs w:val="22"/>
          <w:lang w:val="en-GB"/>
        </w:rPr>
        <w:t>: 10.1136/jech-2020-214401.</w:t>
      </w:r>
    </w:p>
    <w:p w:rsidR="12234F61" w:rsidP="167DB4A6" w:rsidRDefault="12234F61" w14:paraId="69535F9B" w14:textId="71BCC49C">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Bhui</w:t>
      </w:r>
      <w:r w:rsidRPr="167DB4A6" w:rsidR="1C0FDAAF">
        <w:rPr>
          <w:rFonts w:ascii="Arial" w:hAnsi="Arial" w:eastAsia="Arial" w:cs="Arial"/>
          <w:b w:val="0"/>
          <w:bCs w:val="0"/>
          <w:noProof w:val="0"/>
          <w:color w:val="000000" w:themeColor="text1" w:themeTint="FF" w:themeShade="FF"/>
          <w:sz w:val="22"/>
          <w:szCs w:val="22"/>
          <w:lang w:val="en-GB"/>
        </w:rPr>
        <w:t xml:space="preserve">, K., Halvorsrud, K. &amp; </w:t>
      </w:r>
      <w:r w:rsidRPr="167DB4A6" w:rsidR="1C0FDAAF">
        <w:rPr>
          <w:rFonts w:ascii="Arial" w:hAnsi="Arial" w:eastAsia="Arial" w:cs="Arial"/>
          <w:b w:val="0"/>
          <w:bCs w:val="0"/>
          <w:noProof w:val="0"/>
          <w:color w:val="000000" w:themeColor="text1" w:themeTint="FF" w:themeShade="FF"/>
          <w:sz w:val="22"/>
          <w:szCs w:val="22"/>
          <w:lang w:val="en-GB"/>
        </w:rPr>
        <w:t>Nazroo</w:t>
      </w:r>
      <w:r w:rsidRPr="167DB4A6" w:rsidR="1C0FDAAF">
        <w:rPr>
          <w:rFonts w:ascii="Arial" w:hAnsi="Arial" w:eastAsia="Arial" w:cs="Arial"/>
          <w:b w:val="0"/>
          <w:bCs w:val="0"/>
          <w:noProof w:val="0"/>
          <w:color w:val="000000" w:themeColor="text1" w:themeTint="FF" w:themeShade="FF"/>
          <w:sz w:val="22"/>
          <w:szCs w:val="22"/>
          <w:lang w:val="en-GB"/>
        </w:rPr>
        <w:t>, J.Y. (2018)</w:t>
      </w:r>
      <w:r w:rsidRPr="167DB4A6" w:rsidR="1C0FDAAF">
        <w:rPr>
          <w:rFonts w:ascii="Arial" w:hAnsi="Arial" w:eastAsia="Arial" w:cs="Arial"/>
          <w:b w:val="0"/>
          <w:bCs w:val="0"/>
          <w:noProof w:val="0"/>
          <w:color w:val="000000" w:themeColor="text1" w:themeTint="FF" w:themeShade="FF"/>
          <w:sz w:val="22"/>
          <w:szCs w:val="22"/>
          <w:lang w:val="en-GB"/>
        </w:rPr>
        <w:t xml:space="preserve"> ‘Making a difference: ethnic inequality and severe mental illness’, </w:t>
      </w:r>
      <w:r w:rsidRPr="167DB4A6" w:rsidR="1C0FDAAF">
        <w:rPr>
          <w:rFonts w:ascii="Arial" w:hAnsi="Arial" w:eastAsia="Arial" w:cs="Arial"/>
          <w:b w:val="0"/>
          <w:bCs w:val="0"/>
          <w:i w:val="1"/>
          <w:iCs w:val="1"/>
          <w:noProof w:val="0"/>
          <w:color w:val="000000" w:themeColor="text1" w:themeTint="FF" w:themeShade="FF"/>
          <w:sz w:val="22"/>
          <w:szCs w:val="22"/>
          <w:lang w:val="en-GB"/>
        </w:rPr>
        <w:t>The British Journal of Psychiatry</w:t>
      </w:r>
      <w:r w:rsidRPr="167DB4A6" w:rsidR="1C0FDAAF">
        <w:rPr>
          <w:rFonts w:ascii="Arial" w:hAnsi="Arial" w:eastAsia="Arial" w:cs="Arial"/>
          <w:b w:val="0"/>
          <w:bCs w:val="0"/>
          <w:noProof w:val="0"/>
          <w:color w:val="000000" w:themeColor="text1" w:themeTint="FF" w:themeShade="FF"/>
          <w:sz w:val="22"/>
          <w:szCs w:val="22"/>
          <w:lang w:val="en-GB"/>
        </w:rPr>
        <w:t xml:space="preserve">, 213(4), pp. 574–578. </w:t>
      </w:r>
      <w:r w:rsidRPr="167DB4A6" w:rsidR="1C0FDAAF">
        <w:rPr>
          <w:rFonts w:ascii="Arial" w:hAnsi="Arial" w:eastAsia="Arial" w:cs="Arial"/>
          <w:b w:val="0"/>
          <w:bCs w:val="0"/>
          <w:noProof w:val="0"/>
          <w:color w:val="000000" w:themeColor="text1" w:themeTint="FF" w:themeShade="FF"/>
          <w:sz w:val="22"/>
          <w:szCs w:val="22"/>
          <w:lang w:val="en-GB"/>
        </w:rPr>
        <w:t>doi</w:t>
      </w:r>
      <w:r w:rsidRPr="167DB4A6" w:rsidR="1C0FDAAF">
        <w:rPr>
          <w:rFonts w:ascii="Arial" w:hAnsi="Arial" w:eastAsia="Arial" w:cs="Arial"/>
          <w:b w:val="0"/>
          <w:bCs w:val="0"/>
          <w:noProof w:val="0"/>
          <w:color w:val="000000" w:themeColor="text1" w:themeTint="FF" w:themeShade="FF"/>
          <w:sz w:val="22"/>
          <w:szCs w:val="22"/>
          <w:lang w:val="en-GB"/>
        </w:rPr>
        <w:t>: 10.1192/bjp.2018.148.</w:t>
      </w:r>
    </w:p>
    <w:p w:rsidR="12234F61" w:rsidP="167DB4A6" w:rsidRDefault="12234F61" w14:paraId="58BD6E4A" w14:textId="30087124">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Nazroo</w:t>
      </w:r>
      <w:r w:rsidRPr="167DB4A6" w:rsidR="1C0FDAAF">
        <w:rPr>
          <w:rFonts w:ascii="Arial" w:hAnsi="Arial" w:eastAsia="Arial" w:cs="Arial"/>
          <w:b w:val="0"/>
          <w:bCs w:val="0"/>
          <w:noProof w:val="0"/>
          <w:color w:val="000000" w:themeColor="text1" w:themeTint="FF" w:themeShade="FF"/>
          <w:sz w:val="22"/>
          <w:szCs w:val="22"/>
          <w:lang w:val="en-GB"/>
        </w:rPr>
        <w:t>, J.Y. (2017)</w:t>
      </w:r>
      <w:r w:rsidRPr="167DB4A6" w:rsidR="1C0FDAAF">
        <w:rPr>
          <w:rFonts w:ascii="Arial" w:hAnsi="Arial" w:eastAsia="Arial" w:cs="Arial"/>
          <w:b w:val="0"/>
          <w:bCs w:val="0"/>
          <w:noProof w:val="0"/>
          <w:color w:val="000000" w:themeColor="text1" w:themeTint="FF" w:themeShade="FF"/>
          <w:sz w:val="22"/>
          <w:szCs w:val="22"/>
          <w:lang w:val="en-GB"/>
        </w:rPr>
        <w:t xml:space="preserve"> ‘Class and health inequality in later life: patterns, mechanisms and implications for policy’, </w:t>
      </w:r>
      <w:r w:rsidRPr="167DB4A6" w:rsidR="1C0FDAAF">
        <w:rPr>
          <w:rFonts w:ascii="Arial" w:hAnsi="Arial" w:eastAsia="Arial" w:cs="Arial"/>
          <w:b w:val="0"/>
          <w:bCs w:val="0"/>
          <w:i w:val="1"/>
          <w:iCs w:val="1"/>
          <w:noProof w:val="0"/>
          <w:color w:val="000000" w:themeColor="text1" w:themeTint="FF" w:themeShade="FF"/>
          <w:sz w:val="22"/>
          <w:szCs w:val="22"/>
          <w:lang w:val="en-GB"/>
        </w:rPr>
        <w:t>International Journal of Environmental Research and Public Health</w:t>
      </w:r>
      <w:r w:rsidRPr="167DB4A6" w:rsidR="1C0FDAAF">
        <w:rPr>
          <w:rFonts w:ascii="Arial" w:hAnsi="Arial" w:eastAsia="Arial" w:cs="Arial"/>
          <w:b w:val="0"/>
          <w:bCs w:val="0"/>
          <w:noProof w:val="0"/>
          <w:color w:val="000000" w:themeColor="text1" w:themeTint="FF" w:themeShade="FF"/>
          <w:sz w:val="22"/>
          <w:szCs w:val="22"/>
          <w:lang w:val="en-GB"/>
        </w:rPr>
        <w:t xml:space="preserve">, 14(12), p. 1533. </w:t>
      </w:r>
      <w:r w:rsidRPr="167DB4A6" w:rsidR="1C0FDAAF">
        <w:rPr>
          <w:rFonts w:ascii="Arial" w:hAnsi="Arial" w:eastAsia="Arial" w:cs="Arial"/>
          <w:b w:val="0"/>
          <w:bCs w:val="0"/>
          <w:noProof w:val="0"/>
          <w:color w:val="000000" w:themeColor="text1" w:themeTint="FF" w:themeShade="FF"/>
          <w:sz w:val="22"/>
          <w:szCs w:val="22"/>
          <w:lang w:val="en-GB"/>
        </w:rPr>
        <w:t>doi</w:t>
      </w:r>
      <w:r w:rsidRPr="167DB4A6" w:rsidR="1C0FDAAF">
        <w:rPr>
          <w:rFonts w:ascii="Arial" w:hAnsi="Arial" w:eastAsia="Arial" w:cs="Arial"/>
          <w:b w:val="0"/>
          <w:bCs w:val="0"/>
          <w:noProof w:val="0"/>
          <w:color w:val="000000" w:themeColor="text1" w:themeTint="FF" w:themeShade="FF"/>
          <w:sz w:val="22"/>
          <w:szCs w:val="22"/>
          <w:lang w:val="en-GB"/>
        </w:rPr>
        <w:t>: 10.3390/ijerph14121533.</w:t>
      </w:r>
    </w:p>
    <w:p w:rsidR="12234F61" w:rsidP="167DB4A6" w:rsidRDefault="12234F61" w14:paraId="5348B933" w14:textId="03B8DC1C">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Nazroo</w:t>
      </w:r>
      <w:r w:rsidRPr="167DB4A6" w:rsidR="1C0FDAAF">
        <w:rPr>
          <w:rFonts w:ascii="Arial" w:hAnsi="Arial" w:eastAsia="Arial" w:cs="Arial"/>
          <w:b w:val="0"/>
          <w:bCs w:val="0"/>
          <w:noProof w:val="0"/>
          <w:color w:val="000000" w:themeColor="text1" w:themeTint="FF" w:themeShade="FF"/>
          <w:sz w:val="22"/>
          <w:szCs w:val="22"/>
          <w:lang w:val="en-GB"/>
        </w:rPr>
        <w:t>, J.Y. &amp; Williams, D.R. (2006)</w:t>
      </w:r>
      <w:r w:rsidRPr="167DB4A6" w:rsidR="1C0FDAAF">
        <w:rPr>
          <w:rFonts w:ascii="Arial" w:hAnsi="Arial" w:eastAsia="Arial" w:cs="Arial"/>
          <w:b w:val="0"/>
          <w:bCs w:val="0"/>
          <w:noProof w:val="0"/>
          <w:color w:val="000000" w:themeColor="text1" w:themeTint="FF" w:themeShade="FF"/>
          <w:sz w:val="22"/>
          <w:szCs w:val="22"/>
          <w:lang w:val="en-GB"/>
        </w:rPr>
        <w:t xml:space="preserve"> ‘The social determination of ethnic/racial inequalities in health’, in Marmot, M. &amp; Wilkinson, R. (eds) </w:t>
      </w:r>
      <w:r w:rsidRPr="167DB4A6" w:rsidR="1C0FDAAF">
        <w:rPr>
          <w:rFonts w:ascii="Arial" w:hAnsi="Arial" w:eastAsia="Arial" w:cs="Arial"/>
          <w:b w:val="0"/>
          <w:bCs w:val="0"/>
          <w:i w:val="1"/>
          <w:iCs w:val="1"/>
          <w:noProof w:val="0"/>
          <w:color w:val="000000" w:themeColor="text1" w:themeTint="FF" w:themeShade="FF"/>
          <w:sz w:val="22"/>
          <w:szCs w:val="22"/>
          <w:lang w:val="en-GB"/>
        </w:rPr>
        <w:t>Social Determinants of Health</w:t>
      </w:r>
      <w:r w:rsidRPr="167DB4A6" w:rsidR="1C0FDAAF">
        <w:rPr>
          <w:rFonts w:ascii="Arial" w:hAnsi="Arial" w:eastAsia="Arial" w:cs="Arial"/>
          <w:b w:val="0"/>
          <w:bCs w:val="0"/>
          <w:noProof w:val="0"/>
          <w:color w:val="000000" w:themeColor="text1" w:themeTint="FF" w:themeShade="FF"/>
          <w:sz w:val="22"/>
          <w:szCs w:val="22"/>
          <w:lang w:val="en-GB"/>
        </w:rPr>
        <w:t>, 2nd edn. Oxford: Oxford University Press, pp. 238–266. ISBN 0198565895.</w:t>
      </w:r>
    </w:p>
    <w:p w:rsidR="12234F61" w:rsidP="167DB4A6" w:rsidRDefault="12234F61" w14:paraId="69ADB96F" w14:textId="48932AE8">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Office for National Statistics (2021)</w:t>
      </w:r>
      <w:r w:rsidRPr="167DB4A6" w:rsidR="1C0FDAAF">
        <w:rPr>
          <w:rFonts w:ascii="Arial" w:hAnsi="Arial" w:eastAsia="Arial" w:cs="Arial"/>
          <w:b w:val="0"/>
          <w:bCs w:val="0"/>
          <w:noProof w:val="0"/>
          <w:color w:val="000000" w:themeColor="text1" w:themeTint="FF" w:themeShade="FF"/>
          <w:sz w:val="22"/>
          <w:szCs w:val="22"/>
          <w:lang w:val="en-GB"/>
        </w:rPr>
        <w:t xml:space="preserve"> </w:t>
      </w:r>
      <w:r w:rsidRPr="167DB4A6" w:rsidR="1C0FDAAF">
        <w:rPr>
          <w:rFonts w:ascii="Arial" w:hAnsi="Arial" w:eastAsia="Arial" w:cs="Arial"/>
          <w:b w:val="0"/>
          <w:bCs w:val="0"/>
          <w:i w:val="1"/>
          <w:iCs w:val="1"/>
          <w:noProof w:val="0"/>
          <w:color w:val="000000" w:themeColor="text1" w:themeTint="FF" w:themeShade="FF"/>
          <w:sz w:val="22"/>
          <w:szCs w:val="22"/>
          <w:lang w:val="en-GB"/>
        </w:rPr>
        <w:t>Ethnic differences in life expectancy and mortality from selected causes in England and Wales: 2011 to 2014 (experimental data).</w:t>
      </w:r>
      <w:r w:rsidRPr="167DB4A6" w:rsidR="1C0FDAAF">
        <w:rPr>
          <w:rFonts w:ascii="Arial" w:hAnsi="Arial" w:eastAsia="Arial" w:cs="Arial"/>
          <w:b w:val="0"/>
          <w:bCs w:val="0"/>
          <w:noProof w:val="0"/>
          <w:color w:val="000000" w:themeColor="text1" w:themeTint="FF" w:themeShade="FF"/>
          <w:sz w:val="22"/>
          <w:szCs w:val="22"/>
          <w:lang w:val="en-GB"/>
        </w:rPr>
        <w:t xml:space="preserve"> London: ONS. Available at: </w:t>
      </w:r>
      <w:hyperlink r:id="R71dcc7b3e738459a">
        <w:r w:rsidRPr="167DB4A6" w:rsidR="1C0FDAAF">
          <w:rPr>
            <w:rStyle w:val="Hyperlink"/>
            <w:rFonts w:ascii="Arial" w:hAnsi="Arial" w:eastAsia="Arial" w:cs="Arial"/>
            <w:b w:val="0"/>
            <w:bCs w:val="0"/>
            <w:noProof w:val="0"/>
            <w:color w:val="000000" w:themeColor="text1" w:themeTint="FF" w:themeShade="FF"/>
            <w:sz w:val="22"/>
            <w:szCs w:val="22"/>
            <w:lang w:val="en-GB"/>
          </w:rPr>
          <w:t>https://www.ons.gov.uk/peoplepopulationandcommunity/healthandsocialcare/healthinequalities</w:t>
        </w:r>
      </w:hyperlink>
      <w:r w:rsidRPr="167DB4A6" w:rsidR="1C0FDAAF">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402C1726" w14:textId="15BE7934">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Public Health England (2020)</w:t>
      </w:r>
      <w:r w:rsidRPr="167DB4A6" w:rsidR="1C0FDAAF">
        <w:rPr>
          <w:rFonts w:ascii="Arial" w:hAnsi="Arial" w:eastAsia="Arial" w:cs="Arial"/>
          <w:b w:val="0"/>
          <w:bCs w:val="0"/>
          <w:noProof w:val="0"/>
          <w:color w:val="000000" w:themeColor="text1" w:themeTint="FF" w:themeShade="FF"/>
          <w:sz w:val="22"/>
          <w:szCs w:val="22"/>
          <w:lang w:val="en-GB"/>
        </w:rPr>
        <w:t xml:space="preserve"> </w:t>
      </w:r>
      <w:r w:rsidRPr="167DB4A6" w:rsidR="1C0FDAAF">
        <w:rPr>
          <w:rFonts w:ascii="Arial" w:hAnsi="Arial" w:eastAsia="Arial" w:cs="Arial"/>
          <w:b w:val="0"/>
          <w:bCs w:val="0"/>
          <w:i w:val="1"/>
          <w:iCs w:val="1"/>
          <w:noProof w:val="0"/>
          <w:color w:val="000000" w:themeColor="text1" w:themeTint="FF" w:themeShade="FF"/>
          <w:sz w:val="22"/>
          <w:szCs w:val="22"/>
          <w:lang w:val="en-GB"/>
        </w:rPr>
        <w:t>Disparities in the risk and outcomes of COVID-19.</w:t>
      </w:r>
      <w:r w:rsidRPr="167DB4A6" w:rsidR="1C0FDAAF">
        <w:rPr>
          <w:rFonts w:ascii="Arial" w:hAnsi="Arial" w:eastAsia="Arial" w:cs="Arial"/>
          <w:b w:val="0"/>
          <w:bCs w:val="0"/>
          <w:noProof w:val="0"/>
          <w:color w:val="000000" w:themeColor="text1" w:themeTint="FF" w:themeShade="FF"/>
          <w:sz w:val="22"/>
          <w:szCs w:val="22"/>
          <w:lang w:val="en-GB"/>
        </w:rPr>
        <w:t xml:space="preserve"> London: Public Health England. Available at: </w:t>
      </w:r>
      <w:hyperlink r:id="R38c7c1ca13214f2f">
        <w:r w:rsidRPr="167DB4A6" w:rsidR="1C0FDAAF">
          <w:rPr>
            <w:rStyle w:val="Hyperlink"/>
            <w:rFonts w:ascii="Arial" w:hAnsi="Arial" w:eastAsia="Arial" w:cs="Arial"/>
            <w:b w:val="0"/>
            <w:bCs w:val="0"/>
            <w:noProof w:val="0"/>
            <w:color w:val="000000" w:themeColor="text1" w:themeTint="FF" w:themeShade="FF"/>
            <w:sz w:val="22"/>
            <w:szCs w:val="22"/>
            <w:lang w:val="en-GB"/>
          </w:rPr>
          <w:t>https://assets.publishing.service.gov.uk/media/5f328354d3bf7f1b12a7023a/Disparities_in_the_risk_and_outcomes_of_COVID_August_2020_update.pdf</w:t>
        </w:r>
      </w:hyperlink>
      <w:r w:rsidRPr="167DB4A6" w:rsidR="1C0FDAAF">
        <w:rPr>
          <w:rFonts w:ascii="Arial" w:hAnsi="Arial" w:eastAsia="Arial" w:cs="Arial"/>
          <w:b w:val="0"/>
          <w:bCs w:val="0"/>
          <w:noProof w:val="0"/>
          <w:color w:val="000000" w:themeColor="text1" w:themeTint="FF" w:themeShade="FF"/>
          <w:sz w:val="22"/>
          <w:szCs w:val="22"/>
          <w:lang w:val="en-GB"/>
        </w:rPr>
        <w:t xml:space="preserve"> (Accessed: 21 October 2025).</w:t>
      </w:r>
    </w:p>
    <w:p w:rsidR="12234F61" w:rsidP="167DB4A6" w:rsidRDefault="12234F61" w14:paraId="48FA5E55" w14:textId="22446C7D">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1C0FDAAF">
        <w:rPr>
          <w:rFonts w:ascii="Arial" w:hAnsi="Arial" w:eastAsia="Arial" w:cs="Arial"/>
          <w:b w:val="0"/>
          <w:bCs w:val="0"/>
          <w:noProof w:val="0"/>
          <w:color w:val="000000" w:themeColor="text1" w:themeTint="FF" w:themeShade="FF"/>
          <w:sz w:val="22"/>
          <w:szCs w:val="22"/>
          <w:lang w:val="en-GB"/>
        </w:rPr>
        <w:t>Sattar, N. &amp; Gill, J.M.R. (2015)</w:t>
      </w:r>
      <w:r w:rsidRPr="167DB4A6" w:rsidR="1C0FDAAF">
        <w:rPr>
          <w:rFonts w:ascii="Arial" w:hAnsi="Arial" w:eastAsia="Arial" w:cs="Arial"/>
          <w:b w:val="0"/>
          <w:bCs w:val="0"/>
          <w:noProof w:val="0"/>
          <w:color w:val="000000" w:themeColor="text1" w:themeTint="FF" w:themeShade="FF"/>
          <w:sz w:val="22"/>
          <w:szCs w:val="22"/>
          <w:lang w:val="en-GB"/>
        </w:rPr>
        <w:t xml:space="preserve"> ‘Type 2 diabetes in migrant South Asians: mechanisms, mitigation and management’, </w:t>
      </w:r>
      <w:r w:rsidRPr="167DB4A6" w:rsidR="1C0FDAAF">
        <w:rPr>
          <w:rFonts w:ascii="Arial" w:hAnsi="Arial" w:eastAsia="Arial" w:cs="Arial"/>
          <w:b w:val="0"/>
          <w:bCs w:val="0"/>
          <w:i w:val="1"/>
          <w:iCs w:val="1"/>
          <w:noProof w:val="0"/>
          <w:color w:val="000000" w:themeColor="text1" w:themeTint="FF" w:themeShade="FF"/>
          <w:sz w:val="22"/>
          <w:szCs w:val="22"/>
          <w:lang w:val="en-GB"/>
        </w:rPr>
        <w:t>The Lancet Diabetes &amp; Endocrinology</w:t>
      </w:r>
      <w:r w:rsidRPr="167DB4A6" w:rsidR="1C0FDAAF">
        <w:rPr>
          <w:rFonts w:ascii="Arial" w:hAnsi="Arial" w:eastAsia="Arial" w:cs="Arial"/>
          <w:b w:val="0"/>
          <w:bCs w:val="0"/>
          <w:noProof w:val="0"/>
          <w:color w:val="000000" w:themeColor="text1" w:themeTint="FF" w:themeShade="FF"/>
          <w:sz w:val="22"/>
          <w:szCs w:val="22"/>
          <w:lang w:val="en-GB"/>
        </w:rPr>
        <w:t>, 3(12), pp. 1004–1016. doi: 10.1016/S2213-8587(15)00326-5.</w:t>
      </w:r>
    </w:p>
    <w:p w:rsidR="12234F61" w:rsidP="167DB4A6" w:rsidRDefault="12234F61" w14:paraId="3C39C306" w14:textId="18794E09">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Agyemang, C. &amp; van den Born, B.-J.H. (2022)</w:t>
      </w:r>
      <w:r w:rsidRPr="167DB4A6" w:rsidR="7F0AAA26">
        <w:rPr>
          <w:rFonts w:ascii="Arial" w:hAnsi="Arial" w:eastAsia="Arial" w:cs="Arial"/>
          <w:b w:val="0"/>
          <w:bCs w:val="0"/>
          <w:noProof w:val="0"/>
          <w:color w:val="000000" w:themeColor="text1" w:themeTint="FF" w:themeShade="FF"/>
          <w:sz w:val="22"/>
          <w:szCs w:val="22"/>
          <w:lang w:val="en-GB"/>
        </w:rPr>
        <w:t xml:space="preserve"> ‘Cardiovascular health and disease in migrant populations: a call to action’, </w:t>
      </w:r>
      <w:r w:rsidRPr="167DB4A6" w:rsidR="7F0AAA26">
        <w:rPr>
          <w:rFonts w:ascii="Arial" w:hAnsi="Arial" w:eastAsia="Arial" w:cs="Arial"/>
          <w:b w:val="0"/>
          <w:bCs w:val="0"/>
          <w:i w:val="1"/>
          <w:iCs w:val="1"/>
          <w:noProof w:val="0"/>
          <w:color w:val="000000" w:themeColor="text1" w:themeTint="FF" w:themeShade="FF"/>
          <w:sz w:val="22"/>
          <w:szCs w:val="22"/>
          <w:lang w:val="en-GB"/>
        </w:rPr>
        <w:t>Nature Reviews Cardiology</w:t>
      </w:r>
      <w:r w:rsidRPr="167DB4A6" w:rsidR="7F0AAA26">
        <w:rPr>
          <w:rFonts w:ascii="Arial" w:hAnsi="Arial" w:eastAsia="Arial" w:cs="Arial"/>
          <w:b w:val="0"/>
          <w:bCs w:val="0"/>
          <w:noProof w:val="0"/>
          <w:color w:val="000000" w:themeColor="text1" w:themeTint="FF" w:themeShade="FF"/>
          <w:sz w:val="22"/>
          <w:szCs w:val="22"/>
          <w:lang w:val="en-GB"/>
        </w:rPr>
        <w:t xml:space="preserve">, 19(5), pp. 263–277.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10.1038/s41569-021-00644-y.</w:t>
      </w:r>
    </w:p>
    <w:p w:rsidR="12234F61" w:rsidP="167DB4A6" w:rsidRDefault="12234F61" w14:paraId="2E2A3440" w14:textId="4F53E246">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Bambra, C. (2020)</w:t>
      </w:r>
      <w:r w:rsidRPr="167DB4A6" w:rsidR="7F0AAA26">
        <w:rPr>
          <w:rFonts w:ascii="Arial" w:hAnsi="Arial" w:eastAsia="Arial" w:cs="Arial"/>
          <w:b w:val="0"/>
          <w:bCs w:val="0"/>
          <w:noProof w:val="0"/>
          <w:color w:val="000000" w:themeColor="text1" w:themeTint="FF" w:themeShade="FF"/>
          <w:sz w:val="22"/>
          <w:szCs w:val="22"/>
          <w:lang w:val="en-GB"/>
        </w:rPr>
        <w:t xml:space="preserve"> ‘The COVID-19 pandemic and health inequalities’, </w:t>
      </w:r>
      <w:r w:rsidRPr="167DB4A6" w:rsidR="7F0AAA26">
        <w:rPr>
          <w:rFonts w:ascii="Arial" w:hAnsi="Arial" w:eastAsia="Arial" w:cs="Arial"/>
          <w:b w:val="0"/>
          <w:bCs w:val="0"/>
          <w:i w:val="1"/>
          <w:iCs w:val="1"/>
          <w:noProof w:val="0"/>
          <w:color w:val="000000" w:themeColor="text1" w:themeTint="FF" w:themeShade="FF"/>
          <w:sz w:val="22"/>
          <w:szCs w:val="22"/>
          <w:lang w:val="en-GB"/>
        </w:rPr>
        <w:t>Journal of Epidemiology &amp; Community Health</w:t>
      </w:r>
      <w:r w:rsidRPr="167DB4A6" w:rsidR="7F0AAA26">
        <w:rPr>
          <w:rFonts w:ascii="Arial" w:hAnsi="Arial" w:eastAsia="Arial" w:cs="Arial"/>
          <w:b w:val="0"/>
          <w:bCs w:val="0"/>
          <w:noProof w:val="0"/>
          <w:color w:val="000000" w:themeColor="text1" w:themeTint="FF" w:themeShade="FF"/>
          <w:sz w:val="22"/>
          <w:szCs w:val="22"/>
          <w:lang w:val="en-GB"/>
        </w:rPr>
        <w:t xml:space="preserve">, 74(11), pp. 964–968.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10.1136/jech-2020-214401.</w:t>
      </w:r>
    </w:p>
    <w:p w:rsidR="12234F61" w:rsidP="167DB4A6" w:rsidRDefault="12234F61" w14:paraId="68942578" w14:textId="541F5F52">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Bhui</w:t>
      </w:r>
      <w:r w:rsidRPr="167DB4A6" w:rsidR="7F0AAA26">
        <w:rPr>
          <w:rFonts w:ascii="Arial" w:hAnsi="Arial" w:eastAsia="Arial" w:cs="Arial"/>
          <w:b w:val="0"/>
          <w:bCs w:val="0"/>
          <w:noProof w:val="0"/>
          <w:color w:val="000000" w:themeColor="text1" w:themeTint="FF" w:themeShade="FF"/>
          <w:sz w:val="22"/>
          <w:szCs w:val="22"/>
          <w:lang w:val="en-GB"/>
        </w:rPr>
        <w:t xml:space="preserve">, K., Halvorsrud, K. &amp; </w:t>
      </w:r>
      <w:r w:rsidRPr="167DB4A6" w:rsidR="7F0AAA26">
        <w:rPr>
          <w:rFonts w:ascii="Arial" w:hAnsi="Arial" w:eastAsia="Arial" w:cs="Arial"/>
          <w:b w:val="0"/>
          <w:bCs w:val="0"/>
          <w:noProof w:val="0"/>
          <w:color w:val="000000" w:themeColor="text1" w:themeTint="FF" w:themeShade="FF"/>
          <w:sz w:val="22"/>
          <w:szCs w:val="22"/>
          <w:lang w:val="en-GB"/>
        </w:rPr>
        <w:t>Nazroo</w:t>
      </w:r>
      <w:r w:rsidRPr="167DB4A6" w:rsidR="7F0AAA26">
        <w:rPr>
          <w:rFonts w:ascii="Arial" w:hAnsi="Arial" w:eastAsia="Arial" w:cs="Arial"/>
          <w:b w:val="0"/>
          <w:bCs w:val="0"/>
          <w:noProof w:val="0"/>
          <w:color w:val="000000" w:themeColor="text1" w:themeTint="FF" w:themeShade="FF"/>
          <w:sz w:val="22"/>
          <w:szCs w:val="22"/>
          <w:lang w:val="en-GB"/>
        </w:rPr>
        <w:t>, J.Y. (2018)</w:t>
      </w:r>
      <w:r w:rsidRPr="167DB4A6" w:rsidR="7F0AAA26">
        <w:rPr>
          <w:rFonts w:ascii="Arial" w:hAnsi="Arial" w:eastAsia="Arial" w:cs="Arial"/>
          <w:b w:val="0"/>
          <w:bCs w:val="0"/>
          <w:noProof w:val="0"/>
          <w:color w:val="000000" w:themeColor="text1" w:themeTint="FF" w:themeShade="FF"/>
          <w:sz w:val="22"/>
          <w:szCs w:val="22"/>
          <w:lang w:val="en-GB"/>
        </w:rPr>
        <w:t xml:space="preserve"> ‘Making a difference: ethnic inequality and severe mental illness’, </w:t>
      </w:r>
      <w:r w:rsidRPr="167DB4A6" w:rsidR="7F0AAA26">
        <w:rPr>
          <w:rFonts w:ascii="Arial" w:hAnsi="Arial" w:eastAsia="Arial" w:cs="Arial"/>
          <w:b w:val="0"/>
          <w:bCs w:val="0"/>
          <w:i w:val="1"/>
          <w:iCs w:val="1"/>
          <w:noProof w:val="0"/>
          <w:color w:val="000000" w:themeColor="text1" w:themeTint="FF" w:themeShade="FF"/>
          <w:sz w:val="22"/>
          <w:szCs w:val="22"/>
          <w:lang w:val="en-GB"/>
        </w:rPr>
        <w:t>The British Journal of Psychiatry</w:t>
      </w:r>
      <w:r w:rsidRPr="167DB4A6" w:rsidR="7F0AAA26">
        <w:rPr>
          <w:rFonts w:ascii="Arial" w:hAnsi="Arial" w:eastAsia="Arial" w:cs="Arial"/>
          <w:b w:val="0"/>
          <w:bCs w:val="0"/>
          <w:noProof w:val="0"/>
          <w:color w:val="000000" w:themeColor="text1" w:themeTint="FF" w:themeShade="FF"/>
          <w:sz w:val="22"/>
          <w:szCs w:val="22"/>
          <w:lang w:val="en-GB"/>
        </w:rPr>
        <w:t xml:space="preserve">, 213(4), pp. 574–578.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10.1192/bjp.2018.148.</w:t>
      </w:r>
    </w:p>
    <w:p w:rsidR="12234F61" w:rsidP="167DB4A6" w:rsidRDefault="12234F61" w14:paraId="470EDBF6" w14:textId="6D379B38">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BMC Public Health (2021)</w:t>
      </w:r>
      <w:r w:rsidRPr="167DB4A6" w:rsidR="7F0AAA26">
        <w:rPr>
          <w:rFonts w:ascii="Arial" w:hAnsi="Arial" w:eastAsia="Arial" w:cs="Arial"/>
          <w:b w:val="0"/>
          <w:bCs w:val="0"/>
          <w:noProof w:val="0"/>
          <w:color w:val="000000" w:themeColor="text1" w:themeTint="FF" w:themeShade="FF"/>
          <w:sz w:val="22"/>
          <w:szCs w:val="22"/>
          <w:lang w:val="en-GB"/>
        </w:rPr>
        <w:t xml:space="preserve"> ‘Ethnic inequalities in hospital admissions in England: an observational study’, </w:t>
      </w:r>
      <w:r w:rsidRPr="167DB4A6" w:rsidR="7F0AAA26">
        <w:rPr>
          <w:rFonts w:ascii="Arial" w:hAnsi="Arial" w:eastAsia="Arial" w:cs="Arial"/>
          <w:b w:val="0"/>
          <w:bCs w:val="0"/>
          <w:i w:val="1"/>
          <w:iCs w:val="1"/>
          <w:noProof w:val="0"/>
          <w:color w:val="000000" w:themeColor="text1" w:themeTint="FF" w:themeShade="FF"/>
          <w:sz w:val="22"/>
          <w:szCs w:val="22"/>
          <w:lang w:val="en-GB"/>
        </w:rPr>
        <w:t>BMC Public Health</w:t>
      </w:r>
      <w:r w:rsidRPr="167DB4A6" w:rsidR="7F0AAA26">
        <w:rPr>
          <w:rFonts w:ascii="Arial" w:hAnsi="Arial" w:eastAsia="Arial" w:cs="Arial"/>
          <w:b w:val="0"/>
          <w:bCs w:val="0"/>
          <w:noProof w:val="0"/>
          <w:color w:val="000000" w:themeColor="text1" w:themeTint="FF" w:themeShade="FF"/>
          <w:sz w:val="22"/>
          <w:szCs w:val="22"/>
          <w:lang w:val="en-GB"/>
        </w:rPr>
        <w:t xml:space="preserve">, 21(1), p. 10923.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10.1186/s12889-021-10923-5.</w:t>
      </w:r>
    </w:p>
    <w:p w:rsidR="12234F61" w:rsidP="167DB4A6" w:rsidRDefault="12234F61" w14:paraId="26F1D616" w14:textId="5D120ED6">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Forouhi</w:t>
      </w:r>
      <w:r w:rsidRPr="167DB4A6" w:rsidR="7F0AAA26">
        <w:rPr>
          <w:rFonts w:ascii="Arial" w:hAnsi="Arial" w:eastAsia="Arial" w:cs="Arial"/>
          <w:b w:val="0"/>
          <w:bCs w:val="0"/>
          <w:noProof w:val="0"/>
          <w:color w:val="000000" w:themeColor="text1" w:themeTint="FF" w:themeShade="FF"/>
          <w:sz w:val="22"/>
          <w:szCs w:val="22"/>
          <w:lang w:val="en-GB"/>
        </w:rPr>
        <w:t>, N.G., Misra, A., Mohan, V., Taylor, R. &amp; Yancy, W.S. (2018)</w:t>
      </w:r>
      <w:r w:rsidRPr="167DB4A6" w:rsidR="7F0AAA26">
        <w:rPr>
          <w:rFonts w:ascii="Arial" w:hAnsi="Arial" w:eastAsia="Arial" w:cs="Arial"/>
          <w:b w:val="0"/>
          <w:bCs w:val="0"/>
          <w:noProof w:val="0"/>
          <w:color w:val="000000" w:themeColor="text1" w:themeTint="FF" w:themeShade="FF"/>
          <w:sz w:val="22"/>
          <w:szCs w:val="22"/>
          <w:lang w:val="en-GB"/>
        </w:rPr>
        <w:t xml:space="preserve"> ‘Do we need separate diabetes interventions for South Asians?’, </w:t>
      </w:r>
      <w:r w:rsidRPr="167DB4A6" w:rsidR="7F0AAA26">
        <w:rPr>
          <w:rFonts w:ascii="Arial" w:hAnsi="Arial" w:eastAsia="Arial" w:cs="Arial"/>
          <w:b w:val="0"/>
          <w:bCs w:val="0"/>
          <w:i w:val="1"/>
          <w:iCs w:val="1"/>
          <w:noProof w:val="0"/>
          <w:color w:val="000000" w:themeColor="text1" w:themeTint="FF" w:themeShade="FF"/>
          <w:sz w:val="22"/>
          <w:szCs w:val="22"/>
          <w:lang w:val="en-GB"/>
        </w:rPr>
        <w:t>The Lancet Diabetes &amp; Endocrinology</w:t>
      </w:r>
      <w:r w:rsidRPr="167DB4A6" w:rsidR="7F0AAA26">
        <w:rPr>
          <w:rFonts w:ascii="Arial" w:hAnsi="Arial" w:eastAsia="Arial" w:cs="Arial"/>
          <w:b w:val="0"/>
          <w:bCs w:val="0"/>
          <w:noProof w:val="0"/>
          <w:color w:val="000000" w:themeColor="text1" w:themeTint="FF" w:themeShade="FF"/>
          <w:sz w:val="22"/>
          <w:szCs w:val="22"/>
          <w:lang w:val="en-GB"/>
        </w:rPr>
        <w:t xml:space="preserve">, 6(6), pp. 447–449.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10.1016/S2213-8587(18)30080-3.</w:t>
      </w:r>
    </w:p>
    <w:p w:rsidR="12234F61" w:rsidP="167DB4A6" w:rsidRDefault="12234F61" w14:paraId="4938E79E" w14:textId="57411C67">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Gov.Scot</w:t>
      </w:r>
      <w:r w:rsidRPr="167DB4A6" w:rsidR="7F0AAA26">
        <w:rPr>
          <w:rFonts w:ascii="Arial" w:hAnsi="Arial" w:eastAsia="Arial" w:cs="Arial"/>
          <w:b w:val="0"/>
          <w:bCs w:val="0"/>
          <w:noProof w:val="0"/>
          <w:color w:val="000000" w:themeColor="text1" w:themeTint="FF" w:themeShade="FF"/>
          <w:sz w:val="22"/>
          <w:szCs w:val="22"/>
          <w:lang w:val="en-GB"/>
        </w:rPr>
        <w:t xml:space="preserve"> (2021)</w:t>
      </w:r>
      <w:r w:rsidRPr="167DB4A6" w:rsidR="7F0AAA26">
        <w:rPr>
          <w:rFonts w:ascii="Arial" w:hAnsi="Arial" w:eastAsia="Arial" w:cs="Arial"/>
          <w:b w:val="0"/>
          <w:bCs w:val="0"/>
          <w:noProof w:val="0"/>
          <w:color w:val="000000" w:themeColor="text1" w:themeTint="FF" w:themeShade="FF"/>
          <w:sz w:val="22"/>
          <w:szCs w:val="22"/>
          <w:lang w:val="en-GB"/>
        </w:rPr>
        <w:t xml:space="preserve"> </w:t>
      </w:r>
      <w:r w:rsidRPr="167DB4A6" w:rsidR="7F0AAA26">
        <w:rPr>
          <w:rFonts w:ascii="Arial" w:hAnsi="Arial" w:eastAsia="Arial" w:cs="Arial"/>
          <w:b w:val="0"/>
          <w:bCs w:val="0"/>
          <w:i w:val="1"/>
          <w:iCs w:val="1"/>
          <w:noProof w:val="0"/>
          <w:color w:val="000000" w:themeColor="text1" w:themeTint="FF" w:themeShade="FF"/>
          <w:sz w:val="22"/>
          <w:szCs w:val="22"/>
          <w:lang w:val="en-GB"/>
        </w:rPr>
        <w:t xml:space="preserve">Understanding diet, </w:t>
      </w:r>
      <w:r w:rsidRPr="167DB4A6" w:rsidR="7F0AAA26">
        <w:rPr>
          <w:rFonts w:ascii="Arial" w:hAnsi="Arial" w:eastAsia="Arial" w:cs="Arial"/>
          <w:b w:val="0"/>
          <w:bCs w:val="0"/>
          <w:i w:val="1"/>
          <w:iCs w:val="1"/>
          <w:noProof w:val="0"/>
          <w:color w:val="000000" w:themeColor="text1" w:themeTint="FF" w:themeShade="FF"/>
          <w:sz w:val="22"/>
          <w:szCs w:val="22"/>
          <w:lang w:val="en-GB"/>
        </w:rPr>
        <w:t>weight</w:t>
      </w:r>
      <w:r w:rsidRPr="167DB4A6" w:rsidR="7F0AAA26">
        <w:rPr>
          <w:rFonts w:ascii="Arial" w:hAnsi="Arial" w:eastAsia="Arial" w:cs="Arial"/>
          <w:b w:val="0"/>
          <w:bCs w:val="0"/>
          <w:i w:val="1"/>
          <w:iCs w:val="1"/>
          <w:noProof w:val="0"/>
          <w:color w:val="000000" w:themeColor="text1" w:themeTint="FF" w:themeShade="FF"/>
          <w:sz w:val="22"/>
          <w:szCs w:val="22"/>
          <w:lang w:val="en-GB"/>
        </w:rPr>
        <w:t xml:space="preserve"> and type 2 diabetes: minority ethnic groups – access, </w:t>
      </w:r>
      <w:r w:rsidRPr="167DB4A6" w:rsidR="7F0AAA26">
        <w:rPr>
          <w:rFonts w:ascii="Arial" w:hAnsi="Arial" w:eastAsia="Arial" w:cs="Arial"/>
          <w:b w:val="0"/>
          <w:bCs w:val="0"/>
          <w:i w:val="1"/>
          <w:iCs w:val="1"/>
          <w:noProof w:val="0"/>
          <w:color w:val="000000" w:themeColor="text1" w:themeTint="FF" w:themeShade="FF"/>
          <w:sz w:val="22"/>
          <w:szCs w:val="22"/>
          <w:lang w:val="en-GB"/>
        </w:rPr>
        <w:t>experiences</w:t>
      </w:r>
      <w:r w:rsidRPr="167DB4A6" w:rsidR="7F0AAA26">
        <w:rPr>
          <w:rFonts w:ascii="Arial" w:hAnsi="Arial" w:eastAsia="Arial" w:cs="Arial"/>
          <w:b w:val="0"/>
          <w:bCs w:val="0"/>
          <w:i w:val="1"/>
          <w:iCs w:val="1"/>
          <w:noProof w:val="0"/>
          <w:color w:val="000000" w:themeColor="text1" w:themeTint="FF" w:themeShade="FF"/>
          <w:sz w:val="22"/>
          <w:szCs w:val="22"/>
          <w:lang w:val="en-GB"/>
        </w:rPr>
        <w:t xml:space="preserve"> and services support for weight management in type 2 diabetes.</w:t>
      </w:r>
      <w:r w:rsidRPr="167DB4A6" w:rsidR="7F0AAA26">
        <w:rPr>
          <w:rFonts w:ascii="Arial" w:hAnsi="Arial" w:eastAsia="Arial" w:cs="Arial"/>
          <w:b w:val="0"/>
          <w:bCs w:val="0"/>
          <w:noProof w:val="0"/>
          <w:color w:val="000000" w:themeColor="text1" w:themeTint="FF" w:themeShade="FF"/>
          <w:sz w:val="22"/>
          <w:szCs w:val="22"/>
          <w:lang w:val="en-GB"/>
        </w:rPr>
        <w:t xml:space="preserve"> Edinburgh: Scottish Government. Available at: </w:t>
      </w:r>
      <w:hyperlink r:id="Rac866f06d6054f39">
        <w:r w:rsidRPr="167DB4A6" w:rsidR="7F0AAA26">
          <w:rPr>
            <w:rStyle w:val="Hyperlink"/>
            <w:rFonts w:ascii="Arial" w:hAnsi="Arial" w:eastAsia="Arial" w:cs="Arial"/>
            <w:b w:val="0"/>
            <w:bCs w:val="0"/>
            <w:noProof w:val="0"/>
            <w:color w:val="000000" w:themeColor="text1" w:themeTint="FF" w:themeShade="FF"/>
            <w:sz w:val="22"/>
            <w:szCs w:val="22"/>
            <w:lang w:val="en-GB"/>
          </w:rPr>
          <w:t>https://www.gov.scot/publications/understanding-diet-weight-type-2-diabetes-minority-ethnic-groups-scotland-access-experiences-services-support-weight-management-type-2-diabetes-recommendations-change/</w:t>
        </w:r>
      </w:hyperlink>
      <w:r w:rsidRPr="167DB4A6" w:rsidR="7F0AAA26">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7042092D" w14:textId="2D54ABC9">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Khunti</w:t>
      </w:r>
      <w:r w:rsidRPr="167DB4A6" w:rsidR="7F0AAA26">
        <w:rPr>
          <w:rFonts w:ascii="Arial" w:hAnsi="Arial" w:eastAsia="Arial" w:cs="Arial"/>
          <w:b w:val="0"/>
          <w:bCs w:val="0"/>
          <w:noProof w:val="0"/>
          <w:color w:val="000000" w:themeColor="text1" w:themeTint="FF" w:themeShade="FF"/>
          <w:sz w:val="22"/>
          <w:szCs w:val="22"/>
          <w:lang w:val="en-GB"/>
        </w:rPr>
        <w:t>, K., Singh, A.K., Pareek, M. &amp; Hanif, W. (2023)</w:t>
      </w:r>
      <w:r w:rsidRPr="167DB4A6" w:rsidR="7F0AAA26">
        <w:rPr>
          <w:rFonts w:ascii="Arial" w:hAnsi="Arial" w:eastAsia="Arial" w:cs="Arial"/>
          <w:b w:val="0"/>
          <w:bCs w:val="0"/>
          <w:noProof w:val="0"/>
          <w:color w:val="000000" w:themeColor="text1" w:themeTint="FF" w:themeShade="FF"/>
          <w:sz w:val="22"/>
          <w:szCs w:val="22"/>
          <w:lang w:val="en-GB"/>
        </w:rPr>
        <w:t xml:space="preserve"> ‘Ethnic disparities in type 2 diabetes management and outcomes: lessons for policy and practice’, </w:t>
      </w:r>
      <w:r w:rsidRPr="167DB4A6" w:rsidR="7F0AAA26">
        <w:rPr>
          <w:rFonts w:ascii="Arial" w:hAnsi="Arial" w:eastAsia="Arial" w:cs="Arial"/>
          <w:b w:val="0"/>
          <w:bCs w:val="0"/>
          <w:i w:val="1"/>
          <w:iCs w:val="1"/>
          <w:noProof w:val="0"/>
          <w:color w:val="000000" w:themeColor="text1" w:themeTint="FF" w:themeShade="FF"/>
          <w:sz w:val="22"/>
          <w:szCs w:val="22"/>
          <w:lang w:val="en-GB"/>
        </w:rPr>
        <w:t>Diabetic Medicine</w:t>
      </w:r>
      <w:r w:rsidRPr="167DB4A6" w:rsidR="7F0AAA26">
        <w:rPr>
          <w:rFonts w:ascii="Arial" w:hAnsi="Arial" w:eastAsia="Arial" w:cs="Arial"/>
          <w:b w:val="0"/>
          <w:bCs w:val="0"/>
          <w:noProof w:val="0"/>
          <w:color w:val="000000" w:themeColor="text1" w:themeTint="FF" w:themeShade="FF"/>
          <w:sz w:val="22"/>
          <w:szCs w:val="22"/>
          <w:lang w:val="en-GB"/>
        </w:rPr>
        <w:t xml:space="preserve">, 40(2), e15042.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10.1111/dme.15042.</w:t>
      </w:r>
    </w:p>
    <w:p w:rsidR="12234F61" w:rsidP="167DB4A6" w:rsidRDefault="12234F61" w14:paraId="4FD0E6D4" w14:textId="08682798">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Nazroo</w:t>
      </w:r>
      <w:r w:rsidRPr="167DB4A6" w:rsidR="7F0AAA26">
        <w:rPr>
          <w:rFonts w:ascii="Arial" w:hAnsi="Arial" w:eastAsia="Arial" w:cs="Arial"/>
          <w:b w:val="0"/>
          <w:bCs w:val="0"/>
          <w:noProof w:val="0"/>
          <w:color w:val="000000" w:themeColor="text1" w:themeTint="FF" w:themeShade="FF"/>
          <w:sz w:val="22"/>
          <w:szCs w:val="22"/>
          <w:lang w:val="en-GB"/>
        </w:rPr>
        <w:t>, J.Y. (2017)</w:t>
      </w:r>
      <w:r w:rsidRPr="167DB4A6" w:rsidR="7F0AAA26">
        <w:rPr>
          <w:rFonts w:ascii="Arial" w:hAnsi="Arial" w:eastAsia="Arial" w:cs="Arial"/>
          <w:b w:val="0"/>
          <w:bCs w:val="0"/>
          <w:noProof w:val="0"/>
          <w:color w:val="000000" w:themeColor="text1" w:themeTint="FF" w:themeShade="FF"/>
          <w:sz w:val="22"/>
          <w:szCs w:val="22"/>
          <w:lang w:val="en-GB"/>
        </w:rPr>
        <w:t xml:space="preserve"> ‘Class and health inequality in later life: patterns, mechanisms and implications for policy’, </w:t>
      </w:r>
      <w:r w:rsidRPr="167DB4A6" w:rsidR="7F0AAA26">
        <w:rPr>
          <w:rFonts w:ascii="Arial" w:hAnsi="Arial" w:eastAsia="Arial" w:cs="Arial"/>
          <w:b w:val="0"/>
          <w:bCs w:val="0"/>
          <w:i w:val="1"/>
          <w:iCs w:val="1"/>
          <w:noProof w:val="0"/>
          <w:color w:val="000000" w:themeColor="text1" w:themeTint="FF" w:themeShade="FF"/>
          <w:sz w:val="22"/>
          <w:szCs w:val="22"/>
          <w:lang w:val="en-GB"/>
        </w:rPr>
        <w:t>International Journal of Environmental Research and Public Health</w:t>
      </w:r>
      <w:r w:rsidRPr="167DB4A6" w:rsidR="7F0AAA26">
        <w:rPr>
          <w:rFonts w:ascii="Arial" w:hAnsi="Arial" w:eastAsia="Arial" w:cs="Arial"/>
          <w:b w:val="0"/>
          <w:bCs w:val="0"/>
          <w:noProof w:val="0"/>
          <w:color w:val="000000" w:themeColor="text1" w:themeTint="FF" w:themeShade="FF"/>
          <w:sz w:val="22"/>
          <w:szCs w:val="22"/>
          <w:lang w:val="en-GB"/>
        </w:rPr>
        <w:t xml:space="preserve">, 14(12), p. 1533.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10.3390/ijerph14121533.</w:t>
      </w:r>
    </w:p>
    <w:p w:rsidR="12234F61" w:rsidP="167DB4A6" w:rsidRDefault="12234F61" w14:paraId="17D575F6" w14:textId="51BEB7C0">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Nazroo</w:t>
      </w:r>
      <w:r w:rsidRPr="167DB4A6" w:rsidR="7F0AAA26">
        <w:rPr>
          <w:rFonts w:ascii="Arial" w:hAnsi="Arial" w:eastAsia="Arial" w:cs="Arial"/>
          <w:b w:val="0"/>
          <w:bCs w:val="0"/>
          <w:noProof w:val="0"/>
          <w:color w:val="000000" w:themeColor="text1" w:themeTint="FF" w:themeShade="FF"/>
          <w:sz w:val="22"/>
          <w:szCs w:val="22"/>
          <w:lang w:val="en-GB"/>
        </w:rPr>
        <w:t>, J.Y. &amp; Williams, D.R. (2006)</w:t>
      </w:r>
      <w:r w:rsidRPr="167DB4A6" w:rsidR="7F0AAA26">
        <w:rPr>
          <w:rFonts w:ascii="Arial" w:hAnsi="Arial" w:eastAsia="Arial" w:cs="Arial"/>
          <w:b w:val="0"/>
          <w:bCs w:val="0"/>
          <w:noProof w:val="0"/>
          <w:color w:val="000000" w:themeColor="text1" w:themeTint="FF" w:themeShade="FF"/>
          <w:sz w:val="22"/>
          <w:szCs w:val="22"/>
          <w:lang w:val="en-GB"/>
        </w:rPr>
        <w:t xml:space="preserve"> ‘The social determination of ethnic/racial inequalities in health’, in Marmot, M. &amp; Wilkinson, R. (eds) </w:t>
      </w:r>
      <w:r w:rsidRPr="167DB4A6" w:rsidR="7F0AAA26">
        <w:rPr>
          <w:rFonts w:ascii="Arial" w:hAnsi="Arial" w:eastAsia="Arial" w:cs="Arial"/>
          <w:b w:val="0"/>
          <w:bCs w:val="0"/>
          <w:i w:val="1"/>
          <w:iCs w:val="1"/>
          <w:noProof w:val="0"/>
          <w:color w:val="000000" w:themeColor="text1" w:themeTint="FF" w:themeShade="FF"/>
          <w:sz w:val="22"/>
          <w:szCs w:val="22"/>
          <w:lang w:val="en-GB"/>
        </w:rPr>
        <w:t>Social Determinants of Health</w:t>
      </w:r>
      <w:r w:rsidRPr="167DB4A6" w:rsidR="7F0AAA26">
        <w:rPr>
          <w:rFonts w:ascii="Arial" w:hAnsi="Arial" w:eastAsia="Arial" w:cs="Arial"/>
          <w:b w:val="0"/>
          <w:bCs w:val="0"/>
          <w:noProof w:val="0"/>
          <w:color w:val="000000" w:themeColor="text1" w:themeTint="FF" w:themeShade="FF"/>
          <w:sz w:val="22"/>
          <w:szCs w:val="22"/>
          <w:lang w:val="en-GB"/>
        </w:rPr>
        <w:t xml:space="preserve"> (2nd </w:t>
      </w:r>
      <w:r w:rsidRPr="167DB4A6" w:rsidR="7F0AAA26">
        <w:rPr>
          <w:rFonts w:ascii="Arial" w:hAnsi="Arial" w:eastAsia="Arial" w:cs="Arial"/>
          <w:b w:val="0"/>
          <w:bCs w:val="0"/>
          <w:noProof w:val="0"/>
          <w:color w:val="000000" w:themeColor="text1" w:themeTint="FF" w:themeShade="FF"/>
          <w:sz w:val="22"/>
          <w:szCs w:val="22"/>
          <w:lang w:val="en-GB"/>
        </w:rPr>
        <w:t>edn</w:t>
      </w:r>
      <w:r w:rsidRPr="167DB4A6" w:rsidR="7F0AAA26">
        <w:rPr>
          <w:rFonts w:ascii="Arial" w:hAnsi="Arial" w:eastAsia="Arial" w:cs="Arial"/>
          <w:b w:val="0"/>
          <w:bCs w:val="0"/>
          <w:noProof w:val="0"/>
          <w:color w:val="000000" w:themeColor="text1" w:themeTint="FF" w:themeShade="FF"/>
          <w:sz w:val="22"/>
          <w:szCs w:val="22"/>
          <w:lang w:val="en-GB"/>
        </w:rPr>
        <w:t>). Oxford: Oxford University Press, pp. 238–266.</w:t>
      </w:r>
    </w:p>
    <w:p w:rsidR="12234F61" w:rsidP="167DB4A6" w:rsidRDefault="12234F61" w14:paraId="69F5FCBD" w14:textId="54A1DD53">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Office for National Statistics (ONS) (2021)</w:t>
      </w:r>
      <w:r w:rsidRPr="167DB4A6" w:rsidR="7F0AAA26">
        <w:rPr>
          <w:rFonts w:ascii="Arial" w:hAnsi="Arial" w:eastAsia="Arial" w:cs="Arial"/>
          <w:b w:val="0"/>
          <w:bCs w:val="0"/>
          <w:noProof w:val="0"/>
          <w:color w:val="000000" w:themeColor="text1" w:themeTint="FF" w:themeShade="FF"/>
          <w:sz w:val="22"/>
          <w:szCs w:val="22"/>
          <w:lang w:val="en-GB"/>
        </w:rPr>
        <w:t xml:space="preserve"> </w:t>
      </w:r>
      <w:r w:rsidRPr="167DB4A6" w:rsidR="7F0AAA26">
        <w:rPr>
          <w:rFonts w:ascii="Arial" w:hAnsi="Arial" w:eastAsia="Arial" w:cs="Arial"/>
          <w:b w:val="0"/>
          <w:bCs w:val="0"/>
          <w:i w:val="1"/>
          <w:iCs w:val="1"/>
          <w:noProof w:val="0"/>
          <w:color w:val="000000" w:themeColor="text1" w:themeTint="FF" w:themeShade="FF"/>
          <w:sz w:val="22"/>
          <w:szCs w:val="22"/>
          <w:lang w:val="en-GB"/>
        </w:rPr>
        <w:t>Ethnic differences in life expectancy and mortality from selected causes in England and Wales: 2011 to 2014 (experimental data).</w:t>
      </w:r>
      <w:r w:rsidRPr="167DB4A6" w:rsidR="7F0AAA26">
        <w:rPr>
          <w:rFonts w:ascii="Arial" w:hAnsi="Arial" w:eastAsia="Arial" w:cs="Arial"/>
          <w:b w:val="0"/>
          <w:bCs w:val="0"/>
          <w:noProof w:val="0"/>
          <w:color w:val="000000" w:themeColor="text1" w:themeTint="FF" w:themeShade="FF"/>
          <w:sz w:val="22"/>
          <w:szCs w:val="22"/>
          <w:lang w:val="en-GB"/>
        </w:rPr>
        <w:t xml:space="preserve"> London: ONS. Available at: </w:t>
      </w:r>
      <w:hyperlink r:id="R6740fc1f8ef14570">
        <w:r w:rsidRPr="167DB4A6" w:rsidR="7F0AAA26">
          <w:rPr>
            <w:rStyle w:val="Hyperlink"/>
            <w:rFonts w:ascii="Arial" w:hAnsi="Arial" w:eastAsia="Arial" w:cs="Arial"/>
            <w:b w:val="0"/>
            <w:bCs w:val="0"/>
            <w:noProof w:val="0"/>
            <w:color w:val="000000" w:themeColor="text1" w:themeTint="FF" w:themeShade="FF"/>
            <w:sz w:val="22"/>
            <w:szCs w:val="22"/>
            <w:lang w:val="en-GB"/>
          </w:rPr>
          <w:t>https://www.ons.gov.uk/peoplepopulationandcommunity/healthandsocialcare/healthinequalities</w:t>
        </w:r>
      </w:hyperlink>
      <w:r w:rsidRPr="167DB4A6" w:rsidR="7F0AAA26">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6196EFD5" w14:textId="7EEF506C">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Public Health England (2020)</w:t>
      </w:r>
      <w:r w:rsidRPr="167DB4A6" w:rsidR="7F0AAA26">
        <w:rPr>
          <w:rFonts w:ascii="Arial" w:hAnsi="Arial" w:eastAsia="Arial" w:cs="Arial"/>
          <w:b w:val="0"/>
          <w:bCs w:val="0"/>
          <w:noProof w:val="0"/>
          <w:color w:val="000000" w:themeColor="text1" w:themeTint="FF" w:themeShade="FF"/>
          <w:sz w:val="22"/>
          <w:szCs w:val="22"/>
          <w:lang w:val="en-GB"/>
        </w:rPr>
        <w:t xml:space="preserve"> </w:t>
      </w:r>
      <w:r w:rsidRPr="167DB4A6" w:rsidR="7F0AAA26">
        <w:rPr>
          <w:rFonts w:ascii="Arial" w:hAnsi="Arial" w:eastAsia="Arial" w:cs="Arial"/>
          <w:b w:val="0"/>
          <w:bCs w:val="0"/>
          <w:i w:val="1"/>
          <w:iCs w:val="1"/>
          <w:noProof w:val="0"/>
          <w:color w:val="000000" w:themeColor="text1" w:themeTint="FF" w:themeShade="FF"/>
          <w:sz w:val="22"/>
          <w:szCs w:val="22"/>
          <w:lang w:val="en-GB"/>
        </w:rPr>
        <w:t>Disparities in the risk and outcomes of COVID-19.</w:t>
      </w:r>
      <w:r w:rsidRPr="167DB4A6" w:rsidR="7F0AAA26">
        <w:rPr>
          <w:rFonts w:ascii="Arial" w:hAnsi="Arial" w:eastAsia="Arial" w:cs="Arial"/>
          <w:b w:val="0"/>
          <w:bCs w:val="0"/>
          <w:noProof w:val="0"/>
          <w:color w:val="000000" w:themeColor="text1" w:themeTint="FF" w:themeShade="FF"/>
          <w:sz w:val="22"/>
          <w:szCs w:val="22"/>
          <w:lang w:val="en-GB"/>
        </w:rPr>
        <w:t xml:space="preserve"> London: Public Health England. Available at: </w:t>
      </w:r>
      <w:hyperlink r:id="R49a1fc9b5f524681">
        <w:r w:rsidRPr="167DB4A6" w:rsidR="7F0AAA26">
          <w:rPr>
            <w:rStyle w:val="Hyperlink"/>
            <w:rFonts w:ascii="Arial" w:hAnsi="Arial" w:eastAsia="Arial" w:cs="Arial"/>
            <w:b w:val="0"/>
            <w:bCs w:val="0"/>
            <w:noProof w:val="0"/>
            <w:color w:val="000000" w:themeColor="text1" w:themeTint="FF" w:themeShade="FF"/>
            <w:sz w:val="22"/>
            <w:szCs w:val="22"/>
            <w:lang w:val="en-GB"/>
          </w:rPr>
          <w:t>https://assets.publishing.service.gov.uk/media/5f328354d3bf7f1b12a7023a/Disparities_in_the_risk_and_outcomes_of_COVID_August_2020_update.pdf</w:t>
        </w:r>
      </w:hyperlink>
      <w:r w:rsidRPr="167DB4A6" w:rsidR="7F0AAA26">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587435F9" w14:textId="0F0DD21F">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Sattar, N. &amp; Gill, J.M.R. (2015)</w:t>
      </w:r>
      <w:r w:rsidRPr="167DB4A6" w:rsidR="7F0AAA26">
        <w:rPr>
          <w:rFonts w:ascii="Arial" w:hAnsi="Arial" w:eastAsia="Arial" w:cs="Arial"/>
          <w:b w:val="0"/>
          <w:bCs w:val="0"/>
          <w:noProof w:val="0"/>
          <w:color w:val="000000" w:themeColor="text1" w:themeTint="FF" w:themeShade="FF"/>
          <w:sz w:val="22"/>
          <w:szCs w:val="22"/>
          <w:lang w:val="en-GB"/>
        </w:rPr>
        <w:t xml:space="preserve"> ‘Type 2 diabetes in migrant South Asians: mechanisms, mitigation and management’, </w:t>
      </w:r>
      <w:r w:rsidRPr="167DB4A6" w:rsidR="7F0AAA26">
        <w:rPr>
          <w:rFonts w:ascii="Arial" w:hAnsi="Arial" w:eastAsia="Arial" w:cs="Arial"/>
          <w:b w:val="0"/>
          <w:bCs w:val="0"/>
          <w:i w:val="1"/>
          <w:iCs w:val="1"/>
          <w:noProof w:val="0"/>
          <w:color w:val="000000" w:themeColor="text1" w:themeTint="FF" w:themeShade="FF"/>
          <w:sz w:val="22"/>
          <w:szCs w:val="22"/>
          <w:lang w:val="en-GB"/>
        </w:rPr>
        <w:t>The Lancet Diabetes &amp; Endocrinology</w:t>
      </w:r>
      <w:r w:rsidRPr="167DB4A6" w:rsidR="7F0AAA26">
        <w:rPr>
          <w:rFonts w:ascii="Arial" w:hAnsi="Arial" w:eastAsia="Arial" w:cs="Arial"/>
          <w:b w:val="0"/>
          <w:bCs w:val="0"/>
          <w:noProof w:val="0"/>
          <w:color w:val="000000" w:themeColor="text1" w:themeTint="FF" w:themeShade="FF"/>
          <w:sz w:val="22"/>
          <w:szCs w:val="22"/>
          <w:lang w:val="en-GB"/>
        </w:rPr>
        <w:t xml:space="preserve">, 3(12), pp. 1004–1016. </w:t>
      </w:r>
      <w:r w:rsidRPr="167DB4A6" w:rsidR="7F0AAA26">
        <w:rPr>
          <w:rFonts w:ascii="Arial" w:hAnsi="Arial" w:eastAsia="Arial" w:cs="Arial"/>
          <w:b w:val="0"/>
          <w:bCs w:val="0"/>
          <w:noProof w:val="0"/>
          <w:color w:val="000000" w:themeColor="text1" w:themeTint="FF" w:themeShade="FF"/>
          <w:sz w:val="22"/>
          <w:szCs w:val="22"/>
          <w:lang w:val="en-GB"/>
        </w:rPr>
        <w:t>doi</w:t>
      </w:r>
      <w:r w:rsidRPr="167DB4A6" w:rsidR="7F0AAA26">
        <w:rPr>
          <w:rFonts w:ascii="Arial" w:hAnsi="Arial" w:eastAsia="Arial" w:cs="Arial"/>
          <w:b w:val="0"/>
          <w:bCs w:val="0"/>
          <w:noProof w:val="0"/>
          <w:color w:val="000000" w:themeColor="text1" w:themeTint="FF" w:themeShade="FF"/>
          <w:sz w:val="22"/>
          <w:szCs w:val="22"/>
          <w:lang w:val="en-GB"/>
        </w:rPr>
        <w:t>: 10.1016/S2213-8587(15)00326-5.</w:t>
      </w:r>
    </w:p>
    <w:p w:rsidR="12234F61" w:rsidP="167DB4A6" w:rsidRDefault="12234F61" w14:paraId="035BB2EC" w14:textId="10DC719B">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7F0AAA26">
        <w:rPr>
          <w:rFonts w:ascii="Arial" w:hAnsi="Arial" w:eastAsia="Arial" w:cs="Arial"/>
          <w:b w:val="0"/>
          <w:bCs w:val="0"/>
          <w:noProof w:val="0"/>
          <w:color w:val="000000" w:themeColor="text1" w:themeTint="FF" w:themeShade="FF"/>
          <w:sz w:val="22"/>
          <w:szCs w:val="22"/>
          <w:lang w:val="en-GB"/>
        </w:rPr>
        <w:t>The King’s Fund (2023)</w:t>
      </w:r>
      <w:r w:rsidRPr="167DB4A6" w:rsidR="7F0AAA26">
        <w:rPr>
          <w:rFonts w:ascii="Arial" w:hAnsi="Arial" w:eastAsia="Arial" w:cs="Arial"/>
          <w:b w:val="0"/>
          <w:bCs w:val="0"/>
          <w:noProof w:val="0"/>
          <w:color w:val="000000" w:themeColor="text1" w:themeTint="FF" w:themeShade="FF"/>
          <w:sz w:val="22"/>
          <w:szCs w:val="22"/>
          <w:lang w:val="en-GB"/>
        </w:rPr>
        <w:t xml:space="preserve"> </w:t>
      </w:r>
      <w:r w:rsidRPr="167DB4A6" w:rsidR="7F0AAA26">
        <w:rPr>
          <w:rFonts w:ascii="Arial" w:hAnsi="Arial" w:eastAsia="Arial" w:cs="Arial"/>
          <w:b w:val="0"/>
          <w:bCs w:val="0"/>
          <w:i w:val="1"/>
          <w:iCs w:val="1"/>
          <w:noProof w:val="0"/>
          <w:color w:val="000000" w:themeColor="text1" w:themeTint="FF" w:themeShade="FF"/>
          <w:sz w:val="22"/>
          <w:szCs w:val="22"/>
          <w:lang w:val="en-GB"/>
        </w:rPr>
        <w:t>The health of people from ethnic minority groups in England.</w:t>
      </w:r>
      <w:r w:rsidRPr="167DB4A6" w:rsidR="7F0AAA26">
        <w:rPr>
          <w:rFonts w:ascii="Arial" w:hAnsi="Arial" w:eastAsia="Arial" w:cs="Arial"/>
          <w:b w:val="0"/>
          <w:bCs w:val="0"/>
          <w:noProof w:val="0"/>
          <w:color w:val="000000" w:themeColor="text1" w:themeTint="FF" w:themeShade="FF"/>
          <w:sz w:val="22"/>
          <w:szCs w:val="22"/>
          <w:lang w:val="en-GB"/>
        </w:rPr>
        <w:t xml:space="preserve"> London: The King’s Fund. Available at: </w:t>
      </w:r>
      <w:hyperlink r:id="R08b03e565c194453">
        <w:r w:rsidRPr="167DB4A6" w:rsidR="7F0AAA26">
          <w:rPr>
            <w:rStyle w:val="Hyperlink"/>
            <w:rFonts w:ascii="Arial" w:hAnsi="Arial" w:eastAsia="Arial" w:cs="Arial"/>
            <w:b w:val="0"/>
            <w:bCs w:val="0"/>
            <w:noProof w:val="0"/>
            <w:color w:val="000000" w:themeColor="text1" w:themeTint="FF" w:themeShade="FF"/>
            <w:sz w:val="22"/>
            <w:szCs w:val="22"/>
            <w:lang w:val="en-GB"/>
          </w:rPr>
          <w:t>https://www.kingsfund.org.uk/insight-and-analysis/long-reads/health-people-ethnic-minority-groups-england</w:t>
        </w:r>
      </w:hyperlink>
      <w:r w:rsidRPr="167DB4A6" w:rsidR="7F0AAA26">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44AB2590" w14:textId="6A648670">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 xml:space="preserve">Bambra, C. (2020) ‘The COVID‑19 pandemic and health inequalities’, </w:t>
      </w:r>
      <w:r w:rsidRPr="167DB4A6" w:rsidR="3EF45655">
        <w:rPr>
          <w:rFonts w:ascii="Arial" w:hAnsi="Arial" w:eastAsia="Arial" w:cs="Arial"/>
          <w:b w:val="0"/>
          <w:bCs w:val="0"/>
          <w:i w:val="1"/>
          <w:iCs w:val="1"/>
          <w:noProof w:val="0"/>
          <w:color w:val="000000" w:themeColor="text1" w:themeTint="FF" w:themeShade="FF"/>
          <w:sz w:val="22"/>
          <w:szCs w:val="22"/>
          <w:lang w:val="en-GB"/>
        </w:rPr>
        <w:t>Journal of Epidemiology &amp; Community Health</w:t>
      </w:r>
      <w:r w:rsidRPr="167DB4A6" w:rsidR="3EF45655">
        <w:rPr>
          <w:rFonts w:ascii="Arial" w:hAnsi="Arial" w:eastAsia="Arial" w:cs="Arial"/>
          <w:b w:val="0"/>
          <w:bCs w:val="0"/>
          <w:noProof w:val="0"/>
          <w:color w:val="000000" w:themeColor="text1" w:themeTint="FF" w:themeShade="FF"/>
          <w:sz w:val="22"/>
          <w:szCs w:val="22"/>
          <w:lang w:val="en-GB"/>
        </w:rPr>
        <w:t xml:space="preserve">, 74(11), pp. 964‑968. </w:t>
      </w:r>
      <w:r w:rsidRPr="167DB4A6" w:rsidR="3EF45655">
        <w:rPr>
          <w:rFonts w:ascii="Arial" w:hAnsi="Arial" w:eastAsia="Arial" w:cs="Arial"/>
          <w:b w:val="0"/>
          <w:bCs w:val="0"/>
          <w:noProof w:val="0"/>
          <w:color w:val="000000" w:themeColor="text1" w:themeTint="FF" w:themeShade="FF"/>
          <w:sz w:val="22"/>
          <w:szCs w:val="22"/>
          <w:lang w:val="en-GB"/>
        </w:rPr>
        <w:t>doi</w:t>
      </w:r>
      <w:r w:rsidRPr="167DB4A6" w:rsidR="3EF45655">
        <w:rPr>
          <w:rFonts w:ascii="Arial" w:hAnsi="Arial" w:eastAsia="Arial" w:cs="Arial"/>
          <w:b w:val="0"/>
          <w:bCs w:val="0"/>
          <w:noProof w:val="0"/>
          <w:color w:val="000000" w:themeColor="text1" w:themeTint="FF" w:themeShade="FF"/>
          <w:sz w:val="22"/>
          <w:szCs w:val="22"/>
          <w:lang w:val="en-GB"/>
        </w:rPr>
        <w:t>: 10.1136/jech-2020-214401.</w:t>
      </w:r>
    </w:p>
    <w:p w:rsidR="12234F61" w:rsidP="167DB4A6" w:rsidRDefault="12234F61" w14:paraId="044CF49E" w14:textId="63321DA2">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Bhui</w:t>
      </w:r>
      <w:r w:rsidRPr="167DB4A6" w:rsidR="3EF45655">
        <w:rPr>
          <w:rFonts w:ascii="Arial" w:hAnsi="Arial" w:eastAsia="Arial" w:cs="Arial"/>
          <w:b w:val="0"/>
          <w:bCs w:val="0"/>
          <w:noProof w:val="0"/>
          <w:color w:val="000000" w:themeColor="text1" w:themeTint="FF" w:themeShade="FF"/>
          <w:sz w:val="22"/>
          <w:szCs w:val="22"/>
          <w:lang w:val="en-GB"/>
        </w:rPr>
        <w:t xml:space="preserve">, K., Halvorsrud, K. &amp; </w:t>
      </w:r>
      <w:r w:rsidRPr="167DB4A6" w:rsidR="3EF45655">
        <w:rPr>
          <w:rFonts w:ascii="Arial" w:hAnsi="Arial" w:eastAsia="Arial" w:cs="Arial"/>
          <w:b w:val="0"/>
          <w:bCs w:val="0"/>
          <w:noProof w:val="0"/>
          <w:color w:val="000000" w:themeColor="text1" w:themeTint="FF" w:themeShade="FF"/>
          <w:sz w:val="22"/>
          <w:szCs w:val="22"/>
          <w:lang w:val="en-GB"/>
        </w:rPr>
        <w:t>Nazroo</w:t>
      </w:r>
      <w:r w:rsidRPr="167DB4A6" w:rsidR="3EF45655">
        <w:rPr>
          <w:rFonts w:ascii="Arial" w:hAnsi="Arial" w:eastAsia="Arial" w:cs="Arial"/>
          <w:b w:val="0"/>
          <w:bCs w:val="0"/>
          <w:noProof w:val="0"/>
          <w:color w:val="000000" w:themeColor="text1" w:themeTint="FF" w:themeShade="FF"/>
          <w:sz w:val="22"/>
          <w:szCs w:val="22"/>
          <w:lang w:val="en-GB"/>
        </w:rPr>
        <w:t xml:space="preserve">, J.Y. (2018) ‘Making a difference: ethnic inequality and severe mental illness’, </w:t>
      </w:r>
      <w:r w:rsidRPr="167DB4A6" w:rsidR="3EF45655">
        <w:rPr>
          <w:rFonts w:ascii="Arial" w:hAnsi="Arial" w:eastAsia="Arial" w:cs="Arial"/>
          <w:b w:val="0"/>
          <w:bCs w:val="0"/>
          <w:i w:val="1"/>
          <w:iCs w:val="1"/>
          <w:noProof w:val="0"/>
          <w:color w:val="000000" w:themeColor="text1" w:themeTint="FF" w:themeShade="FF"/>
          <w:sz w:val="22"/>
          <w:szCs w:val="22"/>
          <w:lang w:val="en-GB"/>
        </w:rPr>
        <w:t>The British Journal of Psychiatry</w:t>
      </w:r>
      <w:r w:rsidRPr="167DB4A6" w:rsidR="3EF45655">
        <w:rPr>
          <w:rFonts w:ascii="Arial" w:hAnsi="Arial" w:eastAsia="Arial" w:cs="Arial"/>
          <w:b w:val="0"/>
          <w:bCs w:val="0"/>
          <w:noProof w:val="0"/>
          <w:color w:val="000000" w:themeColor="text1" w:themeTint="FF" w:themeShade="FF"/>
          <w:sz w:val="22"/>
          <w:szCs w:val="22"/>
          <w:lang w:val="en-GB"/>
        </w:rPr>
        <w:t xml:space="preserve">, 213(4), pp. 574‑578. </w:t>
      </w:r>
      <w:r w:rsidRPr="167DB4A6" w:rsidR="3EF45655">
        <w:rPr>
          <w:rFonts w:ascii="Arial" w:hAnsi="Arial" w:eastAsia="Arial" w:cs="Arial"/>
          <w:b w:val="0"/>
          <w:bCs w:val="0"/>
          <w:noProof w:val="0"/>
          <w:color w:val="000000" w:themeColor="text1" w:themeTint="FF" w:themeShade="FF"/>
          <w:sz w:val="22"/>
          <w:szCs w:val="22"/>
          <w:lang w:val="en-GB"/>
        </w:rPr>
        <w:t>doi</w:t>
      </w:r>
      <w:r w:rsidRPr="167DB4A6" w:rsidR="3EF45655">
        <w:rPr>
          <w:rFonts w:ascii="Arial" w:hAnsi="Arial" w:eastAsia="Arial" w:cs="Arial"/>
          <w:b w:val="0"/>
          <w:bCs w:val="0"/>
          <w:noProof w:val="0"/>
          <w:color w:val="000000" w:themeColor="text1" w:themeTint="FF" w:themeShade="FF"/>
          <w:sz w:val="22"/>
          <w:szCs w:val="22"/>
          <w:lang w:val="en-GB"/>
        </w:rPr>
        <w:t>: 10.1192/bjp.2018.148.</w:t>
      </w:r>
    </w:p>
    <w:p w:rsidR="12234F61" w:rsidP="167DB4A6" w:rsidRDefault="12234F61" w14:paraId="68F2DA4B" w14:textId="55981E06">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 xml:space="preserve">Marmot, M. (2020) </w:t>
      </w:r>
      <w:r w:rsidRPr="167DB4A6" w:rsidR="3EF45655">
        <w:rPr>
          <w:rFonts w:ascii="Arial" w:hAnsi="Arial" w:eastAsia="Arial" w:cs="Arial"/>
          <w:b w:val="0"/>
          <w:bCs w:val="0"/>
          <w:i w:val="1"/>
          <w:iCs w:val="1"/>
          <w:noProof w:val="0"/>
          <w:color w:val="000000" w:themeColor="text1" w:themeTint="FF" w:themeShade="FF"/>
          <w:sz w:val="22"/>
          <w:szCs w:val="22"/>
          <w:lang w:val="en-GB"/>
        </w:rPr>
        <w:t>The Marmot Review 10 Years On: Health equity in England</w:t>
      </w:r>
      <w:r w:rsidRPr="167DB4A6" w:rsidR="3EF45655">
        <w:rPr>
          <w:rFonts w:ascii="Arial" w:hAnsi="Arial" w:eastAsia="Arial" w:cs="Arial"/>
          <w:b w:val="0"/>
          <w:bCs w:val="0"/>
          <w:noProof w:val="0"/>
          <w:color w:val="000000" w:themeColor="text1" w:themeTint="FF" w:themeShade="FF"/>
          <w:sz w:val="22"/>
          <w:szCs w:val="22"/>
          <w:lang w:val="en-GB"/>
        </w:rPr>
        <w:t xml:space="preserve">. London: Institute of Health Equity. Available at: </w:t>
      </w:r>
      <w:hyperlink r:id="R3b63ce7af1554ed8">
        <w:r w:rsidRPr="167DB4A6" w:rsidR="3EF45655">
          <w:rPr>
            <w:rStyle w:val="Hyperlink"/>
            <w:rFonts w:ascii="Arial" w:hAnsi="Arial" w:eastAsia="Arial" w:cs="Arial"/>
            <w:b w:val="0"/>
            <w:bCs w:val="0"/>
            <w:noProof w:val="0"/>
            <w:color w:val="000000" w:themeColor="text1" w:themeTint="FF" w:themeShade="FF"/>
            <w:sz w:val="22"/>
            <w:szCs w:val="22"/>
            <w:lang w:val="en-GB"/>
          </w:rPr>
          <w:t>https://www.instituteofhealthequity.org/resources-reports/the-marmot-review-10-years-on</w:t>
        </w:r>
      </w:hyperlink>
      <w:r w:rsidRPr="167DB4A6" w:rsidR="3EF4565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389EBDE6" w14:textId="251F4E4B">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Nazroo</w:t>
      </w:r>
      <w:r w:rsidRPr="167DB4A6" w:rsidR="3EF45655">
        <w:rPr>
          <w:rFonts w:ascii="Arial" w:hAnsi="Arial" w:eastAsia="Arial" w:cs="Arial"/>
          <w:b w:val="0"/>
          <w:bCs w:val="0"/>
          <w:noProof w:val="0"/>
          <w:color w:val="000000" w:themeColor="text1" w:themeTint="FF" w:themeShade="FF"/>
          <w:sz w:val="22"/>
          <w:szCs w:val="22"/>
          <w:lang w:val="en-GB"/>
        </w:rPr>
        <w:t xml:space="preserve">, J.Y. (2017) ‘Class and health inequality in later life: patterns, mechanisms and implications for policy’, </w:t>
      </w:r>
      <w:r w:rsidRPr="167DB4A6" w:rsidR="3EF45655">
        <w:rPr>
          <w:rFonts w:ascii="Arial" w:hAnsi="Arial" w:eastAsia="Arial" w:cs="Arial"/>
          <w:b w:val="0"/>
          <w:bCs w:val="0"/>
          <w:i w:val="1"/>
          <w:iCs w:val="1"/>
          <w:noProof w:val="0"/>
          <w:color w:val="000000" w:themeColor="text1" w:themeTint="FF" w:themeShade="FF"/>
          <w:sz w:val="22"/>
          <w:szCs w:val="22"/>
          <w:lang w:val="en-GB"/>
        </w:rPr>
        <w:t>International Journal of Environmental Research and Public Health</w:t>
      </w:r>
      <w:r w:rsidRPr="167DB4A6" w:rsidR="3EF45655">
        <w:rPr>
          <w:rFonts w:ascii="Arial" w:hAnsi="Arial" w:eastAsia="Arial" w:cs="Arial"/>
          <w:b w:val="0"/>
          <w:bCs w:val="0"/>
          <w:noProof w:val="0"/>
          <w:color w:val="000000" w:themeColor="text1" w:themeTint="FF" w:themeShade="FF"/>
          <w:sz w:val="22"/>
          <w:szCs w:val="22"/>
          <w:lang w:val="en-GB"/>
        </w:rPr>
        <w:t xml:space="preserve">, 14(12), p. 1533. </w:t>
      </w:r>
      <w:r w:rsidRPr="167DB4A6" w:rsidR="3EF45655">
        <w:rPr>
          <w:rFonts w:ascii="Arial" w:hAnsi="Arial" w:eastAsia="Arial" w:cs="Arial"/>
          <w:b w:val="0"/>
          <w:bCs w:val="0"/>
          <w:noProof w:val="0"/>
          <w:color w:val="000000" w:themeColor="text1" w:themeTint="FF" w:themeShade="FF"/>
          <w:sz w:val="22"/>
          <w:szCs w:val="22"/>
          <w:lang w:val="en-GB"/>
        </w:rPr>
        <w:t>doi</w:t>
      </w:r>
      <w:r w:rsidRPr="167DB4A6" w:rsidR="3EF45655">
        <w:rPr>
          <w:rFonts w:ascii="Arial" w:hAnsi="Arial" w:eastAsia="Arial" w:cs="Arial"/>
          <w:b w:val="0"/>
          <w:bCs w:val="0"/>
          <w:noProof w:val="0"/>
          <w:color w:val="000000" w:themeColor="text1" w:themeTint="FF" w:themeShade="FF"/>
          <w:sz w:val="22"/>
          <w:szCs w:val="22"/>
          <w:lang w:val="en-GB"/>
        </w:rPr>
        <w:t>: 10.3390/ijerph14121533.</w:t>
      </w:r>
    </w:p>
    <w:p w:rsidR="12234F61" w:rsidP="167DB4A6" w:rsidRDefault="12234F61" w14:paraId="4EEB6B57" w14:textId="0C5DCAC1">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Nazroo</w:t>
      </w:r>
      <w:r w:rsidRPr="167DB4A6" w:rsidR="3EF45655">
        <w:rPr>
          <w:rFonts w:ascii="Arial" w:hAnsi="Arial" w:eastAsia="Arial" w:cs="Arial"/>
          <w:b w:val="0"/>
          <w:bCs w:val="0"/>
          <w:noProof w:val="0"/>
          <w:color w:val="000000" w:themeColor="text1" w:themeTint="FF" w:themeShade="FF"/>
          <w:sz w:val="22"/>
          <w:szCs w:val="22"/>
          <w:lang w:val="en-GB"/>
        </w:rPr>
        <w:t xml:space="preserve">, J.Y. &amp; Williams, D.R. (2006) ‘The social determination of ethnic/racial inequalities in health’, in Marmot, M. &amp; Wilkinson, R. (eds) </w:t>
      </w:r>
      <w:r w:rsidRPr="167DB4A6" w:rsidR="3EF45655">
        <w:rPr>
          <w:rFonts w:ascii="Arial" w:hAnsi="Arial" w:eastAsia="Arial" w:cs="Arial"/>
          <w:b w:val="0"/>
          <w:bCs w:val="0"/>
          <w:i w:val="1"/>
          <w:iCs w:val="1"/>
          <w:noProof w:val="0"/>
          <w:color w:val="000000" w:themeColor="text1" w:themeTint="FF" w:themeShade="FF"/>
          <w:sz w:val="22"/>
          <w:szCs w:val="22"/>
          <w:lang w:val="en-GB"/>
        </w:rPr>
        <w:t>Social Determinants of Health</w:t>
      </w:r>
      <w:r w:rsidRPr="167DB4A6" w:rsidR="3EF45655">
        <w:rPr>
          <w:rFonts w:ascii="Arial" w:hAnsi="Arial" w:eastAsia="Arial" w:cs="Arial"/>
          <w:b w:val="0"/>
          <w:bCs w:val="0"/>
          <w:noProof w:val="0"/>
          <w:color w:val="000000" w:themeColor="text1" w:themeTint="FF" w:themeShade="FF"/>
          <w:sz w:val="22"/>
          <w:szCs w:val="22"/>
          <w:lang w:val="en-GB"/>
        </w:rPr>
        <w:t xml:space="preserve"> (2nd </w:t>
      </w:r>
      <w:r w:rsidRPr="167DB4A6" w:rsidR="3EF45655">
        <w:rPr>
          <w:rFonts w:ascii="Arial" w:hAnsi="Arial" w:eastAsia="Arial" w:cs="Arial"/>
          <w:b w:val="0"/>
          <w:bCs w:val="0"/>
          <w:noProof w:val="0"/>
          <w:color w:val="000000" w:themeColor="text1" w:themeTint="FF" w:themeShade="FF"/>
          <w:sz w:val="22"/>
          <w:szCs w:val="22"/>
          <w:lang w:val="en-GB"/>
        </w:rPr>
        <w:t>edn</w:t>
      </w:r>
      <w:r w:rsidRPr="167DB4A6" w:rsidR="3EF45655">
        <w:rPr>
          <w:rFonts w:ascii="Arial" w:hAnsi="Arial" w:eastAsia="Arial" w:cs="Arial"/>
          <w:b w:val="0"/>
          <w:bCs w:val="0"/>
          <w:noProof w:val="0"/>
          <w:color w:val="000000" w:themeColor="text1" w:themeTint="FF" w:themeShade="FF"/>
          <w:sz w:val="22"/>
          <w:szCs w:val="22"/>
          <w:lang w:val="en-GB"/>
        </w:rPr>
        <w:t>). Oxford: Oxford University Press, pp. 238‑266.</w:t>
      </w:r>
    </w:p>
    <w:p w:rsidR="12234F61" w:rsidP="167DB4A6" w:rsidRDefault="12234F61" w14:paraId="2B37F297" w14:textId="0612E7F7">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 xml:space="preserve">Office for National Statistics (ONS) (2021) </w:t>
      </w:r>
      <w:r w:rsidRPr="167DB4A6" w:rsidR="3EF45655">
        <w:rPr>
          <w:rFonts w:ascii="Arial" w:hAnsi="Arial" w:eastAsia="Arial" w:cs="Arial"/>
          <w:b w:val="0"/>
          <w:bCs w:val="0"/>
          <w:i w:val="1"/>
          <w:iCs w:val="1"/>
          <w:noProof w:val="0"/>
          <w:color w:val="000000" w:themeColor="text1" w:themeTint="FF" w:themeShade="FF"/>
          <w:sz w:val="22"/>
          <w:szCs w:val="22"/>
          <w:lang w:val="en-GB"/>
        </w:rPr>
        <w:t>Ethnic differences in life expectancy and mortality from selected causes in England and Wales: 2011 to 2014 (experimental data).</w:t>
      </w:r>
      <w:r w:rsidRPr="167DB4A6" w:rsidR="3EF45655">
        <w:rPr>
          <w:rFonts w:ascii="Arial" w:hAnsi="Arial" w:eastAsia="Arial" w:cs="Arial"/>
          <w:b w:val="0"/>
          <w:bCs w:val="0"/>
          <w:noProof w:val="0"/>
          <w:color w:val="000000" w:themeColor="text1" w:themeTint="FF" w:themeShade="FF"/>
          <w:sz w:val="22"/>
          <w:szCs w:val="22"/>
          <w:lang w:val="en-GB"/>
        </w:rPr>
        <w:t xml:space="preserve"> London: ONS. Available at: </w:t>
      </w:r>
      <w:hyperlink r:id="R9dee128290f84a5f">
        <w:r w:rsidRPr="167DB4A6" w:rsidR="3EF45655">
          <w:rPr>
            <w:rStyle w:val="Hyperlink"/>
            <w:rFonts w:ascii="Arial" w:hAnsi="Arial" w:eastAsia="Arial" w:cs="Arial"/>
            <w:b w:val="0"/>
            <w:bCs w:val="0"/>
            <w:noProof w:val="0"/>
            <w:color w:val="000000" w:themeColor="text1" w:themeTint="FF" w:themeShade="FF"/>
            <w:sz w:val="22"/>
            <w:szCs w:val="22"/>
            <w:lang w:val="en-GB"/>
          </w:rPr>
          <w:t>https://www.ons.gov.uk/peoplepopulationandcommunity/healthandsocialcare/healthinequalities</w:t>
        </w:r>
      </w:hyperlink>
      <w:r w:rsidRPr="167DB4A6" w:rsidR="3EF4565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1395FD86" w14:textId="6E02FE2D">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 xml:space="preserve">Public Health England (2020) </w:t>
      </w:r>
      <w:r w:rsidRPr="167DB4A6" w:rsidR="3EF45655">
        <w:rPr>
          <w:rFonts w:ascii="Arial" w:hAnsi="Arial" w:eastAsia="Arial" w:cs="Arial"/>
          <w:b w:val="0"/>
          <w:bCs w:val="0"/>
          <w:i w:val="1"/>
          <w:iCs w:val="1"/>
          <w:noProof w:val="0"/>
          <w:color w:val="000000" w:themeColor="text1" w:themeTint="FF" w:themeShade="FF"/>
          <w:sz w:val="22"/>
          <w:szCs w:val="22"/>
          <w:lang w:val="en-GB"/>
        </w:rPr>
        <w:t>Disparities in the risk and outcomes of COVID-19.</w:t>
      </w:r>
      <w:r w:rsidRPr="167DB4A6" w:rsidR="3EF45655">
        <w:rPr>
          <w:rFonts w:ascii="Arial" w:hAnsi="Arial" w:eastAsia="Arial" w:cs="Arial"/>
          <w:b w:val="0"/>
          <w:bCs w:val="0"/>
          <w:noProof w:val="0"/>
          <w:color w:val="000000" w:themeColor="text1" w:themeTint="FF" w:themeShade="FF"/>
          <w:sz w:val="22"/>
          <w:szCs w:val="22"/>
          <w:lang w:val="en-GB"/>
        </w:rPr>
        <w:t xml:space="preserve"> London: Public Health England. Available at: </w:t>
      </w:r>
      <w:hyperlink r:id="Rf1f93b2ee2af4773">
        <w:r w:rsidRPr="167DB4A6" w:rsidR="3EF45655">
          <w:rPr>
            <w:rStyle w:val="Hyperlink"/>
            <w:rFonts w:ascii="Arial" w:hAnsi="Arial" w:eastAsia="Arial" w:cs="Arial"/>
            <w:b w:val="0"/>
            <w:bCs w:val="0"/>
            <w:noProof w:val="0"/>
            <w:color w:val="000000" w:themeColor="text1" w:themeTint="FF" w:themeShade="FF"/>
            <w:sz w:val="22"/>
            <w:szCs w:val="22"/>
            <w:lang w:val="en-GB"/>
          </w:rPr>
          <w:t>https://assets.publishing.service.gov.uk/media/5f328354d3bf7f1b12a7023a/Disparities_in_the_risk_and_outcomes_of_COVID_August_2020_update.pdf</w:t>
        </w:r>
      </w:hyperlink>
      <w:r w:rsidRPr="167DB4A6" w:rsidR="3EF4565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61332B97" w14:textId="44F7AAB7">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3EF45655">
        <w:rPr>
          <w:rFonts w:ascii="Arial" w:hAnsi="Arial" w:eastAsia="Arial" w:cs="Arial"/>
          <w:b w:val="0"/>
          <w:bCs w:val="0"/>
          <w:noProof w:val="0"/>
          <w:color w:val="000000" w:themeColor="text1" w:themeTint="FF" w:themeShade="FF"/>
          <w:sz w:val="22"/>
          <w:szCs w:val="22"/>
          <w:lang w:val="en-GB"/>
        </w:rPr>
        <w:t xml:space="preserve">The King’s Fund (2023) </w:t>
      </w:r>
      <w:r w:rsidRPr="167DB4A6" w:rsidR="3EF45655">
        <w:rPr>
          <w:rFonts w:ascii="Arial" w:hAnsi="Arial" w:eastAsia="Arial" w:cs="Arial"/>
          <w:b w:val="0"/>
          <w:bCs w:val="0"/>
          <w:i w:val="1"/>
          <w:iCs w:val="1"/>
          <w:noProof w:val="0"/>
          <w:color w:val="000000" w:themeColor="text1" w:themeTint="FF" w:themeShade="FF"/>
          <w:sz w:val="22"/>
          <w:szCs w:val="22"/>
          <w:lang w:val="en-GB"/>
        </w:rPr>
        <w:t>The health of people from ethnic minority groups in England.</w:t>
      </w:r>
      <w:r w:rsidRPr="167DB4A6" w:rsidR="3EF45655">
        <w:rPr>
          <w:rFonts w:ascii="Arial" w:hAnsi="Arial" w:eastAsia="Arial" w:cs="Arial"/>
          <w:b w:val="0"/>
          <w:bCs w:val="0"/>
          <w:noProof w:val="0"/>
          <w:color w:val="000000" w:themeColor="text1" w:themeTint="FF" w:themeShade="FF"/>
          <w:sz w:val="22"/>
          <w:szCs w:val="22"/>
          <w:lang w:val="en-GB"/>
        </w:rPr>
        <w:t xml:space="preserve"> London: The King’s Fund. Available at: </w:t>
      </w:r>
      <w:hyperlink r:id="Rf7e95eba07e44cfb">
        <w:r w:rsidRPr="167DB4A6" w:rsidR="3EF45655">
          <w:rPr>
            <w:rStyle w:val="Hyperlink"/>
            <w:rFonts w:ascii="Arial" w:hAnsi="Arial" w:eastAsia="Arial" w:cs="Arial"/>
            <w:b w:val="0"/>
            <w:bCs w:val="0"/>
            <w:noProof w:val="0"/>
            <w:color w:val="000000" w:themeColor="text1" w:themeTint="FF" w:themeShade="FF"/>
            <w:sz w:val="22"/>
            <w:szCs w:val="22"/>
            <w:lang w:val="en-GB"/>
          </w:rPr>
          <w:t>https://www.kingsfund.org.uk/insight-and-analysis/long-reads/health-people-ethnic-minority-groups-england</w:t>
        </w:r>
      </w:hyperlink>
      <w:r w:rsidRPr="167DB4A6" w:rsidR="3EF4565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493C38A6" w14:textId="2C7AB1A9">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Agyemang, C. &amp; van den Born, B.-J.H. (2022) ‘Cardiovascular health and disease in migrant populations: a call to action’, </w:t>
      </w:r>
      <w:r w:rsidRPr="167DB4A6" w:rsidR="42A35479">
        <w:rPr>
          <w:rFonts w:ascii="Arial" w:hAnsi="Arial" w:eastAsia="Arial" w:cs="Arial"/>
          <w:b w:val="0"/>
          <w:bCs w:val="0"/>
          <w:i w:val="1"/>
          <w:iCs w:val="1"/>
          <w:noProof w:val="0"/>
          <w:color w:val="000000" w:themeColor="text1" w:themeTint="FF" w:themeShade="FF"/>
          <w:sz w:val="22"/>
          <w:szCs w:val="22"/>
          <w:lang w:val="en-GB"/>
        </w:rPr>
        <w:t>Nature Reviews Cardiology</w:t>
      </w:r>
      <w:r w:rsidRPr="167DB4A6" w:rsidR="42A35479">
        <w:rPr>
          <w:rFonts w:ascii="Arial" w:hAnsi="Arial" w:eastAsia="Arial" w:cs="Arial"/>
          <w:b w:val="0"/>
          <w:bCs w:val="0"/>
          <w:noProof w:val="0"/>
          <w:color w:val="000000" w:themeColor="text1" w:themeTint="FF" w:themeShade="FF"/>
          <w:sz w:val="22"/>
          <w:szCs w:val="22"/>
          <w:lang w:val="en-GB"/>
        </w:rPr>
        <w:t xml:space="preserve">, 19(5), pp. 263–277. </w:t>
      </w:r>
      <w:r w:rsidRPr="167DB4A6" w:rsidR="42A35479">
        <w:rPr>
          <w:rFonts w:ascii="Arial" w:hAnsi="Arial" w:eastAsia="Arial" w:cs="Arial"/>
          <w:b w:val="0"/>
          <w:bCs w:val="0"/>
          <w:noProof w:val="0"/>
          <w:color w:val="000000" w:themeColor="text1" w:themeTint="FF" w:themeShade="FF"/>
          <w:sz w:val="22"/>
          <w:szCs w:val="22"/>
          <w:lang w:val="en-GB"/>
        </w:rPr>
        <w:t>doi</w:t>
      </w:r>
      <w:r w:rsidRPr="167DB4A6" w:rsidR="42A35479">
        <w:rPr>
          <w:rFonts w:ascii="Arial" w:hAnsi="Arial" w:eastAsia="Arial" w:cs="Arial"/>
          <w:b w:val="0"/>
          <w:bCs w:val="0"/>
          <w:noProof w:val="0"/>
          <w:color w:val="000000" w:themeColor="text1" w:themeTint="FF" w:themeShade="FF"/>
          <w:sz w:val="22"/>
          <w:szCs w:val="22"/>
          <w:lang w:val="en-GB"/>
        </w:rPr>
        <w:t>: 10.1038/s41569-021-00644-y.</w:t>
      </w:r>
    </w:p>
    <w:p w:rsidR="12234F61" w:rsidP="167DB4A6" w:rsidRDefault="12234F61" w14:paraId="4AD74CF6" w14:textId="1EBDB560">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Bambra, C. (2020) ‘The COVID‑19 pandemic and health inequalities’, </w:t>
      </w:r>
      <w:r w:rsidRPr="167DB4A6" w:rsidR="42A35479">
        <w:rPr>
          <w:rFonts w:ascii="Arial" w:hAnsi="Arial" w:eastAsia="Arial" w:cs="Arial"/>
          <w:b w:val="0"/>
          <w:bCs w:val="0"/>
          <w:i w:val="1"/>
          <w:iCs w:val="1"/>
          <w:noProof w:val="0"/>
          <w:color w:val="000000" w:themeColor="text1" w:themeTint="FF" w:themeShade="FF"/>
          <w:sz w:val="22"/>
          <w:szCs w:val="22"/>
          <w:lang w:val="en-GB"/>
        </w:rPr>
        <w:t>Journal of Epidemiology &amp; Community Health</w:t>
      </w:r>
      <w:r w:rsidRPr="167DB4A6" w:rsidR="42A35479">
        <w:rPr>
          <w:rFonts w:ascii="Arial" w:hAnsi="Arial" w:eastAsia="Arial" w:cs="Arial"/>
          <w:b w:val="0"/>
          <w:bCs w:val="0"/>
          <w:noProof w:val="0"/>
          <w:color w:val="000000" w:themeColor="text1" w:themeTint="FF" w:themeShade="FF"/>
          <w:sz w:val="22"/>
          <w:szCs w:val="22"/>
          <w:lang w:val="en-GB"/>
        </w:rPr>
        <w:t xml:space="preserve">, 74(11), pp. 964‑968. </w:t>
      </w:r>
      <w:r w:rsidRPr="167DB4A6" w:rsidR="42A35479">
        <w:rPr>
          <w:rFonts w:ascii="Arial" w:hAnsi="Arial" w:eastAsia="Arial" w:cs="Arial"/>
          <w:b w:val="0"/>
          <w:bCs w:val="0"/>
          <w:noProof w:val="0"/>
          <w:color w:val="000000" w:themeColor="text1" w:themeTint="FF" w:themeShade="FF"/>
          <w:sz w:val="22"/>
          <w:szCs w:val="22"/>
          <w:lang w:val="en-GB"/>
        </w:rPr>
        <w:t>doi</w:t>
      </w:r>
      <w:r w:rsidRPr="167DB4A6" w:rsidR="42A35479">
        <w:rPr>
          <w:rFonts w:ascii="Arial" w:hAnsi="Arial" w:eastAsia="Arial" w:cs="Arial"/>
          <w:b w:val="0"/>
          <w:bCs w:val="0"/>
          <w:noProof w:val="0"/>
          <w:color w:val="000000" w:themeColor="text1" w:themeTint="FF" w:themeShade="FF"/>
          <w:sz w:val="22"/>
          <w:szCs w:val="22"/>
          <w:lang w:val="en-GB"/>
        </w:rPr>
        <w:t>: 10.1136/jech-2020-214401.</w:t>
      </w:r>
    </w:p>
    <w:p w:rsidR="12234F61" w:rsidP="167DB4A6" w:rsidRDefault="12234F61" w14:paraId="256D4DD4" w14:textId="027422EE">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Bhui</w:t>
      </w:r>
      <w:r w:rsidRPr="167DB4A6" w:rsidR="42A35479">
        <w:rPr>
          <w:rFonts w:ascii="Arial" w:hAnsi="Arial" w:eastAsia="Arial" w:cs="Arial"/>
          <w:b w:val="0"/>
          <w:bCs w:val="0"/>
          <w:noProof w:val="0"/>
          <w:color w:val="000000" w:themeColor="text1" w:themeTint="FF" w:themeShade="FF"/>
          <w:sz w:val="22"/>
          <w:szCs w:val="22"/>
          <w:lang w:val="en-GB"/>
        </w:rPr>
        <w:t xml:space="preserve">, K., Halvorsrud, K. &amp; </w:t>
      </w:r>
      <w:r w:rsidRPr="167DB4A6" w:rsidR="42A35479">
        <w:rPr>
          <w:rFonts w:ascii="Arial" w:hAnsi="Arial" w:eastAsia="Arial" w:cs="Arial"/>
          <w:b w:val="0"/>
          <w:bCs w:val="0"/>
          <w:noProof w:val="0"/>
          <w:color w:val="000000" w:themeColor="text1" w:themeTint="FF" w:themeShade="FF"/>
          <w:sz w:val="22"/>
          <w:szCs w:val="22"/>
          <w:lang w:val="en-GB"/>
        </w:rPr>
        <w:t>Nazroo</w:t>
      </w:r>
      <w:r w:rsidRPr="167DB4A6" w:rsidR="42A35479">
        <w:rPr>
          <w:rFonts w:ascii="Arial" w:hAnsi="Arial" w:eastAsia="Arial" w:cs="Arial"/>
          <w:b w:val="0"/>
          <w:bCs w:val="0"/>
          <w:noProof w:val="0"/>
          <w:color w:val="000000" w:themeColor="text1" w:themeTint="FF" w:themeShade="FF"/>
          <w:sz w:val="22"/>
          <w:szCs w:val="22"/>
          <w:lang w:val="en-GB"/>
        </w:rPr>
        <w:t xml:space="preserve">, J.Y. (2018) ‘Making a difference: ethnic inequality and severe mental illness’, </w:t>
      </w:r>
      <w:r w:rsidRPr="167DB4A6" w:rsidR="42A35479">
        <w:rPr>
          <w:rFonts w:ascii="Arial" w:hAnsi="Arial" w:eastAsia="Arial" w:cs="Arial"/>
          <w:b w:val="0"/>
          <w:bCs w:val="0"/>
          <w:i w:val="1"/>
          <w:iCs w:val="1"/>
          <w:noProof w:val="0"/>
          <w:color w:val="000000" w:themeColor="text1" w:themeTint="FF" w:themeShade="FF"/>
          <w:sz w:val="22"/>
          <w:szCs w:val="22"/>
          <w:lang w:val="en-GB"/>
        </w:rPr>
        <w:t>The British Journal of Psychiatry</w:t>
      </w:r>
      <w:r w:rsidRPr="167DB4A6" w:rsidR="42A35479">
        <w:rPr>
          <w:rFonts w:ascii="Arial" w:hAnsi="Arial" w:eastAsia="Arial" w:cs="Arial"/>
          <w:b w:val="0"/>
          <w:bCs w:val="0"/>
          <w:noProof w:val="0"/>
          <w:color w:val="000000" w:themeColor="text1" w:themeTint="FF" w:themeShade="FF"/>
          <w:sz w:val="22"/>
          <w:szCs w:val="22"/>
          <w:lang w:val="en-GB"/>
        </w:rPr>
        <w:t xml:space="preserve">, 213(4), pp. 574‑578. </w:t>
      </w:r>
      <w:r w:rsidRPr="167DB4A6" w:rsidR="42A35479">
        <w:rPr>
          <w:rFonts w:ascii="Arial" w:hAnsi="Arial" w:eastAsia="Arial" w:cs="Arial"/>
          <w:b w:val="0"/>
          <w:bCs w:val="0"/>
          <w:noProof w:val="0"/>
          <w:color w:val="000000" w:themeColor="text1" w:themeTint="FF" w:themeShade="FF"/>
          <w:sz w:val="22"/>
          <w:szCs w:val="22"/>
          <w:lang w:val="en-GB"/>
        </w:rPr>
        <w:t>doi</w:t>
      </w:r>
      <w:r w:rsidRPr="167DB4A6" w:rsidR="42A35479">
        <w:rPr>
          <w:rFonts w:ascii="Arial" w:hAnsi="Arial" w:eastAsia="Arial" w:cs="Arial"/>
          <w:b w:val="0"/>
          <w:bCs w:val="0"/>
          <w:noProof w:val="0"/>
          <w:color w:val="000000" w:themeColor="text1" w:themeTint="FF" w:themeShade="FF"/>
          <w:sz w:val="22"/>
          <w:szCs w:val="22"/>
          <w:lang w:val="en-GB"/>
        </w:rPr>
        <w:t>: 10.1192/bjp.2018.148.</w:t>
      </w:r>
    </w:p>
    <w:p w:rsidR="12234F61" w:rsidP="167DB4A6" w:rsidRDefault="12234F61" w14:paraId="1F6B6905" w14:textId="407E6007">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Equality and Human Rights Commission (2018) </w:t>
      </w:r>
      <w:r w:rsidRPr="167DB4A6" w:rsidR="42A35479">
        <w:rPr>
          <w:rFonts w:ascii="Arial" w:hAnsi="Arial" w:eastAsia="Arial" w:cs="Arial"/>
          <w:b w:val="0"/>
          <w:bCs w:val="0"/>
          <w:i w:val="1"/>
          <w:iCs w:val="1"/>
          <w:noProof w:val="0"/>
          <w:color w:val="000000" w:themeColor="text1" w:themeTint="FF" w:themeShade="FF"/>
          <w:sz w:val="22"/>
          <w:szCs w:val="22"/>
          <w:lang w:val="en-GB"/>
        </w:rPr>
        <w:t xml:space="preserve">Equality Act 2010: What Do I Need to </w:t>
      </w:r>
      <w:r w:rsidRPr="167DB4A6" w:rsidR="42A35479">
        <w:rPr>
          <w:rFonts w:ascii="Arial" w:hAnsi="Arial" w:eastAsia="Arial" w:cs="Arial"/>
          <w:b w:val="0"/>
          <w:bCs w:val="0"/>
          <w:i w:val="1"/>
          <w:iCs w:val="1"/>
          <w:noProof w:val="0"/>
          <w:color w:val="000000" w:themeColor="text1" w:themeTint="FF" w:themeShade="FF"/>
          <w:sz w:val="22"/>
          <w:szCs w:val="22"/>
          <w:lang w:val="en-GB"/>
        </w:rPr>
        <w:t>Know?</w:t>
      </w:r>
      <w:r w:rsidRPr="167DB4A6" w:rsidR="42A35479">
        <w:rPr>
          <w:rFonts w:ascii="Arial" w:hAnsi="Arial" w:eastAsia="Arial" w:cs="Arial"/>
          <w:b w:val="0"/>
          <w:bCs w:val="0"/>
          <w:noProof w:val="0"/>
          <w:color w:val="000000" w:themeColor="text1" w:themeTint="FF" w:themeShade="FF"/>
          <w:sz w:val="22"/>
          <w:szCs w:val="22"/>
          <w:lang w:val="en-GB"/>
        </w:rPr>
        <w:t>.</w:t>
      </w:r>
      <w:r w:rsidRPr="167DB4A6" w:rsidR="42A35479">
        <w:rPr>
          <w:rFonts w:ascii="Arial" w:hAnsi="Arial" w:eastAsia="Arial" w:cs="Arial"/>
          <w:b w:val="0"/>
          <w:bCs w:val="0"/>
          <w:noProof w:val="0"/>
          <w:color w:val="000000" w:themeColor="text1" w:themeTint="FF" w:themeShade="FF"/>
          <w:sz w:val="22"/>
          <w:szCs w:val="22"/>
          <w:lang w:val="en-GB"/>
        </w:rPr>
        <w:t xml:space="preserve"> London: EHRC. Available at: </w:t>
      </w:r>
      <w:hyperlink r:id="R9ecc4b584def4ecd">
        <w:r w:rsidRPr="167DB4A6" w:rsidR="42A35479">
          <w:rPr>
            <w:rStyle w:val="Hyperlink"/>
            <w:rFonts w:ascii="Arial" w:hAnsi="Arial" w:eastAsia="Arial" w:cs="Arial"/>
            <w:b w:val="0"/>
            <w:bCs w:val="0"/>
            <w:noProof w:val="0"/>
            <w:color w:val="000000" w:themeColor="text1" w:themeTint="FF" w:themeShade="FF"/>
            <w:sz w:val="22"/>
            <w:szCs w:val="22"/>
            <w:lang w:val="en-GB"/>
          </w:rPr>
          <w:t>https://www.equalityhumanrights.com/en/advice-and-guidance/equality-act-2010</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090F0758" w14:textId="0CCC4937">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Khunti</w:t>
      </w:r>
      <w:r w:rsidRPr="167DB4A6" w:rsidR="42A35479">
        <w:rPr>
          <w:rFonts w:ascii="Arial" w:hAnsi="Arial" w:eastAsia="Arial" w:cs="Arial"/>
          <w:b w:val="0"/>
          <w:bCs w:val="0"/>
          <w:noProof w:val="0"/>
          <w:color w:val="000000" w:themeColor="text1" w:themeTint="FF" w:themeShade="FF"/>
          <w:sz w:val="22"/>
          <w:szCs w:val="22"/>
          <w:lang w:val="en-GB"/>
        </w:rPr>
        <w:t xml:space="preserve">, K., Singh, A.K., Pareek, M. &amp; Hanif, W. (2023) ‘Ethnic disparities in type 2 diabetes management and outcomes: lessons for policy and practice’, </w:t>
      </w:r>
      <w:r w:rsidRPr="167DB4A6" w:rsidR="42A35479">
        <w:rPr>
          <w:rFonts w:ascii="Arial" w:hAnsi="Arial" w:eastAsia="Arial" w:cs="Arial"/>
          <w:b w:val="0"/>
          <w:bCs w:val="0"/>
          <w:i w:val="1"/>
          <w:iCs w:val="1"/>
          <w:noProof w:val="0"/>
          <w:color w:val="000000" w:themeColor="text1" w:themeTint="FF" w:themeShade="FF"/>
          <w:sz w:val="22"/>
          <w:szCs w:val="22"/>
          <w:lang w:val="en-GB"/>
        </w:rPr>
        <w:t>Diabetic Medicine</w:t>
      </w:r>
      <w:r w:rsidRPr="167DB4A6" w:rsidR="42A35479">
        <w:rPr>
          <w:rFonts w:ascii="Arial" w:hAnsi="Arial" w:eastAsia="Arial" w:cs="Arial"/>
          <w:b w:val="0"/>
          <w:bCs w:val="0"/>
          <w:noProof w:val="0"/>
          <w:color w:val="000000" w:themeColor="text1" w:themeTint="FF" w:themeShade="FF"/>
          <w:sz w:val="22"/>
          <w:szCs w:val="22"/>
          <w:lang w:val="en-GB"/>
        </w:rPr>
        <w:t xml:space="preserve">, 40(2), e15042. </w:t>
      </w:r>
      <w:r w:rsidRPr="167DB4A6" w:rsidR="42A35479">
        <w:rPr>
          <w:rFonts w:ascii="Arial" w:hAnsi="Arial" w:eastAsia="Arial" w:cs="Arial"/>
          <w:b w:val="0"/>
          <w:bCs w:val="0"/>
          <w:noProof w:val="0"/>
          <w:color w:val="000000" w:themeColor="text1" w:themeTint="FF" w:themeShade="FF"/>
          <w:sz w:val="22"/>
          <w:szCs w:val="22"/>
          <w:lang w:val="en-GB"/>
        </w:rPr>
        <w:t>doi</w:t>
      </w:r>
      <w:r w:rsidRPr="167DB4A6" w:rsidR="42A35479">
        <w:rPr>
          <w:rFonts w:ascii="Arial" w:hAnsi="Arial" w:eastAsia="Arial" w:cs="Arial"/>
          <w:b w:val="0"/>
          <w:bCs w:val="0"/>
          <w:noProof w:val="0"/>
          <w:color w:val="000000" w:themeColor="text1" w:themeTint="FF" w:themeShade="FF"/>
          <w:sz w:val="22"/>
          <w:szCs w:val="22"/>
          <w:lang w:val="en-GB"/>
        </w:rPr>
        <w:t>: 10.1111/dme.15042.</w:t>
      </w:r>
    </w:p>
    <w:p w:rsidR="12234F61" w:rsidP="167DB4A6" w:rsidRDefault="12234F61" w14:paraId="01F7146C" w14:textId="0FFB938A">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Marmot, M. (2020) </w:t>
      </w:r>
      <w:r w:rsidRPr="167DB4A6" w:rsidR="42A35479">
        <w:rPr>
          <w:rFonts w:ascii="Arial" w:hAnsi="Arial" w:eastAsia="Arial" w:cs="Arial"/>
          <w:b w:val="0"/>
          <w:bCs w:val="0"/>
          <w:i w:val="1"/>
          <w:iCs w:val="1"/>
          <w:noProof w:val="0"/>
          <w:color w:val="000000" w:themeColor="text1" w:themeTint="FF" w:themeShade="FF"/>
          <w:sz w:val="22"/>
          <w:szCs w:val="22"/>
          <w:lang w:val="en-GB"/>
        </w:rPr>
        <w:t>The Marmot Review 10 Years On: Health equity in England</w:t>
      </w:r>
      <w:r w:rsidRPr="167DB4A6" w:rsidR="42A35479">
        <w:rPr>
          <w:rFonts w:ascii="Arial" w:hAnsi="Arial" w:eastAsia="Arial" w:cs="Arial"/>
          <w:b w:val="0"/>
          <w:bCs w:val="0"/>
          <w:noProof w:val="0"/>
          <w:color w:val="000000" w:themeColor="text1" w:themeTint="FF" w:themeShade="FF"/>
          <w:sz w:val="22"/>
          <w:szCs w:val="22"/>
          <w:lang w:val="en-GB"/>
        </w:rPr>
        <w:t xml:space="preserve">. London: Institute of Health Equity. Available at: </w:t>
      </w:r>
      <w:hyperlink r:id="Rcb68b2a4167d4151">
        <w:r w:rsidRPr="167DB4A6" w:rsidR="42A35479">
          <w:rPr>
            <w:rStyle w:val="Hyperlink"/>
            <w:rFonts w:ascii="Arial" w:hAnsi="Arial" w:eastAsia="Arial" w:cs="Arial"/>
            <w:b w:val="0"/>
            <w:bCs w:val="0"/>
            <w:noProof w:val="0"/>
            <w:color w:val="000000" w:themeColor="text1" w:themeTint="FF" w:themeShade="FF"/>
            <w:sz w:val="22"/>
            <w:szCs w:val="22"/>
            <w:lang w:val="en-GB"/>
          </w:rPr>
          <w:t>https://www.instituteofhealthequity.org/resources-reports/the-marmot-review-10-years-on</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461287AD" w14:textId="3D8FAA3E">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Mind (2021) </w:t>
      </w:r>
      <w:r w:rsidRPr="167DB4A6" w:rsidR="42A35479">
        <w:rPr>
          <w:rFonts w:ascii="Arial" w:hAnsi="Arial" w:eastAsia="Arial" w:cs="Arial"/>
          <w:b w:val="0"/>
          <w:bCs w:val="0"/>
          <w:i w:val="1"/>
          <w:iCs w:val="1"/>
          <w:noProof w:val="0"/>
          <w:color w:val="000000" w:themeColor="text1" w:themeTint="FF" w:themeShade="FF"/>
          <w:sz w:val="22"/>
          <w:szCs w:val="22"/>
          <w:lang w:val="en-GB"/>
        </w:rPr>
        <w:t>Ethnic inequalities in mental health: improving access and outcomes</w:t>
      </w:r>
      <w:r w:rsidRPr="167DB4A6" w:rsidR="42A35479">
        <w:rPr>
          <w:rFonts w:ascii="Arial" w:hAnsi="Arial" w:eastAsia="Arial" w:cs="Arial"/>
          <w:b w:val="0"/>
          <w:bCs w:val="0"/>
          <w:noProof w:val="0"/>
          <w:color w:val="000000" w:themeColor="text1" w:themeTint="FF" w:themeShade="FF"/>
          <w:sz w:val="22"/>
          <w:szCs w:val="22"/>
          <w:lang w:val="en-GB"/>
        </w:rPr>
        <w:t xml:space="preserve">. London: Mind. Available at: </w:t>
      </w:r>
      <w:hyperlink r:id="Rf4daf0e78e4c487b">
        <w:r w:rsidRPr="167DB4A6" w:rsidR="42A35479">
          <w:rPr>
            <w:rStyle w:val="Hyperlink"/>
            <w:rFonts w:ascii="Arial" w:hAnsi="Arial" w:eastAsia="Arial" w:cs="Arial"/>
            <w:b w:val="0"/>
            <w:bCs w:val="0"/>
            <w:noProof w:val="0"/>
            <w:color w:val="000000" w:themeColor="text1" w:themeTint="FF" w:themeShade="FF"/>
            <w:sz w:val="22"/>
            <w:szCs w:val="22"/>
            <w:lang w:val="en-GB"/>
          </w:rPr>
          <w:t>https://www.mind.org.uk/about-us/our-policy-work/ethnic-inequalities/</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47808559" w14:textId="5696C3DD">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NHS England (2019) </w:t>
      </w:r>
      <w:r w:rsidRPr="167DB4A6" w:rsidR="42A35479">
        <w:rPr>
          <w:rFonts w:ascii="Arial" w:hAnsi="Arial" w:eastAsia="Arial" w:cs="Arial"/>
          <w:b w:val="0"/>
          <w:bCs w:val="0"/>
          <w:i w:val="1"/>
          <w:iCs w:val="1"/>
          <w:noProof w:val="0"/>
          <w:color w:val="000000" w:themeColor="text1" w:themeTint="FF" w:themeShade="FF"/>
          <w:sz w:val="22"/>
          <w:szCs w:val="22"/>
          <w:lang w:val="en-GB"/>
        </w:rPr>
        <w:t>The NHS Long Term Plan</w:t>
      </w:r>
      <w:r w:rsidRPr="167DB4A6" w:rsidR="42A35479">
        <w:rPr>
          <w:rFonts w:ascii="Arial" w:hAnsi="Arial" w:eastAsia="Arial" w:cs="Arial"/>
          <w:b w:val="0"/>
          <w:bCs w:val="0"/>
          <w:noProof w:val="0"/>
          <w:color w:val="000000" w:themeColor="text1" w:themeTint="FF" w:themeShade="FF"/>
          <w:sz w:val="22"/>
          <w:szCs w:val="22"/>
          <w:lang w:val="en-GB"/>
        </w:rPr>
        <w:t xml:space="preserve">. London: NHS England. Available at: </w:t>
      </w:r>
      <w:hyperlink r:id="Rd98b313bdf0a48ee">
        <w:r w:rsidRPr="167DB4A6" w:rsidR="42A35479">
          <w:rPr>
            <w:rStyle w:val="Hyperlink"/>
            <w:rFonts w:ascii="Arial" w:hAnsi="Arial" w:eastAsia="Arial" w:cs="Arial"/>
            <w:b w:val="0"/>
            <w:bCs w:val="0"/>
            <w:noProof w:val="0"/>
            <w:color w:val="000000" w:themeColor="text1" w:themeTint="FF" w:themeShade="FF"/>
            <w:sz w:val="22"/>
            <w:szCs w:val="22"/>
            <w:lang w:val="en-GB"/>
          </w:rPr>
          <w:t>https://www.longtermplan.nhs.uk/</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212DE66D" w14:textId="1524BCFC">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NHS England (2021) </w:t>
      </w:r>
      <w:r w:rsidRPr="167DB4A6" w:rsidR="42A35479">
        <w:rPr>
          <w:rFonts w:ascii="Arial" w:hAnsi="Arial" w:eastAsia="Arial" w:cs="Arial"/>
          <w:b w:val="0"/>
          <w:bCs w:val="0"/>
          <w:i w:val="1"/>
          <w:iCs w:val="1"/>
          <w:noProof w:val="0"/>
          <w:color w:val="000000" w:themeColor="text1" w:themeTint="FF" w:themeShade="FF"/>
          <w:sz w:val="22"/>
          <w:szCs w:val="22"/>
          <w:lang w:val="en-GB"/>
        </w:rPr>
        <w:t>Core20PLUS5: Reducing healthcare inequalities</w:t>
      </w:r>
      <w:r w:rsidRPr="167DB4A6" w:rsidR="42A35479">
        <w:rPr>
          <w:rFonts w:ascii="Arial" w:hAnsi="Arial" w:eastAsia="Arial" w:cs="Arial"/>
          <w:b w:val="0"/>
          <w:bCs w:val="0"/>
          <w:noProof w:val="0"/>
          <w:color w:val="000000" w:themeColor="text1" w:themeTint="FF" w:themeShade="FF"/>
          <w:sz w:val="22"/>
          <w:szCs w:val="22"/>
          <w:lang w:val="en-GB"/>
        </w:rPr>
        <w:t xml:space="preserve">. London: NHS England. Available at: </w:t>
      </w:r>
      <w:hyperlink r:id="R4f9ea6a8d96d4230">
        <w:r w:rsidRPr="167DB4A6" w:rsidR="42A35479">
          <w:rPr>
            <w:rStyle w:val="Hyperlink"/>
            <w:rFonts w:ascii="Arial" w:hAnsi="Arial" w:eastAsia="Arial" w:cs="Arial"/>
            <w:b w:val="0"/>
            <w:bCs w:val="0"/>
            <w:noProof w:val="0"/>
            <w:color w:val="000000" w:themeColor="text1" w:themeTint="FF" w:themeShade="FF"/>
            <w:sz w:val="22"/>
            <w:szCs w:val="22"/>
            <w:lang w:val="en-GB"/>
          </w:rPr>
          <w:t>https://www.england.nhs.uk/about/equality/equality-hub/core20plus5/</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1F245B77" w14:textId="13F79EC1">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Public Health England (2020) </w:t>
      </w:r>
      <w:r w:rsidRPr="167DB4A6" w:rsidR="42A35479">
        <w:rPr>
          <w:rFonts w:ascii="Arial" w:hAnsi="Arial" w:eastAsia="Arial" w:cs="Arial"/>
          <w:b w:val="0"/>
          <w:bCs w:val="0"/>
          <w:i w:val="1"/>
          <w:iCs w:val="1"/>
          <w:noProof w:val="0"/>
          <w:color w:val="000000" w:themeColor="text1" w:themeTint="FF" w:themeShade="FF"/>
          <w:sz w:val="22"/>
          <w:szCs w:val="22"/>
          <w:lang w:val="en-GB"/>
        </w:rPr>
        <w:t>Disparities in the risk and outcomes of COVID-19.</w:t>
      </w:r>
      <w:r w:rsidRPr="167DB4A6" w:rsidR="42A35479">
        <w:rPr>
          <w:rFonts w:ascii="Arial" w:hAnsi="Arial" w:eastAsia="Arial" w:cs="Arial"/>
          <w:b w:val="0"/>
          <w:bCs w:val="0"/>
          <w:noProof w:val="0"/>
          <w:color w:val="000000" w:themeColor="text1" w:themeTint="FF" w:themeShade="FF"/>
          <w:sz w:val="22"/>
          <w:szCs w:val="22"/>
          <w:lang w:val="en-GB"/>
        </w:rPr>
        <w:t xml:space="preserve"> London: PHE. Available at: </w:t>
      </w:r>
      <w:hyperlink r:id="Rdf48befe43d343ea">
        <w:r w:rsidRPr="167DB4A6" w:rsidR="42A35479">
          <w:rPr>
            <w:rStyle w:val="Hyperlink"/>
            <w:rFonts w:ascii="Arial" w:hAnsi="Arial" w:eastAsia="Arial" w:cs="Arial"/>
            <w:b w:val="0"/>
            <w:bCs w:val="0"/>
            <w:noProof w:val="0"/>
            <w:color w:val="000000" w:themeColor="text1" w:themeTint="FF" w:themeShade="FF"/>
            <w:sz w:val="22"/>
            <w:szCs w:val="22"/>
            <w:lang w:val="en-GB"/>
          </w:rPr>
          <w:t>https://assets.publishing.service.gov.uk/media/5f328354d3bf7f1b12a7023a/Disparities_in_the_risk_and_outcomes_of_COVID_August_2020_update.pdf</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3E01A350" w14:textId="0109A4B8">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Runnymede Trust (2020) </w:t>
      </w:r>
      <w:r w:rsidRPr="167DB4A6" w:rsidR="42A35479">
        <w:rPr>
          <w:rFonts w:ascii="Arial" w:hAnsi="Arial" w:eastAsia="Arial" w:cs="Arial"/>
          <w:b w:val="0"/>
          <w:bCs w:val="0"/>
          <w:i w:val="1"/>
          <w:iCs w:val="1"/>
          <w:noProof w:val="0"/>
          <w:color w:val="000000" w:themeColor="text1" w:themeTint="FF" w:themeShade="FF"/>
          <w:sz w:val="22"/>
          <w:szCs w:val="22"/>
          <w:lang w:val="en-GB"/>
        </w:rPr>
        <w:t>Ethnic inequalities in the UK: Health, Education, Employment and Housing</w:t>
      </w:r>
      <w:r w:rsidRPr="167DB4A6" w:rsidR="42A35479">
        <w:rPr>
          <w:rFonts w:ascii="Arial" w:hAnsi="Arial" w:eastAsia="Arial" w:cs="Arial"/>
          <w:b w:val="0"/>
          <w:bCs w:val="0"/>
          <w:noProof w:val="0"/>
          <w:color w:val="000000" w:themeColor="text1" w:themeTint="FF" w:themeShade="FF"/>
          <w:sz w:val="22"/>
          <w:szCs w:val="22"/>
          <w:lang w:val="en-GB"/>
        </w:rPr>
        <w:t xml:space="preserve">. London: Runnymede Trust. Available at: </w:t>
      </w:r>
      <w:hyperlink r:id="Ra121275fac90498f">
        <w:r w:rsidRPr="167DB4A6" w:rsidR="42A35479">
          <w:rPr>
            <w:rStyle w:val="Hyperlink"/>
            <w:rFonts w:ascii="Arial" w:hAnsi="Arial" w:eastAsia="Arial" w:cs="Arial"/>
            <w:b w:val="0"/>
            <w:bCs w:val="0"/>
            <w:noProof w:val="0"/>
            <w:color w:val="000000" w:themeColor="text1" w:themeTint="FF" w:themeShade="FF"/>
            <w:sz w:val="22"/>
            <w:szCs w:val="22"/>
            <w:lang w:val="en-GB"/>
          </w:rPr>
          <w:t>https://www.runnymedetrust.org/publications</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6B7D4F7A" w14:textId="066E36FF">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2A35479">
        <w:rPr>
          <w:rFonts w:ascii="Arial" w:hAnsi="Arial" w:eastAsia="Arial" w:cs="Arial"/>
          <w:b w:val="0"/>
          <w:bCs w:val="0"/>
          <w:noProof w:val="0"/>
          <w:color w:val="000000" w:themeColor="text1" w:themeTint="FF" w:themeShade="FF"/>
          <w:sz w:val="22"/>
          <w:szCs w:val="22"/>
          <w:lang w:val="en-GB"/>
        </w:rPr>
        <w:t xml:space="preserve">The King’s Fund (2023) </w:t>
      </w:r>
      <w:r w:rsidRPr="167DB4A6" w:rsidR="42A35479">
        <w:rPr>
          <w:rFonts w:ascii="Arial" w:hAnsi="Arial" w:eastAsia="Arial" w:cs="Arial"/>
          <w:b w:val="0"/>
          <w:bCs w:val="0"/>
          <w:i w:val="1"/>
          <w:iCs w:val="1"/>
          <w:noProof w:val="0"/>
          <w:color w:val="000000" w:themeColor="text1" w:themeTint="FF" w:themeShade="FF"/>
          <w:sz w:val="22"/>
          <w:szCs w:val="22"/>
          <w:lang w:val="en-GB"/>
        </w:rPr>
        <w:t>The health of people from ethnic minority groups in England.</w:t>
      </w:r>
      <w:r w:rsidRPr="167DB4A6" w:rsidR="42A35479">
        <w:rPr>
          <w:rFonts w:ascii="Arial" w:hAnsi="Arial" w:eastAsia="Arial" w:cs="Arial"/>
          <w:b w:val="0"/>
          <w:bCs w:val="0"/>
          <w:noProof w:val="0"/>
          <w:color w:val="000000" w:themeColor="text1" w:themeTint="FF" w:themeShade="FF"/>
          <w:sz w:val="22"/>
          <w:szCs w:val="22"/>
          <w:lang w:val="en-GB"/>
        </w:rPr>
        <w:t xml:space="preserve"> London: The King’s Fund. Available at: </w:t>
      </w:r>
      <w:hyperlink r:id="R3a4521bde6da4eeb">
        <w:r w:rsidRPr="167DB4A6" w:rsidR="42A35479">
          <w:rPr>
            <w:rStyle w:val="Hyperlink"/>
            <w:rFonts w:ascii="Arial" w:hAnsi="Arial" w:eastAsia="Arial" w:cs="Arial"/>
            <w:b w:val="0"/>
            <w:bCs w:val="0"/>
            <w:noProof w:val="0"/>
            <w:color w:val="000000" w:themeColor="text1" w:themeTint="FF" w:themeShade="FF"/>
            <w:sz w:val="22"/>
            <w:szCs w:val="22"/>
            <w:lang w:val="en-GB"/>
          </w:rPr>
          <w:t>https://www.kingsfund.org.uk/insight-and-analysis/long-reads/health-people-ethnic-minority-groups-england</w:t>
        </w:r>
      </w:hyperlink>
      <w:r w:rsidRPr="167DB4A6" w:rsidR="42A3547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041FA617" w14:textId="74D7139F">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8D5AAF9">
        <w:rPr>
          <w:rFonts w:ascii="Arial" w:hAnsi="Arial" w:eastAsia="Arial" w:cs="Arial"/>
          <w:b w:val="0"/>
          <w:bCs w:val="0"/>
          <w:noProof w:val="0"/>
          <w:color w:val="000000" w:themeColor="text1" w:themeTint="FF" w:themeShade="FF"/>
          <w:sz w:val="22"/>
          <w:szCs w:val="22"/>
          <w:lang w:val="en-GB"/>
        </w:rPr>
        <w:t xml:space="preserve">Bambra, C. (2020) ‘The COVID‑19 pandemic and health inequalities’, </w:t>
      </w:r>
      <w:r w:rsidRPr="167DB4A6" w:rsidR="48D5AAF9">
        <w:rPr>
          <w:rFonts w:ascii="Arial" w:hAnsi="Arial" w:eastAsia="Arial" w:cs="Arial"/>
          <w:b w:val="0"/>
          <w:bCs w:val="0"/>
          <w:i w:val="1"/>
          <w:iCs w:val="1"/>
          <w:noProof w:val="0"/>
          <w:color w:val="000000" w:themeColor="text1" w:themeTint="FF" w:themeShade="FF"/>
          <w:sz w:val="22"/>
          <w:szCs w:val="22"/>
          <w:lang w:val="en-GB"/>
        </w:rPr>
        <w:t>Journal of Epidemiology &amp; Community Health</w:t>
      </w:r>
      <w:r w:rsidRPr="167DB4A6" w:rsidR="48D5AAF9">
        <w:rPr>
          <w:rFonts w:ascii="Arial" w:hAnsi="Arial" w:eastAsia="Arial" w:cs="Arial"/>
          <w:b w:val="0"/>
          <w:bCs w:val="0"/>
          <w:noProof w:val="0"/>
          <w:color w:val="000000" w:themeColor="text1" w:themeTint="FF" w:themeShade="FF"/>
          <w:sz w:val="22"/>
          <w:szCs w:val="22"/>
          <w:lang w:val="en-GB"/>
        </w:rPr>
        <w:t xml:space="preserve">, 74(11), pp. 964‑968. </w:t>
      </w:r>
      <w:r w:rsidRPr="167DB4A6" w:rsidR="48D5AAF9">
        <w:rPr>
          <w:rFonts w:ascii="Arial" w:hAnsi="Arial" w:eastAsia="Arial" w:cs="Arial"/>
          <w:b w:val="0"/>
          <w:bCs w:val="0"/>
          <w:noProof w:val="0"/>
          <w:color w:val="000000" w:themeColor="text1" w:themeTint="FF" w:themeShade="FF"/>
          <w:sz w:val="22"/>
          <w:szCs w:val="22"/>
          <w:lang w:val="en-GB"/>
        </w:rPr>
        <w:t>doi</w:t>
      </w:r>
      <w:r w:rsidRPr="167DB4A6" w:rsidR="48D5AAF9">
        <w:rPr>
          <w:rFonts w:ascii="Arial" w:hAnsi="Arial" w:eastAsia="Arial" w:cs="Arial"/>
          <w:b w:val="0"/>
          <w:bCs w:val="0"/>
          <w:noProof w:val="0"/>
          <w:color w:val="000000" w:themeColor="text1" w:themeTint="FF" w:themeShade="FF"/>
          <w:sz w:val="22"/>
          <w:szCs w:val="22"/>
          <w:lang w:val="en-GB"/>
        </w:rPr>
        <w:t>: 10.1136/jech-2020-214401.</w:t>
      </w:r>
    </w:p>
    <w:p w:rsidR="12234F61" w:rsidP="167DB4A6" w:rsidRDefault="12234F61" w14:paraId="612DCB9D" w14:textId="6D58CFF8">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8D5AAF9">
        <w:rPr>
          <w:rFonts w:ascii="Arial" w:hAnsi="Arial" w:eastAsia="Arial" w:cs="Arial"/>
          <w:b w:val="0"/>
          <w:bCs w:val="0"/>
          <w:noProof w:val="0"/>
          <w:color w:val="000000" w:themeColor="text1" w:themeTint="FF" w:themeShade="FF"/>
          <w:sz w:val="22"/>
          <w:szCs w:val="22"/>
          <w:lang w:val="en-GB"/>
        </w:rPr>
        <w:t xml:space="preserve">Diabetes UK (2022) </w:t>
      </w:r>
      <w:r w:rsidRPr="167DB4A6" w:rsidR="48D5AAF9">
        <w:rPr>
          <w:rFonts w:ascii="Arial" w:hAnsi="Arial" w:eastAsia="Arial" w:cs="Arial"/>
          <w:b w:val="0"/>
          <w:bCs w:val="0"/>
          <w:i w:val="1"/>
          <w:iCs w:val="1"/>
          <w:noProof w:val="0"/>
          <w:color w:val="000000" w:themeColor="text1" w:themeTint="FF" w:themeShade="FF"/>
          <w:sz w:val="22"/>
          <w:szCs w:val="22"/>
          <w:lang w:val="en-GB"/>
        </w:rPr>
        <w:t>Diabetes in the UK 2022: Key statistics on diabetes</w:t>
      </w:r>
      <w:r w:rsidRPr="167DB4A6" w:rsidR="48D5AAF9">
        <w:rPr>
          <w:rFonts w:ascii="Arial" w:hAnsi="Arial" w:eastAsia="Arial" w:cs="Arial"/>
          <w:b w:val="0"/>
          <w:bCs w:val="0"/>
          <w:noProof w:val="0"/>
          <w:color w:val="000000" w:themeColor="text1" w:themeTint="FF" w:themeShade="FF"/>
          <w:sz w:val="22"/>
          <w:szCs w:val="22"/>
          <w:lang w:val="en-GB"/>
        </w:rPr>
        <w:t xml:space="preserve">. London: Diabetes UK. Available at: </w:t>
      </w:r>
      <w:hyperlink r:id="R0271ee91d00a4f0a">
        <w:r w:rsidRPr="167DB4A6" w:rsidR="48D5AAF9">
          <w:rPr>
            <w:rStyle w:val="Hyperlink"/>
            <w:rFonts w:ascii="Arial" w:hAnsi="Arial" w:eastAsia="Arial" w:cs="Arial"/>
            <w:b w:val="0"/>
            <w:bCs w:val="0"/>
            <w:noProof w:val="0"/>
            <w:color w:val="000000" w:themeColor="text1" w:themeTint="FF" w:themeShade="FF"/>
            <w:sz w:val="22"/>
            <w:szCs w:val="22"/>
            <w:lang w:val="en-GB"/>
          </w:rPr>
          <w:t>https://www.diabetes.org.uk/professionals/position-statements-reports/statistics</w:t>
        </w:r>
      </w:hyperlink>
      <w:r w:rsidRPr="167DB4A6" w:rsidR="48D5AAF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589D80B7" w14:textId="0DCC7662">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8D5AAF9">
        <w:rPr>
          <w:rFonts w:ascii="Arial" w:hAnsi="Arial" w:eastAsia="Arial" w:cs="Arial"/>
          <w:b w:val="0"/>
          <w:bCs w:val="0"/>
          <w:noProof w:val="0"/>
          <w:color w:val="000000" w:themeColor="text1" w:themeTint="FF" w:themeShade="FF"/>
          <w:sz w:val="22"/>
          <w:szCs w:val="22"/>
          <w:lang w:val="en-GB"/>
        </w:rPr>
        <w:t>Khunti</w:t>
      </w:r>
      <w:r w:rsidRPr="167DB4A6" w:rsidR="48D5AAF9">
        <w:rPr>
          <w:rFonts w:ascii="Arial" w:hAnsi="Arial" w:eastAsia="Arial" w:cs="Arial"/>
          <w:b w:val="0"/>
          <w:bCs w:val="0"/>
          <w:noProof w:val="0"/>
          <w:color w:val="000000" w:themeColor="text1" w:themeTint="FF" w:themeShade="FF"/>
          <w:sz w:val="22"/>
          <w:szCs w:val="22"/>
          <w:lang w:val="en-GB"/>
        </w:rPr>
        <w:t xml:space="preserve">, K., Singh, A.K., Pareek, M. &amp; Hanif, W. (2023) ‘Ethnic disparities in type 2 diabetes management and outcomes: lessons for policy and practice’, </w:t>
      </w:r>
      <w:r w:rsidRPr="167DB4A6" w:rsidR="48D5AAF9">
        <w:rPr>
          <w:rFonts w:ascii="Arial" w:hAnsi="Arial" w:eastAsia="Arial" w:cs="Arial"/>
          <w:b w:val="0"/>
          <w:bCs w:val="0"/>
          <w:i w:val="1"/>
          <w:iCs w:val="1"/>
          <w:noProof w:val="0"/>
          <w:color w:val="000000" w:themeColor="text1" w:themeTint="FF" w:themeShade="FF"/>
          <w:sz w:val="22"/>
          <w:szCs w:val="22"/>
          <w:lang w:val="en-GB"/>
        </w:rPr>
        <w:t>Diabetic Medicine</w:t>
      </w:r>
      <w:r w:rsidRPr="167DB4A6" w:rsidR="48D5AAF9">
        <w:rPr>
          <w:rFonts w:ascii="Arial" w:hAnsi="Arial" w:eastAsia="Arial" w:cs="Arial"/>
          <w:b w:val="0"/>
          <w:bCs w:val="0"/>
          <w:noProof w:val="0"/>
          <w:color w:val="000000" w:themeColor="text1" w:themeTint="FF" w:themeShade="FF"/>
          <w:sz w:val="22"/>
          <w:szCs w:val="22"/>
          <w:lang w:val="en-GB"/>
        </w:rPr>
        <w:t xml:space="preserve">, 40(2), e15042. </w:t>
      </w:r>
      <w:r w:rsidRPr="167DB4A6" w:rsidR="48D5AAF9">
        <w:rPr>
          <w:rFonts w:ascii="Arial" w:hAnsi="Arial" w:eastAsia="Arial" w:cs="Arial"/>
          <w:b w:val="0"/>
          <w:bCs w:val="0"/>
          <w:noProof w:val="0"/>
          <w:color w:val="000000" w:themeColor="text1" w:themeTint="FF" w:themeShade="FF"/>
          <w:sz w:val="22"/>
          <w:szCs w:val="22"/>
          <w:lang w:val="en-GB"/>
        </w:rPr>
        <w:t>doi</w:t>
      </w:r>
      <w:r w:rsidRPr="167DB4A6" w:rsidR="48D5AAF9">
        <w:rPr>
          <w:rFonts w:ascii="Arial" w:hAnsi="Arial" w:eastAsia="Arial" w:cs="Arial"/>
          <w:b w:val="0"/>
          <w:bCs w:val="0"/>
          <w:noProof w:val="0"/>
          <w:color w:val="000000" w:themeColor="text1" w:themeTint="FF" w:themeShade="FF"/>
          <w:sz w:val="22"/>
          <w:szCs w:val="22"/>
          <w:lang w:val="en-GB"/>
        </w:rPr>
        <w:t>: 10.1111/dme.15042.</w:t>
      </w:r>
    </w:p>
    <w:p w:rsidR="12234F61" w:rsidP="167DB4A6" w:rsidRDefault="12234F61" w14:paraId="2D26E015" w14:textId="6735B0C9">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8D5AAF9">
        <w:rPr>
          <w:rFonts w:ascii="Arial" w:hAnsi="Arial" w:eastAsia="Arial" w:cs="Arial"/>
          <w:b w:val="0"/>
          <w:bCs w:val="0"/>
          <w:noProof w:val="0"/>
          <w:color w:val="000000" w:themeColor="text1" w:themeTint="FF" w:themeShade="FF"/>
          <w:sz w:val="22"/>
          <w:szCs w:val="22"/>
          <w:lang w:val="en-GB"/>
        </w:rPr>
        <w:t>Khunti</w:t>
      </w:r>
      <w:r w:rsidRPr="167DB4A6" w:rsidR="48D5AAF9">
        <w:rPr>
          <w:rFonts w:ascii="Arial" w:hAnsi="Arial" w:eastAsia="Arial" w:cs="Arial"/>
          <w:b w:val="0"/>
          <w:bCs w:val="0"/>
          <w:noProof w:val="0"/>
          <w:color w:val="000000" w:themeColor="text1" w:themeTint="FF" w:themeShade="FF"/>
          <w:sz w:val="22"/>
          <w:szCs w:val="22"/>
          <w:lang w:val="en-GB"/>
        </w:rPr>
        <w:t xml:space="preserve">, K., Gray, L.J., Skinner, T.C., et al. (2017) ‘Effectiveness of a culturally tailored diabetes prevention programme for South Asians: a cluster-randomised controlled trial’, </w:t>
      </w:r>
      <w:r w:rsidRPr="167DB4A6" w:rsidR="48D5AAF9">
        <w:rPr>
          <w:rFonts w:ascii="Arial" w:hAnsi="Arial" w:eastAsia="Arial" w:cs="Arial"/>
          <w:b w:val="0"/>
          <w:bCs w:val="0"/>
          <w:i w:val="1"/>
          <w:iCs w:val="1"/>
          <w:noProof w:val="0"/>
          <w:color w:val="000000" w:themeColor="text1" w:themeTint="FF" w:themeShade="FF"/>
          <w:sz w:val="22"/>
          <w:szCs w:val="22"/>
          <w:lang w:val="en-GB"/>
        </w:rPr>
        <w:t>Diabetic Medicine</w:t>
      </w:r>
      <w:r w:rsidRPr="167DB4A6" w:rsidR="48D5AAF9">
        <w:rPr>
          <w:rFonts w:ascii="Arial" w:hAnsi="Arial" w:eastAsia="Arial" w:cs="Arial"/>
          <w:b w:val="0"/>
          <w:bCs w:val="0"/>
          <w:noProof w:val="0"/>
          <w:color w:val="000000" w:themeColor="text1" w:themeTint="FF" w:themeShade="FF"/>
          <w:sz w:val="22"/>
          <w:szCs w:val="22"/>
          <w:lang w:val="en-GB"/>
        </w:rPr>
        <w:t xml:space="preserve">, 34(7), pp. 1020‑1031. </w:t>
      </w:r>
      <w:r w:rsidRPr="167DB4A6" w:rsidR="48D5AAF9">
        <w:rPr>
          <w:rFonts w:ascii="Arial" w:hAnsi="Arial" w:eastAsia="Arial" w:cs="Arial"/>
          <w:b w:val="0"/>
          <w:bCs w:val="0"/>
          <w:noProof w:val="0"/>
          <w:color w:val="000000" w:themeColor="text1" w:themeTint="FF" w:themeShade="FF"/>
          <w:sz w:val="22"/>
          <w:szCs w:val="22"/>
          <w:lang w:val="en-GB"/>
        </w:rPr>
        <w:t>doi</w:t>
      </w:r>
      <w:r w:rsidRPr="167DB4A6" w:rsidR="48D5AAF9">
        <w:rPr>
          <w:rFonts w:ascii="Arial" w:hAnsi="Arial" w:eastAsia="Arial" w:cs="Arial"/>
          <w:b w:val="0"/>
          <w:bCs w:val="0"/>
          <w:noProof w:val="0"/>
          <w:color w:val="000000" w:themeColor="text1" w:themeTint="FF" w:themeShade="FF"/>
          <w:sz w:val="22"/>
          <w:szCs w:val="22"/>
          <w:lang w:val="en-GB"/>
        </w:rPr>
        <w:t>: 10.1111/dme.13334.</w:t>
      </w:r>
    </w:p>
    <w:p w:rsidR="12234F61" w:rsidP="167DB4A6" w:rsidRDefault="12234F61" w14:paraId="4A59DCE8" w14:textId="621CAA20">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8D5AAF9">
        <w:rPr>
          <w:rFonts w:ascii="Arial" w:hAnsi="Arial" w:eastAsia="Arial" w:cs="Arial"/>
          <w:b w:val="0"/>
          <w:bCs w:val="0"/>
          <w:noProof w:val="0"/>
          <w:color w:val="000000" w:themeColor="text1" w:themeTint="FF" w:themeShade="FF"/>
          <w:sz w:val="22"/>
          <w:szCs w:val="22"/>
          <w:lang w:val="en-GB"/>
        </w:rPr>
        <w:t xml:space="preserve">Public Health England (2020) </w:t>
      </w:r>
      <w:r w:rsidRPr="167DB4A6" w:rsidR="48D5AAF9">
        <w:rPr>
          <w:rFonts w:ascii="Arial" w:hAnsi="Arial" w:eastAsia="Arial" w:cs="Arial"/>
          <w:b w:val="0"/>
          <w:bCs w:val="0"/>
          <w:i w:val="1"/>
          <w:iCs w:val="1"/>
          <w:noProof w:val="0"/>
          <w:color w:val="000000" w:themeColor="text1" w:themeTint="FF" w:themeShade="FF"/>
          <w:sz w:val="22"/>
          <w:szCs w:val="22"/>
          <w:lang w:val="en-GB"/>
        </w:rPr>
        <w:t>Disparities in the risk and outcomes of COVID-19.</w:t>
      </w:r>
      <w:r w:rsidRPr="167DB4A6" w:rsidR="48D5AAF9">
        <w:rPr>
          <w:rFonts w:ascii="Arial" w:hAnsi="Arial" w:eastAsia="Arial" w:cs="Arial"/>
          <w:b w:val="0"/>
          <w:bCs w:val="0"/>
          <w:noProof w:val="0"/>
          <w:color w:val="000000" w:themeColor="text1" w:themeTint="FF" w:themeShade="FF"/>
          <w:sz w:val="22"/>
          <w:szCs w:val="22"/>
          <w:lang w:val="en-GB"/>
        </w:rPr>
        <w:t xml:space="preserve"> London: PHE. Available at: </w:t>
      </w:r>
      <w:hyperlink r:id="R2bff4902ada94334">
        <w:r w:rsidRPr="167DB4A6" w:rsidR="48D5AAF9">
          <w:rPr>
            <w:rStyle w:val="Hyperlink"/>
            <w:rFonts w:ascii="Arial" w:hAnsi="Arial" w:eastAsia="Arial" w:cs="Arial"/>
            <w:b w:val="0"/>
            <w:bCs w:val="0"/>
            <w:noProof w:val="0"/>
            <w:color w:val="000000" w:themeColor="text1" w:themeTint="FF" w:themeShade="FF"/>
            <w:sz w:val="22"/>
            <w:szCs w:val="22"/>
            <w:lang w:val="en-GB"/>
          </w:rPr>
          <w:t>https://assets.publishing.service.gov.uk/media/5f328354d3bf7f1b12a7023a/Disparities_in_the_risk_and_outcomes_of_COVID_August_2020_update.pdf</w:t>
        </w:r>
      </w:hyperlink>
      <w:r w:rsidRPr="167DB4A6" w:rsidR="48D5AAF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382418AE" w14:textId="721E610D">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8D5AAF9">
        <w:rPr>
          <w:rFonts w:ascii="Arial" w:hAnsi="Arial" w:eastAsia="Arial" w:cs="Arial"/>
          <w:b w:val="0"/>
          <w:bCs w:val="0"/>
          <w:noProof w:val="0"/>
          <w:color w:val="000000" w:themeColor="text1" w:themeTint="FF" w:themeShade="FF"/>
          <w:sz w:val="22"/>
          <w:szCs w:val="22"/>
          <w:lang w:val="en-GB"/>
        </w:rPr>
        <w:t xml:space="preserve">Sattar, N. &amp; Gill, J.M.R. (2015) ‘Type 2 diabetes in migrant South Asians: mechanisms, mitigation and management’, </w:t>
      </w:r>
      <w:r w:rsidRPr="167DB4A6" w:rsidR="48D5AAF9">
        <w:rPr>
          <w:rFonts w:ascii="Arial" w:hAnsi="Arial" w:eastAsia="Arial" w:cs="Arial"/>
          <w:b w:val="0"/>
          <w:bCs w:val="0"/>
          <w:i w:val="1"/>
          <w:iCs w:val="1"/>
          <w:noProof w:val="0"/>
          <w:color w:val="000000" w:themeColor="text1" w:themeTint="FF" w:themeShade="FF"/>
          <w:sz w:val="22"/>
          <w:szCs w:val="22"/>
          <w:lang w:val="en-GB"/>
        </w:rPr>
        <w:t>The Lancet Diabetes &amp; Endocrinology</w:t>
      </w:r>
      <w:r w:rsidRPr="167DB4A6" w:rsidR="48D5AAF9">
        <w:rPr>
          <w:rFonts w:ascii="Arial" w:hAnsi="Arial" w:eastAsia="Arial" w:cs="Arial"/>
          <w:b w:val="0"/>
          <w:bCs w:val="0"/>
          <w:noProof w:val="0"/>
          <w:color w:val="000000" w:themeColor="text1" w:themeTint="FF" w:themeShade="FF"/>
          <w:sz w:val="22"/>
          <w:szCs w:val="22"/>
          <w:lang w:val="en-GB"/>
        </w:rPr>
        <w:t xml:space="preserve">, 3(12), pp. 1004‑1016. </w:t>
      </w:r>
      <w:r w:rsidRPr="167DB4A6" w:rsidR="48D5AAF9">
        <w:rPr>
          <w:rFonts w:ascii="Arial" w:hAnsi="Arial" w:eastAsia="Arial" w:cs="Arial"/>
          <w:b w:val="0"/>
          <w:bCs w:val="0"/>
          <w:noProof w:val="0"/>
          <w:color w:val="000000" w:themeColor="text1" w:themeTint="FF" w:themeShade="FF"/>
          <w:sz w:val="22"/>
          <w:szCs w:val="22"/>
          <w:lang w:val="en-GB"/>
        </w:rPr>
        <w:t>doi</w:t>
      </w:r>
      <w:r w:rsidRPr="167DB4A6" w:rsidR="48D5AAF9">
        <w:rPr>
          <w:rFonts w:ascii="Arial" w:hAnsi="Arial" w:eastAsia="Arial" w:cs="Arial"/>
          <w:b w:val="0"/>
          <w:bCs w:val="0"/>
          <w:noProof w:val="0"/>
          <w:color w:val="000000" w:themeColor="text1" w:themeTint="FF" w:themeShade="FF"/>
          <w:sz w:val="22"/>
          <w:szCs w:val="22"/>
          <w:lang w:val="en-GB"/>
        </w:rPr>
        <w:t>: 10.1016/S2213-8587(15)00326-5.</w:t>
      </w:r>
    </w:p>
    <w:p w:rsidR="12234F61" w:rsidP="167DB4A6" w:rsidRDefault="12234F61" w14:paraId="372E1DB7" w14:textId="0138D450">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48D5AAF9">
        <w:rPr>
          <w:rFonts w:ascii="Arial" w:hAnsi="Arial" w:eastAsia="Arial" w:cs="Arial"/>
          <w:b w:val="0"/>
          <w:bCs w:val="0"/>
          <w:noProof w:val="0"/>
          <w:color w:val="000000" w:themeColor="text1" w:themeTint="FF" w:themeShade="FF"/>
          <w:sz w:val="22"/>
          <w:szCs w:val="22"/>
          <w:lang w:val="en-GB"/>
        </w:rPr>
        <w:t xml:space="preserve">The King’s Fund (2023) </w:t>
      </w:r>
      <w:r w:rsidRPr="167DB4A6" w:rsidR="48D5AAF9">
        <w:rPr>
          <w:rFonts w:ascii="Arial" w:hAnsi="Arial" w:eastAsia="Arial" w:cs="Arial"/>
          <w:b w:val="0"/>
          <w:bCs w:val="0"/>
          <w:i w:val="1"/>
          <w:iCs w:val="1"/>
          <w:noProof w:val="0"/>
          <w:color w:val="000000" w:themeColor="text1" w:themeTint="FF" w:themeShade="FF"/>
          <w:sz w:val="22"/>
          <w:szCs w:val="22"/>
          <w:lang w:val="en-GB"/>
        </w:rPr>
        <w:t>The health of people from ethnic minority groups in England.</w:t>
      </w:r>
      <w:r w:rsidRPr="167DB4A6" w:rsidR="48D5AAF9">
        <w:rPr>
          <w:rFonts w:ascii="Arial" w:hAnsi="Arial" w:eastAsia="Arial" w:cs="Arial"/>
          <w:b w:val="0"/>
          <w:bCs w:val="0"/>
          <w:noProof w:val="0"/>
          <w:color w:val="000000" w:themeColor="text1" w:themeTint="FF" w:themeShade="FF"/>
          <w:sz w:val="22"/>
          <w:szCs w:val="22"/>
          <w:lang w:val="en-GB"/>
        </w:rPr>
        <w:t xml:space="preserve"> London: The King’s Fund. Available at: </w:t>
      </w:r>
      <w:hyperlink r:id="Rb168e191f9c64572">
        <w:r w:rsidRPr="167DB4A6" w:rsidR="48D5AAF9">
          <w:rPr>
            <w:rStyle w:val="Hyperlink"/>
            <w:rFonts w:ascii="Arial" w:hAnsi="Arial" w:eastAsia="Arial" w:cs="Arial"/>
            <w:b w:val="0"/>
            <w:bCs w:val="0"/>
            <w:noProof w:val="0"/>
            <w:color w:val="000000" w:themeColor="text1" w:themeTint="FF" w:themeShade="FF"/>
            <w:sz w:val="22"/>
            <w:szCs w:val="22"/>
            <w:lang w:val="en-GB"/>
          </w:rPr>
          <w:t>https://www.kingsfund.org.uk/insight-and-analysis/long-reads/health-people-ethnic-minority-groups-england</w:t>
        </w:r>
      </w:hyperlink>
      <w:r w:rsidRPr="167DB4A6" w:rsidR="48D5AAF9">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3F08B1CF" w14:textId="03D7DC2F">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 xml:space="preserve">Bambra, C. (2020) ‘The COVID‑19 pandemic and health inequalities’, </w:t>
      </w:r>
      <w:r w:rsidRPr="167DB4A6" w:rsidR="0E4ADE0E">
        <w:rPr>
          <w:rFonts w:ascii="Arial" w:hAnsi="Arial" w:eastAsia="Arial" w:cs="Arial"/>
          <w:b w:val="0"/>
          <w:bCs w:val="0"/>
          <w:i w:val="1"/>
          <w:iCs w:val="1"/>
          <w:noProof w:val="0"/>
          <w:color w:val="000000" w:themeColor="text1" w:themeTint="FF" w:themeShade="FF"/>
          <w:sz w:val="22"/>
          <w:szCs w:val="22"/>
          <w:lang w:val="en-GB"/>
        </w:rPr>
        <w:t>Journal of Epidemiology &amp; Community Health</w:t>
      </w:r>
      <w:r w:rsidRPr="167DB4A6" w:rsidR="0E4ADE0E">
        <w:rPr>
          <w:rFonts w:ascii="Arial" w:hAnsi="Arial" w:eastAsia="Arial" w:cs="Arial"/>
          <w:b w:val="0"/>
          <w:bCs w:val="0"/>
          <w:noProof w:val="0"/>
          <w:color w:val="000000" w:themeColor="text1" w:themeTint="FF" w:themeShade="FF"/>
          <w:sz w:val="22"/>
          <w:szCs w:val="22"/>
          <w:lang w:val="en-GB"/>
        </w:rPr>
        <w:t xml:space="preserve">, 74(11), pp. 964‑968. </w:t>
      </w:r>
      <w:r w:rsidRPr="167DB4A6" w:rsidR="0E4ADE0E">
        <w:rPr>
          <w:rFonts w:ascii="Arial" w:hAnsi="Arial" w:eastAsia="Arial" w:cs="Arial"/>
          <w:b w:val="0"/>
          <w:bCs w:val="0"/>
          <w:noProof w:val="0"/>
          <w:color w:val="000000" w:themeColor="text1" w:themeTint="FF" w:themeShade="FF"/>
          <w:sz w:val="22"/>
          <w:szCs w:val="22"/>
          <w:lang w:val="en-GB"/>
        </w:rPr>
        <w:t>doi</w:t>
      </w:r>
      <w:r w:rsidRPr="167DB4A6" w:rsidR="0E4ADE0E">
        <w:rPr>
          <w:rFonts w:ascii="Arial" w:hAnsi="Arial" w:eastAsia="Arial" w:cs="Arial"/>
          <w:b w:val="0"/>
          <w:bCs w:val="0"/>
          <w:noProof w:val="0"/>
          <w:color w:val="000000" w:themeColor="text1" w:themeTint="FF" w:themeShade="FF"/>
          <w:sz w:val="22"/>
          <w:szCs w:val="22"/>
          <w:lang w:val="en-GB"/>
        </w:rPr>
        <w:t>: 10.1136/jech-2020-214401.</w:t>
      </w:r>
    </w:p>
    <w:p w:rsidR="12234F61" w:rsidP="167DB4A6" w:rsidRDefault="12234F61" w14:paraId="61772E40" w14:textId="278431BC">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Bhui</w:t>
      </w:r>
      <w:r w:rsidRPr="167DB4A6" w:rsidR="0E4ADE0E">
        <w:rPr>
          <w:rFonts w:ascii="Arial" w:hAnsi="Arial" w:eastAsia="Arial" w:cs="Arial"/>
          <w:b w:val="0"/>
          <w:bCs w:val="0"/>
          <w:noProof w:val="0"/>
          <w:color w:val="000000" w:themeColor="text1" w:themeTint="FF" w:themeShade="FF"/>
          <w:sz w:val="22"/>
          <w:szCs w:val="22"/>
          <w:lang w:val="en-GB"/>
        </w:rPr>
        <w:t xml:space="preserve">, K., Halvorsrud, K. &amp; </w:t>
      </w:r>
      <w:r w:rsidRPr="167DB4A6" w:rsidR="0E4ADE0E">
        <w:rPr>
          <w:rFonts w:ascii="Arial" w:hAnsi="Arial" w:eastAsia="Arial" w:cs="Arial"/>
          <w:b w:val="0"/>
          <w:bCs w:val="0"/>
          <w:noProof w:val="0"/>
          <w:color w:val="000000" w:themeColor="text1" w:themeTint="FF" w:themeShade="FF"/>
          <w:sz w:val="22"/>
          <w:szCs w:val="22"/>
          <w:lang w:val="en-GB"/>
        </w:rPr>
        <w:t>Nazroo</w:t>
      </w:r>
      <w:r w:rsidRPr="167DB4A6" w:rsidR="0E4ADE0E">
        <w:rPr>
          <w:rFonts w:ascii="Arial" w:hAnsi="Arial" w:eastAsia="Arial" w:cs="Arial"/>
          <w:b w:val="0"/>
          <w:bCs w:val="0"/>
          <w:noProof w:val="0"/>
          <w:color w:val="000000" w:themeColor="text1" w:themeTint="FF" w:themeShade="FF"/>
          <w:sz w:val="22"/>
          <w:szCs w:val="22"/>
          <w:lang w:val="en-GB"/>
        </w:rPr>
        <w:t xml:space="preserve">, J.Y. (2018) ‘Making a difference: ethnic inequality and severe mental illness’, </w:t>
      </w:r>
      <w:r w:rsidRPr="167DB4A6" w:rsidR="0E4ADE0E">
        <w:rPr>
          <w:rFonts w:ascii="Arial" w:hAnsi="Arial" w:eastAsia="Arial" w:cs="Arial"/>
          <w:b w:val="0"/>
          <w:bCs w:val="0"/>
          <w:i w:val="1"/>
          <w:iCs w:val="1"/>
          <w:noProof w:val="0"/>
          <w:color w:val="000000" w:themeColor="text1" w:themeTint="FF" w:themeShade="FF"/>
          <w:sz w:val="22"/>
          <w:szCs w:val="22"/>
          <w:lang w:val="en-GB"/>
        </w:rPr>
        <w:t>The British Journal of Psychiatry</w:t>
      </w:r>
      <w:r w:rsidRPr="167DB4A6" w:rsidR="0E4ADE0E">
        <w:rPr>
          <w:rFonts w:ascii="Arial" w:hAnsi="Arial" w:eastAsia="Arial" w:cs="Arial"/>
          <w:b w:val="0"/>
          <w:bCs w:val="0"/>
          <w:noProof w:val="0"/>
          <w:color w:val="000000" w:themeColor="text1" w:themeTint="FF" w:themeShade="FF"/>
          <w:sz w:val="22"/>
          <w:szCs w:val="22"/>
          <w:lang w:val="en-GB"/>
        </w:rPr>
        <w:t xml:space="preserve">, 213(4), pp. 574‑578. </w:t>
      </w:r>
      <w:r w:rsidRPr="167DB4A6" w:rsidR="0E4ADE0E">
        <w:rPr>
          <w:rFonts w:ascii="Arial" w:hAnsi="Arial" w:eastAsia="Arial" w:cs="Arial"/>
          <w:b w:val="0"/>
          <w:bCs w:val="0"/>
          <w:noProof w:val="0"/>
          <w:color w:val="000000" w:themeColor="text1" w:themeTint="FF" w:themeShade="FF"/>
          <w:sz w:val="22"/>
          <w:szCs w:val="22"/>
          <w:lang w:val="en-GB"/>
        </w:rPr>
        <w:t>doi</w:t>
      </w:r>
      <w:r w:rsidRPr="167DB4A6" w:rsidR="0E4ADE0E">
        <w:rPr>
          <w:rFonts w:ascii="Arial" w:hAnsi="Arial" w:eastAsia="Arial" w:cs="Arial"/>
          <w:b w:val="0"/>
          <w:bCs w:val="0"/>
          <w:noProof w:val="0"/>
          <w:color w:val="000000" w:themeColor="text1" w:themeTint="FF" w:themeShade="FF"/>
          <w:sz w:val="22"/>
          <w:szCs w:val="22"/>
          <w:lang w:val="en-GB"/>
        </w:rPr>
        <w:t>: 10.1192/bjp.2018.148.</w:t>
      </w:r>
    </w:p>
    <w:p w:rsidR="12234F61" w:rsidP="167DB4A6" w:rsidRDefault="12234F61" w14:paraId="7AE43F4C" w14:textId="2120A957">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 xml:space="preserve">Diabetes UK (2022) </w:t>
      </w:r>
      <w:r w:rsidRPr="167DB4A6" w:rsidR="0E4ADE0E">
        <w:rPr>
          <w:rFonts w:ascii="Arial" w:hAnsi="Arial" w:eastAsia="Arial" w:cs="Arial"/>
          <w:b w:val="0"/>
          <w:bCs w:val="0"/>
          <w:i w:val="1"/>
          <w:iCs w:val="1"/>
          <w:noProof w:val="0"/>
          <w:color w:val="000000" w:themeColor="text1" w:themeTint="FF" w:themeShade="FF"/>
          <w:sz w:val="22"/>
          <w:szCs w:val="22"/>
          <w:lang w:val="en-GB"/>
        </w:rPr>
        <w:t>Diabetes in the UK 2022: Key statistics on diabetes</w:t>
      </w:r>
      <w:r w:rsidRPr="167DB4A6" w:rsidR="0E4ADE0E">
        <w:rPr>
          <w:rFonts w:ascii="Arial" w:hAnsi="Arial" w:eastAsia="Arial" w:cs="Arial"/>
          <w:b w:val="0"/>
          <w:bCs w:val="0"/>
          <w:noProof w:val="0"/>
          <w:color w:val="000000" w:themeColor="text1" w:themeTint="FF" w:themeShade="FF"/>
          <w:sz w:val="22"/>
          <w:szCs w:val="22"/>
          <w:lang w:val="en-GB"/>
        </w:rPr>
        <w:t xml:space="preserve">. London: Diabetes UK. Available at: </w:t>
      </w:r>
      <w:hyperlink r:id="R1d1fa4140ab9430f">
        <w:r w:rsidRPr="167DB4A6" w:rsidR="0E4ADE0E">
          <w:rPr>
            <w:rStyle w:val="Hyperlink"/>
            <w:rFonts w:ascii="Arial" w:hAnsi="Arial" w:eastAsia="Arial" w:cs="Arial"/>
            <w:b w:val="0"/>
            <w:bCs w:val="0"/>
            <w:noProof w:val="0"/>
            <w:color w:val="000000" w:themeColor="text1" w:themeTint="FF" w:themeShade="FF"/>
            <w:sz w:val="22"/>
            <w:szCs w:val="22"/>
            <w:lang w:val="en-GB"/>
          </w:rPr>
          <w:t>https://www.diabetes.org.uk/professionals/position-statements-reports/statistics</w:t>
        </w:r>
      </w:hyperlink>
      <w:r w:rsidRPr="167DB4A6" w:rsidR="0E4ADE0E">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0DD0391E" w14:textId="320255F6">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Khunti</w:t>
      </w:r>
      <w:r w:rsidRPr="167DB4A6" w:rsidR="0E4ADE0E">
        <w:rPr>
          <w:rFonts w:ascii="Arial" w:hAnsi="Arial" w:eastAsia="Arial" w:cs="Arial"/>
          <w:b w:val="0"/>
          <w:bCs w:val="0"/>
          <w:noProof w:val="0"/>
          <w:color w:val="000000" w:themeColor="text1" w:themeTint="FF" w:themeShade="FF"/>
          <w:sz w:val="22"/>
          <w:szCs w:val="22"/>
          <w:lang w:val="en-GB"/>
        </w:rPr>
        <w:t xml:space="preserve">, K., Singh, A.K., Pareek, M. &amp; Hanif, W. (2023) ‘Ethnic disparities in type 2 diabetes management and outcomes: lessons for policy and practice’, </w:t>
      </w:r>
      <w:r w:rsidRPr="167DB4A6" w:rsidR="0E4ADE0E">
        <w:rPr>
          <w:rFonts w:ascii="Arial" w:hAnsi="Arial" w:eastAsia="Arial" w:cs="Arial"/>
          <w:b w:val="0"/>
          <w:bCs w:val="0"/>
          <w:i w:val="1"/>
          <w:iCs w:val="1"/>
          <w:noProof w:val="0"/>
          <w:color w:val="000000" w:themeColor="text1" w:themeTint="FF" w:themeShade="FF"/>
          <w:sz w:val="22"/>
          <w:szCs w:val="22"/>
          <w:lang w:val="en-GB"/>
        </w:rPr>
        <w:t>Diabetic Medicine</w:t>
      </w:r>
      <w:r w:rsidRPr="167DB4A6" w:rsidR="0E4ADE0E">
        <w:rPr>
          <w:rFonts w:ascii="Arial" w:hAnsi="Arial" w:eastAsia="Arial" w:cs="Arial"/>
          <w:b w:val="0"/>
          <w:bCs w:val="0"/>
          <w:noProof w:val="0"/>
          <w:color w:val="000000" w:themeColor="text1" w:themeTint="FF" w:themeShade="FF"/>
          <w:sz w:val="22"/>
          <w:szCs w:val="22"/>
          <w:lang w:val="en-GB"/>
        </w:rPr>
        <w:t xml:space="preserve">, 40(2), e15042. </w:t>
      </w:r>
      <w:r w:rsidRPr="167DB4A6" w:rsidR="0E4ADE0E">
        <w:rPr>
          <w:rFonts w:ascii="Arial" w:hAnsi="Arial" w:eastAsia="Arial" w:cs="Arial"/>
          <w:b w:val="0"/>
          <w:bCs w:val="0"/>
          <w:noProof w:val="0"/>
          <w:color w:val="000000" w:themeColor="text1" w:themeTint="FF" w:themeShade="FF"/>
          <w:sz w:val="22"/>
          <w:szCs w:val="22"/>
          <w:lang w:val="en-GB"/>
        </w:rPr>
        <w:t>doi</w:t>
      </w:r>
      <w:r w:rsidRPr="167DB4A6" w:rsidR="0E4ADE0E">
        <w:rPr>
          <w:rFonts w:ascii="Arial" w:hAnsi="Arial" w:eastAsia="Arial" w:cs="Arial"/>
          <w:b w:val="0"/>
          <w:bCs w:val="0"/>
          <w:noProof w:val="0"/>
          <w:color w:val="000000" w:themeColor="text1" w:themeTint="FF" w:themeShade="FF"/>
          <w:sz w:val="22"/>
          <w:szCs w:val="22"/>
          <w:lang w:val="en-GB"/>
        </w:rPr>
        <w:t>: 10.1111/dme.15042.</w:t>
      </w:r>
    </w:p>
    <w:p w:rsidR="12234F61" w:rsidP="167DB4A6" w:rsidRDefault="12234F61" w14:paraId="5196B202" w14:textId="0E172765">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 xml:space="preserve">Marmot, M. (2020) </w:t>
      </w:r>
      <w:r w:rsidRPr="167DB4A6" w:rsidR="0E4ADE0E">
        <w:rPr>
          <w:rFonts w:ascii="Arial" w:hAnsi="Arial" w:eastAsia="Arial" w:cs="Arial"/>
          <w:b w:val="0"/>
          <w:bCs w:val="0"/>
          <w:i w:val="1"/>
          <w:iCs w:val="1"/>
          <w:noProof w:val="0"/>
          <w:color w:val="000000" w:themeColor="text1" w:themeTint="FF" w:themeShade="FF"/>
          <w:sz w:val="22"/>
          <w:szCs w:val="22"/>
          <w:lang w:val="en-GB"/>
        </w:rPr>
        <w:t>The Marmot Review 10 Years On: Health equity in England</w:t>
      </w:r>
      <w:r w:rsidRPr="167DB4A6" w:rsidR="0E4ADE0E">
        <w:rPr>
          <w:rFonts w:ascii="Arial" w:hAnsi="Arial" w:eastAsia="Arial" w:cs="Arial"/>
          <w:b w:val="0"/>
          <w:bCs w:val="0"/>
          <w:noProof w:val="0"/>
          <w:color w:val="000000" w:themeColor="text1" w:themeTint="FF" w:themeShade="FF"/>
          <w:sz w:val="22"/>
          <w:szCs w:val="22"/>
          <w:lang w:val="en-GB"/>
        </w:rPr>
        <w:t xml:space="preserve">. London: Institute of Health Equity. Available at: </w:t>
      </w:r>
      <w:hyperlink r:id="Rbb0e8740d2e547c9">
        <w:r w:rsidRPr="167DB4A6" w:rsidR="0E4ADE0E">
          <w:rPr>
            <w:rStyle w:val="Hyperlink"/>
            <w:rFonts w:ascii="Arial" w:hAnsi="Arial" w:eastAsia="Arial" w:cs="Arial"/>
            <w:b w:val="0"/>
            <w:bCs w:val="0"/>
            <w:noProof w:val="0"/>
            <w:color w:val="000000" w:themeColor="text1" w:themeTint="FF" w:themeShade="FF"/>
            <w:sz w:val="22"/>
            <w:szCs w:val="22"/>
            <w:lang w:val="en-GB"/>
          </w:rPr>
          <w:t>https://www.instituteofhealthequity.org/resources-reports/the-marmot-review-10-years-on</w:t>
        </w:r>
      </w:hyperlink>
      <w:r w:rsidRPr="167DB4A6" w:rsidR="0E4ADE0E">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433A01E9" w14:textId="386DDA46">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Nazroo</w:t>
      </w:r>
      <w:r w:rsidRPr="167DB4A6" w:rsidR="0E4ADE0E">
        <w:rPr>
          <w:rFonts w:ascii="Arial" w:hAnsi="Arial" w:eastAsia="Arial" w:cs="Arial"/>
          <w:b w:val="0"/>
          <w:bCs w:val="0"/>
          <w:noProof w:val="0"/>
          <w:color w:val="000000" w:themeColor="text1" w:themeTint="FF" w:themeShade="FF"/>
          <w:sz w:val="22"/>
          <w:szCs w:val="22"/>
          <w:lang w:val="en-GB"/>
        </w:rPr>
        <w:t xml:space="preserve">, J.Y. &amp; Williams, D.R. (2006) ‘The social determination of ethnic/racial inequalities in health’, in Marmot, M. &amp; Wilkinson, R. (eds) </w:t>
      </w:r>
      <w:r w:rsidRPr="167DB4A6" w:rsidR="0E4ADE0E">
        <w:rPr>
          <w:rFonts w:ascii="Arial" w:hAnsi="Arial" w:eastAsia="Arial" w:cs="Arial"/>
          <w:b w:val="0"/>
          <w:bCs w:val="0"/>
          <w:i w:val="1"/>
          <w:iCs w:val="1"/>
          <w:noProof w:val="0"/>
          <w:color w:val="000000" w:themeColor="text1" w:themeTint="FF" w:themeShade="FF"/>
          <w:sz w:val="22"/>
          <w:szCs w:val="22"/>
          <w:lang w:val="en-GB"/>
        </w:rPr>
        <w:t>Social Determinants of Health</w:t>
      </w:r>
      <w:r w:rsidRPr="167DB4A6" w:rsidR="0E4ADE0E">
        <w:rPr>
          <w:rFonts w:ascii="Arial" w:hAnsi="Arial" w:eastAsia="Arial" w:cs="Arial"/>
          <w:b w:val="0"/>
          <w:bCs w:val="0"/>
          <w:noProof w:val="0"/>
          <w:color w:val="000000" w:themeColor="text1" w:themeTint="FF" w:themeShade="FF"/>
          <w:sz w:val="22"/>
          <w:szCs w:val="22"/>
          <w:lang w:val="en-GB"/>
        </w:rPr>
        <w:t xml:space="preserve"> (2nd </w:t>
      </w:r>
      <w:r w:rsidRPr="167DB4A6" w:rsidR="0E4ADE0E">
        <w:rPr>
          <w:rFonts w:ascii="Arial" w:hAnsi="Arial" w:eastAsia="Arial" w:cs="Arial"/>
          <w:b w:val="0"/>
          <w:bCs w:val="0"/>
          <w:noProof w:val="0"/>
          <w:color w:val="000000" w:themeColor="text1" w:themeTint="FF" w:themeShade="FF"/>
          <w:sz w:val="22"/>
          <w:szCs w:val="22"/>
          <w:lang w:val="en-GB"/>
        </w:rPr>
        <w:t>edn</w:t>
      </w:r>
      <w:r w:rsidRPr="167DB4A6" w:rsidR="0E4ADE0E">
        <w:rPr>
          <w:rFonts w:ascii="Arial" w:hAnsi="Arial" w:eastAsia="Arial" w:cs="Arial"/>
          <w:b w:val="0"/>
          <w:bCs w:val="0"/>
          <w:noProof w:val="0"/>
          <w:color w:val="000000" w:themeColor="text1" w:themeTint="FF" w:themeShade="FF"/>
          <w:sz w:val="22"/>
          <w:szCs w:val="22"/>
          <w:lang w:val="en-GB"/>
        </w:rPr>
        <w:t>). Oxford: Oxford University Press, pp. 238‑266.</w:t>
      </w:r>
    </w:p>
    <w:p w:rsidR="12234F61" w:rsidP="167DB4A6" w:rsidRDefault="12234F61" w14:paraId="68F33D95" w14:textId="0BA8FA55">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 xml:space="preserve">Office for National Statistics (ONS) (2021) </w:t>
      </w:r>
      <w:r w:rsidRPr="167DB4A6" w:rsidR="0E4ADE0E">
        <w:rPr>
          <w:rFonts w:ascii="Arial" w:hAnsi="Arial" w:eastAsia="Arial" w:cs="Arial"/>
          <w:b w:val="0"/>
          <w:bCs w:val="0"/>
          <w:i w:val="1"/>
          <w:iCs w:val="1"/>
          <w:noProof w:val="0"/>
          <w:color w:val="000000" w:themeColor="text1" w:themeTint="FF" w:themeShade="FF"/>
          <w:sz w:val="22"/>
          <w:szCs w:val="22"/>
          <w:lang w:val="en-GB"/>
        </w:rPr>
        <w:t>Ethnic differences in life expectancy and mortality from selected causes in England and Wales: 2011 to 2014 (experimental data).</w:t>
      </w:r>
      <w:r w:rsidRPr="167DB4A6" w:rsidR="0E4ADE0E">
        <w:rPr>
          <w:rFonts w:ascii="Arial" w:hAnsi="Arial" w:eastAsia="Arial" w:cs="Arial"/>
          <w:b w:val="0"/>
          <w:bCs w:val="0"/>
          <w:noProof w:val="0"/>
          <w:color w:val="000000" w:themeColor="text1" w:themeTint="FF" w:themeShade="FF"/>
          <w:sz w:val="22"/>
          <w:szCs w:val="22"/>
          <w:lang w:val="en-GB"/>
        </w:rPr>
        <w:t xml:space="preserve"> London: ONS. Available at: </w:t>
      </w:r>
      <w:hyperlink r:id="R6ddc8b72a80340be">
        <w:r w:rsidRPr="167DB4A6" w:rsidR="0E4ADE0E">
          <w:rPr>
            <w:rStyle w:val="Hyperlink"/>
            <w:rFonts w:ascii="Arial" w:hAnsi="Arial" w:eastAsia="Arial" w:cs="Arial"/>
            <w:b w:val="0"/>
            <w:bCs w:val="0"/>
            <w:noProof w:val="0"/>
            <w:color w:val="000000" w:themeColor="text1" w:themeTint="FF" w:themeShade="FF"/>
            <w:sz w:val="22"/>
            <w:szCs w:val="22"/>
            <w:lang w:val="en-GB"/>
          </w:rPr>
          <w:t>https://www.ons.gov.uk/peoplepopulationandcommunity/healthandsocialcare/healthinequalities</w:t>
        </w:r>
      </w:hyperlink>
      <w:r w:rsidRPr="167DB4A6" w:rsidR="0E4ADE0E">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3DD9E0AE" w14:textId="6BD37431">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 xml:space="preserve">Public Health England (2020) </w:t>
      </w:r>
      <w:r w:rsidRPr="167DB4A6" w:rsidR="0E4ADE0E">
        <w:rPr>
          <w:rFonts w:ascii="Arial" w:hAnsi="Arial" w:eastAsia="Arial" w:cs="Arial"/>
          <w:b w:val="0"/>
          <w:bCs w:val="0"/>
          <w:i w:val="1"/>
          <w:iCs w:val="1"/>
          <w:noProof w:val="0"/>
          <w:color w:val="000000" w:themeColor="text1" w:themeTint="FF" w:themeShade="FF"/>
          <w:sz w:val="22"/>
          <w:szCs w:val="22"/>
          <w:lang w:val="en-GB"/>
        </w:rPr>
        <w:t>Disparities in the risk and outcomes of COVID-19.</w:t>
      </w:r>
      <w:r w:rsidRPr="167DB4A6" w:rsidR="0E4ADE0E">
        <w:rPr>
          <w:rFonts w:ascii="Arial" w:hAnsi="Arial" w:eastAsia="Arial" w:cs="Arial"/>
          <w:b w:val="0"/>
          <w:bCs w:val="0"/>
          <w:noProof w:val="0"/>
          <w:color w:val="000000" w:themeColor="text1" w:themeTint="FF" w:themeShade="FF"/>
          <w:sz w:val="22"/>
          <w:szCs w:val="22"/>
          <w:lang w:val="en-GB"/>
        </w:rPr>
        <w:t xml:space="preserve"> London: PHE. Available at: </w:t>
      </w:r>
      <w:hyperlink r:id="Re82cab966ba445e5">
        <w:r w:rsidRPr="167DB4A6" w:rsidR="0E4ADE0E">
          <w:rPr>
            <w:rStyle w:val="Hyperlink"/>
            <w:rFonts w:ascii="Arial" w:hAnsi="Arial" w:eastAsia="Arial" w:cs="Arial"/>
            <w:b w:val="0"/>
            <w:bCs w:val="0"/>
            <w:noProof w:val="0"/>
            <w:color w:val="000000" w:themeColor="text1" w:themeTint="FF" w:themeShade="FF"/>
            <w:sz w:val="22"/>
            <w:szCs w:val="22"/>
            <w:lang w:val="en-GB"/>
          </w:rPr>
          <w:t>https://assets.publishing.service.gov.uk/media/5f328354d3bf7f1b12a7023a/Disparities_in_the_risk_and_outcomes_of_COVID_August_2020_update.pdf</w:t>
        </w:r>
      </w:hyperlink>
      <w:r w:rsidRPr="167DB4A6" w:rsidR="0E4ADE0E">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31342683" w14:textId="3E824E77">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 xml:space="preserve">Sattar, N. &amp; Gill, J.M.R. (2015) ‘Type 2 diabetes in migrant South Asians: mechanisms, mitigation and management’, </w:t>
      </w:r>
      <w:r w:rsidRPr="167DB4A6" w:rsidR="0E4ADE0E">
        <w:rPr>
          <w:rFonts w:ascii="Arial" w:hAnsi="Arial" w:eastAsia="Arial" w:cs="Arial"/>
          <w:b w:val="0"/>
          <w:bCs w:val="0"/>
          <w:i w:val="1"/>
          <w:iCs w:val="1"/>
          <w:noProof w:val="0"/>
          <w:color w:val="000000" w:themeColor="text1" w:themeTint="FF" w:themeShade="FF"/>
          <w:sz w:val="22"/>
          <w:szCs w:val="22"/>
          <w:lang w:val="en-GB"/>
        </w:rPr>
        <w:t>The Lancet Diabetes &amp; Endocrinology</w:t>
      </w:r>
      <w:r w:rsidRPr="167DB4A6" w:rsidR="0E4ADE0E">
        <w:rPr>
          <w:rFonts w:ascii="Arial" w:hAnsi="Arial" w:eastAsia="Arial" w:cs="Arial"/>
          <w:b w:val="0"/>
          <w:bCs w:val="0"/>
          <w:noProof w:val="0"/>
          <w:color w:val="000000" w:themeColor="text1" w:themeTint="FF" w:themeShade="FF"/>
          <w:sz w:val="22"/>
          <w:szCs w:val="22"/>
          <w:lang w:val="en-GB"/>
        </w:rPr>
        <w:t xml:space="preserve">, 3(12), pp. 1004‑1016. </w:t>
      </w:r>
      <w:r w:rsidRPr="167DB4A6" w:rsidR="0E4ADE0E">
        <w:rPr>
          <w:rFonts w:ascii="Arial" w:hAnsi="Arial" w:eastAsia="Arial" w:cs="Arial"/>
          <w:b w:val="0"/>
          <w:bCs w:val="0"/>
          <w:noProof w:val="0"/>
          <w:color w:val="000000" w:themeColor="text1" w:themeTint="FF" w:themeShade="FF"/>
          <w:sz w:val="22"/>
          <w:szCs w:val="22"/>
          <w:lang w:val="en-GB"/>
        </w:rPr>
        <w:t>doi</w:t>
      </w:r>
      <w:r w:rsidRPr="167DB4A6" w:rsidR="0E4ADE0E">
        <w:rPr>
          <w:rFonts w:ascii="Arial" w:hAnsi="Arial" w:eastAsia="Arial" w:cs="Arial"/>
          <w:b w:val="0"/>
          <w:bCs w:val="0"/>
          <w:noProof w:val="0"/>
          <w:color w:val="000000" w:themeColor="text1" w:themeTint="FF" w:themeShade="FF"/>
          <w:sz w:val="22"/>
          <w:szCs w:val="22"/>
          <w:lang w:val="en-GB"/>
        </w:rPr>
        <w:t>: 10.1016/S2213-8587(15)00326-5.</w:t>
      </w:r>
    </w:p>
    <w:p w:rsidR="12234F61" w:rsidP="167DB4A6" w:rsidRDefault="12234F61" w14:paraId="726EAAA9" w14:textId="2A05D29D">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0E4ADE0E">
        <w:rPr>
          <w:rFonts w:ascii="Arial" w:hAnsi="Arial" w:eastAsia="Arial" w:cs="Arial"/>
          <w:b w:val="0"/>
          <w:bCs w:val="0"/>
          <w:noProof w:val="0"/>
          <w:color w:val="000000" w:themeColor="text1" w:themeTint="FF" w:themeShade="FF"/>
          <w:sz w:val="22"/>
          <w:szCs w:val="22"/>
          <w:lang w:val="en-GB"/>
        </w:rPr>
        <w:t xml:space="preserve">The King’s Fund (2023) </w:t>
      </w:r>
      <w:r w:rsidRPr="167DB4A6" w:rsidR="0E4ADE0E">
        <w:rPr>
          <w:rFonts w:ascii="Arial" w:hAnsi="Arial" w:eastAsia="Arial" w:cs="Arial"/>
          <w:b w:val="0"/>
          <w:bCs w:val="0"/>
          <w:i w:val="1"/>
          <w:iCs w:val="1"/>
          <w:noProof w:val="0"/>
          <w:color w:val="000000" w:themeColor="text1" w:themeTint="FF" w:themeShade="FF"/>
          <w:sz w:val="22"/>
          <w:szCs w:val="22"/>
          <w:lang w:val="en-GB"/>
        </w:rPr>
        <w:t>The health of people from ethnic minority groups in England.</w:t>
      </w:r>
      <w:r w:rsidRPr="167DB4A6" w:rsidR="0E4ADE0E">
        <w:rPr>
          <w:rFonts w:ascii="Arial" w:hAnsi="Arial" w:eastAsia="Arial" w:cs="Arial"/>
          <w:b w:val="0"/>
          <w:bCs w:val="0"/>
          <w:noProof w:val="0"/>
          <w:color w:val="000000" w:themeColor="text1" w:themeTint="FF" w:themeShade="FF"/>
          <w:sz w:val="22"/>
          <w:szCs w:val="22"/>
          <w:lang w:val="en-GB"/>
        </w:rPr>
        <w:t xml:space="preserve"> London: The King’s Fund. Available at: </w:t>
      </w:r>
      <w:hyperlink r:id="R8d9c6417cf95474d">
        <w:r w:rsidRPr="167DB4A6" w:rsidR="0E4ADE0E">
          <w:rPr>
            <w:rStyle w:val="Hyperlink"/>
            <w:rFonts w:ascii="Arial" w:hAnsi="Arial" w:eastAsia="Arial" w:cs="Arial"/>
            <w:b w:val="0"/>
            <w:bCs w:val="0"/>
            <w:noProof w:val="0"/>
            <w:color w:val="000000" w:themeColor="text1" w:themeTint="FF" w:themeShade="FF"/>
            <w:sz w:val="22"/>
            <w:szCs w:val="22"/>
            <w:lang w:val="en-GB"/>
          </w:rPr>
          <w:t>https://www.kingsfund.org.uk/insight-and-analysis/long-reads/health-people-ethnic-minority-groups-england</w:t>
        </w:r>
      </w:hyperlink>
      <w:r w:rsidRPr="167DB4A6" w:rsidR="0E4ADE0E">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17544A41" w14:textId="14A8DCE3">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Bhui</w:t>
      </w:r>
      <w:r w:rsidRPr="167DB4A6" w:rsidR="2DAA6EB5">
        <w:rPr>
          <w:rFonts w:ascii="Arial" w:hAnsi="Arial" w:eastAsia="Arial" w:cs="Arial"/>
          <w:b w:val="0"/>
          <w:bCs w:val="0"/>
          <w:noProof w:val="0"/>
          <w:color w:val="000000" w:themeColor="text1" w:themeTint="FF" w:themeShade="FF"/>
          <w:sz w:val="22"/>
          <w:szCs w:val="22"/>
          <w:lang w:val="en-GB"/>
        </w:rPr>
        <w:t xml:space="preserve">, K., Halvorsrud, K. &amp; </w:t>
      </w:r>
      <w:r w:rsidRPr="167DB4A6" w:rsidR="2DAA6EB5">
        <w:rPr>
          <w:rFonts w:ascii="Arial" w:hAnsi="Arial" w:eastAsia="Arial" w:cs="Arial"/>
          <w:b w:val="0"/>
          <w:bCs w:val="0"/>
          <w:noProof w:val="0"/>
          <w:color w:val="000000" w:themeColor="text1" w:themeTint="FF" w:themeShade="FF"/>
          <w:sz w:val="22"/>
          <w:szCs w:val="22"/>
          <w:lang w:val="en-GB"/>
        </w:rPr>
        <w:t>Nazroo</w:t>
      </w:r>
      <w:r w:rsidRPr="167DB4A6" w:rsidR="2DAA6EB5">
        <w:rPr>
          <w:rFonts w:ascii="Arial" w:hAnsi="Arial" w:eastAsia="Arial" w:cs="Arial"/>
          <w:b w:val="0"/>
          <w:bCs w:val="0"/>
          <w:noProof w:val="0"/>
          <w:color w:val="000000" w:themeColor="text1" w:themeTint="FF" w:themeShade="FF"/>
          <w:sz w:val="22"/>
          <w:szCs w:val="22"/>
          <w:lang w:val="en-GB"/>
        </w:rPr>
        <w:t xml:space="preserve">, J.Y. (2018) ‘Making a difference: ethnic inequality and severe mental illness’, </w:t>
      </w:r>
      <w:r w:rsidRPr="167DB4A6" w:rsidR="2DAA6EB5">
        <w:rPr>
          <w:rFonts w:ascii="Arial" w:hAnsi="Arial" w:eastAsia="Arial" w:cs="Arial"/>
          <w:b w:val="0"/>
          <w:bCs w:val="0"/>
          <w:i w:val="1"/>
          <w:iCs w:val="1"/>
          <w:noProof w:val="0"/>
          <w:color w:val="000000" w:themeColor="text1" w:themeTint="FF" w:themeShade="FF"/>
          <w:sz w:val="22"/>
          <w:szCs w:val="22"/>
          <w:lang w:val="en-GB"/>
        </w:rPr>
        <w:t>The British Journal of Psychiatry</w:t>
      </w:r>
      <w:r w:rsidRPr="167DB4A6" w:rsidR="2DAA6EB5">
        <w:rPr>
          <w:rFonts w:ascii="Arial" w:hAnsi="Arial" w:eastAsia="Arial" w:cs="Arial"/>
          <w:b w:val="0"/>
          <w:bCs w:val="0"/>
          <w:noProof w:val="0"/>
          <w:color w:val="000000" w:themeColor="text1" w:themeTint="FF" w:themeShade="FF"/>
          <w:sz w:val="22"/>
          <w:szCs w:val="22"/>
          <w:lang w:val="en-GB"/>
        </w:rPr>
        <w:t xml:space="preserve">, 213(4), pp. 574‑578. </w:t>
      </w:r>
      <w:r w:rsidRPr="167DB4A6" w:rsidR="2DAA6EB5">
        <w:rPr>
          <w:rFonts w:ascii="Arial" w:hAnsi="Arial" w:eastAsia="Arial" w:cs="Arial"/>
          <w:b w:val="0"/>
          <w:bCs w:val="0"/>
          <w:noProof w:val="0"/>
          <w:color w:val="000000" w:themeColor="text1" w:themeTint="FF" w:themeShade="FF"/>
          <w:sz w:val="22"/>
          <w:szCs w:val="22"/>
          <w:lang w:val="en-GB"/>
        </w:rPr>
        <w:t>doi</w:t>
      </w:r>
      <w:r w:rsidRPr="167DB4A6" w:rsidR="2DAA6EB5">
        <w:rPr>
          <w:rFonts w:ascii="Arial" w:hAnsi="Arial" w:eastAsia="Arial" w:cs="Arial"/>
          <w:b w:val="0"/>
          <w:bCs w:val="0"/>
          <w:noProof w:val="0"/>
          <w:color w:val="000000" w:themeColor="text1" w:themeTint="FF" w:themeShade="FF"/>
          <w:sz w:val="22"/>
          <w:szCs w:val="22"/>
          <w:lang w:val="en-GB"/>
        </w:rPr>
        <w:t>: 10.1192/bjp.2018.148.</w:t>
      </w:r>
    </w:p>
    <w:p w:rsidR="12234F61" w:rsidP="167DB4A6" w:rsidRDefault="12234F61" w14:paraId="180BC137" w14:textId="00D91C6C">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 xml:space="preserve">Bhopal, R. (2018) </w:t>
      </w:r>
      <w:r w:rsidRPr="167DB4A6" w:rsidR="2DAA6EB5">
        <w:rPr>
          <w:rFonts w:ascii="Arial" w:hAnsi="Arial" w:eastAsia="Arial" w:cs="Arial"/>
          <w:b w:val="0"/>
          <w:bCs w:val="0"/>
          <w:i w:val="1"/>
          <w:iCs w:val="1"/>
          <w:noProof w:val="0"/>
          <w:color w:val="000000" w:themeColor="text1" w:themeTint="FF" w:themeShade="FF"/>
          <w:sz w:val="22"/>
          <w:szCs w:val="22"/>
          <w:lang w:val="en-GB"/>
        </w:rPr>
        <w:t xml:space="preserve">Epidemiology, </w:t>
      </w:r>
      <w:r w:rsidRPr="167DB4A6" w:rsidR="2DAA6EB5">
        <w:rPr>
          <w:rFonts w:ascii="Arial" w:hAnsi="Arial" w:eastAsia="Arial" w:cs="Arial"/>
          <w:b w:val="0"/>
          <w:bCs w:val="0"/>
          <w:i w:val="1"/>
          <w:iCs w:val="1"/>
          <w:noProof w:val="0"/>
          <w:color w:val="000000" w:themeColor="text1" w:themeTint="FF" w:themeShade="FF"/>
          <w:sz w:val="22"/>
          <w:szCs w:val="22"/>
          <w:lang w:val="en-GB"/>
        </w:rPr>
        <w:t>ethnicity</w:t>
      </w:r>
      <w:r w:rsidRPr="167DB4A6" w:rsidR="2DAA6EB5">
        <w:rPr>
          <w:rFonts w:ascii="Arial" w:hAnsi="Arial" w:eastAsia="Arial" w:cs="Arial"/>
          <w:b w:val="0"/>
          <w:bCs w:val="0"/>
          <w:i w:val="1"/>
          <w:iCs w:val="1"/>
          <w:noProof w:val="0"/>
          <w:color w:val="000000" w:themeColor="text1" w:themeTint="FF" w:themeShade="FF"/>
          <w:sz w:val="22"/>
          <w:szCs w:val="22"/>
          <w:lang w:val="en-GB"/>
        </w:rPr>
        <w:t xml:space="preserve"> and health: A review of research evidence.</w:t>
      </w:r>
      <w:r w:rsidRPr="167DB4A6" w:rsidR="2DAA6EB5">
        <w:rPr>
          <w:rFonts w:ascii="Arial" w:hAnsi="Arial" w:eastAsia="Arial" w:cs="Arial"/>
          <w:b w:val="0"/>
          <w:bCs w:val="0"/>
          <w:noProof w:val="0"/>
          <w:color w:val="000000" w:themeColor="text1" w:themeTint="FF" w:themeShade="FF"/>
          <w:sz w:val="22"/>
          <w:szCs w:val="22"/>
          <w:lang w:val="en-GB"/>
        </w:rPr>
        <w:t xml:space="preserve"> 2nd </w:t>
      </w:r>
      <w:r w:rsidRPr="167DB4A6" w:rsidR="2DAA6EB5">
        <w:rPr>
          <w:rFonts w:ascii="Arial" w:hAnsi="Arial" w:eastAsia="Arial" w:cs="Arial"/>
          <w:b w:val="0"/>
          <w:bCs w:val="0"/>
          <w:noProof w:val="0"/>
          <w:color w:val="000000" w:themeColor="text1" w:themeTint="FF" w:themeShade="FF"/>
          <w:sz w:val="22"/>
          <w:szCs w:val="22"/>
          <w:lang w:val="en-GB"/>
        </w:rPr>
        <w:t>edn</w:t>
      </w:r>
      <w:r w:rsidRPr="167DB4A6" w:rsidR="2DAA6EB5">
        <w:rPr>
          <w:rFonts w:ascii="Arial" w:hAnsi="Arial" w:eastAsia="Arial" w:cs="Arial"/>
          <w:b w:val="0"/>
          <w:bCs w:val="0"/>
          <w:noProof w:val="0"/>
          <w:color w:val="000000" w:themeColor="text1" w:themeTint="FF" w:themeShade="FF"/>
          <w:sz w:val="22"/>
          <w:szCs w:val="22"/>
          <w:lang w:val="en-GB"/>
        </w:rPr>
        <w:t>. London: Springer.</w:t>
      </w:r>
    </w:p>
    <w:p w:rsidR="12234F61" w:rsidP="167DB4A6" w:rsidRDefault="12234F61" w14:paraId="612F5AF9" w14:textId="7B7B2703">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 xml:space="preserve">Diabetes UK (2022) </w:t>
      </w:r>
      <w:r w:rsidRPr="167DB4A6" w:rsidR="2DAA6EB5">
        <w:rPr>
          <w:rFonts w:ascii="Arial" w:hAnsi="Arial" w:eastAsia="Arial" w:cs="Arial"/>
          <w:b w:val="0"/>
          <w:bCs w:val="0"/>
          <w:i w:val="1"/>
          <w:iCs w:val="1"/>
          <w:noProof w:val="0"/>
          <w:color w:val="000000" w:themeColor="text1" w:themeTint="FF" w:themeShade="FF"/>
          <w:sz w:val="22"/>
          <w:szCs w:val="22"/>
          <w:lang w:val="en-GB"/>
        </w:rPr>
        <w:t>Diabetes in the UK 2022: Key statistics on diabetes</w:t>
      </w:r>
      <w:r w:rsidRPr="167DB4A6" w:rsidR="2DAA6EB5">
        <w:rPr>
          <w:rFonts w:ascii="Arial" w:hAnsi="Arial" w:eastAsia="Arial" w:cs="Arial"/>
          <w:b w:val="0"/>
          <w:bCs w:val="0"/>
          <w:noProof w:val="0"/>
          <w:color w:val="000000" w:themeColor="text1" w:themeTint="FF" w:themeShade="FF"/>
          <w:sz w:val="22"/>
          <w:szCs w:val="22"/>
          <w:lang w:val="en-GB"/>
        </w:rPr>
        <w:t xml:space="preserve">. London: Diabetes UK. Available at: </w:t>
      </w:r>
      <w:hyperlink r:id="R5ac997d27ce74102">
        <w:r w:rsidRPr="167DB4A6" w:rsidR="2DAA6EB5">
          <w:rPr>
            <w:rStyle w:val="Hyperlink"/>
            <w:rFonts w:ascii="Arial" w:hAnsi="Arial" w:eastAsia="Arial" w:cs="Arial"/>
            <w:b w:val="0"/>
            <w:bCs w:val="0"/>
            <w:noProof w:val="0"/>
            <w:color w:val="000000" w:themeColor="text1" w:themeTint="FF" w:themeShade="FF"/>
            <w:sz w:val="22"/>
            <w:szCs w:val="22"/>
            <w:lang w:val="en-GB"/>
          </w:rPr>
          <w:t>https://www.diabetes.org.uk/professionals/position-statements-reports/statistics</w:t>
        </w:r>
      </w:hyperlink>
      <w:r w:rsidRPr="167DB4A6" w:rsidR="2DAA6EB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2F6F8528" w14:textId="0F5F213D">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Khunti</w:t>
      </w:r>
      <w:r w:rsidRPr="167DB4A6" w:rsidR="2DAA6EB5">
        <w:rPr>
          <w:rFonts w:ascii="Arial" w:hAnsi="Arial" w:eastAsia="Arial" w:cs="Arial"/>
          <w:b w:val="0"/>
          <w:bCs w:val="0"/>
          <w:noProof w:val="0"/>
          <w:color w:val="000000" w:themeColor="text1" w:themeTint="FF" w:themeShade="FF"/>
          <w:sz w:val="22"/>
          <w:szCs w:val="22"/>
          <w:lang w:val="en-GB"/>
        </w:rPr>
        <w:t xml:space="preserve">, K., Singh, A.K., Pareek, M. &amp; Hanif, W. (2023) ‘Ethnic disparities in type 2 diabetes management and outcomes: lessons for policy and practice’, </w:t>
      </w:r>
      <w:r w:rsidRPr="167DB4A6" w:rsidR="2DAA6EB5">
        <w:rPr>
          <w:rFonts w:ascii="Arial" w:hAnsi="Arial" w:eastAsia="Arial" w:cs="Arial"/>
          <w:b w:val="0"/>
          <w:bCs w:val="0"/>
          <w:i w:val="1"/>
          <w:iCs w:val="1"/>
          <w:noProof w:val="0"/>
          <w:color w:val="000000" w:themeColor="text1" w:themeTint="FF" w:themeShade="FF"/>
          <w:sz w:val="22"/>
          <w:szCs w:val="22"/>
          <w:lang w:val="en-GB"/>
        </w:rPr>
        <w:t>Diabetic Medicine</w:t>
      </w:r>
      <w:r w:rsidRPr="167DB4A6" w:rsidR="2DAA6EB5">
        <w:rPr>
          <w:rFonts w:ascii="Arial" w:hAnsi="Arial" w:eastAsia="Arial" w:cs="Arial"/>
          <w:b w:val="0"/>
          <w:bCs w:val="0"/>
          <w:noProof w:val="0"/>
          <w:color w:val="000000" w:themeColor="text1" w:themeTint="FF" w:themeShade="FF"/>
          <w:sz w:val="22"/>
          <w:szCs w:val="22"/>
          <w:lang w:val="en-GB"/>
        </w:rPr>
        <w:t xml:space="preserve">, 40(2), e15042. </w:t>
      </w:r>
      <w:r w:rsidRPr="167DB4A6" w:rsidR="2DAA6EB5">
        <w:rPr>
          <w:rFonts w:ascii="Arial" w:hAnsi="Arial" w:eastAsia="Arial" w:cs="Arial"/>
          <w:b w:val="0"/>
          <w:bCs w:val="0"/>
          <w:noProof w:val="0"/>
          <w:color w:val="000000" w:themeColor="text1" w:themeTint="FF" w:themeShade="FF"/>
          <w:sz w:val="22"/>
          <w:szCs w:val="22"/>
          <w:lang w:val="en-GB"/>
        </w:rPr>
        <w:t>doi</w:t>
      </w:r>
      <w:r w:rsidRPr="167DB4A6" w:rsidR="2DAA6EB5">
        <w:rPr>
          <w:rFonts w:ascii="Arial" w:hAnsi="Arial" w:eastAsia="Arial" w:cs="Arial"/>
          <w:b w:val="0"/>
          <w:bCs w:val="0"/>
          <w:noProof w:val="0"/>
          <w:color w:val="000000" w:themeColor="text1" w:themeTint="FF" w:themeShade="FF"/>
          <w:sz w:val="22"/>
          <w:szCs w:val="22"/>
          <w:lang w:val="en-GB"/>
        </w:rPr>
        <w:t>: 10.1111/dme.15042.</w:t>
      </w:r>
    </w:p>
    <w:p w:rsidR="12234F61" w:rsidP="167DB4A6" w:rsidRDefault="12234F61" w14:paraId="33C9CA30" w14:textId="08233651">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 xml:space="preserve">Marmot, M. (2020) </w:t>
      </w:r>
      <w:r w:rsidRPr="167DB4A6" w:rsidR="2DAA6EB5">
        <w:rPr>
          <w:rFonts w:ascii="Arial" w:hAnsi="Arial" w:eastAsia="Arial" w:cs="Arial"/>
          <w:b w:val="0"/>
          <w:bCs w:val="0"/>
          <w:i w:val="1"/>
          <w:iCs w:val="1"/>
          <w:noProof w:val="0"/>
          <w:color w:val="000000" w:themeColor="text1" w:themeTint="FF" w:themeShade="FF"/>
          <w:sz w:val="22"/>
          <w:szCs w:val="22"/>
          <w:lang w:val="en-GB"/>
        </w:rPr>
        <w:t>The Marmot Review 10 Years On: Health equity in England.</w:t>
      </w:r>
      <w:r w:rsidRPr="167DB4A6" w:rsidR="2DAA6EB5">
        <w:rPr>
          <w:rFonts w:ascii="Arial" w:hAnsi="Arial" w:eastAsia="Arial" w:cs="Arial"/>
          <w:b w:val="0"/>
          <w:bCs w:val="0"/>
          <w:noProof w:val="0"/>
          <w:color w:val="000000" w:themeColor="text1" w:themeTint="FF" w:themeShade="FF"/>
          <w:sz w:val="22"/>
          <w:szCs w:val="22"/>
          <w:lang w:val="en-GB"/>
        </w:rPr>
        <w:t xml:space="preserve"> London: Institute of Health Equity. Available at: </w:t>
      </w:r>
      <w:hyperlink r:id="R4069406b90b64785">
        <w:r w:rsidRPr="167DB4A6" w:rsidR="2DAA6EB5">
          <w:rPr>
            <w:rStyle w:val="Hyperlink"/>
            <w:rFonts w:ascii="Arial" w:hAnsi="Arial" w:eastAsia="Arial" w:cs="Arial"/>
            <w:b w:val="0"/>
            <w:bCs w:val="0"/>
            <w:noProof w:val="0"/>
            <w:color w:val="000000" w:themeColor="text1" w:themeTint="FF" w:themeShade="FF"/>
            <w:sz w:val="22"/>
            <w:szCs w:val="22"/>
            <w:lang w:val="en-GB"/>
          </w:rPr>
          <w:t>https://www.instituteofhealthequity.org/resources-reports/the-marmot-review-10-years-on</w:t>
        </w:r>
      </w:hyperlink>
      <w:r w:rsidRPr="167DB4A6" w:rsidR="2DAA6EB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763117D6" w14:textId="75229BE1">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 xml:space="preserve">Public Health England (2020) </w:t>
      </w:r>
      <w:r w:rsidRPr="167DB4A6" w:rsidR="2DAA6EB5">
        <w:rPr>
          <w:rFonts w:ascii="Arial" w:hAnsi="Arial" w:eastAsia="Arial" w:cs="Arial"/>
          <w:b w:val="0"/>
          <w:bCs w:val="0"/>
          <w:i w:val="1"/>
          <w:iCs w:val="1"/>
          <w:noProof w:val="0"/>
          <w:color w:val="000000" w:themeColor="text1" w:themeTint="FF" w:themeShade="FF"/>
          <w:sz w:val="22"/>
          <w:szCs w:val="22"/>
          <w:lang w:val="en-GB"/>
        </w:rPr>
        <w:t>Disparities in the risk and outcomes of COVID-19.</w:t>
      </w:r>
      <w:r w:rsidRPr="167DB4A6" w:rsidR="2DAA6EB5">
        <w:rPr>
          <w:rFonts w:ascii="Arial" w:hAnsi="Arial" w:eastAsia="Arial" w:cs="Arial"/>
          <w:b w:val="0"/>
          <w:bCs w:val="0"/>
          <w:noProof w:val="0"/>
          <w:color w:val="000000" w:themeColor="text1" w:themeTint="FF" w:themeShade="FF"/>
          <w:sz w:val="22"/>
          <w:szCs w:val="22"/>
          <w:lang w:val="en-GB"/>
        </w:rPr>
        <w:t xml:space="preserve"> London: PHE. Available at: </w:t>
      </w:r>
      <w:hyperlink r:id="R31792df2cb1a42a4">
        <w:r w:rsidRPr="167DB4A6" w:rsidR="2DAA6EB5">
          <w:rPr>
            <w:rStyle w:val="Hyperlink"/>
            <w:rFonts w:ascii="Arial" w:hAnsi="Arial" w:eastAsia="Arial" w:cs="Arial"/>
            <w:b w:val="0"/>
            <w:bCs w:val="0"/>
            <w:noProof w:val="0"/>
            <w:color w:val="000000" w:themeColor="text1" w:themeTint="FF" w:themeShade="FF"/>
            <w:sz w:val="22"/>
            <w:szCs w:val="22"/>
            <w:lang w:val="en-GB"/>
          </w:rPr>
          <w:t>https://assets.publishing.service.gov.uk/media/5f328354d3bf7f1b12a7023a/Disparities_in_the_risk_and_outcomes_of_COVID_August_2020_update.pdf</w:t>
        </w:r>
      </w:hyperlink>
      <w:r w:rsidRPr="167DB4A6" w:rsidR="2DAA6EB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614E2EE0" w14:textId="4A97495D">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 xml:space="preserve">Sattar, N. &amp; Gill, J.M.R. (2015) ‘Type 2 diabetes in migrant South Asians: mechanisms, mitigation and management’, </w:t>
      </w:r>
      <w:r w:rsidRPr="167DB4A6" w:rsidR="2DAA6EB5">
        <w:rPr>
          <w:rFonts w:ascii="Arial" w:hAnsi="Arial" w:eastAsia="Arial" w:cs="Arial"/>
          <w:b w:val="0"/>
          <w:bCs w:val="0"/>
          <w:i w:val="1"/>
          <w:iCs w:val="1"/>
          <w:noProof w:val="0"/>
          <w:color w:val="000000" w:themeColor="text1" w:themeTint="FF" w:themeShade="FF"/>
          <w:sz w:val="22"/>
          <w:szCs w:val="22"/>
          <w:lang w:val="en-GB"/>
        </w:rPr>
        <w:t>The Lancet Diabetes &amp; Endocrinology</w:t>
      </w:r>
      <w:r w:rsidRPr="167DB4A6" w:rsidR="2DAA6EB5">
        <w:rPr>
          <w:rFonts w:ascii="Arial" w:hAnsi="Arial" w:eastAsia="Arial" w:cs="Arial"/>
          <w:b w:val="0"/>
          <w:bCs w:val="0"/>
          <w:noProof w:val="0"/>
          <w:color w:val="000000" w:themeColor="text1" w:themeTint="FF" w:themeShade="FF"/>
          <w:sz w:val="22"/>
          <w:szCs w:val="22"/>
          <w:lang w:val="en-GB"/>
        </w:rPr>
        <w:t xml:space="preserve">, 3(12), pp. 1004‑1016. </w:t>
      </w:r>
      <w:r w:rsidRPr="167DB4A6" w:rsidR="2DAA6EB5">
        <w:rPr>
          <w:rFonts w:ascii="Arial" w:hAnsi="Arial" w:eastAsia="Arial" w:cs="Arial"/>
          <w:b w:val="0"/>
          <w:bCs w:val="0"/>
          <w:noProof w:val="0"/>
          <w:color w:val="000000" w:themeColor="text1" w:themeTint="FF" w:themeShade="FF"/>
          <w:sz w:val="22"/>
          <w:szCs w:val="22"/>
          <w:lang w:val="en-GB"/>
        </w:rPr>
        <w:t>doi</w:t>
      </w:r>
      <w:r w:rsidRPr="167DB4A6" w:rsidR="2DAA6EB5">
        <w:rPr>
          <w:rFonts w:ascii="Arial" w:hAnsi="Arial" w:eastAsia="Arial" w:cs="Arial"/>
          <w:b w:val="0"/>
          <w:bCs w:val="0"/>
          <w:noProof w:val="0"/>
          <w:color w:val="000000" w:themeColor="text1" w:themeTint="FF" w:themeShade="FF"/>
          <w:sz w:val="22"/>
          <w:szCs w:val="22"/>
          <w:lang w:val="en-GB"/>
        </w:rPr>
        <w:t>: 10.1016/S2213-8587(15)00326-5.</w:t>
      </w:r>
    </w:p>
    <w:p w:rsidR="12234F61" w:rsidP="167DB4A6" w:rsidRDefault="12234F61" w14:paraId="01ED69A7" w14:textId="372D2C76">
      <w:pPr>
        <w:pStyle w:val="Normal"/>
        <w:spacing w:before="240" w:beforeAutospacing="off" w:after="240" w:afterAutospacing="off"/>
        <w:ind w:left="0"/>
        <w:jc w:val="left"/>
        <w:rPr>
          <w:rFonts w:ascii="Arial" w:hAnsi="Arial" w:eastAsia="Arial" w:cs="Arial"/>
          <w:b w:val="0"/>
          <w:bCs w:val="0"/>
          <w:noProof w:val="0"/>
          <w:color w:val="000000" w:themeColor="text1" w:themeTint="FF" w:themeShade="FF"/>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 xml:space="preserve">The King’s Fund (2023) </w:t>
      </w:r>
      <w:r w:rsidRPr="167DB4A6" w:rsidR="2DAA6EB5">
        <w:rPr>
          <w:rFonts w:ascii="Arial" w:hAnsi="Arial" w:eastAsia="Arial" w:cs="Arial"/>
          <w:b w:val="0"/>
          <w:bCs w:val="0"/>
          <w:i w:val="1"/>
          <w:iCs w:val="1"/>
          <w:noProof w:val="0"/>
          <w:color w:val="000000" w:themeColor="text1" w:themeTint="FF" w:themeShade="FF"/>
          <w:sz w:val="22"/>
          <w:szCs w:val="22"/>
          <w:lang w:val="en-GB"/>
        </w:rPr>
        <w:t>The health of people from ethnic minority groups in England.</w:t>
      </w:r>
      <w:r w:rsidRPr="167DB4A6" w:rsidR="2DAA6EB5">
        <w:rPr>
          <w:rFonts w:ascii="Arial" w:hAnsi="Arial" w:eastAsia="Arial" w:cs="Arial"/>
          <w:b w:val="0"/>
          <w:bCs w:val="0"/>
          <w:noProof w:val="0"/>
          <w:color w:val="000000" w:themeColor="text1" w:themeTint="FF" w:themeShade="FF"/>
          <w:sz w:val="22"/>
          <w:szCs w:val="22"/>
          <w:lang w:val="en-GB"/>
        </w:rPr>
        <w:t xml:space="preserve"> London: The King’s Fund. Available at: </w:t>
      </w:r>
      <w:hyperlink r:id="R83490a44a58e4c1e">
        <w:r w:rsidRPr="167DB4A6" w:rsidR="2DAA6EB5">
          <w:rPr>
            <w:rStyle w:val="Hyperlink"/>
            <w:rFonts w:ascii="Arial" w:hAnsi="Arial" w:eastAsia="Arial" w:cs="Arial"/>
            <w:b w:val="0"/>
            <w:bCs w:val="0"/>
            <w:noProof w:val="0"/>
            <w:color w:val="000000" w:themeColor="text1" w:themeTint="FF" w:themeShade="FF"/>
            <w:sz w:val="22"/>
            <w:szCs w:val="22"/>
            <w:lang w:val="en-GB"/>
          </w:rPr>
          <w:t>https://www.kingsfund.org.uk/insight-and-analysis/long-reads/health-people-ethnic-minority-groups-england</w:t>
        </w:r>
      </w:hyperlink>
      <w:r w:rsidRPr="167DB4A6" w:rsidR="2DAA6EB5">
        <w:rPr>
          <w:rFonts w:ascii="Arial" w:hAnsi="Arial" w:eastAsia="Arial" w:cs="Arial"/>
          <w:b w:val="0"/>
          <w:bCs w:val="0"/>
          <w:noProof w:val="0"/>
          <w:color w:val="000000" w:themeColor="text1" w:themeTint="FF" w:themeShade="FF"/>
          <w:sz w:val="22"/>
          <w:szCs w:val="22"/>
          <w:lang w:val="en-GB"/>
        </w:rPr>
        <w:t xml:space="preserve"> (Accessed: 26 October 2025).</w:t>
      </w:r>
    </w:p>
    <w:p w:rsidR="12234F61" w:rsidP="167DB4A6" w:rsidRDefault="12234F61" w14:paraId="1F510BC5" w14:textId="73E35292">
      <w:pPr>
        <w:pStyle w:val="Normal"/>
        <w:spacing w:before="240" w:beforeAutospacing="off" w:after="240" w:afterAutospacing="off"/>
        <w:ind w:left="0"/>
        <w:jc w:val="left"/>
        <w:rPr>
          <w:rFonts w:ascii="Arial" w:hAnsi="Arial" w:eastAsia="Arial" w:cs="Arial"/>
          <w:b w:val="0"/>
          <w:bCs w:val="0"/>
          <w:noProof w:val="0"/>
          <w:sz w:val="22"/>
          <w:szCs w:val="22"/>
          <w:lang w:val="en-GB"/>
        </w:rPr>
      </w:pPr>
      <w:r w:rsidRPr="167DB4A6" w:rsidR="2DAA6EB5">
        <w:rPr>
          <w:rFonts w:ascii="Arial" w:hAnsi="Arial" w:eastAsia="Arial" w:cs="Arial"/>
          <w:b w:val="0"/>
          <w:bCs w:val="0"/>
          <w:noProof w:val="0"/>
          <w:color w:val="000000" w:themeColor="text1" w:themeTint="FF" w:themeShade="FF"/>
          <w:sz w:val="22"/>
          <w:szCs w:val="22"/>
          <w:lang w:val="en-GB"/>
        </w:rPr>
        <w:t xml:space="preserve">NHS Digital (2022) </w:t>
      </w:r>
      <w:r w:rsidRPr="167DB4A6" w:rsidR="2DAA6EB5">
        <w:rPr>
          <w:rFonts w:ascii="Arial" w:hAnsi="Arial" w:eastAsia="Arial" w:cs="Arial"/>
          <w:b w:val="0"/>
          <w:bCs w:val="0"/>
          <w:i w:val="1"/>
          <w:iCs w:val="1"/>
          <w:noProof w:val="0"/>
          <w:color w:val="000000" w:themeColor="text1" w:themeTint="FF" w:themeShade="FF"/>
          <w:sz w:val="22"/>
          <w:szCs w:val="22"/>
          <w:lang w:val="en-GB"/>
        </w:rPr>
        <w:t>National Diabetes Audit 2021–22: Key findings</w:t>
      </w:r>
      <w:r w:rsidRPr="167DB4A6" w:rsidR="2DAA6EB5">
        <w:rPr>
          <w:rFonts w:ascii="Arial" w:hAnsi="Arial" w:eastAsia="Arial" w:cs="Arial"/>
          <w:b w:val="0"/>
          <w:bCs w:val="0"/>
          <w:noProof w:val="0"/>
          <w:color w:val="000000" w:themeColor="text1" w:themeTint="FF" w:themeShade="FF"/>
          <w:sz w:val="22"/>
          <w:szCs w:val="22"/>
          <w:lang w:val="en-GB"/>
        </w:rPr>
        <w:t xml:space="preserve">. Leeds: NHS Digital. Available at: </w:t>
      </w:r>
      <w:hyperlink r:id="R1903de09d5054745">
        <w:r w:rsidRPr="167DB4A6" w:rsidR="2DAA6EB5">
          <w:rPr>
            <w:rStyle w:val="Hyperlink"/>
            <w:rFonts w:ascii="Arial" w:hAnsi="Arial" w:eastAsia="Arial" w:cs="Arial"/>
            <w:b w:val="0"/>
            <w:bCs w:val="0"/>
            <w:noProof w:val="0"/>
            <w:color w:val="000000" w:themeColor="text1" w:themeTint="FF" w:themeShade="FF"/>
            <w:sz w:val="22"/>
            <w:szCs w:val="22"/>
            <w:lang w:val="en-GB"/>
          </w:rPr>
          <w:t>https://digital.nhs.uk/data-and-information/publications/statistical</w:t>
        </w:r>
        <w:r w:rsidRPr="167DB4A6" w:rsidR="2DAA6EB5">
          <w:rPr>
            <w:rStyle w:val="Hyperlink"/>
            <w:rFonts w:ascii="Arial" w:hAnsi="Arial" w:eastAsia="Arial" w:cs="Arial"/>
            <w:b w:val="0"/>
            <w:bCs w:val="0"/>
            <w:noProof w:val="0"/>
            <w:sz w:val="22"/>
            <w:szCs w:val="22"/>
            <w:lang w:val="en-GB"/>
          </w:rPr>
          <w:t>/national-diabetes-audit</w:t>
        </w:r>
      </w:hyperlink>
      <w:r w:rsidRPr="167DB4A6" w:rsidR="2DAA6EB5">
        <w:rPr>
          <w:rFonts w:ascii="Arial" w:hAnsi="Arial" w:eastAsia="Arial" w:cs="Arial"/>
          <w:b w:val="0"/>
          <w:bCs w:val="0"/>
          <w:noProof w:val="0"/>
          <w:sz w:val="22"/>
          <w:szCs w:val="22"/>
          <w:lang w:val="en-GB"/>
        </w:rPr>
        <w:t xml:space="preserve"> (Accessed: 26 October 2025).</w:t>
      </w:r>
    </w:p>
    <w:p w:rsidR="12234F61" w:rsidP="167DB4A6" w:rsidRDefault="12234F61" w14:paraId="6249CEEA" w14:textId="65ED3D31">
      <w:pPr>
        <w:pStyle w:val="Normal"/>
        <w:spacing w:before="240" w:beforeAutospacing="off" w:after="240" w:afterAutospacing="off"/>
        <w:ind w:left="0"/>
        <w:jc w:val="left"/>
        <w:rPr>
          <w:rFonts w:ascii="Arial" w:hAnsi="Arial" w:eastAsia="Arial" w:cs="Arial"/>
          <w:b w:val="0"/>
          <w:bCs w:val="0"/>
          <w:noProof w:val="0"/>
          <w:sz w:val="22"/>
          <w:szCs w:val="22"/>
          <w:lang w:val="en-GB"/>
        </w:rPr>
      </w:pPr>
    </w:p>
    <w:p w:rsidR="12234F61" w:rsidP="167DB4A6" w:rsidRDefault="12234F61" w14:paraId="57445982" w14:textId="52F752D1">
      <w:pPr>
        <w:pStyle w:val="Normal"/>
        <w:spacing w:before="240" w:beforeAutospacing="off" w:after="240" w:afterAutospacing="off"/>
        <w:ind w:left="0"/>
        <w:jc w:val="left"/>
        <w:rPr>
          <w:rFonts w:ascii="Arial" w:hAnsi="Arial" w:eastAsia="Arial" w:cs="Arial"/>
          <w:b w:val="0"/>
          <w:bCs w:val="0"/>
          <w:noProof w:val="0"/>
          <w:sz w:val="22"/>
          <w:szCs w:val="22"/>
          <w:lang w:val="en-GB"/>
        </w:rPr>
      </w:pPr>
    </w:p>
    <w:p w:rsidR="12234F61" w:rsidP="167DB4A6" w:rsidRDefault="12234F61" w14:paraId="2A692B64" w14:textId="4F971BB8">
      <w:pPr>
        <w:pStyle w:val="Normal"/>
        <w:spacing w:before="240" w:beforeAutospacing="off" w:after="240" w:afterAutospacing="off"/>
        <w:ind w:left="0"/>
        <w:jc w:val="left"/>
        <w:rPr>
          <w:rFonts w:ascii="Arial" w:hAnsi="Arial" w:eastAsia="Arial" w:cs="Arial"/>
          <w:b w:val="0"/>
          <w:bCs w:val="0"/>
          <w:noProof w:val="0"/>
          <w:sz w:val="22"/>
          <w:szCs w:val="22"/>
          <w:lang w:val="en-GB"/>
        </w:rPr>
      </w:pPr>
    </w:p>
    <w:p w:rsidR="12234F61" w:rsidP="167DB4A6" w:rsidRDefault="12234F61" w14:paraId="1969AF78" w14:textId="1BB457AE">
      <w:pPr>
        <w:pStyle w:val="Normal"/>
        <w:spacing w:before="240" w:beforeAutospacing="off" w:after="240" w:afterAutospacing="off"/>
        <w:ind w:left="0"/>
        <w:jc w:val="left"/>
        <w:rPr>
          <w:rFonts w:ascii="Arial" w:hAnsi="Arial" w:eastAsia="Arial" w:cs="Arial"/>
          <w:b w:val="0"/>
          <w:bCs w:val="0"/>
          <w:noProof w:val="0"/>
          <w:sz w:val="22"/>
          <w:szCs w:val="22"/>
          <w:lang w:val="en-GB"/>
        </w:rPr>
      </w:pPr>
    </w:p>
    <w:p w:rsidR="12234F61" w:rsidP="167DB4A6" w:rsidRDefault="12234F61" w14:paraId="466021CB" w14:textId="67280E8A">
      <w:pPr>
        <w:pStyle w:val="Normal"/>
        <w:spacing w:before="240" w:beforeAutospacing="off" w:after="240" w:afterAutospacing="off"/>
        <w:ind w:left="0"/>
        <w:jc w:val="left"/>
        <w:rPr>
          <w:rFonts w:ascii="Aptos" w:hAnsi="Aptos" w:eastAsia="Aptos" w:cs="Aptos"/>
          <w:noProof w:val="0"/>
          <w:sz w:val="24"/>
          <w:szCs w:val="24"/>
          <w:lang w:val="en-GB"/>
        </w:rPr>
      </w:pPr>
    </w:p>
    <w:p w:rsidR="12234F61" w:rsidP="167DB4A6" w:rsidRDefault="12234F61" w14:paraId="64633FA7" w14:textId="38727D13">
      <w:pPr>
        <w:pStyle w:val="Normal"/>
        <w:spacing w:before="240" w:beforeAutospacing="off" w:after="240" w:afterAutospacing="off"/>
        <w:ind w:left="0"/>
        <w:jc w:val="left"/>
        <w:rPr>
          <w:rFonts w:ascii="Aptos" w:hAnsi="Aptos" w:eastAsia="Aptos" w:cs="Aptos"/>
          <w:noProof w:val="0"/>
          <w:sz w:val="24"/>
          <w:szCs w:val="24"/>
          <w:lang w:val="en-GB"/>
        </w:rPr>
      </w:pPr>
    </w:p>
    <w:p w:rsidR="12234F61" w:rsidP="167DB4A6" w:rsidRDefault="12234F61" w14:paraId="1CDCABC8" w14:textId="32640448">
      <w:pPr>
        <w:pStyle w:val="NoSpacing"/>
        <w:keepNext w:val="0"/>
        <w:keepLines w:val="1"/>
        <w:spacing/>
        <w:contextualSpacing/>
        <w:jc w:val="left"/>
        <w:rPr>
          <w:noProof w:val="0"/>
          <w:lang w:val="en-GB"/>
        </w:rPr>
      </w:pPr>
    </w:p>
    <w:p w:rsidR="12234F61" w:rsidP="167DB4A6" w:rsidRDefault="12234F61" w14:paraId="5B26F141" w14:textId="2406C1EF">
      <w:pPr>
        <w:keepNext w:val="0"/>
        <w:keepLines w:val="1"/>
        <w:spacing w:before="240" w:beforeAutospacing="off" w:after="240" w:afterAutospacing="off"/>
        <w:ind/>
        <w:contextualSpacing/>
        <w:jc w:val="both"/>
      </w:pPr>
    </w:p>
    <w:p w:rsidR="12234F61" w:rsidP="167DB4A6" w:rsidRDefault="12234F61" w14:paraId="78D7A04B" w14:textId="111C99FA">
      <w:pPr>
        <w:keepNext w:val="0"/>
        <w:keepLines w:val="1"/>
        <w:spacing w:before="240" w:beforeAutospacing="off" w:after="240" w:afterAutospacing="off" w:line="360" w:lineRule="auto"/>
        <w:ind/>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2234F61" w:rsidP="167DB4A6" w:rsidRDefault="12234F61" w14:paraId="41EC7C23" w14:textId="3A73F166">
      <w:pPr>
        <w:keepNext w:val="0"/>
        <w:keepLines w:val="1"/>
        <w:spacing w:before="0" w:beforeAutospacing="off" w:after="0" w:afterAutospacing="off" w:line="360" w:lineRule="auto"/>
        <w:ind/>
        <w:contextualSpacing/>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2234F61" w:rsidP="167DB4A6" w:rsidRDefault="12234F61" w14:paraId="6315D9D3" w14:textId="6058E713">
      <w:pPr>
        <w:keepNext w:val="0"/>
        <w:keepLines w:val="1"/>
        <w:spacing w:before="240" w:beforeAutospacing="off" w:after="240" w:afterAutospacing="off" w:line="360" w:lineRule="auto"/>
        <w:ind/>
        <w:contextualSpacing/>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2234F61" w:rsidP="167DB4A6" w:rsidRDefault="12234F61" w14:paraId="025ACCF8" w14:textId="3248A345">
      <w:pPr>
        <w:pStyle w:val="Normal"/>
        <w:keepNext w:val="0"/>
        <w:keepLines w:val="1"/>
        <w:spacing w:before="240" w:beforeAutospacing="off" w:after="240" w:afterAutospacing="off"/>
        <w:ind w:left="0"/>
        <w:contextualSpacing/>
        <w:jc w:val="both"/>
        <w:rPr>
          <w:rFonts w:ascii="Arial" w:hAnsi="Arial" w:eastAsia="Arial" w:cs="Arial"/>
          <w:noProof w:val="0"/>
          <w:sz w:val="22"/>
          <w:szCs w:val="22"/>
          <w:lang w:val="en-GB"/>
        </w:rPr>
      </w:pPr>
    </w:p>
    <w:sectPr>
      <w:pgSz w:w="11906" w:h="16838" w:orient="portrait"/>
      <w:pgMar w:top="1440" w:right="1440" w:bottom="1440" w:left="1440" w:header="720" w:footer="720" w:gutter="0"/>
      <w:cols w:equalWidth="1" w:space="720" w:num="1"/>
      <w:docGrid w:linePitch="360"/>
      <w:headerReference w:type="default" r:id="R01e5bb48a75a4d8b"/>
      <w:footerReference w:type="default" r:id="Rbf7c2a742cdb42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198256" w:rsidTr="52198256" w14:paraId="1D682E0B">
      <w:trPr>
        <w:trHeight w:val="300"/>
      </w:trPr>
      <w:tc>
        <w:tcPr>
          <w:tcW w:w="3005" w:type="dxa"/>
          <w:tcMar/>
        </w:tcPr>
        <w:p w:rsidR="52198256" w:rsidP="52198256" w:rsidRDefault="52198256" w14:paraId="1F6E4A62" w14:textId="3E92EB79">
          <w:pPr>
            <w:pStyle w:val="Header"/>
            <w:bidi w:val="0"/>
            <w:ind w:left="-115"/>
            <w:jc w:val="left"/>
          </w:pPr>
        </w:p>
      </w:tc>
      <w:tc>
        <w:tcPr>
          <w:tcW w:w="3005" w:type="dxa"/>
          <w:tcMar/>
        </w:tcPr>
        <w:p w:rsidR="52198256" w:rsidP="52198256" w:rsidRDefault="52198256" w14:paraId="67E9B96D" w14:textId="3C7B9068">
          <w:pPr>
            <w:pStyle w:val="Header"/>
            <w:bidi w:val="0"/>
            <w:jc w:val="center"/>
          </w:pPr>
        </w:p>
      </w:tc>
      <w:tc>
        <w:tcPr>
          <w:tcW w:w="3005" w:type="dxa"/>
          <w:tcMar/>
        </w:tcPr>
        <w:p w:rsidR="52198256" w:rsidP="52198256" w:rsidRDefault="52198256" w14:paraId="7331AEBA" w14:textId="63069405">
          <w:pPr>
            <w:pStyle w:val="Header"/>
            <w:bidi w:val="0"/>
            <w:ind w:right="-115"/>
            <w:jc w:val="right"/>
          </w:pPr>
        </w:p>
      </w:tc>
    </w:tr>
  </w:tbl>
  <w:p w:rsidR="52198256" w:rsidP="52198256" w:rsidRDefault="52198256" w14:paraId="04136F6A" w14:textId="6B30EF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198256" w:rsidTr="52198256" w14:paraId="3392E6AE">
      <w:trPr>
        <w:trHeight w:val="300"/>
      </w:trPr>
      <w:tc>
        <w:tcPr>
          <w:tcW w:w="3005" w:type="dxa"/>
          <w:tcMar/>
        </w:tcPr>
        <w:p w:rsidR="52198256" w:rsidP="52198256" w:rsidRDefault="52198256" w14:paraId="78FDBA23" w14:textId="7CC11E6F">
          <w:pPr>
            <w:pStyle w:val="Header"/>
            <w:bidi w:val="0"/>
            <w:ind w:left="-115"/>
            <w:jc w:val="left"/>
          </w:pPr>
        </w:p>
      </w:tc>
      <w:tc>
        <w:tcPr>
          <w:tcW w:w="3005" w:type="dxa"/>
          <w:tcMar/>
        </w:tcPr>
        <w:p w:rsidR="52198256" w:rsidP="52198256" w:rsidRDefault="52198256" w14:paraId="085412BA" w14:textId="328BE725">
          <w:pPr>
            <w:pStyle w:val="Header"/>
            <w:bidi w:val="0"/>
            <w:jc w:val="center"/>
          </w:pPr>
        </w:p>
      </w:tc>
      <w:tc>
        <w:tcPr>
          <w:tcW w:w="3005" w:type="dxa"/>
          <w:tcMar/>
        </w:tcPr>
        <w:p w:rsidR="52198256" w:rsidP="52198256" w:rsidRDefault="52198256" w14:paraId="1F615CCD" w14:textId="6B91D17F">
          <w:pPr>
            <w:pStyle w:val="Header"/>
            <w:bidi w:val="0"/>
            <w:ind w:right="-115"/>
            <w:jc w:val="right"/>
          </w:pPr>
        </w:p>
      </w:tc>
    </w:tr>
  </w:tbl>
  <w:p w:rsidR="52198256" w:rsidP="52198256" w:rsidRDefault="52198256" w14:paraId="690B718B" w14:textId="2ADB8D0A">
    <w:pPr>
      <w:pStyle w:val="Header"/>
      <w:bidi w:val="0"/>
    </w:pPr>
  </w:p>
</w:hdr>
</file>

<file path=word/numbering.xml><?xml version="1.0" encoding="utf-8"?>
<w:numbering xmlns:w="http://schemas.openxmlformats.org/wordprocessingml/2006/main">
  <w:abstractNum xmlns:w="http://schemas.openxmlformats.org/wordprocessingml/2006/main" w:abstractNumId="24">
    <w:nsid w:val="438f5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55a2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e4e8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8c4a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8f3a6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604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4119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1b38d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ab5b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e75ee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3616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7419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39f1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41b2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774d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1754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b628f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79e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6d6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7c64e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bf880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10499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c1fa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d23c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E0ED3C"/>
    <w:rsid w:val="004C15B1"/>
    <w:rsid w:val="00582E2B"/>
    <w:rsid w:val="00D6E6DC"/>
    <w:rsid w:val="0122927F"/>
    <w:rsid w:val="01410769"/>
    <w:rsid w:val="0208EF9E"/>
    <w:rsid w:val="02494BBD"/>
    <w:rsid w:val="027E482F"/>
    <w:rsid w:val="02AEC403"/>
    <w:rsid w:val="031D853E"/>
    <w:rsid w:val="03D18D9C"/>
    <w:rsid w:val="03ECDD1A"/>
    <w:rsid w:val="0414FED1"/>
    <w:rsid w:val="0489771F"/>
    <w:rsid w:val="0631EA95"/>
    <w:rsid w:val="066527AA"/>
    <w:rsid w:val="06A54B10"/>
    <w:rsid w:val="07D49CF7"/>
    <w:rsid w:val="097279A4"/>
    <w:rsid w:val="0AEEABB7"/>
    <w:rsid w:val="0AFCB498"/>
    <w:rsid w:val="0B2609D3"/>
    <w:rsid w:val="0D7BA14C"/>
    <w:rsid w:val="0E3B4C79"/>
    <w:rsid w:val="0E4ADE0E"/>
    <w:rsid w:val="0E607024"/>
    <w:rsid w:val="0F01CC56"/>
    <w:rsid w:val="0F502781"/>
    <w:rsid w:val="0F9CAE35"/>
    <w:rsid w:val="0FE0ED3C"/>
    <w:rsid w:val="111CC206"/>
    <w:rsid w:val="12234F61"/>
    <w:rsid w:val="12814A86"/>
    <w:rsid w:val="13C897B1"/>
    <w:rsid w:val="148933DC"/>
    <w:rsid w:val="167DB4A6"/>
    <w:rsid w:val="16B8F216"/>
    <w:rsid w:val="16C3EDF3"/>
    <w:rsid w:val="18D8E56D"/>
    <w:rsid w:val="1946B9A6"/>
    <w:rsid w:val="1951FD51"/>
    <w:rsid w:val="196F9526"/>
    <w:rsid w:val="19C0E7E2"/>
    <w:rsid w:val="19D103D4"/>
    <w:rsid w:val="19FF4364"/>
    <w:rsid w:val="1B2A91A0"/>
    <w:rsid w:val="1B625609"/>
    <w:rsid w:val="1BAC6154"/>
    <w:rsid w:val="1BD8C82C"/>
    <w:rsid w:val="1C0FDAAF"/>
    <w:rsid w:val="1C2CB3D6"/>
    <w:rsid w:val="1D6469CC"/>
    <w:rsid w:val="1E4E3B7C"/>
    <w:rsid w:val="1E59A23B"/>
    <w:rsid w:val="1EF1F251"/>
    <w:rsid w:val="202DB7E7"/>
    <w:rsid w:val="205200FA"/>
    <w:rsid w:val="209E885A"/>
    <w:rsid w:val="20CFA950"/>
    <w:rsid w:val="21570595"/>
    <w:rsid w:val="21714898"/>
    <w:rsid w:val="2173A8ED"/>
    <w:rsid w:val="21E3ED42"/>
    <w:rsid w:val="2227560E"/>
    <w:rsid w:val="234C3515"/>
    <w:rsid w:val="25AABE44"/>
    <w:rsid w:val="260F21BC"/>
    <w:rsid w:val="264A7457"/>
    <w:rsid w:val="27032606"/>
    <w:rsid w:val="2709FF0B"/>
    <w:rsid w:val="2747D971"/>
    <w:rsid w:val="275C0984"/>
    <w:rsid w:val="276157AE"/>
    <w:rsid w:val="27F5E6F3"/>
    <w:rsid w:val="2821F430"/>
    <w:rsid w:val="295D0508"/>
    <w:rsid w:val="29D88ED3"/>
    <w:rsid w:val="29FB3F27"/>
    <w:rsid w:val="2A027C5B"/>
    <w:rsid w:val="2A11A0C7"/>
    <w:rsid w:val="2A745B10"/>
    <w:rsid w:val="2AA475DA"/>
    <w:rsid w:val="2ABA0949"/>
    <w:rsid w:val="2AD56678"/>
    <w:rsid w:val="2B625051"/>
    <w:rsid w:val="2BFDDAB4"/>
    <w:rsid w:val="2CB1476E"/>
    <w:rsid w:val="2D92AF16"/>
    <w:rsid w:val="2D9B2567"/>
    <w:rsid w:val="2DAA6EB5"/>
    <w:rsid w:val="2F264166"/>
    <w:rsid w:val="2FF0D140"/>
    <w:rsid w:val="3036BC8C"/>
    <w:rsid w:val="30648C93"/>
    <w:rsid w:val="30E0FEC8"/>
    <w:rsid w:val="320B732B"/>
    <w:rsid w:val="32F60431"/>
    <w:rsid w:val="33A5FD2D"/>
    <w:rsid w:val="33E8A049"/>
    <w:rsid w:val="3472794A"/>
    <w:rsid w:val="34B0A4C9"/>
    <w:rsid w:val="357EFAEE"/>
    <w:rsid w:val="36E1CAD7"/>
    <w:rsid w:val="376BD55D"/>
    <w:rsid w:val="3793B2E3"/>
    <w:rsid w:val="37CE3B2D"/>
    <w:rsid w:val="37D157A7"/>
    <w:rsid w:val="38338E8B"/>
    <w:rsid w:val="3857AA7A"/>
    <w:rsid w:val="3905612E"/>
    <w:rsid w:val="39AF73AC"/>
    <w:rsid w:val="3A8DEAEF"/>
    <w:rsid w:val="3A94C939"/>
    <w:rsid w:val="3AA522C0"/>
    <w:rsid w:val="3AA80E2C"/>
    <w:rsid w:val="3B1822EF"/>
    <w:rsid w:val="3B5D679E"/>
    <w:rsid w:val="3B70DF25"/>
    <w:rsid w:val="3BC277ED"/>
    <w:rsid w:val="3C2D11CE"/>
    <w:rsid w:val="3CDF411F"/>
    <w:rsid w:val="3EF45655"/>
    <w:rsid w:val="3F62B9D4"/>
    <w:rsid w:val="3F9F3DBE"/>
    <w:rsid w:val="3FBD838F"/>
    <w:rsid w:val="3FF2670C"/>
    <w:rsid w:val="40646E38"/>
    <w:rsid w:val="40C4F6ED"/>
    <w:rsid w:val="40E10795"/>
    <w:rsid w:val="40E1AFCA"/>
    <w:rsid w:val="4169372D"/>
    <w:rsid w:val="42865BC1"/>
    <w:rsid w:val="42A35479"/>
    <w:rsid w:val="4306F295"/>
    <w:rsid w:val="445FA82C"/>
    <w:rsid w:val="45AE8D0D"/>
    <w:rsid w:val="45B2EBBD"/>
    <w:rsid w:val="466F2D1C"/>
    <w:rsid w:val="46B4B5EA"/>
    <w:rsid w:val="477C942D"/>
    <w:rsid w:val="4795B882"/>
    <w:rsid w:val="47E0B100"/>
    <w:rsid w:val="4805B35A"/>
    <w:rsid w:val="48D5AAF9"/>
    <w:rsid w:val="49C05A6B"/>
    <w:rsid w:val="4A7F5E08"/>
    <w:rsid w:val="4B0AE8C2"/>
    <w:rsid w:val="4B7176BD"/>
    <w:rsid w:val="4B87AF1F"/>
    <w:rsid w:val="4BD76E3A"/>
    <w:rsid w:val="4C900326"/>
    <w:rsid w:val="4CC1C512"/>
    <w:rsid w:val="4D6C49B6"/>
    <w:rsid w:val="4EC5B5C7"/>
    <w:rsid w:val="4F4CB8B7"/>
    <w:rsid w:val="502573F4"/>
    <w:rsid w:val="50CA6570"/>
    <w:rsid w:val="50E6CF9E"/>
    <w:rsid w:val="511805B9"/>
    <w:rsid w:val="5146E778"/>
    <w:rsid w:val="5160FB37"/>
    <w:rsid w:val="51F9C308"/>
    <w:rsid w:val="52198256"/>
    <w:rsid w:val="52980CE3"/>
    <w:rsid w:val="534F14A6"/>
    <w:rsid w:val="53DDF2A3"/>
    <w:rsid w:val="53E12BEE"/>
    <w:rsid w:val="55D6F6FB"/>
    <w:rsid w:val="563D0293"/>
    <w:rsid w:val="56FC9CFC"/>
    <w:rsid w:val="57205F0C"/>
    <w:rsid w:val="58350A92"/>
    <w:rsid w:val="58696238"/>
    <w:rsid w:val="5926764D"/>
    <w:rsid w:val="5935D07A"/>
    <w:rsid w:val="5958D1F1"/>
    <w:rsid w:val="5962FC72"/>
    <w:rsid w:val="59717DD4"/>
    <w:rsid w:val="59AE2882"/>
    <w:rsid w:val="5A0B2E0D"/>
    <w:rsid w:val="5A67002C"/>
    <w:rsid w:val="5A6DAAD7"/>
    <w:rsid w:val="5A75CC65"/>
    <w:rsid w:val="5A8319BD"/>
    <w:rsid w:val="5AC0ABEC"/>
    <w:rsid w:val="5B0D6D88"/>
    <w:rsid w:val="5BB56569"/>
    <w:rsid w:val="5BFEC081"/>
    <w:rsid w:val="5CEDB457"/>
    <w:rsid w:val="5D49B4A1"/>
    <w:rsid w:val="5D628F9E"/>
    <w:rsid w:val="5DE9B90B"/>
    <w:rsid w:val="5E3245C2"/>
    <w:rsid w:val="5F0C4521"/>
    <w:rsid w:val="5F6D3561"/>
    <w:rsid w:val="5F73B5EF"/>
    <w:rsid w:val="5FD48551"/>
    <w:rsid w:val="601065D7"/>
    <w:rsid w:val="60E30E62"/>
    <w:rsid w:val="6105FCC2"/>
    <w:rsid w:val="6123BB82"/>
    <w:rsid w:val="62C8ECCF"/>
    <w:rsid w:val="63FEFFD1"/>
    <w:rsid w:val="660EB77E"/>
    <w:rsid w:val="667BA8DD"/>
    <w:rsid w:val="670C763C"/>
    <w:rsid w:val="6835DE32"/>
    <w:rsid w:val="6879C78F"/>
    <w:rsid w:val="68D3DCB6"/>
    <w:rsid w:val="6AF55628"/>
    <w:rsid w:val="6B425BF7"/>
    <w:rsid w:val="6C7FB876"/>
    <w:rsid w:val="6C9C2103"/>
    <w:rsid w:val="6D262C19"/>
    <w:rsid w:val="6DD8B9ED"/>
    <w:rsid w:val="6DFCD689"/>
    <w:rsid w:val="6E0878E9"/>
    <w:rsid w:val="6F1BCEF4"/>
    <w:rsid w:val="6F7E12C3"/>
    <w:rsid w:val="6FFB7E89"/>
    <w:rsid w:val="709DDE03"/>
    <w:rsid w:val="725288FF"/>
    <w:rsid w:val="73487378"/>
    <w:rsid w:val="74384E68"/>
    <w:rsid w:val="74452306"/>
    <w:rsid w:val="74E7712B"/>
    <w:rsid w:val="7579B82F"/>
    <w:rsid w:val="758887CD"/>
    <w:rsid w:val="761CBD8B"/>
    <w:rsid w:val="767CD5CB"/>
    <w:rsid w:val="76ABA6F2"/>
    <w:rsid w:val="76B3812E"/>
    <w:rsid w:val="76D7A80E"/>
    <w:rsid w:val="76E4F533"/>
    <w:rsid w:val="7706E92B"/>
    <w:rsid w:val="776A7101"/>
    <w:rsid w:val="77E63C5C"/>
    <w:rsid w:val="77E7D241"/>
    <w:rsid w:val="784F2AC2"/>
    <w:rsid w:val="78DC449C"/>
    <w:rsid w:val="7A010794"/>
    <w:rsid w:val="7A0C6F3D"/>
    <w:rsid w:val="7A3F62E5"/>
    <w:rsid w:val="7ADAA895"/>
    <w:rsid w:val="7B5375A8"/>
    <w:rsid w:val="7BD4E4BC"/>
    <w:rsid w:val="7BE84055"/>
    <w:rsid w:val="7C17D6B4"/>
    <w:rsid w:val="7C808B06"/>
    <w:rsid w:val="7CBD698D"/>
    <w:rsid w:val="7D2324D6"/>
    <w:rsid w:val="7DBC3305"/>
    <w:rsid w:val="7DC69DC6"/>
    <w:rsid w:val="7E111741"/>
    <w:rsid w:val="7E4236A1"/>
    <w:rsid w:val="7E5D7C74"/>
    <w:rsid w:val="7EA9F131"/>
    <w:rsid w:val="7EE84CEA"/>
    <w:rsid w:val="7EFA77B0"/>
    <w:rsid w:val="7F0AAA26"/>
    <w:rsid w:val="7F430DE2"/>
    <w:rsid w:val="7F9A7C3C"/>
    <w:rsid w:val="7F9B798E"/>
    <w:rsid w:val="7FD5FEE2"/>
    <w:rsid w:val="7FFFC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E3FF4"/>
  <w15:chartTrackingRefBased/>
  <w15:docId w15:val="{41066779-CB27-4507-8B8C-F5584B89DA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FF2670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FF2670C"/>
    <w:pPr>
      <w:spacing/>
      <w:ind w:left="720"/>
      <w:contextualSpacing/>
    </w:pPr>
  </w:style>
  <w:style w:type="paragraph" w:styleId="Heading2">
    <w:uiPriority w:val="9"/>
    <w:name w:val="heading 2"/>
    <w:basedOn w:val="Normal"/>
    <w:next w:val="Normal"/>
    <w:unhideWhenUsed/>
    <w:qFormat/>
    <w:rsid w:val="3FF2670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FF2670C"/>
    <w:rPr>
      <w:color w:val="467886"/>
      <w:u w:val="single"/>
    </w:rPr>
  </w:style>
  <w:style w:type="paragraph" w:styleId="Heading3">
    <w:uiPriority w:val="9"/>
    <w:name w:val="heading 3"/>
    <w:basedOn w:val="Normal"/>
    <w:next w:val="Normal"/>
    <w:unhideWhenUsed/>
    <w:qFormat/>
    <w:rsid w:val="3FF2670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52198256"/>
    <w:pPr>
      <w:tabs>
        <w:tab w:val="center" w:leader="none" w:pos="4680"/>
        <w:tab w:val="right" w:leader="none" w:pos="9360"/>
      </w:tabs>
      <w:spacing w:after="0" w:line="240" w:lineRule="auto"/>
    </w:pPr>
  </w:style>
  <w:style w:type="paragraph" w:styleId="Footer">
    <w:uiPriority w:val="99"/>
    <w:name w:val="footer"/>
    <w:basedOn w:val="Normal"/>
    <w:unhideWhenUsed/>
    <w:rsid w:val="5219825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2Char" w:customStyle="true">
    <w:uiPriority w:val="9"/>
    <w:name w:val="Heading 2 Char"/>
    <w:basedOn w:val="DefaultParagraphFont"/>
    <w:link w:val="Heading2"/>
    <w:rsid w:val="167DB4A6"/>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NoSpacing">
    <w:uiPriority w:val="1"/>
    <w:name w:val="No Spacing"/>
    <w:qFormat/>
    <w:rsid w:val="167DB4A6"/>
    <w:pPr>
      <w:spacing w:after="0"/>
    </w:pPr>
  </w:style>
  <w:style w:type="paragraph" w:styleId="TOC1">
    <w:uiPriority w:val="39"/>
    <w:name w:val="toc 1"/>
    <w:basedOn w:val="Normal"/>
    <w:next w:val="Normal"/>
    <w:unhideWhenUsed/>
    <w:rsid w:val="167DB4A6"/>
    <w:pPr>
      <w:spacing w:after="100"/>
    </w:pPr>
  </w:style>
  <w:style w:type="paragraph" w:styleId="TOC2">
    <w:uiPriority w:val="39"/>
    <w:name w:val="toc 2"/>
    <w:basedOn w:val="Normal"/>
    <w:next w:val="Normal"/>
    <w:unhideWhenUsed/>
    <w:rsid w:val="167DB4A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28727ba3fbe4c7d" /><Relationship Type="http://schemas.openxmlformats.org/officeDocument/2006/relationships/header" Target="/word/header.xml" Id="R01e5bb48a75a4d8b" /><Relationship Type="http://schemas.openxmlformats.org/officeDocument/2006/relationships/footer" Target="/word/footer.xml" Id="Rbf7c2a742cdb4218" /><Relationship Type="http://schemas.openxmlformats.org/officeDocument/2006/relationships/hyperlink" Target="https://www.ons.gov.uk/peoplepopulationandcommunity/healthandsocialcare/healthinequalities?utm_source=chatgpt.com" TargetMode="External" Id="R71dcc7b3e738459a" /><Relationship Type="http://schemas.openxmlformats.org/officeDocument/2006/relationships/hyperlink" Target="https://assets.publishing.service.gov.uk/media/5f328354d3bf7f1b12a7023a/Disparities_in_the_risk_and_outcomes_of_COVID_August_2020_update.pdf?utm_source=chatgpt.com" TargetMode="External" Id="R38c7c1ca13214f2f" /><Relationship Type="http://schemas.openxmlformats.org/officeDocument/2006/relationships/hyperlink" Target="https://www.gov.scot/publications/understanding-diet-weight-type-2-diabetes-minority-ethnic-groups-scotland-access-experiences-services-support-weight-management-type-2-diabetes-recommendations-change/" TargetMode="External" Id="Rac866f06d6054f39" /><Relationship Type="http://schemas.openxmlformats.org/officeDocument/2006/relationships/hyperlink" Target="https://www.ons.gov.uk/peoplepopulationandcommunity/healthandsocialcare/healthinequalities?utm_source=chatgpt.com" TargetMode="External" Id="R6740fc1f8ef14570" /><Relationship Type="http://schemas.openxmlformats.org/officeDocument/2006/relationships/hyperlink" Target="https://assets.publishing.service.gov.uk/media/5f328354d3bf7f1b12a7023a/Disparities_in_the_risk_and_outcomes_of_COVID_August_2020_update.pdf?utm_source=chatgpt.com" TargetMode="External" Id="R49a1fc9b5f524681" /><Relationship Type="http://schemas.openxmlformats.org/officeDocument/2006/relationships/hyperlink" Target="https://www.kingsfund.org.uk/insight-and-analysis/long-reads/health-people-ethnic-minority-groups-england?utm_source=chatgpt.com" TargetMode="External" Id="R08b03e565c194453" /><Relationship Type="http://schemas.openxmlformats.org/officeDocument/2006/relationships/hyperlink" Target="https://www.instituteofhealthequity.org/resources-reports/the-marmot-review-10-years-on" TargetMode="External" Id="R3b63ce7af1554ed8" /><Relationship Type="http://schemas.openxmlformats.org/officeDocument/2006/relationships/hyperlink" Target="https://www.ons.gov.uk/peoplepopulationandcommunity/healthandsocialcare/healthinequalities?utm_source=chatgpt.com" TargetMode="External" Id="R9dee128290f84a5f" /><Relationship Type="http://schemas.openxmlformats.org/officeDocument/2006/relationships/hyperlink" Target="https://assets.publishing.service.gov.uk/media/5f328354d3bf7f1b12a7023a/Disparities_in_the_risk_and_outcomes_of_COVID_August_2020_update.pdf?utm_source=chatgpt.com" TargetMode="External" Id="Rf1f93b2ee2af4773" /><Relationship Type="http://schemas.openxmlformats.org/officeDocument/2006/relationships/hyperlink" Target="https://www.kingsfund.org.uk/insight-and-analysis/long-reads/health-people-ethnic-minority-groups-england?utm_source=chatgpt.com" TargetMode="External" Id="Rf7e95eba07e44cfb" /><Relationship Type="http://schemas.openxmlformats.org/officeDocument/2006/relationships/hyperlink" Target="https://www.equalityhumanrights.com/en/advice-and-guidance/equality-act-2010" TargetMode="External" Id="R9ecc4b584def4ecd" /><Relationship Type="http://schemas.openxmlformats.org/officeDocument/2006/relationships/hyperlink" Target="https://www.instituteofhealthequity.org/resources-reports/the-marmot-review-10-years-on" TargetMode="External" Id="Rcb68b2a4167d4151" /><Relationship Type="http://schemas.openxmlformats.org/officeDocument/2006/relationships/hyperlink" Target="https://www.mind.org.uk/about-us/our-policy-work/ethnic-inequalities/" TargetMode="External" Id="Rf4daf0e78e4c487b" /><Relationship Type="http://schemas.openxmlformats.org/officeDocument/2006/relationships/hyperlink" Target="https://www.longtermplan.nhs.uk/" TargetMode="External" Id="Rd98b313bdf0a48ee" /><Relationship Type="http://schemas.openxmlformats.org/officeDocument/2006/relationships/hyperlink" Target="https://www.england.nhs.uk/about/equality/equality-hub/core20plus5/" TargetMode="External" Id="R4f9ea6a8d96d4230" /><Relationship Type="http://schemas.openxmlformats.org/officeDocument/2006/relationships/hyperlink" Target="https://assets.publishing.service.gov.uk/media/5f328354d3bf7f1b12a7023a/Disparities_in_the_risk_and_outcomes_of_COVID_August_2020_update.pdf?utm_source=chatgpt.com" TargetMode="External" Id="Rdf48befe43d343ea" /><Relationship Type="http://schemas.openxmlformats.org/officeDocument/2006/relationships/hyperlink" Target="https://www.runnymedetrust.org/publications" TargetMode="External" Id="Ra121275fac90498f" /><Relationship Type="http://schemas.openxmlformats.org/officeDocument/2006/relationships/hyperlink" Target="https://www.kingsfund.org.uk/insight-and-analysis/long-reads/health-people-ethnic-minority-groups-england?utm_source=chatgpt.com" TargetMode="External" Id="R3a4521bde6da4eeb" /><Relationship Type="http://schemas.openxmlformats.org/officeDocument/2006/relationships/hyperlink" Target="https://www.diabetes.org.uk/professionals/position-statements-reports/statistics" TargetMode="External" Id="R0271ee91d00a4f0a" /><Relationship Type="http://schemas.openxmlformats.org/officeDocument/2006/relationships/hyperlink" Target="https://assets.publishing.service.gov.uk/media/5f328354d3bf7f1b12a7023a/Disparities_in_the_risk_and_outcomes_of_COVID_August_2020_update.pdf?utm_source=chatgpt.com" TargetMode="External" Id="R2bff4902ada94334" /><Relationship Type="http://schemas.openxmlformats.org/officeDocument/2006/relationships/hyperlink" Target="https://www.kingsfund.org.uk/insight-and-analysis/long-reads/health-people-ethnic-minority-groups-england?utm_source=chatgpt.com" TargetMode="External" Id="Rb168e191f9c64572" /><Relationship Type="http://schemas.openxmlformats.org/officeDocument/2006/relationships/hyperlink" Target="https://www.diabetes.org.uk/professionals/position-statements-reports/statistics" TargetMode="External" Id="R1d1fa4140ab9430f" /><Relationship Type="http://schemas.openxmlformats.org/officeDocument/2006/relationships/hyperlink" Target="https://www.instituteofhealthequity.org/resources-reports/the-marmot-review-10-years-on" TargetMode="External" Id="Rbb0e8740d2e547c9" /><Relationship Type="http://schemas.openxmlformats.org/officeDocument/2006/relationships/hyperlink" Target="https://www.ons.gov.uk/peoplepopulationandcommunity/healthandsocialcare/healthinequalities?utm_source=chatgpt.com" TargetMode="External" Id="R6ddc8b72a80340be" /><Relationship Type="http://schemas.openxmlformats.org/officeDocument/2006/relationships/hyperlink" Target="https://assets.publishing.service.gov.uk/media/5f328354d3bf7f1b12a7023a/Disparities_in_the_risk_and_outcomes_of_COVID_August_2020_update.pdf?utm_source=chatgpt.com" TargetMode="External" Id="Re82cab966ba445e5" /><Relationship Type="http://schemas.openxmlformats.org/officeDocument/2006/relationships/hyperlink" Target="https://www.kingsfund.org.uk/insight-and-analysis/long-reads/health-people-ethnic-minority-groups-england?utm_source=chatgpt.com" TargetMode="External" Id="R8d9c6417cf95474d" /><Relationship Type="http://schemas.openxmlformats.org/officeDocument/2006/relationships/hyperlink" Target="https://www.diabetes.org.uk/professionals/position-statements-reports/statistics" TargetMode="External" Id="R5ac997d27ce74102" /><Relationship Type="http://schemas.openxmlformats.org/officeDocument/2006/relationships/hyperlink" Target="https://www.instituteofhealthequity.org/resources-reports/the-marmot-review-10-years-on" TargetMode="External" Id="R4069406b90b64785" /><Relationship Type="http://schemas.openxmlformats.org/officeDocument/2006/relationships/hyperlink" Target="https://assets.publishing.service.gov.uk/media/5f328354d3bf7f1b12a7023a/Disparities_in_the_risk_and_outcomes_of_COVID_August_2020_update.pdf?utm_source=chatgpt.com" TargetMode="External" Id="R31792df2cb1a42a4" /><Relationship Type="http://schemas.openxmlformats.org/officeDocument/2006/relationships/hyperlink" Target="https://www.kingsfund.org.uk/insight-and-analysis/long-reads/health-people-ethnic-minority-groups-england?utm_source=chatgpt.com" TargetMode="External" Id="R83490a44a58e4c1e" /><Relationship Type="http://schemas.openxmlformats.org/officeDocument/2006/relationships/hyperlink" Target="https://digital.nhs.uk/data-and-information/publications/statistical/national-diabetes-audit" TargetMode="External" Id="R1903de09d50547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Ali (2208450)</dc:creator>
  <keywords/>
  <dc:description/>
  <lastModifiedBy>Nazia Ali (2208450)</lastModifiedBy>
  <revision>10</revision>
  <dcterms:created xsi:type="dcterms:W3CDTF">2025-10-15T23:13:16.1929938Z</dcterms:created>
  <dcterms:modified xsi:type="dcterms:W3CDTF">2025-10-26T18:19:04.3455539Z</dcterms:modified>
</coreProperties>
</file>