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F0D0A" w14:textId="77777777" w:rsidR="008A4449" w:rsidRPr="00F96AA0" w:rsidRDefault="008A4449"/>
    <w:p w14:paraId="2A94B557" w14:textId="77777777" w:rsidR="008A4449" w:rsidRPr="00F96AA0" w:rsidRDefault="008A4449" w:rsidP="008A4449">
      <w:pPr>
        <w:rPr>
          <w:rFonts w:ascii="Arial" w:hAnsi="Arial" w:cs="Arial"/>
        </w:rPr>
      </w:pPr>
      <w:r w:rsidRPr="00F96AA0">
        <w:rPr>
          <w:rFonts w:ascii="Arial" w:hAnsi="Arial" w:cs="Arial"/>
        </w:rPr>
        <w:t>Case Study 1</w:t>
      </w:r>
    </w:p>
    <w:p w14:paraId="589B3D5E" w14:textId="7B464A00" w:rsidR="008A4449" w:rsidRDefault="008A4449" w:rsidP="008A4449">
      <w:pPr>
        <w:rPr>
          <w:rFonts w:ascii="Arial" w:hAnsi="Arial" w:cs="Arial"/>
        </w:rPr>
      </w:pPr>
      <w:r w:rsidRPr="00F96AA0">
        <w:rPr>
          <w:rFonts w:ascii="Arial" w:hAnsi="Arial" w:cs="Arial"/>
        </w:rPr>
        <w:t xml:space="preserve">Joanna is a </w:t>
      </w:r>
      <w:r w:rsidR="00757085" w:rsidRPr="00F96AA0">
        <w:rPr>
          <w:rFonts w:ascii="Arial" w:hAnsi="Arial" w:cs="Arial"/>
        </w:rPr>
        <w:t>4-year-old</w:t>
      </w:r>
      <w:r w:rsidRPr="00F96AA0">
        <w:rPr>
          <w:rFonts w:ascii="Arial" w:hAnsi="Arial" w:cs="Arial"/>
        </w:rPr>
        <w:t xml:space="preserve"> girl who has recently started in your reception class. As a teaching assistant you have built a good relationship with her and found her to be happy, outgoing, confident and independent young girl. However, over recent weeks, you have seen a change in her behaviour. She has been quiet, clingy and reluctant to leave your side. She is also reluctant to take her jumper or cardigan off even though it is very warm weather. This morning, when she reached across you for some glue, you noticed some bruising on her body, near her ribs. When you ask Joanna about the bruises she gets upset and doesn’t say anything. Consider how you might deal with this situation with regards to recognising and reporting concerns.</w:t>
      </w:r>
    </w:p>
    <w:p w14:paraId="6DFFF45C" w14:textId="3C9C48C9" w:rsidR="008A523E" w:rsidRPr="008A523E" w:rsidRDefault="00B1339E" w:rsidP="008A4449">
      <w:pPr>
        <w:rPr>
          <w:rFonts w:ascii="Arial" w:hAnsi="Arial" w:cs="Arial"/>
          <w:b/>
          <w:bCs/>
        </w:rPr>
      </w:pPr>
      <w:r>
        <w:rPr>
          <w:rFonts w:ascii="Arial" w:hAnsi="Arial" w:cs="Arial"/>
          <w:b/>
          <w:bCs/>
        </w:rPr>
        <w:t>Case Study</w:t>
      </w:r>
    </w:p>
    <w:p w14:paraId="1E0372A1" w14:textId="29DAAEB3" w:rsidR="00AA7B23" w:rsidRPr="004226FB" w:rsidRDefault="00AA7B23" w:rsidP="00AA7B23">
      <w:pPr>
        <w:rPr>
          <w:rFonts w:ascii="Arial" w:hAnsi="Arial" w:cs="Arial"/>
        </w:rPr>
      </w:pPr>
      <w:r w:rsidRPr="004226FB">
        <w:rPr>
          <w:rFonts w:ascii="Arial" w:hAnsi="Arial" w:cs="Arial"/>
        </w:rPr>
        <w:t>Ensuring the safety and well-being of children is a paramount concern in the early years educational setting, and the ability to recognize and record safeguarding concerns is a critical skill for educators working with young children. Practitioners play a vital role in child protection, not only in detecting and reporting potential cases of abuse, but also in collaborating with multidisciplinary teams and contributing to the ongoing support and monitoring of children who have experienced abuse. (Schols, Ruiter,</w:t>
      </w:r>
      <w:r w:rsidR="00E8312F" w:rsidRPr="004226FB">
        <w:rPr>
          <w:rFonts w:ascii="Arial" w:hAnsi="Arial" w:cs="Arial"/>
        </w:rPr>
        <w:t xml:space="preserve"> </w:t>
      </w:r>
      <w:r w:rsidRPr="004226FB">
        <w:rPr>
          <w:rFonts w:ascii="Arial" w:hAnsi="Arial" w:cs="Arial"/>
        </w:rPr>
        <w:t>and Öry,2013)</w:t>
      </w:r>
      <w:r w:rsidR="002D70F7" w:rsidRPr="004226FB">
        <w:rPr>
          <w:rFonts w:ascii="Arial" w:hAnsi="Arial" w:cs="Arial"/>
        </w:rPr>
        <w:t xml:space="preserve">. </w:t>
      </w:r>
      <w:r w:rsidR="00B36FE8" w:rsidRPr="004226FB">
        <w:rPr>
          <w:rFonts w:ascii="Arial" w:hAnsi="Arial" w:cs="Arial"/>
        </w:rPr>
        <w:t>According to the NSPCC</w:t>
      </w:r>
      <w:r w:rsidR="00742449" w:rsidRPr="004226FB">
        <w:rPr>
          <w:rFonts w:ascii="Arial" w:hAnsi="Arial" w:cs="Arial"/>
        </w:rPr>
        <w:t xml:space="preserve"> (2024)</w:t>
      </w:r>
      <w:r w:rsidR="00B36FE8" w:rsidRPr="004226FB">
        <w:rPr>
          <w:rFonts w:ascii="Arial" w:hAnsi="Arial" w:cs="Arial"/>
        </w:rPr>
        <w:t>,</w:t>
      </w:r>
      <w:r w:rsidR="000E00F4" w:rsidRPr="004226FB">
        <w:rPr>
          <w:rFonts w:ascii="Arial" w:hAnsi="Arial" w:cs="Arial"/>
        </w:rPr>
        <w:t xml:space="preserve"> </w:t>
      </w:r>
      <w:r w:rsidR="008D329C" w:rsidRPr="004226FB">
        <w:rPr>
          <w:rFonts w:ascii="Arial" w:hAnsi="Arial" w:cs="Arial"/>
        </w:rPr>
        <w:t xml:space="preserve">in the case </w:t>
      </w:r>
      <w:r w:rsidR="003E3770" w:rsidRPr="004226FB">
        <w:rPr>
          <w:rFonts w:ascii="Arial" w:hAnsi="Arial" w:cs="Arial"/>
        </w:rPr>
        <w:t xml:space="preserve">of </w:t>
      </w:r>
      <w:r w:rsidR="00B36FE8" w:rsidRPr="004226FB">
        <w:rPr>
          <w:rFonts w:ascii="Arial" w:hAnsi="Arial" w:cs="Arial"/>
        </w:rPr>
        <w:t xml:space="preserve">Joanna </w:t>
      </w:r>
      <w:r w:rsidR="003E3770" w:rsidRPr="004226FB">
        <w:rPr>
          <w:rFonts w:ascii="Arial" w:hAnsi="Arial" w:cs="Arial"/>
        </w:rPr>
        <w:t xml:space="preserve">she </w:t>
      </w:r>
      <w:r w:rsidR="007C6EB2" w:rsidRPr="004226FB">
        <w:rPr>
          <w:rFonts w:ascii="Arial" w:hAnsi="Arial" w:cs="Arial"/>
        </w:rPr>
        <w:t>subjects</w:t>
      </w:r>
      <w:r w:rsidR="00B36FE8" w:rsidRPr="004226FB">
        <w:rPr>
          <w:rFonts w:ascii="Arial" w:hAnsi="Arial" w:cs="Arial"/>
        </w:rPr>
        <w:t xml:space="preserve"> to various forms of </w:t>
      </w:r>
      <w:r w:rsidR="004E4A67" w:rsidRPr="004226FB">
        <w:rPr>
          <w:rFonts w:ascii="Arial" w:hAnsi="Arial" w:cs="Arial"/>
        </w:rPr>
        <w:t xml:space="preserve">abuse, as she has been </w:t>
      </w:r>
      <w:r w:rsidR="000969C5" w:rsidRPr="004226FB">
        <w:rPr>
          <w:rFonts w:ascii="Arial" w:hAnsi="Arial" w:cs="Arial"/>
        </w:rPr>
        <w:t xml:space="preserve">clingier and more </w:t>
      </w:r>
      <w:r w:rsidR="001C2F86" w:rsidRPr="004226FB">
        <w:rPr>
          <w:rFonts w:ascii="Arial" w:hAnsi="Arial" w:cs="Arial"/>
        </w:rPr>
        <w:t>withdrawn,</w:t>
      </w:r>
      <w:r w:rsidR="00423BEB" w:rsidRPr="004226FB">
        <w:rPr>
          <w:rFonts w:ascii="Arial" w:hAnsi="Arial" w:cs="Arial"/>
        </w:rPr>
        <w:t xml:space="preserve"> and</w:t>
      </w:r>
      <w:r w:rsidR="00473982" w:rsidRPr="004226FB">
        <w:rPr>
          <w:rFonts w:ascii="Arial" w:hAnsi="Arial" w:cs="Arial"/>
        </w:rPr>
        <w:t xml:space="preserve"> these are signs</w:t>
      </w:r>
      <w:r w:rsidR="003715DE" w:rsidRPr="004226FB">
        <w:rPr>
          <w:rFonts w:ascii="Arial" w:hAnsi="Arial" w:cs="Arial"/>
        </w:rPr>
        <w:t xml:space="preserve"> and indicators</w:t>
      </w:r>
      <w:r w:rsidR="00814AF0" w:rsidRPr="004226FB">
        <w:rPr>
          <w:rFonts w:ascii="Arial" w:hAnsi="Arial" w:cs="Arial"/>
        </w:rPr>
        <w:t xml:space="preserve"> of possible </w:t>
      </w:r>
      <w:r w:rsidR="00742449" w:rsidRPr="004226FB">
        <w:rPr>
          <w:rFonts w:ascii="Arial" w:hAnsi="Arial" w:cs="Arial"/>
        </w:rPr>
        <w:t>physical abuse going on</w:t>
      </w:r>
      <w:r w:rsidR="005440BA" w:rsidRPr="004226FB">
        <w:rPr>
          <w:rFonts w:ascii="Arial" w:hAnsi="Arial" w:cs="Arial"/>
        </w:rPr>
        <w:t xml:space="preserve"> th</w:t>
      </w:r>
      <w:r w:rsidR="000A5005" w:rsidRPr="004226FB">
        <w:rPr>
          <w:rFonts w:ascii="Arial" w:hAnsi="Arial" w:cs="Arial"/>
        </w:rPr>
        <w:t xml:space="preserve">rough observations that has been carried out. </w:t>
      </w:r>
    </w:p>
    <w:p w14:paraId="0EE51180" w14:textId="4BA73047" w:rsidR="00A62A15" w:rsidRPr="004226FB" w:rsidRDefault="00A84BAE" w:rsidP="00A62A15">
      <w:pPr>
        <w:rPr>
          <w:rFonts w:ascii="Arial" w:hAnsi="Arial" w:cs="Arial"/>
        </w:rPr>
      </w:pPr>
      <w:r w:rsidRPr="004226FB">
        <w:rPr>
          <w:rFonts w:ascii="Arial" w:hAnsi="Arial" w:cs="Arial"/>
        </w:rPr>
        <w:t xml:space="preserve">Campell and </w:t>
      </w:r>
      <w:proofErr w:type="spellStart"/>
      <w:r w:rsidRPr="004226FB">
        <w:rPr>
          <w:rFonts w:ascii="Arial" w:hAnsi="Arial" w:cs="Arial"/>
        </w:rPr>
        <w:t>Wiggleworth</w:t>
      </w:r>
      <w:proofErr w:type="spellEnd"/>
      <w:r w:rsidR="00B81134" w:rsidRPr="004226FB">
        <w:rPr>
          <w:rFonts w:ascii="Arial" w:hAnsi="Arial" w:cs="Arial"/>
        </w:rPr>
        <w:t xml:space="preserve"> (</w:t>
      </w:r>
      <w:r w:rsidRPr="004226FB">
        <w:rPr>
          <w:rFonts w:ascii="Arial" w:hAnsi="Arial" w:cs="Arial"/>
        </w:rPr>
        <w:t>1993) mention that t</w:t>
      </w:r>
      <w:r w:rsidR="00AA7B23" w:rsidRPr="004226FB">
        <w:rPr>
          <w:rFonts w:ascii="Arial" w:hAnsi="Arial" w:cs="Arial"/>
        </w:rPr>
        <w:t>o enable practitioners and staff to properly carry out their role in child protection, it is crucial that they receive appropriate in-service training that emphasizes the importance of child protection issues and promotes the development of the necessary skills</w:t>
      </w:r>
      <w:r w:rsidR="00694417" w:rsidRPr="004226FB">
        <w:rPr>
          <w:rFonts w:ascii="Arial" w:hAnsi="Arial" w:cs="Arial"/>
        </w:rPr>
        <w:t xml:space="preserve">. </w:t>
      </w:r>
      <w:r w:rsidR="00A62A15" w:rsidRPr="004226FB">
        <w:rPr>
          <w:rFonts w:ascii="Arial" w:hAnsi="Arial" w:cs="Arial"/>
        </w:rPr>
        <w:t xml:space="preserve">However, </w:t>
      </w:r>
      <w:r w:rsidR="00AE3E42" w:rsidRPr="004226FB">
        <w:rPr>
          <w:rFonts w:ascii="Arial" w:hAnsi="Arial" w:cs="Arial"/>
        </w:rPr>
        <w:t xml:space="preserve">Sidebotham (2019) </w:t>
      </w:r>
      <w:r w:rsidR="00920B2D" w:rsidRPr="004226FB">
        <w:rPr>
          <w:rFonts w:ascii="Arial" w:hAnsi="Arial" w:cs="Arial"/>
        </w:rPr>
        <w:t>stated that some might</w:t>
      </w:r>
      <w:r w:rsidR="00A62A15" w:rsidRPr="004226FB">
        <w:rPr>
          <w:rFonts w:ascii="Arial" w:hAnsi="Arial" w:cs="Arial"/>
        </w:rPr>
        <w:t xml:space="preserve"> argue that extensive in-service training on child protection may not be necessary for all practitioners and staff in the early years setting. They suggest that while all staff should have a basic understanding of safeguarding, the responsibility for detailed training and case management should be primarily with designated safeguarding leads or other specialized personnel. This view contends that overly burdensome training requirements could divert resources and attention away fr</w:t>
      </w:r>
      <w:r w:rsidR="003920D4" w:rsidRPr="004226FB">
        <w:rPr>
          <w:rFonts w:ascii="Arial" w:hAnsi="Arial" w:cs="Arial"/>
        </w:rPr>
        <w:t>o</w:t>
      </w:r>
      <w:r w:rsidR="00A62A15" w:rsidRPr="004226FB">
        <w:rPr>
          <w:rFonts w:ascii="Arial" w:hAnsi="Arial" w:cs="Arial"/>
        </w:rPr>
        <w:t xml:space="preserve">m direct work with children. </w:t>
      </w:r>
    </w:p>
    <w:p w14:paraId="246CC3D2" w14:textId="39DC125D" w:rsidR="00A84BAE" w:rsidRPr="004226FB" w:rsidRDefault="00A84BAE" w:rsidP="00A84BAE">
      <w:pPr>
        <w:rPr>
          <w:rFonts w:ascii="Arial" w:hAnsi="Arial" w:cs="Arial"/>
        </w:rPr>
      </w:pPr>
      <w:r w:rsidRPr="004226FB">
        <w:rPr>
          <w:rFonts w:ascii="Arial" w:hAnsi="Arial" w:cs="Arial"/>
        </w:rPr>
        <w:t>A</w:t>
      </w:r>
      <w:r w:rsidR="003920D4" w:rsidRPr="004226FB">
        <w:rPr>
          <w:rFonts w:ascii="Arial" w:hAnsi="Arial" w:cs="Arial"/>
        </w:rPr>
        <w:t>s</w:t>
      </w:r>
      <w:r w:rsidRPr="004226FB">
        <w:rPr>
          <w:rFonts w:ascii="Arial" w:hAnsi="Arial" w:cs="Arial"/>
        </w:rPr>
        <w:t xml:space="preserve"> practitioner</w:t>
      </w:r>
      <w:r w:rsidR="003920D4" w:rsidRPr="004226FB">
        <w:rPr>
          <w:rFonts w:ascii="Arial" w:hAnsi="Arial" w:cs="Arial"/>
        </w:rPr>
        <w:t>s</w:t>
      </w:r>
      <w:r w:rsidRPr="004226FB">
        <w:rPr>
          <w:rFonts w:ascii="Arial" w:hAnsi="Arial" w:cs="Arial"/>
        </w:rPr>
        <w:t xml:space="preserve">, it is crucial </w:t>
      </w:r>
      <w:r w:rsidR="00725E04" w:rsidRPr="004226FB">
        <w:rPr>
          <w:rFonts w:ascii="Arial" w:hAnsi="Arial" w:cs="Arial"/>
        </w:rPr>
        <w:t xml:space="preserve">that </w:t>
      </w:r>
      <w:r w:rsidR="003920D4" w:rsidRPr="004226FB">
        <w:rPr>
          <w:rFonts w:ascii="Arial" w:hAnsi="Arial" w:cs="Arial"/>
        </w:rPr>
        <w:t>they</w:t>
      </w:r>
      <w:r w:rsidRPr="004226FB">
        <w:rPr>
          <w:rFonts w:ascii="Arial" w:hAnsi="Arial" w:cs="Arial"/>
        </w:rPr>
        <w:t xml:space="preserve"> have a thorough understanding of the appropriate techniques for observing, questioning, and reporting information when it comes to safeguarding children. The "opening doors" approach highlighted in the literature by Marchant, Carter and Fairhurst (2020) involves carefully and open-mindedly responding to children, offering them a safe and accessible way to explore any potential concerns at their own pace, without leading them or contaminating their accounts - this approach is vital for both protecting children and preserving any potential evidence</w:t>
      </w:r>
      <w:r w:rsidR="00100D63" w:rsidRPr="004226FB">
        <w:rPr>
          <w:rFonts w:ascii="Arial" w:hAnsi="Arial" w:cs="Arial"/>
        </w:rPr>
        <w:t>.</w:t>
      </w:r>
      <w:r w:rsidR="00D61E2E">
        <w:rPr>
          <w:rFonts w:ascii="Arial" w:hAnsi="Arial" w:cs="Arial"/>
        </w:rPr>
        <w:t xml:space="preserve"> </w:t>
      </w:r>
      <w:r w:rsidR="0054300B" w:rsidRPr="004226FB">
        <w:rPr>
          <w:rFonts w:ascii="Arial" w:hAnsi="Arial" w:cs="Arial"/>
        </w:rPr>
        <w:t>Gani and Wool</w:t>
      </w:r>
      <w:r w:rsidR="007C24B0" w:rsidRPr="004226FB">
        <w:rPr>
          <w:rFonts w:ascii="Arial" w:hAnsi="Arial" w:cs="Arial"/>
        </w:rPr>
        <w:t>ey (2009</w:t>
      </w:r>
      <w:r w:rsidR="00B00C32" w:rsidRPr="004226FB">
        <w:rPr>
          <w:rFonts w:ascii="Arial" w:hAnsi="Arial" w:cs="Arial"/>
        </w:rPr>
        <w:t>a</w:t>
      </w:r>
      <w:r w:rsidR="007C24B0" w:rsidRPr="004226FB">
        <w:rPr>
          <w:rFonts w:ascii="Arial" w:hAnsi="Arial" w:cs="Arial"/>
        </w:rPr>
        <w:t>) states that b</w:t>
      </w:r>
      <w:r w:rsidRPr="004226FB">
        <w:rPr>
          <w:rFonts w:ascii="Arial" w:hAnsi="Arial" w:cs="Arial"/>
        </w:rPr>
        <w:t>y fostering an environment where children feel safe, respected, and empowered to share their concerns, practitioners can play a vital role in protecting the most vulnerable members of society</w:t>
      </w:r>
      <w:r w:rsidR="007C24B0" w:rsidRPr="004226FB">
        <w:rPr>
          <w:rFonts w:ascii="Arial" w:hAnsi="Arial" w:cs="Arial"/>
        </w:rPr>
        <w:t xml:space="preserve">. </w:t>
      </w:r>
      <w:r w:rsidR="00D61E2E">
        <w:rPr>
          <w:rFonts w:ascii="Arial" w:hAnsi="Arial" w:cs="Arial"/>
        </w:rPr>
        <w:t xml:space="preserve"> </w:t>
      </w:r>
      <w:r w:rsidRPr="004226FB">
        <w:rPr>
          <w:rFonts w:ascii="Arial" w:hAnsi="Arial" w:cs="Arial"/>
        </w:rPr>
        <w:t xml:space="preserve">When questioning children as part of safeguarding procedures, it is critical to employ open-ended, non-leading questions that allow the child to share information freely, without feeling pressured or manipulated. This approach encourages the child to provide their own account and perspective, rather than leading them towards a particular response. By using open questioning techniques, practitioners can gain a more comprehensive understanding of the child's experiences and any potential concerns, while </w:t>
      </w:r>
      <w:r w:rsidRPr="004226FB">
        <w:rPr>
          <w:rFonts w:ascii="Arial" w:hAnsi="Arial" w:cs="Arial"/>
        </w:rPr>
        <w:lastRenderedPageBreak/>
        <w:t xml:space="preserve">also creating a safe and supportive environment for the child to openly express themselves. (Cameron, 2005) </w:t>
      </w:r>
    </w:p>
    <w:p w14:paraId="7164169A" w14:textId="519DBA3A" w:rsidR="000B3EEA" w:rsidRPr="004226FB" w:rsidRDefault="00A84BAE" w:rsidP="00A84BAE">
      <w:pPr>
        <w:rPr>
          <w:rFonts w:ascii="Arial" w:hAnsi="Arial" w:cs="Arial"/>
        </w:rPr>
      </w:pPr>
      <w:r w:rsidRPr="004226FB">
        <w:rPr>
          <w:rFonts w:ascii="Arial" w:hAnsi="Arial" w:cs="Arial"/>
        </w:rPr>
        <w:t xml:space="preserve"> Furthermore, accurately recording and reporting any information gathered through observations and questioning is paramount in ensuring the effective safeguarding of children</w:t>
      </w:r>
      <w:r w:rsidR="003C1CA3" w:rsidRPr="004226FB">
        <w:rPr>
          <w:rFonts w:ascii="Arial" w:hAnsi="Arial" w:cs="Arial"/>
        </w:rPr>
        <w:t xml:space="preserve"> </w:t>
      </w:r>
      <w:r w:rsidRPr="004226FB">
        <w:rPr>
          <w:rFonts w:ascii="Arial" w:hAnsi="Arial" w:cs="Arial"/>
        </w:rPr>
        <w:t>(</w:t>
      </w:r>
      <w:r w:rsidR="00B00C32" w:rsidRPr="004226FB">
        <w:rPr>
          <w:rFonts w:ascii="Arial" w:hAnsi="Arial" w:cs="Arial"/>
        </w:rPr>
        <w:t>Gani, and</w:t>
      </w:r>
      <w:r w:rsidRPr="004226FB">
        <w:rPr>
          <w:rFonts w:ascii="Arial" w:hAnsi="Arial" w:cs="Arial"/>
        </w:rPr>
        <w:t xml:space="preserve"> Woolley,2009</w:t>
      </w:r>
      <w:r w:rsidR="00B00C32" w:rsidRPr="004226FB">
        <w:rPr>
          <w:rFonts w:ascii="Arial" w:hAnsi="Arial" w:cs="Arial"/>
        </w:rPr>
        <w:t>b</w:t>
      </w:r>
      <w:r w:rsidRPr="004226FB">
        <w:rPr>
          <w:rFonts w:ascii="Arial" w:hAnsi="Arial" w:cs="Arial"/>
        </w:rPr>
        <w:t>). Comprehensive and factual record-keeping, free from subjective biases or assumptions, is essential for providing a clear and reliable account of events that can be used to inform appropriate intervention and support. Overall, the careful and ethical application of observation, questioning, and reporting techniques is fundamental to the effective safeguarding of children (Marchant,</w:t>
      </w:r>
      <w:r w:rsidR="003C1CA3" w:rsidRPr="004226FB">
        <w:rPr>
          <w:rFonts w:ascii="Arial" w:hAnsi="Arial" w:cs="Arial"/>
        </w:rPr>
        <w:t xml:space="preserve"> </w:t>
      </w:r>
      <w:r w:rsidRPr="004226FB">
        <w:rPr>
          <w:rFonts w:ascii="Arial" w:hAnsi="Arial" w:cs="Arial"/>
        </w:rPr>
        <w:t>and Turner,</w:t>
      </w:r>
      <w:r w:rsidR="003C1CA3" w:rsidRPr="004226FB">
        <w:rPr>
          <w:rFonts w:ascii="Arial" w:hAnsi="Arial" w:cs="Arial"/>
        </w:rPr>
        <w:t xml:space="preserve"> </w:t>
      </w:r>
      <w:r w:rsidR="00100D63" w:rsidRPr="004226FB">
        <w:rPr>
          <w:rFonts w:ascii="Arial" w:hAnsi="Arial" w:cs="Arial"/>
        </w:rPr>
        <w:t>2017)</w:t>
      </w:r>
      <w:r w:rsidR="003818FF" w:rsidRPr="004226FB">
        <w:rPr>
          <w:rFonts w:ascii="Arial" w:hAnsi="Arial" w:cs="Arial"/>
        </w:rPr>
        <w:t xml:space="preserve">. </w:t>
      </w:r>
      <w:r w:rsidR="001E6FAE" w:rsidRPr="001E6FAE">
        <w:rPr>
          <w:rFonts w:ascii="Arial" w:hAnsi="Arial" w:cs="Arial"/>
        </w:rPr>
        <w:t>In Joanna's case, the practitioner would report their observations to the Designated Safeguarding Officer (DSO) promptly, with accurate and well-documented evidence, following the settings policies and procedures.</w:t>
      </w:r>
    </w:p>
    <w:p w14:paraId="37D4A03B" w14:textId="77CD7444" w:rsidR="00AA7B23" w:rsidRPr="00FD53D6" w:rsidRDefault="00A84BAE" w:rsidP="00AA7B23">
      <w:pPr>
        <w:rPr>
          <w:rFonts w:ascii="Arial" w:hAnsi="Arial" w:cs="Arial"/>
        </w:rPr>
      </w:pPr>
      <w:r w:rsidRPr="004226FB">
        <w:rPr>
          <w:rFonts w:ascii="Arial" w:hAnsi="Arial" w:cs="Arial"/>
        </w:rPr>
        <w:t xml:space="preserve">Making unfounded assumptions can be highly detrimental when dealing with safeguarding concerns, as it may lead practitioners to miss crucial details or overlook important contextual information. Practitioners must strive to maintain an objective, impartial stance, carefully gathering all relevant information and avoiding any preconceptions or hastily jumping to conclusions. Rigorous and comprehensive reporting of the gathered information is paramount, as this forms the vital foundation for any necessary interventions or investigations that may follow. By remaining open-minded and considering the full circumstances surrounding each case, practitioners can better understand the nuances of the situation and ensure that appropriate and well-informed action is taken to effectively protect the child's welfare and safeguard their </w:t>
      </w:r>
      <w:r w:rsidR="001757DA" w:rsidRPr="004226FB">
        <w:rPr>
          <w:rFonts w:ascii="Arial" w:hAnsi="Arial" w:cs="Arial"/>
        </w:rPr>
        <w:t>wellbeing. (</w:t>
      </w:r>
      <w:proofErr w:type="spellStart"/>
      <w:r w:rsidRPr="004226FB">
        <w:rPr>
          <w:rFonts w:ascii="Arial" w:hAnsi="Arial" w:cs="Arial"/>
        </w:rPr>
        <w:t>Asnes</w:t>
      </w:r>
      <w:proofErr w:type="spellEnd"/>
      <w:r w:rsidRPr="004226FB">
        <w:rPr>
          <w:rFonts w:ascii="Arial" w:hAnsi="Arial" w:cs="Arial"/>
        </w:rPr>
        <w:t>,</w:t>
      </w:r>
      <w:r w:rsidR="003C1CA3" w:rsidRPr="004226FB">
        <w:rPr>
          <w:rFonts w:ascii="Arial" w:hAnsi="Arial" w:cs="Arial"/>
        </w:rPr>
        <w:t xml:space="preserve"> </w:t>
      </w:r>
      <w:r w:rsidRPr="004226FB">
        <w:rPr>
          <w:rFonts w:ascii="Arial" w:hAnsi="Arial" w:cs="Arial"/>
        </w:rPr>
        <w:t>and Leventhal, 2010</w:t>
      </w:r>
      <w:r w:rsidR="002A1139" w:rsidRPr="004226FB">
        <w:rPr>
          <w:rFonts w:ascii="Arial" w:hAnsi="Arial" w:cs="Arial"/>
        </w:rPr>
        <w:t>a</w:t>
      </w:r>
      <w:r w:rsidRPr="004226FB">
        <w:rPr>
          <w:rFonts w:ascii="Arial" w:hAnsi="Arial" w:cs="Arial"/>
        </w:rPr>
        <w:t>).</w:t>
      </w:r>
    </w:p>
    <w:p w14:paraId="67D83D4B" w14:textId="211D8F85" w:rsidR="008E5A5E" w:rsidRPr="00B93461" w:rsidRDefault="004D307E" w:rsidP="004D307E">
      <w:pPr>
        <w:rPr>
          <w:rFonts w:ascii="Arial" w:hAnsi="Arial" w:cs="Arial"/>
        </w:rPr>
      </w:pPr>
      <w:r w:rsidRPr="004226FB">
        <w:rPr>
          <w:rFonts w:ascii="Arial" w:hAnsi="Arial" w:cs="Arial"/>
        </w:rPr>
        <w:t xml:space="preserve">When abuse is suspected, there are well-established reporting and referral processes that must be followed to ensure the safety and wellbeing of the child. Statutory requirements, policy frameworks, and ethical considerations all play a crucial role in guiding these </w:t>
      </w:r>
      <w:r w:rsidR="0084553D" w:rsidRPr="004226FB">
        <w:rPr>
          <w:rFonts w:ascii="Arial" w:hAnsi="Arial" w:cs="Arial"/>
        </w:rPr>
        <w:t>procedures. (</w:t>
      </w:r>
      <w:r w:rsidR="00C67005" w:rsidRPr="004226FB">
        <w:rPr>
          <w:rFonts w:ascii="Arial" w:hAnsi="Arial" w:cs="Arial"/>
        </w:rPr>
        <w:t>NICE,</w:t>
      </w:r>
      <w:r w:rsidRPr="004226FB">
        <w:rPr>
          <w:rFonts w:ascii="Arial" w:hAnsi="Arial" w:cs="Arial"/>
        </w:rPr>
        <w:t xml:space="preserve">2017). </w:t>
      </w:r>
    </w:p>
    <w:p w14:paraId="2F108AFF" w14:textId="3730D7EC" w:rsidR="004D307E" w:rsidRPr="004226FB" w:rsidRDefault="004D307E" w:rsidP="004D307E">
      <w:pPr>
        <w:rPr>
          <w:rFonts w:ascii="Arial" w:hAnsi="Arial" w:cs="Arial"/>
        </w:rPr>
      </w:pPr>
      <w:r w:rsidRPr="004226FB">
        <w:rPr>
          <w:rFonts w:ascii="Arial" w:hAnsi="Arial" w:cs="Arial"/>
        </w:rPr>
        <w:t>The recognition and reporting of child protection concerns is a fundamental aspect of safeguarding children (</w:t>
      </w:r>
      <w:r w:rsidR="002A1139" w:rsidRPr="004226FB">
        <w:rPr>
          <w:rFonts w:ascii="Arial" w:hAnsi="Arial" w:cs="Arial"/>
        </w:rPr>
        <w:t>Gani, and</w:t>
      </w:r>
      <w:r w:rsidRPr="004226FB">
        <w:rPr>
          <w:rFonts w:ascii="Arial" w:hAnsi="Arial" w:cs="Arial"/>
        </w:rPr>
        <w:t xml:space="preserve"> Woolley, 2009</w:t>
      </w:r>
      <w:r w:rsidR="002356A4" w:rsidRPr="004226FB">
        <w:rPr>
          <w:rFonts w:ascii="Arial" w:hAnsi="Arial" w:cs="Arial"/>
        </w:rPr>
        <w:t>c</w:t>
      </w:r>
      <w:r w:rsidR="00920935" w:rsidRPr="004226FB">
        <w:rPr>
          <w:rFonts w:ascii="Arial" w:hAnsi="Arial" w:cs="Arial"/>
        </w:rPr>
        <w:t>). (</w:t>
      </w:r>
      <w:r w:rsidRPr="004226FB">
        <w:rPr>
          <w:rFonts w:ascii="Arial" w:hAnsi="Arial" w:cs="Arial"/>
        </w:rPr>
        <w:t>Bromfield</w:t>
      </w:r>
      <w:r w:rsidR="0084553D" w:rsidRPr="004226FB">
        <w:rPr>
          <w:rFonts w:ascii="Arial" w:hAnsi="Arial" w:cs="Arial"/>
        </w:rPr>
        <w:t xml:space="preserve"> </w:t>
      </w:r>
      <w:r w:rsidRPr="004226FB">
        <w:rPr>
          <w:rFonts w:ascii="Arial" w:hAnsi="Arial" w:cs="Arial"/>
        </w:rPr>
        <w:t>and Higgins</w:t>
      </w:r>
      <w:r w:rsidR="0084553D" w:rsidRPr="004226FB">
        <w:rPr>
          <w:rFonts w:ascii="Arial" w:hAnsi="Arial" w:cs="Arial"/>
        </w:rPr>
        <w:t xml:space="preserve"> </w:t>
      </w:r>
      <w:r w:rsidRPr="004226FB">
        <w:rPr>
          <w:rFonts w:ascii="Arial" w:hAnsi="Arial" w:cs="Arial"/>
        </w:rPr>
        <w:t>2005</w:t>
      </w:r>
      <w:r w:rsidR="0084553D" w:rsidRPr="004226FB">
        <w:rPr>
          <w:rFonts w:ascii="Arial" w:hAnsi="Arial" w:cs="Arial"/>
        </w:rPr>
        <w:t>a</w:t>
      </w:r>
      <w:r w:rsidRPr="004226FB">
        <w:rPr>
          <w:rFonts w:ascii="Arial" w:hAnsi="Arial" w:cs="Arial"/>
        </w:rPr>
        <w:t>)</w:t>
      </w:r>
      <w:r w:rsidR="00920935">
        <w:rPr>
          <w:rFonts w:ascii="Arial" w:hAnsi="Arial" w:cs="Arial"/>
        </w:rPr>
        <w:t xml:space="preserve">. </w:t>
      </w:r>
      <w:r w:rsidRPr="004226FB">
        <w:rPr>
          <w:rFonts w:ascii="Arial" w:hAnsi="Arial" w:cs="Arial"/>
        </w:rPr>
        <w:t>Mandatory reporting laws outline the specific circumstances in which an individual is legally obligated to notify the statutory child protection services in their area. However, this does not preclude an individual from making a report even if the concerns do not fall under the mandatory reporting requirements</w:t>
      </w:r>
      <w:r w:rsidR="0084553D" w:rsidRPr="004226FB">
        <w:rPr>
          <w:rFonts w:ascii="Arial" w:hAnsi="Arial" w:cs="Arial"/>
        </w:rPr>
        <w:t xml:space="preserve"> </w:t>
      </w:r>
      <w:r w:rsidRPr="004226FB">
        <w:rPr>
          <w:rFonts w:ascii="Arial" w:hAnsi="Arial" w:cs="Arial"/>
        </w:rPr>
        <w:t>(Bromfield</w:t>
      </w:r>
      <w:r w:rsidR="0084553D" w:rsidRPr="004226FB">
        <w:rPr>
          <w:rFonts w:ascii="Arial" w:hAnsi="Arial" w:cs="Arial"/>
        </w:rPr>
        <w:t xml:space="preserve"> and </w:t>
      </w:r>
      <w:r w:rsidRPr="004226FB">
        <w:rPr>
          <w:rFonts w:ascii="Arial" w:hAnsi="Arial" w:cs="Arial"/>
        </w:rPr>
        <w:t>Higgins</w:t>
      </w:r>
      <w:r w:rsidR="0084553D" w:rsidRPr="004226FB">
        <w:rPr>
          <w:rFonts w:ascii="Arial" w:hAnsi="Arial" w:cs="Arial"/>
        </w:rPr>
        <w:t xml:space="preserve"> </w:t>
      </w:r>
      <w:r w:rsidRPr="004226FB">
        <w:rPr>
          <w:rFonts w:ascii="Arial" w:hAnsi="Arial" w:cs="Arial"/>
        </w:rPr>
        <w:t>2005</w:t>
      </w:r>
      <w:r w:rsidR="0084553D" w:rsidRPr="004226FB">
        <w:rPr>
          <w:rFonts w:ascii="Arial" w:hAnsi="Arial" w:cs="Arial"/>
        </w:rPr>
        <w:t>b</w:t>
      </w:r>
      <w:r w:rsidRPr="004226FB">
        <w:rPr>
          <w:rFonts w:ascii="Arial" w:hAnsi="Arial" w:cs="Arial"/>
        </w:rPr>
        <w:t>).</w:t>
      </w:r>
    </w:p>
    <w:p w14:paraId="31AADB54" w14:textId="206BB262" w:rsidR="004D307E" w:rsidRPr="004226FB" w:rsidRDefault="004D307E" w:rsidP="004D307E">
      <w:pPr>
        <w:rPr>
          <w:rFonts w:ascii="Arial" w:hAnsi="Arial" w:cs="Arial"/>
        </w:rPr>
      </w:pPr>
      <w:r w:rsidRPr="004226FB">
        <w:rPr>
          <w:rFonts w:ascii="Arial" w:hAnsi="Arial" w:cs="Arial"/>
        </w:rPr>
        <w:t>Ethical considerations are also paramount when reporting and referring safeguarding concerns.</w:t>
      </w:r>
      <w:r w:rsidR="0084553D" w:rsidRPr="004226FB">
        <w:rPr>
          <w:rFonts w:ascii="Arial" w:hAnsi="Arial" w:cs="Arial"/>
        </w:rPr>
        <w:t xml:space="preserve"> </w:t>
      </w:r>
      <w:r w:rsidRPr="004226FB">
        <w:rPr>
          <w:rFonts w:ascii="Arial" w:hAnsi="Arial" w:cs="Arial"/>
        </w:rPr>
        <w:t>(</w:t>
      </w:r>
      <w:proofErr w:type="spellStart"/>
      <w:r w:rsidRPr="004226FB">
        <w:rPr>
          <w:rFonts w:ascii="Arial" w:hAnsi="Arial" w:cs="Arial"/>
        </w:rPr>
        <w:t>Asnes</w:t>
      </w:r>
      <w:proofErr w:type="spellEnd"/>
      <w:r w:rsidRPr="004226FB">
        <w:rPr>
          <w:rFonts w:ascii="Arial" w:hAnsi="Arial" w:cs="Arial"/>
        </w:rPr>
        <w:t xml:space="preserve">, and Leventhal, </w:t>
      </w:r>
      <w:r w:rsidR="0084553D" w:rsidRPr="004226FB">
        <w:rPr>
          <w:rFonts w:ascii="Arial" w:hAnsi="Arial" w:cs="Arial"/>
        </w:rPr>
        <w:t>2010</w:t>
      </w:r>
      <w:r w:rsidR="002A1139" w:rsidRPr="004226FB">
        <w:rPr>
          <w:rFonts w:ascii="Arial" w:hAnsi="Arial" w:cs="Arial"/>
        </w:rPr>
        <w:t>b</w:t>
      </w:r>
      <w:r w:rsidR="0084553D" w:rsidRPr="004226FB">
        <w:rPr>
          <w:rFonts w:ascii="Arial" w:hAnsi="Arial" w:cs="Arial"/>
        </w:rPr>
        <w:t>)</w:t>
      </w:r>
      <w:r w:rsidR="00EF5F84">
        <w:rPr>
          <w:rFonts w:ascii="Arial" w:hAnsi="Arial" w:cs="Arial"/>
        </w:rPr>
        <w:t xml:space="preserve">. </w:t>
      </w:r>
      <w:r w:rsidR="0084553D" w:rsidRPr="004226FB">
        <w:rPr>
          <w:rFonts w:ascii="Arial" w:hAnsi="Arial" w:cs="Arial"/>
        </w:rPr>
        <w:t xml:space="preserve"> As</w:t>
      </w:r>
      <w:r w:rsidRPr="004226FB">
        <w:rPr>
          <w:rFonts w:ascii="Arial" w:hAnsi="Arial" w:cs="Arial"/>
        </w:rPr>
        <w:t xml:space="preserve"> such, practitioners must employ a careful, systematic, and thoughtful approach to evaluating all suspected cases of child maltreatment</w:t>
      </w:r>
      <w:r w:rsidR="002356A4" w:rsidRPr="004226FB">
        <w:rPr>
          <w:rFonts w:ascii="Arial" w:hAnsi="Arial" w:cs="Arial"/>
        </w:rPr>
        <w:t xml:space="preserve"> </w:t>
      </w:r>
      <w:r w:rsidRPr="004226FB">
        <w:rPr>
          <w:rFonts w:ascii="Arial" w:hAnsi="Arial" w:cs="Arial"/>
        </w:rPr>
        <w:t>(</w:t>
      </w:r>
      <w:proofErr w:type="spellStart"/>
      <w:r w:rsidRPr="004226FB">
        <w:rPr>
          <w:rFonts w:ascii="Arial" w:hAnsi="Arial" w:cs="Arial"/>
        </w:rPr>
        <w:t>Asnes</w:t>
      </w:r>
      <w:proofErr w:type="spellEnd"/>
      <w:r w:rsidRPr="004226FB">
        <w:rPr>
          <w:rFonts w:ascii="Arial" w:hAnsi="Arial" w:cs="Arial"/>
        </w:rPr>
        <w:t>, and Leventhal 2010</w:t>
      </w:r>
      <w:r w:rsidR="002A1139" w:rsidRPr="004226FB">
        <w:rPr>
          <w:rFonts w:ascii="Arial" w:hAnsi="Arial" w:cs="Arial"/>
        </w:rPr>
        <w:t>c</w:t>
      </w:r>
      <w:r w:rsidRPr="004226FB">
        <w:rPr>
          <w:rFonts w:ascii="Arial" w:hAnsi="Arial" w:cs="Arial"/>
        </w:rPr>
        <w:t xml:space="preserve">). Failing to report child maltreatment can increase the risk of future </w:t>
      </w:r>
      <w:r w:rsidR="0084553D" w:rsidRPr="004226FB">
        <w:rPr>
          <w:rFonts w:ascii="Arial" w:hAnsi="Arial" w:cs="Arial"/>
        </w:rPr>
        <w:t>abuse (</w:t>
      </w:r>
      <w:r w:rsidRPr="004226FB">
        <w:rPr>
          <w:rFonts w:ascii="Arial" w:hAnsi="Arial" w:cs="Arial"/>
        </w:rPr>
        <w:t>Alvarez</w:t>
      </w:r>
      <w:r w:rsidR="0084553D" w:rsidRPr="004226FB">
        <w:rPr>
          <w:rFonts w:ascii="Arial" w:hAnsi="Arial" w:cs="Arial"/>
        </w:rPr>
        <w:t xml:space="preserve"> </w:t>
      </w:r>
      <w:r w:rsidRPr="00F31F3E">
        <w:rPr>
          <w:rFonts w:ascii="Arial" w:hAnsi="Arial" w:cs="Arial"/>
          <w:i/>
          <w:iCs/>
        </w:rPr>
        <w:t>et al</w:t>
      </w:r>
      <w:r w:rsidRPr="004226FB">
        <w:rPr>
          <w:rFonts w:ascii="Arial" w:hAnsi="Arial" w:cs="Arial"/>
        </w:rPr>
        <w:t>., 2005</w:t>
      </w:r>
      <w:r w:rsidR="00642265" w:rsidRPr="004226FB">
        <w:rPr>
          <w:rFonts w:ascii="Arial" w:hAnsi="Arial" w:cs="Arial"/>
        </w:rPr>
        <w:t>a</w:t>
      </w:r>
      <w:r w:rsidRPr="004226FB">
        <w:rPr>
          <w:rFonts w:ascii="Arial" w:hAnsi="Arial" w:cs="Arial"/>
        </w:rPr>
        <w:t>), so it is crucial that practitioners are well-versed in the procedures and consequences of the reporting process.</w:t>
      </w:r>
    </w:p>
    <w:p w14:paraId="40998592" w14:textId="4F3C6E35" w:rsidR="004D307E" w:rsidRPr="004226FB" w:rsidRDefault="009207FF" w:rsidP="004D307E">
      <w:pPr>
        <w:rPr>
          <w:rFonts w:ascii="Arial" w:hAnsi="Arial" w:cs="Arial"/>
        </w:rPr>
      </w:pPr>
      <w:r>
        <w:rPr>
          <w:rFonts w:ascii="Arial" w:hAnsi="Arial" w:cs="Arial"/>
        </w:rPr>
        <w:t xml:space="preserve">Gilbert </w:t>
      </w:r>
      <w:r w:rsidR="0080075B">
        <w:rPr>
          <w:rFonts w:ascii="Arial" w:hAnsi="Arial" w:cs="Arial"/>
        </w:rPr>
        <w:t>(</w:t>
      </w:r>
      <w:r>
        <w:rPr>
          <w:rFonts w:ascii="Arial" w:hAnsi="Arial" w:cs="Arial"/>
        </w:rPr>
        <w:t>2009a</w:t>
      </w:r>
      <w:r w:rsidR="0080075B">
        <w:rPr>
          <w:rFonts w:ascii="Arial" w:hAnsi="Arial" w:cs="Arial"/>
        </w:rPr>
        <w:t>)</w:t>
      </w:r>
      <w:r>
        <w:rPr>
          <w:rFonts w:ascii="Arial" w:hAnsi="Arial" w:cs="Arial"/>
        </w:rPr>
        <w:t xml:space="preserve"> </w:t>
      </w:r>
      <w:r w:rsidR="002079F0">
        <w:rPr>
          <w:rFonts w:ascii="Arial" w:hAnsi="Arial" w:cs="Arial"/>
        </w:rPr>
        <w:t xml:space="preserve">and </w:t>
      </w:r>
      <w:r w:rsidR="0080075B">
        <w:rPr>
          <w:rFonts w:ascii="Arial" w:hAnsi="Arial" w:cs="Arial"/>
        </w:rPr>
        <w:t xml:space="preserve">Mathews (2014) </w:t>
      </w:r>
      <w:r w:rsidR="0094118C">
        <w:rPr>
          <w:rFonts w:ascii="Arial" w:hAnsi="Arial" w:cs="Arial"/>
        </w:rPr>
        <w:t xml:space="preserve">states that </w:t>
      </w:r>
      <w:r w:rsidR="004D307E" w:rsidRPr="004226FB">
        <w:rPr>
          <w:rFonts w:ascii="Arial" w:hAnsi="Arial" w:cs="Arial"/>
        </w:rPr>
        <w:t xml:space="preserve">Strategies to improve recognition and reporting of child abuse include training for </w:t>
      </w:r>
      <w:r w:rsidR="0084553D" w:rsidRPr="004226FB">
        <w:rPr>
          <w:rFonts w:ascii="Arial" w:hAnsi="Arial" w:cs="Arial"/>
        </w:rPr>
        <w:t>practitioners, and</w:t>
      </w:r>
      <w:r w:rsidR="004D307E" w:rsidRPr="004226FB">
        <w:rPr>
          <w:rFonts w:ascii="Arial" w:hAnsi="Arial" w:cs="Arial"/>
        </w:rPr>
        <w:t xml:space="preserve"> the implementation of evidence-based guidelines for assessment by child protection </w:t>
      </w:r>
      <w:r w:rsidR="0084553D" w:rsidRPr="004226FB">
        <w:rPr>
          <w:rFonts w:ascii="Arial" w:hAnsi="Arial" w:cs="Arial"/>
        </w:rPr>
        <w:t>specialists.</w:t>
      </w:r>
      <w:r w:rsidR="0094118C">
        <w:rPr>
          <w:rFonts w:ascii="Arial" w:hAnsi="Arial" w:cs="Arial"/>
        </w:rPr>
        <w:t xml:space="preserve"> </w:t>
      </w:r>
      <w:r w:rsidR="004D307E" w:rsidRPr="004226FB">
        <w:rPr>
          <w:rFonts w:ascii="Arial" w:hAnsi="Arial" w:cs="Arial"/>
        </w:rPr>
        <w:t xml:space="preserve">These approaches can help overcome barriers to reporting, such as a lack of recognition or a perception that reporting may do more harm than </w:t>
      </w:r>
      <w:r w:rsidR="0084553D" w:rsidRPr="004226FB">
        <w:rPr>
          <w:rFonts w:ascii="Arial" w:hAnsi="Arial" w:cs="Arial"/>
        </w:rPr>
        <w:t>good. (</w:t>
      </w:r>
      <w:r w:rsidR="004D307E" w:rsidRPr="004226FB">
        <w:rPr>
          <w:rFonts w:ascii="Arial" w:hAnsi="Arial" w:cs="Arial"/>
        </w:rPr>
        <w:t>Gilbert</w:t>
      </w:r>
      <w:r w:rsidR="00860819" w:rsidRPr="004226FB">
        <w:rPr>
          <w:rFonts w:ascii="Arial" w:hAnsi="Arial" w:cs="Arial"/>
        </w:rPr>
        <w:t xml:space="preserve"> </w:t>
      </w:r>
      <w:r w:rsidR="004D307E" w:rsidRPr="00F31F3E">
        <w:rPr>
          <w:rFonts w:ascii="Arial" w:hAnsi="Arial" w:cs="Arial"/>
          <w:i/>
          <w:iCs/>
        </w:rPr>
        <w:t>et al</w:t>
      </w:r>
      <w:r w:rsidR="004D307E" w:rsidRPr="004226FB">
        <w:rPr>
          <w:rFonts w:ascii="Arial" w:hAnsi="Arial" w:cs="Arial"/>
        </w:rPr>
        <w:t>., 2009</w:t>
      </w:r>
      <w:r w:rsidR="00434148" w:rsidRPr="004226FB">
        <w:rPr>
          <w:rFonts w:ascii="Arial" w:hAnsi="Arial" w:cs="Arial"/>
        </w:rPr>
        <w:t>)</w:t>
      </w:r>
    </w:p>
    <w:p w14:paraId="51F61E71" w14:textId="77777777" w:rsidR="00B93461" w:rsidRDefault="00B93461" w:rsidP="004D307E">
      <w:pPr>
        <w:rPr>
          <w:rFonts w:ascii="Arial" w:hAnsi="Arial" w:cs="Arial"/>
        </w:rPr>
      </w:pPr>
    </w:p>
    <w:p w14:paraId="540DF03A" w14:textId="77777777" w:rsidR="00B93461" w:rsidRDefault="00B93461" w:rsidP="004D307E">
      <w:pPr>
        <w:rPr>
          <w:rFonts w:ascii="Arial" w:hAnsi="Arial" w:cs="Arial"/>
        </w:rPr>
      </w:pPr>
    </w:p>
    <w:p w14:paraId="6628E1AF" w14:textId="02D238FC" w:rsidR="004D307E" w:rsidRPr="004226FB" w:rsidRDefault="004D307E" w:rsidP="004D307E">
      <w:pPr>
        <w:rPr>
          <w:rFonts w:ascii="Arial" w:hAnsi="Arial" w:cs="Arial"/>
        </w:rPr>
      </w:pPr>
      <w:r w:rsidRPr="004226FB">
        <w:rPr>
          <w:rFonts w:ascii="Arial" w:hAnsi="Arial" w:cs="Arial"/>
        </w:rPr>
        <w:lastRenderedPageBreak/>
        <w:t>The legislative and policy framework, that governs child protection, provides a comprehensive foundation for the reporting and referral processes when concerns are raised about a child's safety and wellbeing. These frameworks delineate the specific criteria, thresholds, and procedural steps that must be followed to ensure a thorough and standardised approach to addressing safeguarding issues.</w:t>
      </w:r>
      <w:r w:rsidR="00860819" w:rsidRPr="004226FB">
        <w:rPr>
          <w:rFonts w:ascii="Arial" w:hAnsi="Arial" w:cs="Arial"/>
        </w:rPr>
        <w:t xml:space="preserve"> </w:t>
      </w:r>
      <w:r w:rsidRPr="004226FB">
        <w:rPr>
          <w:rFonts w:ascii="Arial" w:hAnsi="Arial" w:cs="Arial"/>
        </w:rPr>
        <w:t>(</w:t>
      </w:r>
      <w:r w:rsidR="00860819" w:rsidRPr="004226FB">
        <w:rPr>
          <w:rFonts w:ascii="Arial" w:hAnsi="Arial" w:cs="Arial"/>
        </w:rPr>
        <w:t>Gani and</w:t>
      </w:r>
      <w:r w:rsidRPr="004226FB">
        <w:rPr>
          <w:rFonts w:ascii="Arial" w:hAnsi="Arial" w:cs="Arial"/>
        </w:rPr>
        <w:t xml:space="preserve"> Woolley 2009</w:t>
      </w:r>
      <w:r w:rsidR="00434148" w:rsidRPr="004226FB">
        <w:rPr>
          <w:rFonts w:ascii="Arial" w:hAnsi="Arial" w:cs="Arial"/>
        </w:rPr>
        <w:t>d</w:t>
      </w:r>
      <w:r w:rsidRPr="004226FB">
        <w:rPr>
          <w:rFonts w:ascii="Arial" w:hAnsi="Arial" w:cs="Arial"/>
        </w:rPr>
        <w:t xml:space="preserve">). However, the reliance on rigidly defined criteria and mandatory reporting requirements can create challenges in practice. Child abuse and neglect often involve complex, nuanced situations that may not neatly fit within the specified criteria. There is a risk that overly </w:t>
      </w:r>
      <w:r w:rsidR="001D739B">
        <w:rPr>
          <w:rFonts w:ascii="Arial" w:hAnsi="Arial" w:cs="Arial"/>
        </w:rPr>
        <w:t xml:space="preserve">regulatory </w:t>
      </w:r>
      <w:r w:rsidRPr="004226FB">
        <w:rPr>
          <w:rFonts w:ascii="Arial" w:hAnsi="Arial" w:cs="Arial"/>
        </w:rPr>
        <w:t xml:space="preserve">processes could delay or prevent timely intervention to protect vulnerable children. Furthermore, the need for collaboration between multi agencies, such as health, social services, and law enforcement, is crucial to ensure a coordinated and comprehensive response to safeguarding </w:t>
      </w:r>
      <w:r w:rsidR="00020DCB" w:rsidRPr="004226FB">
        <w:rPr>
          <w:rFonts w:ascii="Arial" w:hAnsi="Arial" w:cs="Arial"/>
        </w:rPr>
        <w:t>concerns. (</w:t>
      </w:r>
      <w:r w:rsidRPr="004226FB">
        <w:rPr>
          <w:rFonts w:ascii="Arial" w:hAnsi="Arial" w:cs="Arial"/>
        </w:rPr>
        <w:t>Bromfield,</w:t>
      </w:r>
      <w:r w:rsidR="00860819" w:rsidRPr="004226FB">
        <w:rPr>
          <w:rFonts w:ascii="Arial" w:hAnsi="Arial" w:cs="Arial"/>
        </w:rPr>
        <w:t xml:space="preserve"> </w:t>
      </w:r>
      <w:r w:rsidRPr="004226FB">
        <w:rPr>
          <w:rFonts w:ascii="Arial" w:hAnsi="Arial" w:cs="Arial"/>
        </w:rPr>
        <w:t>and Higgins, 2005</w:t>
      </w:r>
      <w:r w:rsidR="00434148" w:rsidRPr="004226FB">
        <w:rPr>
          <w:rFonts w:ascii="Arial" w:hAnsi="Arial" w:cs="Arial"/>
        </w:rPr>
        <w:t>c</w:t>
      </w:r>
      <w:r w:rsidRPr="004226FB">
        <w:rPr>
          <w:rFonts w:ascii="Arial" w:hAnsi="Arial" w:cs="Arial"/>
        </w:rPr>
        <w:t>)</w:t>
      </w:r>
      <w:r w:rsidR="00860819" w:rsidRPr="004226FB">
        <w:rPr>
          <w:rFonts w:ascii="Arial" w:hAnsi="Arial" w:cs="Arial"/>
        </w:rPr>
        <w:t xml:space="preserve">. </w:t>
      </w:r>
      <w:r w:rsidRPr="004226FB">
        <w:rPr>
          <w:rFonts w:ascii="Arial" w:hAnsi="Arial" w:cs="Arial"/>
        </w:rPr>
        <w:t xml:space="preserve">Yet, </w:t>
      </w:r>
      <w:r w:rsidR="00A23A5E">
        <w:rPr>
          <w:rFonts w:ascii="Arial" w:hAnsi="Arial" w:cs="Arial"/>
        </w:rPr>
        <w:t xml:space="preserve">NIH (2014) state </w:t>
      </w:r>
      <w:r w:rsidRPr="004226FB">
        <w:rPr>
          <w:rFonts w:ascii="Arial" w:hAnsi="Arial" w:cs="Arial"/>
        </w:rPr>
        <w:t xml:space="preserve">the involvement of multidisciplinary team can also introduce administrative hurdles and potentially slow down the referral process. Careful consideration is required to streamline these collaborative mechanisms without compromising the thoroughness of the </w:t>
      </w:r>
      <w:r w:rsidR="00020DCB" w:rsidRPr="004226FB">
        <w:rPr>
          <w:rFonts w:ascii="Arial" w:hAnsi="Arial" w:cs="Arial"/>
        </w:rPr>
        <w:t>response.</w:t>
      </w:r>
    </w:p>
    <w:p w14:paraId="099835B3" w14:textId="413A00C2" w:rsidR="004D307E" w:rsidRPr="004226FB" w:rsidRDefault="004D307E" w:rsidP="004D307E">
      <w:pPr>
        <w:rPr>
          <w:rFonts w:ascii="Arial" w:hAnsi="Arial" w:cs="Arial"/>
        </w:rPr>
      </w:pPr>
      <w:r w:rsidRPr="004226FB">
        <w:rPr>
          <w:rFonts w:ascii="Arial" w:hAnsi="Arial" w:cs="Arial"/>
        </w:rPr>
        <w:t>Ethical principles are also paramount when reporting and referring safeguarding concerns.  Practitioners must employ a careful, systematic, and thoughtful approach to evaluating all suspected cases of child maltreatment, balancing the need for intervention with the rights and privacy of the child and their family. Failing to report child maltreatment can increase the risk of future abuse, so it is crucial that practitioners are well-versed in the procedures and consequences of the reporting process. (Alvarez, et al., 2004</w:t>
      </w:r>
      <w:r w:rsidR="00E556FF" w:rsidRPr="004226FB">
        <w:rPr>
          <w:rFonts w:ascii="Arial" w:hAnsi="Arial" w:cs="Arial"/>
        </w:rPr>
        <w:t>b</w:t>
      </w:r>
      <w:r w:rsidRPr="004226FB">
        <w:rPr>
          <w:rFonts w:ascii="Arial" w:hAnsi="Arial" w:cs="Arial"/>
        </w:rPr>
        <w:t>)</w:t>
      </w:r>
    </w:p>
    <w:p w14:paraId="76DA9468" w14:textId="51C4399C" w:rsidR="00531A6D" w:rsidRDefault="00531A6D" w:rsidP="004D307E">
      <w:pPr>
        <w:rPr>
          <w:rFonts w:ascii="Arial" w:hAnsi="Arial" w:cs="Arial"/>
        </w:rPr>
      </w:pPr>
      <w:r w:rsidRPr="00531A6D">
        <w:rPr>
          <w:rFonts w:ascii="Arial" w:hAnsi="Arial" w:cs="Arial"/>
        </w:rPr>
        <w:t xml:space="preserve">At the same time, </w:t>
      </w:r>
      <w:r w:rsidR="005916C4" w:rsidRPr="005916C4">
        <w:rPr>
          <w:rFonts w:ascii="Arial" w:hAnsi="Arial" w:cs="Arial"/>
        </w:rPr>
        <w:t xml:space="preserve">Wathen, and MacMillan </w:t>
      </w:r>
      <w:r w:rsidR="005916C4">
        <w:rPr>
          <w:rFonts w:ascii="Arial" w:hAnsi="Arial" w:cs="Arial"/>
        </w:rPr>
        <w:t>(</w:t>
      </w:r>
      <w:r w:rsidR="005916C4" w:rsidRPr="005916C4">
        <w:rPr>
          <w:rFonts w:ascii="Arial" w:hAnsi="Arial" w:cs="Arial"/>
        </w:rPr>
        <w:t>2013</w:t>
      </w:r>
      <w:r w:rsidR="005916C4">
        <w:rPr>
          <w:rFonts w:ascii="Arial" w:hAnsi="Arial" w:cs="Arial"/>
        </w:rPr>
        <w:t xml:space="preserve">) says that </w:t>
      </w:r>
      <w:r w:rsidRPr="00531A6D">
        <w:rPr>
          <w:rFonts w:ascii="Arial" w:hAnsi="Arial" w:cs="Arial"/>
        </w:rPr>
        <w:t>the reporting process itself can have complex and unintended consequences that must be carefully considered. Mandatory reporting laws may raise valid concerns that the involvement of child protection services could inadvertently increase the risk of violence from an abusive partner against the child or other family members. While child protection agencies have developed protocols and procedures to try to mitigate these risks, the potential for escalation in domestic violence must always remain a critical consideration when reporting suspected abuse. The safety and wellbeing of the child and their family must be the paramount concern, and practitioners should thoroughly assess the specific risks and potential for further harm before initiating the reporting process. Careful planning and close coordination with relevant support services can help to manage these complex dynamics and ensure the child's protection remains the top priority, even when the reporting process itself may carry inherent risks</w:t>
      </w:r>
    </w:p>
    <w:p w14:paraId="3942569C" w14:textId="5E0B697C" w:rsidR="00AA7B23" w:rsidRDefault="004D307E" w:rsidP="004D307E">
      <w:pPr>
        <w:rPr>
          <w:rFonts w:ascii="Arial" w:hAnsi="Arial" w:cs="Arial"/>
        </w:rPr>
      </w:pPr>
      <w:r w:rsidRPr="004226FB">
        <w:rPr>
          <w:rFonts w:ascii="Arial" w:hAnsi="Arial" w:cs="Arial"/>
        </w:rPr>
        <w:t xml:space="preserve">The reporting and referral processes that come into play when abuse is suspected are underpinned by a complex web of statutory requirements, policy frameworks, and ethical considerations. Practitioners tasked with addressing safeguarding concerns must navigate this intricate landscape with a nuanced understanding of the legislative and procedural guidelines that govern these processes. At the same time, they must carefully weigh the potential consequences and risks associated with the reporting process </w:t>
      </w:r>
      <w:r w:rsidR="00616C03" w:rsidRPr="004226FB">
        <w:rPr>
          <w:rFonts w:ascii="Arial" w:hAnsi="Arial" w:cs="Arial"/>
        </w:rPr>
        <w:t>to</w:t>
      </w:r>
      <w:r w:rsidRPr="004226FB">
        <w:rPr>
          <w:rFonts w:ascii="Arial" w:hAnsi="Arial" w:cs="Arial"/>
        </w:rPr>
        <w:t xml:space="preserve"> ensure the best possible outcome for the child and their family. This requires a delicate balancing act, as the need for timely intervention must be weighed against the potential for unintended negative consequences, such as escalation of violence from an abusive partner. By approaching these situations with the appropriate level of care and consideration, practitioners can work to protect vulnerable children while minimising harm.</w:t>
      </w:r>
      <w:r w:rsidR="00616C03" w:rsidRPr="004226FB">
        <w:rPr>
          <w:rFonts w:ascii="Arial" w:hAnsi="Arial" w:cs="Arial"/>
        </w:rPr>
        <w:t xml:space="preserve"> </w:t>
      </w:r>
      <w:r w:rsidRPr="004226FB">
        <w:rPr>
          <w:rFonts w:ascii="Arial" w:hAnsi="Arial" w:cs="Arial"/>
        </w:rPr>
        <w:t>(Kellogg,</w:t>
      </w:r>
      <w:r w:rsidR="003D2EE4" w:rsidRPr="004226FB">
        <w:rPr>
          <w:rFonts w:ascii="Arial" w:hAnsi="Arial" w:cs="Arial"/>
        </w:rPr>
        <w:t xml:space="preserve"> </w:t>
      </w:r>
      <w:r w:rsidRPr="004226FB">
        <w:rPr>
          <w:rFonts w:ascii="Arial" w:hAnsi="Arial" w:cs="Arial"/>
        </w:rPr>
        <w:t>2014)</w:t>
      </w:r>
    </w:p>
    <w:p w14:paraId="45164065" w14:textId="1C566A4B" w:rsidR="001E6EFA" w:rsidRPr="001E6EFA" w:rsidRDefault="001E6EFA" w:rsidP="004D307E">
      <w:pPr>
        <w:rPr>
          <w:rFonts w:ascii="Arial" w:hAnsi="Arial" w:cs="Arial"/>
          <w:b/>
          <w:bCs/>
        </w:rPr>
      </w:pPr>
    </w:p>
    <w:p w14:paraId="135D49CD" w14:textId="63354E2D" w:rsidR="00126F03" w:rsidRPr="00126F03" w:rsidRDefault="00126F03" w:rsidP="00126F03">
      <w:pPr>
        <w:rPr>
          <w:rFonts w:ascii="Arial" w:hAnsi="Arial" w:cs="Arial"/>
        </w:rPr>
      </w:pPr>
      <w:r w:rsidRPr="00126F03">
        <w:rPr>
          <w:rFonts w:ascii="Arial" w:hAnsi="Arial" w:cs="Arial"/>
        </w:rPr>
        <w:t>Ensuring a holistic, open and effective approach to safeguarding children requires a comprehensive understanding and adherence to the principles outlined in the United Nations Convention on the Rights of the Child</w:t>
      </w:r>
      <w:r w:rsidR="00DE0F9C">
        <w:rPr>
          <w:rFonts w:ascii="Arial" w:hAnsi="Arial" w:cs="Arial"/>
        </w:rPr>
        <w:t xml:space="preserve"> (</w:t>
      </w:r>
      <w:r w:rsidR="00EE0808">
        <w:rPr>
          <w:rFonts w:ascii="Arial" w:hAnsi="Arial" w:cs="Arial"/>
        </w:rPr>
        <w:t>UNCRC)</w:t>
      </w:r>
      <w:r w:rsidR="00AF644D">
        <w:rPr>
          <w:rFonts w:ascii="Arial" w:hAnsi="Arial" w:cs="Arial"/>
        </w:rPr>
        <w:t xml:space="preserve"> O</w:t>
      </w:r>
      <w:r w:rsidR="000022ED">
        <w:rPr>
          <w:rFonts w:ascii="Arial" w:hAnsi="Arial" w:cs="Arial"/>
        </w:rPr>
        <w:t>xford Acad</w:t>
      </w:r>
      <w:r w:rsidR="00CF52EE">
        <w:rPr>
          <w:rFonts w:ascii="Arial" w:hAnsi="Arial" w:cs="Arial"/>
        </w:rPr>
        <w:t>emic (1992)</w:t>
      </w:r>
      <w:r w:rsidRPr="00126F03">
        <w:rPr>
          <w:rFonts w:ascii="Arial" w:hAnsi="Arial" w:cs="Arial"/>
        </w:rPr>
        <w:t xml:space="preserve">. The Convention </w:t>
      </w:r>
      <w:r w:rsidRPr="00126F03">
        <w:rPr>
          <w:rFonts w:ascii="Arial" w:hAnsi="Arial" w:cs="Arial"/>
        </w:rPr>
        <w:lastRenderedPageBreak/>
        <w:t>recognizes children as individuals with their own rights, perspectives, and experiences, which obligates settings to account for and be responsive to the unique needs and challenges faced by each child (Hunter,</w:t>
      </w:r>
      <w:r w:rsidR="00EE0808">
        <w:rPr>
          <w:rFonts w:ascii="Arial" w:hAnsi="Arial" w:cs="Arial"/>
        </w:rPr>
        <w:t xml:space="preserve"> </w:t>
      </w:r>
      <w:r w:rsidRPr="00126F03">
        <w:rPr>
          <w:rFonts w:ascii="Arial" w:hAnsi="Arial" w:cs="Arial"/>
        </w:rPr>
        <w:t>and Price</w:t>
      </w:r>
      <w:r w:rsidRPr="00126F03">
        <w:rPr>
          <w:rFonts w:ascii="Cambria Math" w:hAnsi="Cambria Math" w:cs="Cambria Math"/>
        </w:rPr>
        <w:t>‐</w:t>
      </w:r>
      <w:r w:rsidRPr="00126F03">
        <w:rPr>
          <w:rFonts w:ascii="Arial" w:hAnsi="Arial" w:cs="Arial"/>
        </w:rPr>
        <w:t xml:space="preserve">Robertson, </w:t>
      </w:r>
      <w:r w:rsidR="00EE0808" w:rsidRPr="00126F03">
        <w:rPr>
          <w:rFonts w:ascii="Arial" w:hAnsi="Arial" w:cs="Arial"/>
        </w:rPr>
        <w:t>2014</w:t>
      </w:r>
      <w:r w:rsidR="00CF52EE">
        <w:rPr>
          <w:rFonts w:ascii="Arial" w:hAnsi="Arial" w:cs="Arial"/>
        </w:rPr>
        <w:t>a</w:t>
      </w:r>
      <w:r w:rsidR="00EE0808" w:rsidRPr="00126F03">
        <w:rPr>
          <w:rFonts w:ascii="Arial" w:hAnsi="Arial" w:cs="Arial"/>
        </w:rPr>
        <w:t>) (</w:t>
      </w:r>
      <w:r w:rsidRPr="00126F03">
        <w:rPr>
          <w:rFonts w:ascii="Arial" w:hAnsi="Arial" w:cs="Arial"/>
        </w:rPr>
        <w:t>Roy,</w:t>
      </w:r>
      <w:r w:rsidR="00CF52EE">
        <w:rPr>
          <w:rFonts w:ascii="Arial" w:hAnsi="Arial" w:cs="Arial"/>
        </w:rPr>
        <w:t xml:space="preserve"> </w:t>
      </w:r>
      <w:r w:rsidRPr="00126F03">
        <w:rPr>
          <w:rFonts w:ascii="Arial" w:hAnsi="Arial" w:cs="Arial"/>
        </w:rPr>
        <w:t>2020</w:t>
      </w:r>
      <w:r w:rsidR="00CF52EE">
        <w:rPr>
          <w:rFonts w:ascii="Arial" w:hAnsi="Arial" w:cs="Arial"/>
        </w:rPr>
        <w:t>a</w:t>
      </w:r>
      <w:r w:rsidRPr="00126F03">
        <w:rPr>
          <w:rFonts w:ascii="Arial" w:hAnsi="Arial" w:cs="Arial"/>
        </w:rPr>
        <w:t>)</w:t>
      </w:r>
    </w:p>
    <w:p w14:paraId="77891A19" w14:textId="6CE81B12" w:rsidR="00126F03" w:rsidRPr="00126F03" w:rsidRDefault="00126F03" w:rsidP="00126F03">
      <w:pPr>
        <w:rPr>
          <w:rFonts w:ascii="Arial" w:hAnsi="Arial" w:cs="Arial"/>
        </w:rPr>
      </w:pPr>
      <w:r w:rsidRPr="00126F03">
        <w:rPr>
          <w:rFonts w:ascii="Arial" w:hAnsi="Arial" w:cs="Arial"/>
        </w:rPr>
        <w:t>A key responsibility of settings is to promote child-safe environments that empower children as active participants in decisions that affect them.  (Hunter</w:t>
      </w:r>
      <w:r w:rsidR="00CF52EE">
        <w:rPr>
          <w:rFonts w:ascii="Arial" w:hAnsi="Arial" w:cs="Arial"/>
        </w:rPr>
        <w:t xml:space="preserve"> </w:t>
      </w:r>
      <w:r w:rsidRPr="00126F03">
        <w:rPr>
          <w:rFonts w:ascii="Arial" w:hAnsi="Arial" w:cs="Arial"/>
        </w:rPr>
        <w:t>and Price</w:t>
      </w:r>
      <w:r w:rsidRPr="00126F03">
        <w:rPr>
          <w:rFonts w:ascii="Cambria Math" w:hAnsi="Cambria Math" w:cs="Cambria Math"/>
        </w:rPr>
        <w:t>‐</w:t>
      </w:r>
      <w:r w:rsidRPr="00126F03">
        <w:rPr>
          <w:rFonts w:ascii="Arial" w:hAnsi="Arial" w:cs="Arial"/>
        </w:rPr>
        <w:t>Robertson</w:t>
      </w:r>
      <w:r w:rsidR="00CF52EE">
        <w:rPr>
          <w:rFonts w:ascii="Arial" w:hAnsi="Arial" w:cs="Arial"/>
        </w:rPr>
        <w:t xml:space="preserve"> </w:t>
      </w:r>
      <w:r w:rsidRPr="00126F03">
        <w:rPr>
          <w:rFonts w:ascii="Arial" w:hAnsi="Arial" w:cs="Arial"/>
        </w:rPr>
        <w:t>2014</w:t>
      </w:r>
      <w:r w:rsidR="00CF52EE">
        <w:rPr>
          <w:rFonts w:ascii="Arial" w:hAnsi="Arial" w:cs="Arial"/>
        </w:rPr>
        <w:t>b</w:t>
      </w:r>
      <w:r w:rsidRPr="00126F03">
        <w:rPr>
          <w:rFonts w:ascii="Arial" w:hAnsi="Arial" w:cs="Arial"/>
        </w:rPr>
        <w:t xml:space="preserve">) </w:t>
      </w:r>
      <w:r w:rsidR="00CF52EE">
        <w:rPr>
          <w:rFonts w:ascii="Arial" w:hAnsi="Arial" w:cs="Arial"/>
        </w:rPr>
        <w:t>Roy</w:t>
      </w:r>
      <w:r w:rsidR="00542CC1">
        <w:rPr>
          <w:rFonts w:ascii="Arial" w:hAnsi="Arial" w:cs="Arial"/>
        </w:rPr>
        <w:t>,</w:t>
      </w:r>
      <w:r w:rsidR="00CF52EE">
        <w:rPr>
          <w:rFonts w:ascii="Arial" w:hAnsi="Arial" w:cs="Arial"/>
        </w:rPr>
        <w:t xml:space="preserve"> </w:t>
      </w:r>
      <w:r w:rsidR="00542CC1">
        <w:rPr>
          <w:rFonts w:ascii="Arial" w:hAnsi="Arial" w:cs="Arial"/>
        </w:rPr>
        <w:t>(</w:t>
      </w:r>
      <w:r w:rsidR="00CF52EE">
        <w:rPr>
          <w:rFonts w:ascii="Arial" w:hAnsi="Arial" w:cs="Arial"/>
        </w:rPr>
        <w:t>2020</w:t>
      </w:r>
      <w:r w:rsidR="00542CC1">
        <w:rPr>
          <w:rFonts w:ascii="Arial" w:hAnsi="Arial" w:cs="Arial"/>
        </w:rPr>
        <w:t>b)</w:t>
      </w:r>
      <w:r w:rsidR="00CF52EE">
        <w:rPr>
          <w:rFonts w:ascii="Arial" w:hAnsi="Arial" w:cs="Arial"/>
        </w:rPr>
        <w:t xml:space="preserve"> says that t</w:t>
      </w:r>
      <w:r w:rsidRPr="00126F03">
        <w:rPr>
          <w:rFonts w:ascii="Arial" w:hAnsi="Arial" w:cs="Arial"/>
        </w:rPr>
        <w:t xml:space="preserve">his requires a multi-sectoral, participatory, and coordinated approach involving various stakeholders, including government, non-governmental organizations, civil societies, and </w:t>
      </w:r>
      <w:r w:rsidR="00CD17D0" w:rsidRPr="00126F03">
        <w:rPr>
          <w:rFonts w:ascii="Arial" w:hAnsi="Arial" w:cs="Arial"/>
        </w:rPr>
        <w:t>childcare</w:t>
      </w:r>
      <w:r w:rsidRPr="00126F03">
        <w:rPr>
          <w:rFonts w:ascii="Arial" w:hAnsi="Arial" w:cs="Arial"/>
        </w:rPr>
        <w:t xml:space="preserve"> institutions, to ensure non-discriminatory measures that prioritize the best interests of children</w:t>
      </w:r>
      <w:r w:rsidR="00542CC1">
        <w:rPr>
          <w:rFonts w:ascii="Arial" w:hAnsi="Arial" w:cs="Arial"/>
        </w:rPr>
        <w:t>.</w:t>
      </w:r>
    </w:p>
    <w:p w14:paraId="66500467" w14:textId="373A0C0B" w:rsidR="00126F03" w:rsidRPr="00126F03" w:rsidRDefault="00126F03" w:rsidP="00126F03">
      <w:pPr>
        <w:rPr>
          <w:rFonts w:ascii="Arial" w:hAnsi="Arial" w:cs="Arial"/>
        </w:rPr>
      </w:pPr>
      <w:r w:rsidRPr="00126F03">
        <w:rPr>
          <w:rFonts w:ascii="Arial" w:hAnsi="Arial" w:cs="Arial"/>
        </w:rPr>
        <w:t>Furthermore,</w:t>
      </w:r>
      <w:r w:rsidRPr="00126F03">
        <w:t xml:space="preserve"> </w:t>
      </w:r>
      <w:r w:rsidRPr="00126F03">
        <w:rPr>
          <w:rFonts w:ascii="Arial" w:hAnsi="Arial" w:cs="Arial"/>
        </w:rPr>
        <w:t>Groark</w:t>
      </w:r>
      <w:r w:rsidR="00F63595">
        <w:rPr>
          <w:rFonts w:ascii="Arial" w:hAnsi="Arial" w:cs="Arial"/>
        </w:rPr>
        <w:t xml:space="preserve"> </w:t>
      </w:r>
      <w:r w:rsidRPr="00126F03">
        <w:rPr>
          <w:rFonts w:ascii="Arial" w:hAnsi="Arial" w:cs="Arial"/>
        </w:rPr>
        <w:t>and McCall,</w:t>
      </w:r>
      <w:r w:rsidR="007108B4">
        <w:rPr>
          <w:rFonts w:ascii="Arial" w:hAnsi="Arial" w:cs="Arial"/>
        </w:rPr>
        <w:t xml:space="preserve"> (</w:t>
      </w:r>
      <w:r w:rsidRPr="00126F03">
        <w:rPr>
          <w:rFonts w:ascii="Arial" w:hAnsi="Arial" w:cs="Arial"/>
        </w:rPr>
        <w:t>2011</w:t>
      </w:r>
      <w:r w:rsidR="007108B4">
        <w:rPr>
          <w:rFonts w:ascii="Arial" w:hAnsi="Arial" w:cs="Arial"/>
        </w:rPr>
        <w:t>)</w:t>
      </w:r>
      <w:r w:rsidRPr="00126F03">
        <w:rPr>
          <w:rFonts w:ascii="Arial" w:hAnsi="Arial" w:cs="Arial"/>
        </w:rPr>
        <w:t xml:space="preserve"> </w:t>
      </w:r>
      <w:r w:rsidR="00CD17D0">
        <w:rPr>
          <w:rFonts w:ascii="Arial" w:hAnsi="Arial" w:cs="Arial"/>
        </w:rPr>
        <w:t>mention</w:t>
      </w:r>
      <w:r w:rsidR="00F63595">
        <w:rPr>
          <w:rFonts w:ascii="Arial" w:hAnsi="Arial" w:cs="Arial"/>
        </w:rPr>
        <w:t xml:space="preserve">s </w:t>
      </w:r>
      <w:r w:rsidRPr="00126F03">
        <w:rPr>
          <w:rFonts w:ascii="Arial" w:hAnsi="Arial" w:cs="Arial"/>
        </w:rPr>
        <w:t xml:space="preserve">settings must also prioritize the overall well-being of children and their caregivers, addressing not only their physical needs but also their psychosocial and mental health </w:t>
      </w:r>
      <w:r w:rsidRPr="00126F03">
        <w:rPr>
          <w:rFonts w:ascii="Arial" w:hAnsi="Arial" w:cs="Arial"/>
        </w:rPr>
        <w:t>requirements.</w:t>
      </w:r>
      <w:r w:rsidR="00CD17D0">
        <w:rPr>
          <w:rFonts w:ascii="Arial" w:hAnsi="Arial" w:cs="Arial"/>
        </w:rPr>
        <w:t xml:space="preserve"> </w:t>
      </w:r>
      <w:r w:rsidRPr="00126F03">
        <w:rPr>
          <w:rFonts w:ascii="Arial" w:hAnsi="Arial" w:cs="Arial"/>
        </w:rPr>
        <w:t>This entails providing extensive training and capacity building for caregivers, enhancing their ability to support children's resilience and coping strategies, and upholding the dignity, flexibility, and inclusivity of the childcare system</w:t>
      </w:r>
      <w:r>
        <w:rPr>
          <w:rFonts w:ascii="Arial" w:hAnsi="Arial" w:cs="Arial"/>
        </w:rPr>
        <w:t xml:space="preserve"> </w:t>
      </w:r>
      <w:r w:rsidRPr="00126F03">
        <w:rPr>
          <w:rFonts w:ascii="Arial" w:hAnsi="Arial" w:cs="Arial"/>
        </w:rPr>
        <w:t>(Roy, 2020).</w:t>
      </w:r>
    </w:p>
    <w:p w14:paraId="0BD1F4F4" w14:textId="6B349E3C" w:rsidR="00126F03" w:rsidRPr="00126F03" w:rsidRDefault="00126F03" w:rsidP="00126F03">
      <w:pPr>
        <w:rPr>
          <w:rFonts w:ascii="Arial" w:hAnsi="Arial" w:cs="Arial"/>
        </w:rPr>
      </w:pPr>
      <w:r w:rsidRPr="00126F03">
        <w:rPr>
          <w:rFonts w:ascii="Arial" w:hAnsi="Arial" w:cs="Arial"/>
        </w:rPr>
        <w:t>By upholding the principles of the UN</w:t>
      </w:r>
      <w:r w:rsidR="00EE0808">
        <w:rPr>
          <w:rFonts w:ascii="Arial" w:hAnsi="Arial" w:cs="Arial"/>
        </w:rPr>
        <w:t>CRC</w:t>
      </w:r>
      <w:r w:rsidRPr="00126F03">
        <w:rPr>
          <w:rFonts w:ascii="Arial" w:hAnsi="Arial" w:cs="Arial"/>
        </w:rPr>
        <w:t xml:space="preserve"> and adopting a holistic, open, and effective approach to safeguarding, settings can create an environment that empowers and protects children, ensuring their rights are upheld, and their well-being is at the forefront of all decision-making processes. This involves fostering a culture of inclusivity, collaboration, and accountability, where the voices and perspectives of children are actively sought and incorporated into the design and implementation of safeguarding policies and practices.(McCormack,</w:t>
      </w:r>
      <w:r w:rsidR="00542CC1">
        <w:rPr>
          <w:rFonts w:ascii="Arial" w:hAnsi="Arial" w:cs="Arial"/>
        </w:rPr>
        <w:t xml:space="preserve"> </w:t>
      </w:r>
      <w:r w:rsidR="00542CC1" w:rsidRPr="00126F03">
        <w:rPr>
          <w:rFonts w:ascii="Arial" w:hAnsi="Arial" w:cs="Arial"/>
        </w:rPr>
        <w:t>Gibbons, and</w:t>
      </w:r>
      <w:r w:rsidRPr="00126F03">
        <w:rPr>
          <w:rFonts w:ascii="Arial" w:hAnsi="Arial" w:cs="Arial"/>
        </w:rPr>
        <w:t xml:space="preserve"> McGregor,</w:t>
      </w:r>
      <w:r w:rsidR="00542CC1">
        <w:rPr>
          <w:rFonts w:ascii="Arial" w:hAnsi="Arial" w:cs="Arial"/>
        </w:rPr>
        <w:t xml:space="preserve"> </w:t>
      </w:r>
      <w:r w:rsidRPr="00126F03">
        <w:rPr>
          <w:rFonts w:ascii="Arial" w:hAnsi="Arial" w:cs="Arial"/>
        </w:rPr>
        <w:t xml:space="preserve">2019) </w:t>
      </w:r>
      <w:r w:rsidR="00D87EE3" w:rsidRPr="00126F03">
        <w:rPr>
          <w:rFonts w:ascii="Arial" w:hAnsi="Arial" w:cs="Arial"/>
        </w:rPr>
        <w:t>Furthermore,</w:t>
      </w:r>
      <w:r w:rsidR="00D87EE3">
        <w:rPr>
          <w:rFonts w:ascii="Arial" w:hAnsi="Arial" w:cs="Arial"/>
        </w:rPr>
        <w:t xml:space="preserve"> Goldman </w:t>
      </w:r>
      <w:r w:rsidR="008C6BAE">
        <w:rPr>
          <w:rFonts w:ascii="Arial" w:hAnsi="Arial" w:cs="Arial"/>
        </w:rPr>
        <w:t>et al (2020</w:t>
      </w:r>
      <w:r w:rsidR="004178CE">
        <w:rPr>
          <w:rFonts w:ascii="Arial" w:hAnsi="Arial" w:cs="Arial"/>
        </w:rPr>
        <w:t>a</w:t>
      </w:r>
      <w:r w:rsidR="008C6BAE">
        <w:rPr>
          <w:rFonts w:ascii="Arial" w:hAnsi="Arial" w:cs="Arial"/>
        </w:rPr>
        <w:t>)</w:t>
      </w:r>
      <w:r w:rsidR="0085090A">
        <w:rPr>
          <w:rFonts w:ascii="Arial" w:hAnsi="Arial" w:cs="Arial"/>
        </w:rPr>
        <w:t xml:space="preserve"> </w:t>
      </w:r>
      <w:r w:rsidR="008C6BAE">
        <w:rPr>
          <w:rFonts w:ascii="Arial" w:hAnsi="Arial" w:cs="Arial"/>
        </w:rPr>
        <w:t>mentions that</w:t>
      </w:r>
      <w:r w:rsidRPr="00126F03">
        <w:rPr>
          <w:rFonts w:ascii="Arial" w:hAnsi="Arial" w:cs="Arial"/>
        </w:rPr>
        <w:t xml:space="preserve"> settings must prioritize the continuous training and professional development of </w:t>
      </w:r>
      <w:r w:rsidR="00D33422">
        <w:rPr>
          <w:rFonts w:ascii="Arial" w:hAnsi="Arial" w:cs="Arial"/>
        </w:rPr>
        <w:t>Practitioners</w:t>
      </w:r>
      <w:r w:rsidRPr="00126F03">
        <w:rPr>
          <w:rFonts w:ascii="Arial" w:hAnsi="Arial" w:cs="Arial"/>
        </w:rPr>
        <w:t xml:space="preserve"> and staff, equipping them with the knowledge, skills, and resources necessary to recognize and respond to the diverse needs and vulnerabilities of the children in their care. Through these comprehensive efforts, settings can establish a robust and responsive safeguarding framework that promotes the overall health, safety, and well-being of all children, in alignment with the guiding principles of the UN</w:t>
      </w:r>
      <w:r w:rsidR="0060636C">
        <w:rPr>
          <w:rFonts w:ascii="Arial" w:hAnsi="Arial" w:cs="Arial"/>
        </w:rPr>
        <w:t>CRC</w:t>
      </w:r>
      <w:r w:rsidRPr="00126F03">
        <w:rPr>
          <w:rFonts w:ascii="Arial" w:hAnsi="Arial" w:cs="Arial"/>
        </w:rPr>
        <w:t xml:space="preserve">.  </w:t>
      </w:r>
    </w:p>
    <w:p w14:paraId="6F7656E6" w14:textId="48D83148" w:rsidR="00AA7B23" w:rsidRPr="004226FB" w:rsidRDefault="00126F03" w:rsidP="00126F03">
      <w:pPr>
        <w:rPr>
          <w:rFonts w:ascii="Arial" w:hAnsi="Arial" w:cs="Arial"/>
        </w:rPr>
      </w:pPr>
      <w:r w:rsidRPr="00126F03">
        <w:rPr>
          <w:rFonts w:ascii="Arial" w:hAnsi="Arial" w:cs="Arial"/>
        </w:rPr>
        <w:t>While the principles of the UN</w:t>
      </w:r>
      <w:r w:rsidR="0060636C">
        <w:rPr>
          <w:rFonts w:ascii="Arial" w:hAnsi="Arial" w:cs="Arial"/>
        </w:rPr>
        <w:t>CRC</w:t>
      </w:r>
      <w:r w:rsidRPr="00126F03">
        <w:rPr>
          <w:rFonts w:ascii="Arial" w:hAnsi="Arial" w:cs="Arial"/>
        </w:rPr>
        <w:t xml:space="preserve"> provide a valuable framework for ensuring a holistic, open, and effective approach to safeguarding, the practical implementation of these ideals can be challenging, particularly within resource-constrained settings. </w:t>
      </w:r>
      <w:r w:rsidR="00BC2724">
        <w:rPr>
          <w:rFonts w:ascii="Arial" w:hAnsi="Arial" w:cs="Arial"/>
        </w:rPr>
        <w:t>Some may</w:t>
      </w:r>
      <w:r w:rsidRPr="00126F03">
        <w:rPr>
          <w:rFonts w:ascii="Arial" w:hAnsi="Arial" w:cs="Arial"/>
        </w:rPr>
        <w:t xml:space="preserve"> argue that the emphasis on empowering children and incorporating their voices into decision-making processes may not always align with the realities of certain cultural contexts or the need for efficient, top-down decision-making in times of crisis. Additionally, the continuous training and professional development of </w:t>
      </w:r>
      <w:r w:rsidR="001444E0">
        <w:rPr>
          <w:rFonts w:ascii="Arial" w:hAnsi="Arial" w:cs="Arial"/>
        </w:rPr>
        <w:t>p</w:t>
      </w:r>
      <w:r w:rsidR="00685A74">
        <w:rPr>
          <w:rFonts w:ascii="Arial" w:hAnsi="Arial" w:cs="Arial"/>
        </w:rPr>
        <w:t>ractitioners</w:t>
      </w:r>
      <w:r w:rsidRPr="00126F03">
        <w:rPr>
          <w:rFonts w:ascii="Arial" w:hAnsi="Arial" w:cs="Arial"/>
        </w:rPr>
        <w:t xml:space="preserve"> and </w:t>
      </w:r>
      <w:r w:rsidR="001444E0">
        <w:rPr>
          <w:rFonts w:ascii="Arial" w:hAnsi="Arial" w:cs="Arial"/>
        </w:rPr>
        <w:t xml:space="preserve">other </w:t>
      </w:r>
      <w:r w:rsidRPr="00126F03">
        <w:rPr>
          <w:rFonts w:ascii="Arial" w:hAnsi="Arial" w:cs="Arial"/>
        </w:rPr>
        <w:t>staff, while important, can be hindered by limited funding, high staff turnover, and competing priorities within the organization (</w:t>
      </w:r>
      <w:r w:rsidR="004178CE" w:rsidRPr="00126F03">
        <w:rPr>
          <w:rFonts w:ascii="Arial" w:hAnsi="Arial" w:cs="Arial"/>
        </w:rPr>
        <w:t xml:space="preserve">Goldman, </w:t>
      </w:r>
      <w:r w:rsidR="004178CE" w:rsidRPr="00924E21">
        <w:rPr>
          <w:rFonts w:ascii="Arial" w:hAnsi="Arial" w:cs="Arial"/>
          <w:i/>
          <w:iCs/>
        </w:rPr>
        <w:t>et al</w:t>
      </w:r>
      <w:r w:rsidR="004178CE" w:rsidRPr="00126F03">
        <w:rPr>
          <w:rFonts w:ascii="Arial" w:hAnsi="Arial" w:cs="Arial"/>
        </w:rPr>
        <w:t>.</w:t>
      </w:r>
      <w:r w:rsidRPr="00126F03">
        <w:rPr>
          <w:rFonts w:ascii="Arial" w:hAnsi="Arial" w:cs="Arial"/>
        </w:rPr>
        <w:t>,2020</w:t>
      </w:r>
      <w:r w:rsidR="004178CE">
        <w:rPr>
          <w:rFonts w:ascii="Arial" w:hAnsi="Arial" w:cs="Arial"/>
        </w:rPr>
        <w:t>b</w:t>
      </w:r>
      <w:r w:rsidRPr="00126F03">
        <w:rPr>
          <w:rFonts w:ascii="Arial" w:hAnsi="Arial" w:cs="Arial"/>
        </w:rPr>
        <w:t>). Ultimately, a balanced approach that acknowledges the complexity of safeguarding and the need for context-specific solutions may be more effective in promoting the overall health, safety, and well-being of children, rather than a one-size-fits-all application of the Convention's principles.</w:t>
      </w:r>
      <w:r w:rsidR="0060636C">
        <w:rPr>
          <w:rFonts w:ascii="Arial" w:hAnsi="Arial" w:cs="Arial"/>
        </w:rPr>
        <w:t xml:space="preserve"> </w:t>
      </w:r>
      <w:r w:rsidRPr="00126F03">
        <w:rPr>
          <w:rFonts w:ascii="Arial" w:hAnsi="Arial" w:cs="Arial"/>
        </w:rPr>
        <w:t>(Simon,</w:t>
      </w:r>
      <w:r w:rsidR="0060636C">
        <w:rPr>
          <w:rFonts w:ascii="Arial" w:hAnsi="Arial" w:cs="Arial"/>
        </w:rPr>
        <w:t xml:space="preserve"> </w:t>
      </w:r>
      <w:r w:rsidRPr="00126F03">
        <w:rPr>
          <w:rFonts w:ascii="Arial" w:hAnsi="Arial" w:cs="Arial"/>
        </w:rPr>
        <w:t>Luetzow, Conte,</w:t>
      </w:r>
      <w:r w:rsidR="0060636C">
        <w:rPr>
          <w:rFonts w:ascii="Arial" w:hAnsi="Arial" w:cs="Arial"/>
        </w:rPr>
        <w:t xml:space="preserve"> </w:t>
      </w:r>
      <w:r w:rsidRPr="00126F03">
        <w:rPr>
          <w:rFonts w:ascii="Arial" w:hAnsi="Arial" w:cs="Arial"/>
        </w:rPr>
        <w:t>2020)</w:t>
      </w:r>
      <w:r w:rsidR="00F43D37">
        <w:rPr>
          <w:rFonts w:ascii="Arial" w:hAnsi="Arial" w:cs="Arial"/>
        </w:rPr>
        <w:t>.</w:t>
      </w:r>
    </w:p>
    <w:p w14:paraId="0C65079A" w14:textId="77777777" w:rsidR="006658CD" w:rsidRDefault="006658CD" w:rsidP="0060636C"/>
    <w:p w14:paraId="503AF562" w14:textId="77777777" w:rsidR="006658CD" w:rsidRDefault="006658CD" w:rsidP="000C1E54">
      <w:pPr>
        <w:jc w:val="center"/>
      </w:pPr>
    </w:p>
    <w:p w14:paraId="5B173566" w14:textId="77777777" w:rsidR="00924E21" w:rsidRDefault="00924E21" w:rsidP="000C1E54">
      <w:pPr>
        <w:jc w:val="center"/>
        <w:rPr>
          <w:rFonts w:ascii="Arial" w:hAnsi="Arial" w:cs="Arial"/>
        </w:rPr>
      </w:pPr>
    </w:p>
    <w:p w14:paraId="58424685" w14:textId="77777777" w:rsidR="00924E21" w:rsidRDefault="00924E21" w:rsidP="000C1E54">
      <w:pPr>
        <w:jc w:val="center"/>
        <w:rPr>
          <w:rFonts w:ascii="Arial" w:hAnsi="Arial" w:cs="Arial"/>
        </w:rPr>
      </w:pPr>
    </w:p>
    <w:p w14:paraId="49597792" w14:textId="77777777" w:rsidR="00924E21" w:rsidRDefault="00924E21" w:rsidP="000C1E54">
      <w:pPr>
        <w:jc w:val="center"/>
        <w:rPr>
          <w:rFonts w:ascii="Arial" w:hAnsi="Arial" w:cs="Arial"/>
        </w:rPr>
      </w:pPr>
    </w:p>
    <w:p w14:paraId="34CA7A34" w14:textId="01984346" w:rsidR="00AA7B23" w:rsidRPr="00F96AA0" w:rsidRDefault="000C1E54" w:rsidP="000C1E54">
      <w:pPr>
        <w:jc w:val="center"/>
        <w:rPr>
          <w:rFonts w:ascii="Arial" w:hAnsi="Arial" w:cs="Arial"/>
        </w:rPr>
      </w:pPr>
      <w:r w:rsidRPr="00F96AA0">
        <w:rPr>
          <w:rFonts w:ascii="Arial" w:hAnsi="Arial" w:cs="Arial"/>
        </w:rPr>
        <w:lastRenderedPageBreak/>
        <w:t>Reference List</w:t>
      </w:r>
    </w:p>
    <w:p w14:paraId="7520ABB8" w14:textId="77777777" w:rsidR="00AA7B23" w:rsidRPr="00F96AA0" w:rsidRDefault="00AA7B23" w:rsidP="00AA7B23">
      <w:pPr>
        <w:rPr>
          <w:rFonts w:ascii="Arial" w:hAnsi="Arial" w:cs="Arial"/>
        </w:rPr>
      </w:pPr>
    </w:p>
    <w:p w14:paraId="43F3EC5B" w14:textId="77777777" w:rsidR="00F975ED" w:rsidRPr="0009082E" w:rsidRDefault="00F975ED" w:rsidP="0009082E">
      <w:pPr>
        <w:rPr>
          <w:rFonts w:ascii="Arial" w:hAnsi="Arial" w:cs="Arial"/>
        </w:rPr>
      </w:pPr>
      <w:r w:rsidRPr="0009082E">
        <w:rPr>
          <w:rFonts w:ascii="Arial" w:hAnsi="Arial" w:cs="Arial"/>
        </w:rPr>
        <w:t>Alvarez, M, K. et al. (2004) "</w:t>
      </w:r>
      <w:r w:rsidRPr="00072F8F">
        <w:rPr>
          <w:rFonts w:ascii="Arial" w:hAnsi="Arial" w:cs="Arial"/>
          <w:i/>
          <w:iCs/>
        </w:rPr>
        <w:t>Why are professionals failing to initiate mandated reports of child maltreatment, and are there any empirically based training programs to assist professionals in the reporting process?"</w:t>
      </w:r>
      <w:r w:rsidRPr="0009082E">
        <w:rPr>
          <w:rFonts w:ascii="Arial" w:hAnsi="Arial" w:cs="Arial"/>
        </w:rPr>
        <w:t xml:space="preserve"> Elsevier BV, 9(5), p. 563-578. Available at: </w:t>
      </w:r>
      <w:hyperlink r:id="rId6" w:history="1">
        <w:r w:rsidRPr="003E299C">
          <w:rPr>
            <w:rStyle w:val="Hyperlink"/>
            <w:rFonts w:ascii="Arial" w:hAnsi="Arial" w:cs="Arial"/>
          </w:rPr>
          <w:t>https://doi.org/10.1016/j.avb.2003.07.001</w:t>
        </w:r>
      </w:hyperlink>
      <w:r w:rsidRPr="0009082E">
        <w:rPr>
          <w:rFonts w:ascii="Arial" w:hAnsi="Arial" w:cs="Arial"/>
        </w:rPr>
        <w:t>.</w:t>
      </w:r>
      <w:r>
        <w:rPr>
          <w:rFonts w:ascii="Arial" w:hAnsi="Arial" w:cs="Arial"/>
        </w:rPr>
        <w:t xml:space="preserve"> (Accessed: 6 July 2024) </w:t>
      </w:r>
    </w:p>
    <w:p w14:paraId="7FBF3AFE" w14:textId="77777777" w:rsidR="00F975ED" w:rsidRPr="0009082E" w:rsidRDefault="00F975ED" w:rsidP="0009082E">
      <w:pPr>
        <w:rPr>
          <w:rFonts w:ascii="Arial" w:hAnsi="Arial" w:cs="Arial"/>
        </w:rPr>
      </w:pPr>
      <w:r w:rsidRPr="0009082E">
        <w:rPr>
          <w:rFonts w:ascii="Arial" w:hAnsi="Arial" w:cs="Arial"/>
        </w:rPr>
        <w:t>Alvarez, M, K. et al. (2005) "</w:t>
      </w:r>
      <w:r w:rsidRPr="00926FB6">
        <w:rPr>
          <w:rFonts w:ascii="Arial" w:hAnsi="Arial" w:cs="Arial"/>
          <w:i/>
          <w:iCs/>
        </w:rPr>
        <w:t>The process and consequences of reporting child maltreatment: A brief overview for professionals in the mental health field</w:t>
      </w:r>
      <w:r w:rsidRPr="0009082E">
        <w:rPr>
          <w:rFonts w:ascii="Arial" w:hAnsi="Arial" w:cs="Arial"/>
        </w:rPr>
        <w:t xml:space="preserve">," Elsevier BV, 10(3), p. 311-331. Available at: </w:t>
      </w:r>
      <w:hyperlink r:id="rId7" w:history="1">
        <w:r w:rsidRPr="003E299C">
          <w:rPr>
            <w:rStyle w:val="Hyperlink"/>
            <w:rFonts w:ascii="Arial" w:hAnsi="Arial" w:cs="Arial"/>
          </w:rPr>
          <w:t>https://doi.org/10.1016/j.avb.2004.03.001</w:t>
        </w:r>
      </w:hyperlink>
      <w:r w:rsidRPr="0009082E">
        <w:rPr>
          <w:rFonts w:ascii="Arial" w:hAnsi="Arial" w:cs="Arial"/>
        </w:rPr>
        <w:t>.</w:t>
      </w:r>
      <w:r>
        <w:rPr>
          <w:rFonts w:ascii="Arial" w:hAnsi="Arial" w:cs="Arial"/>
        </w:rPr>
        <w:t xml:space="preserve"> (Accessed: 6 July 2024)</w:t>
      </w:r>
    </w:p>
    <w:p w14:paraId="66471D9A" w14:textId="77777777" w:rsidR="00F975ED" w:rsidRPr="0009082E" w:rsidRDefault="00F975ED" w:rsidP="0009082E">
      <w:pPr>
        <w:rPr>
          <w:rFonts w:ascii="Arial" w:hAnsi="Arial" w:cs="Arial"/>
        </w:rPr>
      </w:pPr>
      <w:proofErr w:type="spellStart"/>
      <w:r w:rsidRPr="00F96AA0">
        <w:rPr>
          <w:rFonts w:ascii="Arial" w:hAnsi="Arial" w:cs="Arial"/>
        </w:rPr>
        <w:t>Asnes</w:t>
      </w:r>
      <w:proofErr w:type="spellEnd"/>
      <w:r w:rsidRPr="00F96AA0">
        <w:rPr>
          <w:rFonts w:ascii="Arial" w:hAnsi="Arial" w:cs="Arial"/>
        </w:rPr>
        <w:t>, G, A. and Leventhal, M, J. (2010) "</w:t>
      </w:r>
      <w:r w:rsidRPr="00926FB6">
        <w:rPr>
          <w:rFonts w:ascii="Arial" w:hAnsi="Arial" w:cs="Arial"/>
          <w:i/>
          <w:iCs/>
        </w:rPr>
        <w:t>Managing Child Abuse: General Principles," American Academy of Paediatrics,</w:t>
      </w:r>
      <w:r w:rsidRPr="00F96AA0">
        <w:rPr>
          <w:rFonts w:ascii="Arial" w:hAnsi="Arial" w:cs="Arial"/>
        </w:rPr>
        <w:t xml:space="preserve"> 31(2), p. 47-55. Available at: </w:t>
      </w:r>
      <w:hyperlink r:id="rId8" w:history="1">
        <w:r w:rsidRPr="003E299C">
          <w:rPr>
            <w:rStyle w:val="Hyperlink"/>
            <w:rFonts w:ascii="Arial" w:hAnsi="Arial" w:cs="Arial"/>
          </w:rPr>
          <w:t>https://doi.org/10.1542/pir.31-2-47</w:t>
        </w:r>
      </w:hyperlink>
      <w:r w:rsidRPr="00F96AA0">
        <w:rPr>
          <w:rFonts w:ascii="Arial" w:hAnsi="Arial" w:cs="Arial"/>
        </w:rPr>
        <w:t>.</w:t>
      </w:r>
      <w:r>
        <w:rPr>
          <w:rFonts w:ascii="Arial" w:hAnsi="Arial" w:cs="Arial"/>
        </w:rPr>
        <w:t xml:space="preserve"> (Accessed: 10 July 2024)</w:t>
      </w:r>
    </w:p>
    <w:p w14:paraId="51479C8C" w14:textId="77777777" w:rsidR="00F975ED" w:rsidRPr="0009082E" w:rsidRDefault="00F975ED" w:rsidP="0009082E">
      <w:pPr>
        <w:rPr>
          <w:rFonts w:ascii="Arial" w:hAnsi="Arial" w:cs="Arial"/>
        </w:rPr>
      </w:pPr>
      <w:r w:rsidRPr="0009082E">
        <w:rPr>
          <w:rFonts w:ascii="Arial" w:hAnsi="Arial" w:cs="Arial"/>
        </w:rPr>
        <w:t xml:space="preserve">Bromfield, L. and Higgins, D. (2005) </w:t>
      </w:r>
      <w:r w:rsidRPr="006C5E36">
        <w:rPr>
          <w:rFonts w:ascii="Arial" w:hAnsi="Arial" w:cs="Arial"/>
          <w:i/>
          <w:iCs/>
        </w:rPr>
        <w:t>National comparison of child protection systems.</w:t>
      </w:r>
      <w:r w:rsidRPr="0009082E">
        <w:rPr>
          <w:rFonts w:ascii="Arial" w:hAnsi="Arial" w:cs="Arial"/>
        </w:rPr>
        <w:t xml:space="preserve"> Available at: </w:t>
      </w:r>
      <w:hyperlink r:id="rId9" w:history="1">
        <w:r w:rsidRPr="003E299C">
          <w:rPr>
            <w:rStyle w:val="Hyperlink"/>
            <w:rFonts w:ascii="Arial" w:hAnsi="Arial" w:cs="Arial"/>
          </w:rPr>
          <w:t>https://aifs.gov.au/cfca/sites/default/files/publication-documents/issues22.pdf</w:t>
        </w:r>
      </w:hyperlink>
      <w:r w:rsidRPr="0009082E">
        <w:rPr>
          <w:rFonts w:ascii="Arial" w:hAnsi="Arial" w:cs="Arial"/>
        </w:rPr>
        <w:t>.</w:t>
      </w:r>
      <w:r>
        <w:rPr>
          <w:rFonts w:ascii="Arial" w:hAnsi="Arial" w:cs="Arial"/>
        </w:rPr>
        <w:t xml:space="preserve"> (Accessed: 11 July 2024)</w:t>
      </w:r>
    </w:p>
    <w:p w14:paraId="434D8D83" w14:textId="77777777" w:rsidR="00F975ED" w:rsidRPr="00F96AA0" w:rsidRDefault="00F975ED" w:rsidP="000C733A">
      <w:pPr>
        <w:rPr>
          <w:rFonts w:ascii="Arial" w:hAnsi="Arial" w:cs="Arial"/>
        </w:rPr>
      </w:pPr>
      <w:r w:rsidRPr="00F96AA0">
        <w:rPr>
          <w:rFonts w:ascii="Arial" w:hAnsi="Arial" w:cs="Arial"/>
        </w:rPr>
        <w:t>Cameron, H. (2005) "</w:t>
      </w:r>
      <w:r w:rsidRPr="006C5E36">
        <w:rPr>
          <w:rFonts w:ascii="Arial" w:hAnsi="Arial" w:cs="Arial"/>
          <w:i/>
          <w:iCs/>
        </w:rPr>
        <w:t>Asking the tough questions: a guide to ethical practices in interviewing young children,</w:t>
      </w:r>
      <w:r w:rsidRPr="00F96AA0">
        <w:rPr>
          <w:rFonts w:ascii="Arial" w:hAnsi="Arial" w:cs="Arial"/>
        </w:rPr>
        <w:t xml:space="preserve">" Taylor &amp; Francis, 175(6), p. 597-610. Available at: </w:t>
      </w:r>
      <w:hyperlink r:id="rId10" w:history="1">
        <w:r w:rsidRPr="003E299C">
          <w:rPr>
            <w:rStyle w:val="Hyperlink"/>
            <w:rFonts w:ascii="Arial" w:hAnsi="Arial" w:cs="Arial"/>
          </w:rPr>
          <w:t>https://doi.org/10.1080/03004430500131387</w:t>
        </w:r>
      </w:hyperlink>
      <w:r w:rsidRPr="00F96AA0">
        <w:rPr>
          <w:rFonts w:ascii="Arial" w:hAnsi="Arial" w:cs="Arial"/>
        </w:rPr>
        <w:t>.</w:t>
      </w:r>
      <w:r>
        <w:rPr>
          <w:rFonts w:ascii="Arial" w:hAnsi="Arial" w:cs="Arial"/>
        </w:rPr>
        <w:t xml:space="preserve"> (Accessed: 6 July 2024)</w:t>
      </w:r>
    </w:p>
    <w:p w14:paraId="113AAE96" w14:textId="77777777" w:rsidR="00F975ED" w:rsidRPr="00F96AA0" w:rsidRDefault="00F975ED" w:rsidP="000C733A">
      <w:pPr>
        <w:rPr>
          <w:rFonts w:ascii="Arial" w:hAnsi="Arial" w:cs="Arial"/>
        </w:rPr>
      </w:pPr>
      <w:r w:rsidRPr="00F96AA0">
        <w:rPr>
          <w:rFonts w:ascii="Arial" w:hAnsi="Arial" w:cs="Arial"/>
        </w:rPr>
        <w:t>Campbell, H. and Wigglesworth, A. (1993) "</w:t>
      </w:r>
      <w:r w:rsidRPr="007232E5">
        <w:rPr>
          <w:rFonts w:ascii="Arial" w:hAnsi="Arial" w:cs="Arial"/>
          <w:i/>
          <w:iCs/>
        </w:rPr>
        <w:t>Child protection in schools: A survey of the training needs of fife schoolteachers</w:t>
      </w:r>
      <w:r w:rsidRPr="00F96AA0">
        <w:rPr>
          <w:rFonts w:ascii="Arial" w:hAnsi="Arial" w:cs="Arial"/>
        </w:rPr>
        <w:t xml:space="preserve">," Elsevier BV, 107(6), p. 413-419. Available at: </w:t>
      </w:r>
      <w:hyperlink r:id="rId11" w:history="1">
        <w:r w:rsidRPr="003E299C">
          <w:rPr>
            <w:rStyle w:val="Hyperlink"/>
            <w:rFonts w:ascii="Arial" w:hAnsi="Arial" w:cs="Arial"/>
          </w:rPr>
          <w:t>https://doi.org/10.1016/s0033-3506(05)80166-0</w:t>
        </w:r>
      </w:hyperlink>
      <w:r w:rsidRPr="00F96AA0">
        <w:rPr>
          <w:rFonts w:ascii="Arial" w:hAnsi="Arial" w:cs="Arial"/>
        </w:rPr>
        <w:t>.</w:t>
      </w:r>
      <w:r>
        <w:rPr>
          <w:rFonts w:ascii="Arial" w:hAnsi="Arial" w:cs="Arial"/>
        </w:rPr>
        <w:t xml:space="preserve"> (Accessed: 7 July 2024) </w:t>
      </w:r>
    </w:p>
    <w:p w14:paraId="13487BB9" w14:textId="77777777" w:rsidR="00F975ED" w:rsidRPr="0009082E" w:rsidRDefault="00F975ED" w:rsidP="00E22ACB">
      <w:pPr>
        <w:rPr>
          <w:rFonts w:ascii="Arial" w:hAnsi="Arial" w:cs="Arial"/>
        </w:rPr>
      </w:pPr>
      <w:r w:rsidRPr="00F96AA0">
        <w:rPr>
          <w:rFonts w:ascii="Arial" w:hAnsi="Arial" w:cs="Arial"/>
        </w:rPr>
        <w:t>Gani, M, R. and Woolley, C. (2009 a) "</w:t>
      </w:r>
      <w:r w:rsidRPr="007232E5">
        <w:rPr>
          <w:rFonts w:ascii="Arial" w:hAnsi="Arial" w:cs="Arial"/>
          <w:i/>
          <w:iCs/>
        </w:rPr>
        <w:t>Child protection: basics of recognition and referral,"</w:t>
      </w:r>
      <w:r w:rsidRPr="00F96AA0">
        <w:rPr>
          <w:rFonts w:ascii="Arial" w:hAnsi="Arial" w:cs="Arial"/>
        </w:rPr>
        <w:t xml:space="preserve"> Elsevier BV, 5(2), p. 79-83. Available at: </w:t>
      </w:r>
      <w:hyperlink r:id="rId12" w:history="1">
        <w:r w:rsidRPr="003E299C">
          <w:rPr>
            <w:rStyle w:val="Hyperlink"/>
            <w:rFonts w:ascii="Arial" w:hAnsi="Arial" w:cs="Arial"/>
          </w:rPr>
          <w:t>https://doi.org/10.1016/j.mpfou.2008.11.009</w:t>
        </w:r>
      </w:hyperlink>
      <w:r w:rsidRPr="00F96AA0">
        <w:rPr>
          <w:rFonts w:ascii="Arial" w:hAnsi="Arial" w:cs="Arial"/>
        </w:rPr>
        <w:t>.</w:t>
      </w:r>
      <w:r>
        <w:rPr>
          <w:rFonts w:ascii="Arial" w:hAnsi="Arial" w:cs="Arial"/>
        </w:rPr>
        <w:t xml:space="preserve"> </w:t>
      </w:r>
    </w:p>
    <w:p w14:paraId="5EBF29C5" w14:textId="77777777" w:rsidR="00F975ED" w:rsidRPr="0009082E" w:rsidRDefault="00F975ED" w:rsidP="0009082E">
      <w:pPr>
        <w:rPr>
          <w:rFonts w:ascii="Arial" w:hAnsi="Arial" w:cs="Arial"/>
        </w:rPr>
      </w:pPr>
      <w:r w:rsidRPr="0009082E">
        <w:rPr>
          <w:rFonts w:ascii="Arial" w:hAnsi="Arial" w:cs="Arial"/>
        </w:rPr>
        <w:t>Gilbert, R. et al. (2009) "</w:t>
      </w:r>
      <w:r w:rsidRPr="003F4BBA">
        <w:rPr>
          <w:rFonts w:ascii="Arial" w:hAnsi="Arial" w:cs="Arial"/>
          <w:i/>
          <w:iCs/>
        </w:rPr>
        <w:t>Recognising and responding to child maltreatment</w:t>
      </w:r>
      <w:r w:rsidRPr="0009082E">
        <w:rPr>
          <w:rFonts w:ascii="Arial" w:hAnsi="Arial" w:cs="Arial"/>
        </w:rPr>
        <w:t xml:space="preserve">," Elsevier BV, 373(9658), p. 167-180. Available at: </w:t>
      </w:r>
      <w:hyperlink r:id="rId13" w:history="1">
        <w:r w:rsidRPr="003E299C">
          <w:rPr>
            <w:rStyle w:val="Hyperlink"/>
            <w:rFonts w:ascii="Arial" w:hAnsi="Arial" w:cs="Arial"/>
          </w:rPr>
          <w:t>https://doi.org/10.1016/s0140-6736(08)61707-9</w:t>
        </w:r>
      </w:hyperlink>
      <w:r w:rsidRPr="0009082E">
        <w:rPr>
          <w:rFonts w:ascii="Arial" w:hAnsi="Arial" w:cs="Arial"/>
        </w:rPr>
        <w:t>.</w:t>
      </w:r>
      <w:r>
        <w:rPr>
          <w:rFonts w:ascii="Arial" w:hAnsi="Arial" w:cs="Arial"/>
        </w:rPr>
        <w:t xml:space="preserve"> (Accessed: 10 July 2024)</w:t>
      </w:r>
    </w:p>
    <w:p w14:paraId="66B241EE" w14:textId="77777777" w:rsidR="00F975ED" w:rsidRPr="00C57B61" w:rsidRDefault="00F975ED" w:rsidP="00C57B61">
      <w:pPr>
        <w:rPr>
          <w:rFonts w:ascii="Arial" w:hAnsi="Arial" w:cs="Arial"/>
        </w:rPr>
      </w:pPr>
      <w:r w:rsidRPr="00C57B61">
        <w:rPr>
          <w:rFonts w:ascii="Arial" w:hAnsi="Arial" w:cs="Arial"/>
        </w:rPr>
        <w:t xml:space="preserve">Goldman, P. et al. (2020) </w:t>
      </w:r>
      <w:r w:rsidRPr="00CB5CEF">
        <w:rPr>
          <w:rFonts w:ascii="Arial" w:hAnsi="Arial" w:cs="Arial"/>
          <w:i/>
          <w:iCs/>
        </w:rPr>
        <w:t>"Institutionalisation and deinstitutionalisation of children 2: policy and practice recommendations for global, national, and local actors</w:t>
      </w:r>
      <w:r w:rsidRPr="00C57B61">
        <w:rPr>
          <w:rFonts w:ascii="Arial" w:hAnsi="Arial" w:cs="Arial"/>
        </w:rPr>
        <w:t>," Elsevier BV, 4(8</w:t>
      </w:r>
      <w:proofErr w:type="gramStart"/>
      <w:r w:rsidRPr="00C57B61">
        <w:rPr>
          <w:rFonts w:ascii="Arial" w:hAnsi="Arial" w:cs="Arial"/>
        </w:rPr>
        <w:t>),p.</w:t>
      </w:r>
      <w:proofErr w:type="gramEnd"/>
      <w:r w:rsidRPr="00C57B61">
        <w:rPr>
          <w:rFonts w:ascii="Arial" w:hAnsi="Arial" w:cs="Arial"/>
        </w:rPr>
        <w:t xml:space="preserve"> 606-633. Available at: </w:t>
      </w:r>
      <w:hyperlink r:id="rId14" w:history="1">
        <w:r w:rsidRPr="003E299C">
          <w:rPr>
            <w:rStyle w:val="Hyperlink"/>
            <w:rFonts w:ascii="Arial" w:hAnsi="Arial" w:cs="Arial"/>
          </w:rPr>
          <w:t>https://doi.org/10.1016/s2352-4642(20)30060-2</w:t>
        </w:r>
      </w:hyperlink>
      <w:r w:rsidRPr="00C57B61">
        <w:rPr>
          <w:rFonts w:ascii="Arial" w:hAnsi="Arial" w:cs="Arial"/>
        </w:rPr>
        <w:t>.</w:t>
      </w:r>
      <w:r>
        <w:rPr>
          <w:rFonts w:ascii="Arial" w:hAnsi="Arial" w:cs="Arial"/>
        </w:rPr>
        <w:t xml:space="preserve"> (Accessed:10 July 2024)</w:t>
      </w:r>
    </w:p>
    <w:p w14:paraId="5F983FB8" w14:textId="77777777" w:rsidR="00F975ED" w:rsidRPr="00C57B61" w:rsidRDefault="00F975ED" w:rsidP="00C57B61">
      <w:pPr>
        <w:rPr>
          <w:rFonts w:ascii="Arial" w:hAnsi="Arial" w:cs="Arial"/>
        </w:rPr>
      </w:pPr>
      <w:r w:rsidRPr="00C57B61">
        <w:rPr>
          <w:rFonts w:ascii="Arial" w:hAnsi="Arial" w:cs="Arial"/>
        </w:rPr>
        <w:t>Groark, J, C. and McCall, B, R. (2011) "</w:t>
      </w:r>
      <w:r w:rsidRPr="00CB5CEF">
        <w:rPr>
          <w:rFonts w:ascii="Arial" w:hAnsi="Arial" w:cs="Arial"/>
          <w:i/>
          <w:iCs/>
        </w:rPr>
        <w:t>Implementing changes in institutions to improve young children's development</w:t>
      </w:r>
      <w:r w:rsidRPr="00C57B61">
        <w:rPr>
          <w:rFonts w:ascii="Arial" w:hAnsi="Arial" w:cs="Arial"/>
        </w:rPr>
        <w:t>," Wiley-Blackwell, 32(5</w:t>
      </w:r>
      <w:r w:rsidRPr="00C57B61">
        <w:rPr>
          <w:rFonts w:ascii="Arial" w:hAnsi="Arial" w:cs="Arial"/>
        </w:rPr>
        <w:t>), p.</w:t>
      </w:r>
      <w:r w:rsidRPr="00C57B61">
        <w:rPr>
          <w:rFonts w:ascii="Arial" w:hAnsi="Arial" w:cs="Arial"/>
        </w:rPr>
        <w:t xml:space="preserve"> 509-525. Available at: </w:t>
      </w:r>
      <w:hyperlink r:id="rId15" w:history="1">
        <w:r w:rsidRPr="003E299C">
          <w:rPr>
            <w:rStyle w:val="Hyperlink"/>
            <w:rFonts w:ascii="Arial" w:hAnsi="Arial" w:cs="Arial"/>
          </w:rPr>
          <w:t>https://doi.org/10.1002/imhj.20310</w:t>
        </w:r>
      </w:hyperlink>
      <w:r w:rsidRPr="00C57B61">
        <w:rPr>
          <w:rFonts w:ascii="Arial" w:hAnsi="Arial" w:cs="Arial"/>
        </w:rPr>
        <w:t>.</w:t>
      </w:r>
      <w:r>
        <w:rPr>
          <w:rFonts w:ascii="Arial" w:hAnsi="Arial" w:cs="Arial"/>
        </w:rPr>
        <w:t xml:space="preserve"> (Accessed: 7 July 2024)</w:t>
      </w:r>
    </w:p>
    <w:p w14:paraId="6ED16423" w14:textId="77777777" w:rsidR="00F975ED" w:rsidRPr="00AB1010" w:rsidRDefault="00F975ED" w:rsidP="000C733A">
      <w:pPr>
        <w:rPr>
          <w:rFonts w:ascii="Arial" w:hAnsi="Arial" w:cs="Arial"/>
        </w:rPr>
      </w:pPr>
      <w:r w:rsidRPr="00F96AA0">
        <w:rPr>
          <w:rFonts w:ascii="Arial" w:hAnsi="Arial" w:cs="Arial"/>
        </w:rPr>
        <w:t>Hunter, C. and Price</w:t>
      </w:r>
      <w:r w:rsidRPr="00F96AA0">
        <w:rPr>
          <w:rFonts w:ascii="Cambria Math" w:hAnsi="Cambria Math" w:cs="Cambria Math"/>
        </w:rPr>
        <w:t>‐</w:t>
      </w:r>
      <w:r w:rsidRPr="00F96AA0">
        <w:rPr>
          <w:rFonts w:ascii="Arial" w:hAnsi="Arial" w:cs="Arial"/>
        </w:rPr>
        <w:t xml:space="preserve">Robertson, R. (2014) </w:t>
      </w:r>
      <w:r w:rsidRPr="0005003E">
        <w:rPr>
          <w:rFonts w:ascii="Arial" w:hAnsi="Arial" w:cs="Arial"/>
          <w:i/>
          <w:iCs/>
        </w:rPr>
        <w:t>The good practice guide to Child Aware Approaches: keeping children safe and well.</w:t>
      </w:r>
      <w:r w:rsidRPr="00F96AA0">
        <w:rPr>
          <w:rFonts w:ascii="Arial" w:hAnsi="Arial" w:cs="Arial"/>
        </w:rPr>
        <w:t xml:space="preserve"> Available at: </w:t>
      </w:r>
      <w:hyperlink r:id="rId16" w:history="1">
        <w:r w:rsidRPr="003E299C">
          <w:rPr>
            <w:rStyle w:val="Hyperlink"/>
            <w:rFonts w:ascii="Arial" w:hAnsi="Arial" w:cs="Arial"/>
          </w:rPr>
          <w:t>https://apo.org.au/sites/default/files/resource-files/2014-05/apo-nid39583.pdf</w:t>
        </w:r>
      </w:hyperlink>
      <w:r w:rsidRPr="00AB1010">
        <w:rPr>
          <w:rFonts w:ascii="Arial" w:hAnsi="Arial" w:cs="Arial"/>
        </w:rPr>
        <w:t>.</w:t>
      </w:r>
      <w:r>
        <w:rPr>
          <w:rFonts w:ascii="Arial" w:hAnsi="Arial" w:cs="Arial"/>
        </w:rPr>
        <w:t xml:space="preserve"> (Accessed: 8 July 2024)</w:t>
      </w:r>
    </w:p>
    <w:p w14:paraId="71FB7AF0" w14:textId="77777777" w:rsidR="00F975ED" w:rsidRPr="0009082E" w:rsidRDefault="00F975ED" w:rsidP="0009082E">
      <w:pPr>
        <w:rPr>
          <w:rFonts w:ascii="Arial" w:hAnsi="Arial" w:cs="Arial"/>
        </w:rPr>
      </w:pPr>
      <w:r w:rsidRPr="0009082E">
        <w:rPr>
          <w:rFonts w:ascii="Arial" w:hAnsi="Arial" w:cs="Arial"/>
        </w:rPr>
        <w:t xml:space="preserve">Kellogg, D, N. (2014) </w:t>
      </w:r>
      <w:r w:rsidRPr="00A876C3">
        <w:rPr>
          <w:rFonts w:ascii="Arial" w:hAnsi="Arial" w:cs="Arial"/>
          <w:i/>
          <w:iCs/>
        </w:rPr>
        <w:t>Working with child protective services and law enforcement: what to expect.</w:t>
      </w:r>
      <w:r w:rsidRPr="0009082E">
        <w:rPr>
          <w:rFonts w:ascii="Arial" w:hAnsi="Arial" w:cs="Arial"/>
        </w:rPr>
        <w:t xml:space="preserve"> Available at: </w:t>
      </w:r>
      <w:hyperlink r:id="rId17" w:history="1">
        <w:r w:rsidRPr="003E299C">
          <w:rPr>
            <w:rStyle w:val="Hyperlink"/>
            <w:rFonts w:ascii="Arial" w:hAnsi="Arial" w:cs="Arial"/>
          </w:rPr>
          <w:t>https://www.sciencedirect.com/science/article/pii/S0031395514001278</w:t>
        </w:r>
      </w:hyperlink>
      <w:r w:rsidRPr="0009082E">
        <w:rPr>
          <w:rFonts w:ascii="Arial" w:hAnsi="Arial" w:cs="Arial"/>
        </w:rPr>
        <w:t>.</w:t>
      </w:r>
      <w:r>
        <w:rPr>
          <w:rFonts w:ascii="Arial" w:hAnsi="Arial" w:cs="Arial"/>
        </w:rPr>
        <w:t xml:space="preserve"> (Accessed:8 July 2024)</w:t>
      </w:r>
    </w:p>
    <w:p w14:paraId="57A83C80" w14:textId="77777777" w:rsidR="00F975ED" w:rsidRPr="00F96AA0" w:rsidRDefault="00F975ED" w:rsidP="000C733A">
      <w:pPr>
        <w:rPr>
          <w:rFonts w:ascii="Arial" w:hAnsi="Arial" w:cs="Arial"/>
        </w:rPr>
      </w:pPr>
      <w:r w:rsidRPr="00F96AA0">
        <w:rPr>
          <w:rFonts w:ascii="Arial" w:hAnsi="Arial" w:cs="Arial"/>
        </w:rPr>
        <w:lastRenderedPageBreak/>
        <w:t>Marchant, R. and Turner, L. (2017) "‘</w:t>
      </w:r>
      <w:r w:rsidRPr="00AB1010">
        <w:rPr>
          <w:rFonts w:ascii="Arial" w:hAnsi="Arial" w:cs="Arial"/>
          <w:i/>
          <w:iCs/>
        </w:rPr>
        <w:t>Opening Doors’: best practice when a young child might be showing or telling you that they are at risk,"</w:t>
      </w:r>
      <w:r w:rsidRPr="00F96AA0">
        <w:rPr>
          <w:rFonts w:ascii="Arial" w:hAnsi="Arial" w:cs="Arial"/>
        </w:rPr>
        <w:t xml:space="preserve"> Mark Allen Group, 19(6), p. 54-60. Available at: </w:t>
      </w:r>
      <w:hyperlink r:id="rId18" w:history="1">
        <w:r w:rsidRPr="003E299C">
          <w:rPr>
            <w:rStyle w:val="Hyperlink"/>
            <w:rFonts w:ascii="Arial" w:hAnsi="Arial" w:cs="Arial"/>
          </w:rPr>
          <w:t>https://doi.org/10.12968/eyed.2017.19.6.54</w:t>
        </w:r>
      </w:hyperlink>
      <w:r w:rsidRPr="00F96AA0">
        <w:rPr>
          <w:rFonts w:ascii="Arial" w:hAnsi="Arial" w:cs="Arial"/>
        </w:rPr>
        <w:t>.</w:t>
      </w:r>
      <w:r>
        <w:rPr>
          <w:rFonts w:ascii="Arial" w:hAnsi="Arial" w:cs="Arial"/>
        </w:rPr>
        <w:t xml:space="preserve"> (Accessed: 8 July 2024)</w:t>
      </w:r>
    </w:p>
    <w:p w14:paraId="6C25E951" w14:textId="77777777" w:rsidR="00F975ED" w:rsidRPr="00F96AA0" w:rsidRDefault="00F975ED" w:rsidP="000C733A">
      <w:pPr>
        <w:rPr>
          <w:rFonts w:ascii="Arial" w:hAnsi="Arial" w:cs="Arial"/>
        </w:rPr>
      </w:pPr>
      <w:r w:rsidRPr="00F96AA0">
        <w:rPr>
          <w:rFonts w:ascii="Arial" w:hAnsi="Arial" w:cs="Arial"/>
        </w:rPr>
        <w:t>Marchant, R., Carter, J. and Fairhurst, C. (2020) "</w:t>
      </w:r>
      <w:r w:rsidRPr="00A876C3">
        <w:rPr>
          <w:rFonts w:ascii="Arial" w:hAnsi="Arial" w:cs="Arial"/>
          <w:i/>
          <w:iCs/>
        </w:rPr>
        <w:t>Opening doors: suggested practice for medical professionals for when a child might be close to talking about abuse</w:t>
      </w:r>
      <w:r w:rsidRPr="00F96AA0">
        <w:rPr>
          <w:rFonts w:ascii="Arial" w:hAnsi="Arial" w:cs="Arial"/>
        </w:rPr>
        <w:t xml:space="preserve">," BMJ, 106(2), p. 108-110. Available at: </w:t>
      </w:r>
      <w:hyperlink r:id="rId19" w:history="1">
        <w:r w:rsidRPr="00F96AA0">
          <w:rPr>
            <w:rStyle w:val="Hyperlink"/>
            <w:rFonts w:ascii="Arial" w:hAnsi="Arial" w:cs="Arial"/>
          </w:rPr>
          <w:t>https://doi.org/10.1136/archdischild-2020-320093</w:t>
        </w:r>
      </w:hyperlink>
      <w:r w:rsidRPr="00F96AA0">
        <w:rPr>
          <w:rFonts w:ascii="Arial" w:hAnsi="Arial" w:cs="Arial"/>
        </w:rPr>
        <w:t>.</w:t>
      </w:r>
      <w:r>
        <w:rPr>
          <w:rFonts w:ascii="Arial" w:hAnsi="Arial" w:cs="Arial"/>
        </w:rPr>
        <w:t xml:space="preserve"> (Accessed: 12 July 2024)</w:t>
      </w:r>
    </w:p>
    <w:p w14:paraId="0574BB12" w14:textId="77777777" w:rsidR="00F975ED" w:rsidRPr="0009082E" w:rsidRDefault="00F975ED" w:rsidP="0009082E">
      <w:pPr>
        <w:rPr>
          <w:rFonts w:ascii="Arial" w:hAnsi="Arial" w:cs="Arial"/>
        </w:rPr>
      </w:pPr>
      <w:r w:rsidRPr="0009082E">
        <w:rPr>
          <w:rFonts w:ascii="Arial" w:hAnsi="Arial" w:cs="Arial"/>
        </w:rPr>
        <w:t xml:space="preserve">Mathews, B. (2014) </w:t>
      </w:r>
      <w:r w:rsidRPr="00096F20">
        <w:rPr>
          <w:rFonts w:ascii="Arial" w:hAnsi="Arial" w:cs="Arial"/>
          <w:i/>
          <w:iCs/>
        </w:rPr>
        <w:t>"Mandatory Reporting Laws and Identification of Child Abuse and Neglect: Consideration of Differential Maltreatment Types, and a Cross-Jurisdictional Analysis of Child Sexual Abuse Reports</w:t>
      </w:r>
      <w:r w:rsidRPr="0009082E">
        <w:rPr>
          <w:rFonts w:ascii="Arial" w:hAnsi="Arial" w:cs="Arial"/>
        </w:rPr>
        <w:t xml:space="preserve">," Multidisciplinary Digital Publishing Institute, 3(3), p. 460-482. Available at: </w:t>
      </w:r>
      <w:hyperlink r:id="rId20" w:history="1">
        <w:r w:rsidRPr="003E299C">
          <w:rPr>
            <w:rStyle w:val="Hyperlink"/>
            <w:rFonts w:ascii="Arial" w:hAnsi="Arial" w:cs="Arial"/>
          </w:rPr>
          <w:t>https://doi.org/10.3390/socsci3030460</w:t>
        </w:r>
      </w:hyperlink>
      <w:r w:rsidRPr="0009082E">
        <w:rPr>
          <w:rFonts w:ascii="Arial" w:hAnsi="Arial" w:cs="Arial"/>
        </w:rPr>
        <w:t>.</w:t>
      </w:r>
      <w:r>
        <w:rPr>
          <w:rFonts w:ascii="Arial" w:hAnsi="Arial" w:cs="Arial"/>
        </w:rPr>
        <w:t xml:space="preserve"> (Accessed:12 July 2024)</w:t>
      </w:r>
    </w:p>
    <w:p w14:paraId="6A3951B7" w14:textId="77777777" w:rsidR="00F975ED" w:rsidRPr="00C57B61" w:rsidRDefault="00F975ED" w:rsidP="00C57B61">
      <w:pPr>
        <w:rPr>
          <w:rFonts w:ascii="Arial" w:hAnsi="Arial" w:cs="Arial"/>
        </w:rPr>
      </w:pPr>
      <w:r w:rsidRPr="00C57B61">
        <w:rPr>
          <w:rFonts w:ascii="Arial" w:hAnsi="Arial" w:cs="Arial"/>
        </w:rPr>
        <w:t>McCormack, C., Gibbons, M. and McGregor, C. (2019) "</w:t>
      </w:r>
      <w:r w:rsidRPr="00096F20">
        <w:rPr>
          <w:rFonts w:ascii="Arial" w:hAnsi="Arial" w:cs="Arial"/>
          <w:i/>
          <w:iCs/>
        </w:rPr>
        <w:t>An Ecological Framework for Understanding and Improving Decision Making in Child Protection and Welfare Intake</w:t>
      </w:r>
      <w:r w:rsidRPr="00C57B61">
        <w:rPr>
          <w:rFonts w:ascii="Arial" w:hAnsi="Arial" w:cs="Arial"/>
        </w:rPr>
        <w:t xml:space="preserve"> (Duty) Practices in the Republic of Ireland," Taylor &amp; Francis, 26(2),</w:t>
      </w:r>
      <w:r>
        <w:rPr>
          <w:rFonts w:ascii="Arial" w:hAnsi="Arial" w:cs="Arial"/>
        </w:rPr>
        <w:t xml:space="preserve"> </w:t>
      </w:r>
      <w:r w:rsidRPr="00C57B61">
        <w:rPr>
          <w:rFonts w:ascii="Arial" w:hAnsi="Arial" w:cs="Arial"/>
        </w:rPr>
        <w:t xml:space="preserve">p. 146-162. Available at: </w:t>
      </w:r>
      <w:hyperlink r:id="rId21" w:history="1">
        <w:r w:rsidRPr="003E299C">
          <w:rPr>
            <w:rStyle w:val="Hyperlink"/>
            <w:rFonts w:ascii="Arial" w:hAnsi="Arial" w:cs="Arial"/>
          </w:rPr>
          <w:t>https://doi.org/10.1080/13575279.2019.1685464</w:t>
        </w:r>
      </w:hyperlink>
      <w:r w:rsidRPr="00C57B61">
        <w:rPr>
          <w:rFonts w:ascii="Arial" w:hAnsi="Arial" w:cs="Arial"/>
        </w:rPr>
        <w:t>.</w:t>
      </w:r>
      <w:r>
        <w:rPr>
          <w:rFonts w:ascii="Arial" w:hAnsi="Arial" w:cs="Arial"/>
        </w:rPr>
        <w:t xml:space="preserve"> (Accessed: 8 July 2024)</w:t>
      </w:r>
    </w:p>
    <w:p w14:paraId="3400D1D1" w14:textId="77777777" w:rsidR="00F975ED" w:rsidRPr="0009082E" w:rsidRDefault="00F975ED" w:rsidP="0009082E">
      <w:pPr>
        <w:rPr>
          <w:rFonts w:ascii="Arial" w:hAnsi="Arial" w:cs="Arial"/>
        </w:rPr>
      </w:pPr>
      <w:r>
        <w:rPr>
          <w:rFonts w:ascii="Arial" w:hAnsi="Arial" w:cs="Arial"/>
        </w:rPr>
        <w:t xml:space="preserve">Nice (2017) </w:t>
      </w:r>
      <w:r w:rsidRPr="007232E5">
        <w:rPr>
          <w:rFonts w:ascii="Arial" w:hAnsi="Arial" w:cs="Arial"/>
          <w:i/>
          <w:iCs/>
        </w:rPr>
        <w:t>Child abuse and neglect</w:t>
      </w:r>
      <w:r w:rsidRPr="0009082E">
        <w:rPr>
          <w:rFonts w:ascii="Arial" w:hAnsi="Arial" w:cs="Arial"/>
        </w:rPr>
        <w:t xml:space="preserve">. Available at: </w:t>
      </w:r>
      <w:hyperlink r:id="rId22" w:history="1">
        <w:r w:rsidRPr="003E299C">
          <w:rPr>
            <w:rStyle w:val="Hyperlink"/>
            <w:rFonts w:ascii="Arial" w:hAnsi="Arial" w:cs="Arial"/>
          </w:rPr>
          <w:t>https://www.nice.org.uk/guidance/ng76/chapter/About-this-guideline</w:t>
        </w:r>
      </w:hyperlink>
      <w:r w:rsidRPr="0009082E">
        <w:rPr>
          <w:rFonts w:ascii="Arial" w:hAnsi="Arial" w:cs="Arial"/>
        </w:rPr>
        <w:t>.</w:t>
      </w:r>
      <w:r>
        <w:rPr>
          <w:rFonts w:ascii="Arial" w:hAnsi="Arial" w:cs="Arial"/>
        </w:rPr>
        <w:t xml:space="preserve"> (Accessed: 7 July 2024)</w:t>
      </w:r>
    </w:p>
    <w:p w14:paraId="64E53BC1" w14:textId="77777777" w:rsidR="00F975ED" w:rsidRPr="00F96AA0" w:rsidRDefault="00F975ED" w:rsidP="0009082E">
      <w:pPr>
        <w:rPr>
          <w:rFonts w:ascii="Arial" w:hAnsi="Arial" w:cs="Arial"/>
        </w:rPr>
      </w:pPr>
      <w:r>
        <w:rPr>
          <w:rFonts w:ascii="Arial" w:hAnsi="Arial" w:cs="Arial"/>
        </w:rPr>
        <w:t xml:space="preserve">NIH (2014) </w:t>
      </w:r>
      <w:r w:rsidRPr="002758BF">
        <w:rPr>
          <w:rFonts w:ascii="Arial" w:hAnsi="Arial" w:cs="Arial"/>
        </w:rPr>
        <w:t xml:space="preserve">Clinical handover within the emergency care pathway and the potential risks of clinical handover failure. Available at: </w:t>
      </w:r>
      <w:hyperlink r:id="rId23" w:history="1">
        <w:r w:rsidRPr="001158A1">
          <w:rPr>
            <w:rStyle w:val="Hyperlink"/>
            <w:rFonts w:ascii="Arial" w:hAnsi="Arial" w:cs="Arial"/>
          </w:rPr>
          <w:t>https://www.ncbi.nlm.nih.gov/books/NBK259595/</w:t>
        </w:r>
      </w:hyperlink>
      <w:r w:rsidRPr="002758BF">
        <w:rPr>
          <w:rFonts w:ascii="Arial" w:hAnsi="Arial" w:cs="Arial"/>
        </w:rPr>
        <w:t>.</w:t>
      </w:r>
      <w:r>
        <w:rPr>
          <w:rFonts w:ascii="Arial" w:hAnsi="Arial" w:cs="Arial"/>
        </w:rPr>
        <w:t xml:space="preserve"> (Accessed: 10 July 2024)</w:t>
      </w:r>
    </w:p>
    <w:p w14:paraId="49324EBA" w14:textId="77777777" w:rsidR="00F975ED" w:rsidRDefault="00F975ED" w:rsidP="000C733A">
      <w:pPr>
        <w:rPr>
          <w:rFonts w:ascii="Arial" w:hAnsi="Arial" w:cs="Arial"/>
        </w:rPr>
      </w:pPr>
      <w:r w:rsidRPr="00F96AA0">
        <w:rPr>
          <w:rFonts w:ascii="Arial" w:hAnsi="Arial" w:cs="Arial"/>
        </w:rPr>
        <w:t xml:space="preserve">NSPCC (2024) </w:t>
      </w:r>
      <w:r w:rsidRPr="00096F20">
        <w:rPr>
          <w:rFonts w:ascii="Arial" w:hAnsi="Arial" w:cs="Arial"/>
          <w:i/>
          <w:iCs/>
        </w:rPr>
        <w:t>Types of abuse</w:t>
      </w:r>
      <w:r w:rsidRPr="00F96AA0">
        <w:rPr>
          <w:rFonts w:ascii="Arial" w:hAnsi="Arial" w:cs="Arial"/>
        </w:rPr>
        <w:t xml:space="preserve">. Available at: </w:t>
      </w:r>
      <w:hyperlink r:id="rId24" w:history="1">
        <w:r w:rsidRPr="00F96AA0">
          <w:rPr>
            <w:rStyle w:val="Hyperlink"/>
            <w:rFonts w:ascii="Arial" w:hAnsi="Arial" w:cs="Arial"/>
          </w:rPr>
          <w:t>https://www.nspcc.org.uk/what-is-child-abuse/types-of-abuse/</w:t>
        </w:r>
      </w:hyperlink>
      <w:r w:rsidRPr="00F96AA0">
        <w:rPr>
          <w:rFonts w:ascii="Arial" w:hAnsi="Arial" w:cs="Arial"/>
        </w:rPr>
        <w:t xml:space="preserve"> (Accessed: 10 July 2024) </w:t>
      </w:r>
    </w:p>
    <w:p w14:paraId="2A0319D3" w14:textId="77777777" w:rsidR="00F975ED" w:rsidRDefault="00F975ED" w:rsidP="000C1E54">
      <w:pPr>
        <w:rPr>
          <w:rFonts w:ascii="Arial" w:hAnsi="Arial" w:cs="Arial"/>
        </w:rPr>
      </w:pPr>
      <w:r>
        <w:rPr>
          <w:rFonts w:ascii="Arial" w:hAnsi="Arial" w:cs="Arial"/>
        </w:rPr>
        <w:t xml:space="preserve">Oxford Academic (1992) </w:t>
      </w:r>
      <w:r w:rsidRPr="00A307A6">
        <w:rPr>
          <w:rFonts w:ascii="Arial" w:hAnsi="Arial" w:cs="Arial"/>
          <w:i/>
          <w:iCs/>
        </w:rPr>
        <w:t>UNITED NATIONS CONVENTION ON THE RIGHTS OF THE CHILD</w:t>
      </w:r>
      <w:r w:rsidRPr="00903366">
        <w:rPr>
          <w:rFonts w:ascii="Arial" w:hAnsi="Arial" w:cs="Arial"/>
        </w:rPr>
        <w:t>, International Journal of Law, Policy and the Family, Volume 6, Issue 1, Pages 245–263,</w:t>
      </w:r>
      <w:r>
        <w:rPr>
          <w:rFonts w:ascii="Arial" w:hAnsi="Arial" w:cs="Arial"/>
        </w:rPr>
        <w:t>Available at:</w:t>
      </w:r>
      <w:r w:rsidRPr="00903366">
        <w:rPr>
          <w:rFonts w:ascii="Arial" w:hAnsi="Arial" w:cs="Arial"/>
        </w:rPr>
        <w:t xml:space="preserve"> </w:t>
      </w:r>
      <w:hyperlink r:id="rId25" w:history="1">
        <w:r w:rsidRPr="003E299C">
          <w:rPr>
            <w:rStyle w:val="Hyperlink"/>
            <w:rFonts w:ascii="Arial" w:hAnsi="Arial" w:cs="Arial"/>
          </w:rPr>
          <w:t>https://doi.org/10.1093/lawfam/6.1.245</w:t>
        </w:r>
      </w:hyperlink>
      <w:r>
        <w:rPr>
          <w:rFonts w:ascii="Arial" w:hAnsi="Arial" w:cs="Arial"/>
        </w:rPr>
        <w:t xml:space="preserve"> (Accessed:12 July 2024)</w:t>
      </w:r>
    </w:p>
    <w:p w14:paraId="54028ED7" w14:textId="77777777" w:rsidR="00F975ED" w:rsidRPr="00C57B61" w:rsidRDefault="00F975ED" w:rsidP="00C57B61">
      <w:pPr>
        <w:rPr>
          <w:rFonts w:ascii="Arial" w:hAnsi="Arial" w:cs="Arial"/>
        </w:rPr>
      </w:pPr>
      <w:r w:rsidRPr="00C57B61">
        <w:rPr>
          <w:rFonts w:ascii="Arial" w:hAnsi="Arial" w:cs="Arial"/>
        </w:rPr>
        <w:t>Roy, S. (2020) "</w:t>
      </w:r>
      <w:r w:rsidRPr="00106B6E">
        <w:rPr>
          <w:rFonts w:ascii="Arial" w:hAnsi="Arial" w:cs="Arial"/>
          <w:i/>
          <w:iCs/>
        </w:rPr>
        <w:t>Restructuring Institutional Care: Challenges and Coping Measures for Children and Caregivers in Post-COVID-19 Era</w:t>
      </w:r>
      <w:r w:rsidRPr="00C57B61">
        <w:rPr>
          <w:rFonts w:ascii="Arial" w:hAnsi="Arial" w:cs="Arial"/>
        </w:rPr>
        <w:t>," SAGE Publishing, 8(1</w:t>
      </w:r>
      <w:proofErr w:type="gramStart"/>
      <w:r w:rsidRPr="00C57B61">
        <w:rPr>
          <w:rFonts w:ascii="Arial" w:hAnsi="Arial" w:cs="Arial"/>
        </w:rPr>
        <w:t>),p.</w:t>
      </w:r>
      <w:proofErr w:type="gramEnd"/>
      <w:r w:rsidRPr="00C57B61">
        <w:rPr>
          <w:rFonts w:ascii="Arial" w:hAnsi="Arial" w:cs="Arial"/>
        </w:rPr>
        <w:t xml:space="preserve"> 65-78. Available at: </w:t>
      </w:r>
      <w:hyperlink r:id="rId26" w:history="1">
        <w:r w:rsidRPr="003E299C">
          <w:rPr>
            <w:rStyle w:val="Hyperlink"/>
            <w:rFonts w:ascii="Arial" w:hAnsi="Arial" w:cs="Arial"/>
          </w:rPr>
          <w:t>https://doi.org/10.1177/2349300320973825</w:t>
        </w:r>
      </w:hyperlink>
      <w:r w:rsidRPr="00C57B61">
        <w:rPr>
          <w:rFonts w:ascii="Arial" w:hAnsi="Arial" w:cs="Arial"/>
        </w:rPr>
        <w:t>.</w:t>
      </w:r>
      <w:r>
        <w:rPr>
          <w:rFonts w:ascii="Arial" w:hAnsi="Arial" w:cs="Arial"/>
        </w:rPr>
        <w:t xml:space="preserve"> (Accessed: 10 July 2024)</w:t>
      </w:r>
    </w:p>
    <w:p w14:paraId="012EAA1F" w14:textId="77777777" w:rsidR="00F975ED" w:rsidRDefault="00F975ED" w:rsidP="000C1E54">
      <w:pPr>
        <w:rPr>
          <w:rFonts w:ascii="Arial" w:hAnsi="Arial" w:cs="Arial"/>
        </w:rPr>
      </w:pPr>
      <w:r w:rsidRPr="00F96AA0">
        <w:rPr>
          <w:rFonts w:ascii="Arial" w:hAnsi="Arial" w:cs="Arial"/>
        </w:rPr>
        <w:t xml:space="preserve">Schols, W, M., Ruiter, d, C. and </w:t>
      </w:r>
      <w:proofErr w:type="spellStart"/>
      <w:r w:rsidRPr="00F96AA0">
        <w:rPr>
          <w:rFonts w:ascii="Arial" w:hAnsi="Arial" w:cs="Arial"/>
        </w:rPr>
        <w:t>Öry</w:t>
      </w:r>
      <w:proofErr w:type="spellEnd"/>
      <w:r w:rsidRPr="00F96AA0">
        <w:rPr>
          <w:rFonts w:ascii="Arial" w:hAnsi="Arial" w:cs="Arial"/>
        </w:rPr>
        <w:t>, F. (2013) "</w:t>
      </w:r>
      <w:r w:rsidRPr="00F96AA0">
        <w:rPr>
          <w:rFonts w:ascii="Arial" w:hAnsi="Arial" w:cs="Arial"/>
          <w:i/>
          <w:iCs/>
        </w:rPr>
        <w:t>How do public child healthcare professionals and primary school teachers identify and handle child abuse cases</w:t>
      </w:r>
      <w:r w:rsidRPr="00F96AA0">
        <w:rPr>
          <w:rFonts w:ascii="Arial" w:hAnsi="Arial" w:cs="Arial"/>
        </w:rPr>
        <w:t xml:space="preserve">? A qualitative study," BioMed Central, 13(1). Available at: </w:t>
      </w:r>
      <w:hyperlink r:id="rId27" w:history="1">
        <w:r w:rsidRPr="003E299C">
          <w:rPr>
            <w:rStyle w:val="Hyperlink"/>
            <w:rFonts w:ascii="Arial" w:hAnsi="Arial" w:cs="Arial"/>
          </w:rPr>
          <w:t>https://doi.org/10.1186/1471-2458-13-807.(Accessed</w:t>
        </w:r>
      </w:hyperlink>
      <w:r>
        <w:rPr>
          <w:rFonts w:ascii="Arial" w:hAnsi="Arial" w:cs="Arial"/>
        </w:rPr>
        <w:t>: 10 July 2024)</w:t>
      </w:r>
    </w:p>
    <w:p w14:paraId="76411CD5" w14:textId="77777777" w:rsidR="00F975ED" w:rsidRPr="00F96AA0" w:rsidRDefault="00F975ED" w:rsidP="00C57B61">
      <w:pPr>
        <w:rPr>
          <w:rFonts w:ascii="Arial" w:hAnsi="Arial" w:cs="Arial"/>
        </w:rPr>
      </w:pPr>
      <w:r w:rsidRPr="00C57B61">
        <w:rPr>
          <w:rFonts w:ascii="Arial" w:hAnsi="Arial" w:cs="Arial"/>
        </w:rPr>
        <w:t>Simon, J., Luetzow, A. and Conte, R, J. (2020) "</w:t>
      </w:r>
      <w:r w:rsidRPr="00A307A6">
        <w:rPr>
          <w:rFonts w:ascii="Arial" w:hAnsi="Arial" w:cs="Arial"/>
          <w:i/>
          <w:iCs/>
        </w:rPr>
        <w:t>Thirty years of the convention on the rights of the child: Developments in child sexual abuse and exploitation,"</w:t>
      </w:r>
      <w:r w:rsidRPr="00C57B61">
        <w:rPr>
          <w:rFonts w:ascii="Arial" w:hAnsi="Arial" w:cs="Arial"/>
        </w:rPr>
        <w:t xml:space="preserve"> Elsevier BV, </w:t>
      </w:r>
      <w:proofErr w:type="gramStart"/>
      <w:r w:rsidRPr="00C57B61">
        <w:rPr>
          <w:rFonts w:ascii="Arial" w:hAnsi="Arial" w:cs="Arial"/>
        </w:rPr>
        <w:t>110,p.</w:t>
      </w:r>
      <w:proofErr w:type="gramEnd"/>
      <w:r w:rsidRPr="00C57B61">
        <w:rPr>
          <w:rFonts w:ascii="Arial" w:hAnsi="Arial" w:cs="Arial"/>
        </w:rPr>
        <w:t xml:space="preserve"> 104399-104399. Available at: </w:t>
      </w:r>
      <w:hyperlink r:id="rId28" w:history="1">
        <w:r w:rsidRPr="003E299C">
          <w:rPr>
            <w:rStyle w:val="Hyperlink"/>
            <w:rFonts w:ascii="Arial" w:hAnsi="Arial" w:cs="Arial"/>
          </w:rPr>
          <w:t>https://doi.org/10.1016/j.chiabu.2020.104399</w:t>
        </w:r>
      </w:hyperlink>
      <w:r w:rsidRPr="00C57B61">
        <w:rPr>
          <w:rFonts w:ascii="Arial" w:hAnsi="Arial" w:cs="Arial"/>
        </w:rPr>
        <w:t>.</w:t>
      </w:r>
      <w:r>
        <w:rPr>
          <w:rFonts w:ascii="Arial" w:hAnsi="Arial" w:cs="Arial"/>
        </w:rPr>
        <w:t xml:space="preserve"> (Accessed:10 July 2024)</w:t>
      </w:r>
    </w:p>
    <w:p w14:paraId="3AFC12B6" w14:textId="77777777" w:rsidR="00F975ED" w:rsidRDefault="00F975ED" w:rsidP="000C1E54">
      <w:pPr>
        <w:rPr>
          <w:rFonts w:ascii="Arial" w:hAnsi="Arial" w:cs="Arial"/>
        </w:rPr>
      </w:pPr>
      <w:r w:rsidRPr="00EA22D4">
        <w:rPr>
          <w:rFonts w:ascii="Arial" w:hAnsi="Arial" w:cs="Arial"/>
        </w:rPr>
        <w:t>Wathen, N, C. and MacMillan, L, H. (2013) "</w:t>
      </w:r>
      <w:r w:rsidRPr="00924E21">
        <w:rPr>
          <w:rFonts w:ascii="Arial" w:hAnsi="Arial" w:cs="Arial"/>
          <w:i/>
          <w:iCs/>
        </w:rPr>
        <w:t>Children's exposure to intimate partner violence: Impacts and interventions</w:t>
      </w:r>
      <w:r w:rsidRPr="00EA22D4">
        <w:rPr>
          <w:rFonts w:ascii="Arial" w:hAnsi="Arial" w:cs="Arial"/>
        </w:rPr>
        <w:t xml:space="preserve">.," National Institutes of Health. Available at: </w:t>
      </w:r>
      <w:hyperlink r:id="rId29" w:history="1">
        <w:r w:rsidRPr="001158A1">
          <w:rPr>
            <w:rStyle w:val="Hyperlink"/>
            <w:rFonts w:ascii="Arial" w:hAnsi="Arial" w:cs="Arial"/>
          </w:rPr>
          <w:t>https://pubmed.ncbi.nlm.nih.gov/24426794</w:t>
        </w:r>
      </w:hyperlink>
      <w:r w:rsidRPr="00EA22D4">
        <w:rPr>
          <w:rFonts w:ascii="Arial" w:hAnsi="Arial" w:cs="Arial"/>
        </w:rPr>
        <w:t>.</w:t>
      </w:r>
      <w:r>
        <w:rPr>
          <w:rFonts w:ascii="Arial" w:hAnsi="Arial" w:cs="Arial"/>
        </w:rPr>
        <w:t xml:space="preserve"> (Accessed:12 July 2024)</w:t>
      </w:r>
    </w:p>
    <w:sectPr w:rsidR="00F975ED">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AA1A3" w14:textId="77777777" w:rsidR="009E5AC9" w:rsidRDefault="009E5AC9" w:rsidP="00C16094">
      <w:pPr>
        <w:spacing w:after="0" w:line="240" w:lineRule="auto"/>
      </w:pPr>
      <w:r>
        <w:separator/>
      </w:r>
    </w:p>
  </w:endnote>
  <w:endnote w:type="continuationSeparator" w:id="0">
    <w:p w14:paraId="001B77DA" w14:textId="77777777" w:rsidR="009E5AC9" w:rsidRDefault="009E5AC9" w:rsidP="00C1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F4103" w14:textId="77777777" w:rsidR="009E5AC9" w:rsidRDefault="009E5AC9" w:rsidP="00C16094">
      <w:pPr>
        <w:spacing w:after="0" w:line="240" w:lineRule="auto"/>
      </w:pPr>
      <w:r>
        <w:separator/>
      </w:r>
    </w:p>
  </w:footnote>
  <w:footnote w:type="continuationSeparator" w:id="0">
    <w:p w14:paraId="17470728" w14:textId="77777777" w:rsidR="009E5AC9" w:rsidRDefault="009E5AC9" w:rsidP="00C16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57B9A" w14:textId="3C7E0024" w:rsidR="00C16094" w:rsidRDefault="00C16094">
    <w:pPr>
      <w:pStyle w:val="Header"/>
    </w:pPr>
    <w:r>
      <w:t>ECEY5011</w:t>
    </w:r>
    <w:r>
      <w:tab/>
    </w:r>
    <w:r>
      <w:tab/>
      <w:t>Word Count</w:t>
    </w:r>
    <w:r w:rsidR="00096DC0">
      <w:t>: 1975</w:t>
    </w:r>
  </w:p>
  <w:p w14:paraId="48873507" w14:textId="7BA824EB" w:rsidR="00C16094" w:rsidRDefault="00C16094">
    <w:pPr>
      <w:pStyle w:val="Header"/>
    </w:pPr>
    <w:r>
      <w:t>2219037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094"/>
    <w:rsid w:val="000022ED"/>
    <w:rsid w:val="000157FD"/>
    <w:rsid w:val="00015FAD"/>
    <w:rsid w:val="00020DCB"/>
    <w:rsid w:val="0005003E"/>
    <w:rsid w:val="00072F8F"/>
    <w:rsid w:val="0009082E"/>
    <w:rsid w:val="000969C5"/>
    <w:rsid w:val="00096DC0"/>
    <w:rsid w:val="00096F20"/>
    <w:rsid w:val="000A5005"/>
    <w:rsid w:val="000B34ED"/>
    <w:rsid w:val="000B3EEA"/>
    <w:rsid w:val="000C1E54"/>
    <w:rsid w:val="000C733A"/>
    <w:rsid w:val="000C74C0"/>
    <w:rsid w:val="000C7C97"/>
    <w:rsid w:val="000E00F4"/>
    <w:rsid w:val="00100D63"/>
    <w:rsid w:val="00106B6E"/>
    <w:rsid w:val="00126F03"/>
    <w:rsid w:val="00134B43"/>
    <w:rsid w:val="001444E0"/>
    <w:rsid w:val="001757DA"/>
    <w:rsid w:val="001A0F0A"/>
    <w:rsid w:val="001C2F86"/>
    <w:rsid w:val="001D30E0"/>
    <w:rsid w:val="001D5A0D"/>
    <w:rsid w:val="001D739B"/>
    <w:rsid w:val="001E6EFA"/>
    <w:rsid w:val="001E6FAE"/>
    <w:rsid w:val="002079F0"/>
    <w:rsid w:val="0021304D"/>
    <w:rsid w:val="00217FAC"/>
    <w:rsid w:val="002356A4"/>
    <w:rsid w:val="0026433A"/>
    <w:rsid w:val="00266EB6"/>
    <w:rsid w:val="002721E6"/>
    <w:rsid w:val="002758BF"/>
    <w:rsid w:val="002773C8"/>
    <w:rsid w:val="002A1139"/>
    <w:rsid w:val="002D70F7"/>
    <w:rsid w:val="003017D8"/>
    <w:rsid w:val="00323E4C"/>
    <w:rsid w:val="00342DFB"/>
    <w:rsid w:val="00356041"/>
    <w:rsid w:val="003715DE"/>
    <w:rsid w:val="003818FF"/>
    <w:rsid w:val="003920D4"/>
    <w:rsid w:val="003A7EFB"/>
    <w:rsid w:val="003C1CA3"/>
    <w:rsid w:val="003D2EE4"/>
    <w:rsid w:val="003E3770"/>
    <w:rsid w:val="003F238F"/>
    <w:rsid w:val="003F4BBA"/>
    <w:rsid w:val="00402A2A"/>
    <w:rsid w:val="004178CE"/>
    <w:rsid w:val="004226FB"/>
    <w:rsid w:val="00423252"/>
    <w:rsid w:val="00423BEB"/>
    <w:rsid w:val="00434148"/>
    <w:rsid w:val="00473982"/>
    <w:rsid w:val="00484104"/>
    <w:rsid w:val="004936A0"/>
    <w:rsid w:val="004959EE"/>
    <w:rsid w:val="004978B4"/>
    <w:rsid w:val="004B5CF5"/>
    <w:rsid w:val="004D2356"/>
    <w:rsid w:val="004D307E"/>
    <w:rsid w:val="004E4A67"/>
    <w:rsid w:val="00502322"/>
    <w:rsid w:val="00531A6D"/>
    <w:rsid w:val="00542CC1"/>
    <w:rsid w:val="0054300B"/>
    <w:rsid w:val="00543417"/>
    <w:rsid w:val="005440BA"/>
    <w:rsid w:val="0056262D"/>
    <w:rsid w:val="005916C4"/>
    <w:rsid w:val="005D32B6"/>
    <w:rsid w:val="0060636C"/>
    <w:rsid w:val="006141CC"/>
    <w:rsid w:val="00616C03"/>
    <w:rsid w:val="00642265"/>
    <w:rsid w:val="00665308"/>
    <w:rsid w:val="006658CD"/>
    <w:rsid w:val="00685A74"/>
    <w:rsid w:val="00694417"/>
    <w:rsid w:val="006C5E36"/>
    <w:rsid w:val="006E58F4"/>
    <w:rsid w:val="007108B4"/>
    <w:rsid w:val="007232E5"/>
    <w:rsid w:val="00725E04"/>
    <w:rsid w:val="00742449"/>
    <w:rsid w:val="00744276"/>
    <w:rsid w:val="0075136A"/>
    <w:rsid w:val="00757085"/>
    <w:rsid w:val="007A0BA1"/>
    <w:rsid w:val="007A3E29"/>
    <w:rsid w:val="007C24B0"/>
    <w:rsid w:val="007C6EB2"/>
    <w:rsid w:val="0080075B"/>
    <w:rsid w:val="00814AF0"/>
    <w:rsid w:val="0084553D"/>
    <w:rsid w:val="0085090A"/>
    <w:rsid w:val="008574CC"/>
    <w:rsid w:val="00860819"/>
    <w:rsid w:val="008A4449"/>
    <w:rsid w:val="008A523E"/>
    <w:rsid w:val="008C6BAE"/>
    <w:rsid w:val="008D329C"/>
    <w:rsid w:val="008E5A5E"/>
    <w:rsid w:val="00903366"/>
    <w:rsid w:val="009207FF"/>
    <w:rsid w:val="00920935"/>
    <w:rsid w:val="00920B2D"/>
    <w:rsid w:val="00924E21"/>
    <w:rsid w:val="00926FB6"/>
    <w:rsid w:val="0094118C"/>
    <w:rsid w:val="009C6B99"/>
    <w:rsid w:val="009D2CED"/>
    <w:rsid w:val="009E4BE2"/>
    <w:rsid w:val="009E5AC9"/>
    <w:rsid w:val="00A236BB"/>
    <w:rsid w:val="00A23A5E"/>
    <w:rsid w:val="00A26597"/>
    <w:rsid w:val="00A27DC5"/>
    <w:rsid w:val="00A307A6"/>
    <w:rsid w:val="00A44783"/>
    <w:rsid w:val="00A62A15"/>
    <w:rsid w:val="00A65752"/>
    <w:rsid w:val="00A84BAE"/>
    <w:rsid w:val="00A876C3"/>
    <w:rsid w:val="00AA141F"/>
    <w:rsid w:val="00AA7B23"/>
    <w:rsid w:val="00AB1010"/>
    <w:rsid w:val="00AB5CB6"/>
    <w:rsid w:val="00AC3ED4"/>
    <w:rsid w:val="00AE3E42"/>
    <w:rsid w:val="00AF644D"/>
    <w:rsid w:val="00B00C32"/>
    <w:rsid w:val="00B02B7A"/>
    <w:rsid w:val="00B1339E"/>
    <w:rsid w:val="00B33350"/>
    <w:rsid w:val="00B3491F"/>
    <w:rsid w:val="00B36FE8"/>
    <w:rsid w:val="00B67DA6"/>
    <w:rsid w:val="00B81134"/>
    <w:rsid w:val="00B93461"/>
    <w:rsid w:val="00BA0023"/>
    <w:rsid w:val="00BA21D7"/>
    <w:rsid w:val="00BC2724"/>
    <w:rsid w:val="00BE56B9"/>
    <w:rsid w:val="00BF2503"/>
    <w:rsid w:val="00C04CB2"/>
    <w:rsid w:val="00C0676D"/>
    <w:rsid w:val="00C16094"/>
    <w:rsid w:val="00C53229"/>
    <w:rsid w:val="00C57B61"/>
    <w:rsid w:val="00C67005"/>
    <w:rsid w:val="00CB5CEF"/>
    <w:rsid w:val="00CC3B6C"/>
    <w:rsid w:val="00CD17D0"/>
    <w:rsid w:val="00CF52EE"/>
    <w:rsid w:val="00D33422"/>
    <w:rsid w:val="00D36332"/>
    <w:rsid w:val="00D61E2E"/>
    <w:rsid w:val="00D85AA0"/>
    <w:rsid w:val="00D87EE3"/>
    <w:rsid w:val="00DE0F9C"/>
    <w:rsid w:val="00E105C7"/>
    <w:rsid w:val="00E22ACB"/>
    <w:rsid w:val="00E556FF"/>
    <w:rsid w:val="00E8312F"/>
    <w:rsid w:val="00EA22D4"/>
    <w:rsid w:val="00EC7C12"/>
    <w:rsid w:val="00ED313B"/>
    <w:rsid w:val="00EE0808"/>
    <w:rsid w:val="00EF5F84"/>
    <w:rsid w:val="00F31F3E"/>
    <w:rsid w:val="00F43D37"/>
    <w:rsid w:val="00F60142"/>
    <w:rsid w:val="00F63595"/>
    <w:rsid w:val="00F74AC3"/>
    <w:rsid w:val="00F86A8B"/>
    <w:rsid w:val="00F96AA0"/>
    <w:rsid w:val="00F975ED"/>
    <w:rsid w:val="00F97A53"/>
    <w:rsid w:val="00FD53D6"/>
    <w:rsid w:val="00FF1C49"/>
    <w:rsid w:val="00FF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AE5D"/>
  <w15:chartTrackingRefBased/>
  <w15:docId w15:val="{EBA454CB-74D8-45BC-B3B8-230417BF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094"/>
    <w:rPr>
      <w:rFonts w:eastAsiaTheme="majorEastAsia" w:cstheme="majorBidi"/>
      <w:color w:val="272727" w:themeColor="text1" w:themeTint="D8"/>
    </w:rPr>
  </w:style>
  <w:style w:type="paragraph" w:styleId="Title">
    <w:name w:val="Title"/>
    <w:basedOn w:val="Normal"/>
    <w:next w:val="Normal"/>
    <w:link w:val="TitleChar"/>
    <w:uiPriority w:val="10"/>
    <w:qFormat/>
    <w:rsid w:val="00C16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094"/>
    <w:pPr>
      <w:spacing w:before="160"/>
      <w:jc w:val="center"/>
    </w:pPr>
    <w:rPr>
      <w:i/>
      <w:iCs/>
      <w:color w:val="404040" w:themeColor="text1" w:themeTint="BF"/>
    </w:rPr>
  </w:style>
  <w:style w:type="character" w:customStyle="1" w:styleId="QuoteChar">
    <w:name w:val="Quote Char"/>
    <w:basedOn w:val="DefaultParagraphFont"/>
    <w:link w:val="Quote"/>
    <w:uiPriority w:val="29"/>
    <w:rsid w:val="00C16094"/>
    <w:rPr>
      <w:i/>
      <w:iCs/>
      <w:color w:val="404040" w:themeColor="text1" w:themeTint="BF"/>
    </w:rPr>
  </w:style>
  <w:style w:type="paragraph" w:styleId="ListParagraph">
    <w:name w:val="List Paragraph"/>
    <w:basedOn w:val="Normal"/>
    <w:uiPriority w:val="34"/>
    <w:qFormat/>
    <w:rsid w:val="00C16094"/>
    <w:pPr>
      <w:ind w:left="720"/>
      <w:contextualSpacing/>
    </w:pPr>
  </w:style>
  <w:style w:type="character" w:styleId="IntenseEmphasis">
    <w:name w:val="Intense Emphasis"/>
    <w:basedOn w:val="DefaultParagraphFont"/>
    <w:uiPriority w:val="21"/>
    <w:qFormat/>
    <w:rsid w:val="00C16094"/>
    <w:rPr>
      <w:i/>
      <w:iCs/>
      <w:color w:val="0F4761" w:themeColor="accent1" w:themeShade="BF"/>
    </w:rPr>
  </w:style>
  <w:style w:type="paragraph" w:styleId="IntenseQuote">
    <w:name w:val="Intense Quote"/>
    <w:basedOn w:val="Normal"/>
    <w:next w:val="Normal"/>
    <w:link w:val="IntenseQuoteChar"/>
    <w:uiPriority w:val="30"/>
    <w:qFormat/>
    <w:rsid w:val="00C16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094"/>
    <w:rPr>
      <w:i/>
      <w:iCs/>
      <w:color w:val="0F4761" w:themeColor="accent1" w:themeShade="BF"/>
    </w:rPr>
  </w:style>
  <w:style w:type="character" w:styleId="IntenseReference">
    <w:name w:val="Intense Reference"/>
    <w:basedOn w:val="DefaultParagraphFont"/>
    <w:uiPriority w:val="32"/>
    <w:qFormat/>
    <w:rsid w:val="00C16094"/>
    <w:rPr>
      <w:b/>
      <w:bCs/>
      <w:smallCaps/>
      <w:color w:val="0F4761" w:themeColor="accent1" w:themeShade="BF"/>
      <w:spacing w:val="5"/>
    </w:rPr>
  </w:style>
  <w:style w:type="paragraph" w:styleId="Header">
    <w:name w:val="header"/>
    <w:basedOn w:val="Normal"/>
    <w:link w:val="HeaderChar"/>
    <w:uiPriority w:val="99"/>
    <w:unhideWhenUsed/>
    <w:rsid w:val="00C16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094"/>
  </w:style>
  <w:style w:type="paragraph" w:styleId="Footer">
    <w:name w:val="footer"/>
    <w:basedOn w:val="Normal"/>
    <w:link w:val="FooterChar"/>
    <w:uiPriority w:val="99"/>
    <w:unhideWhenUsed/>
    <w:rsid w:val="00C16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094"/>
  </w:style>
  <w:style w:type="character" w:styleId="Hyperlink">
    <w:name w:val="Hyperlink"/>
    <w:basedOn w:val="DefaultParagraphFont"/>
    <w:uiPriority w:val="99"/>
    <w:unhideWhenUsed/>
    <w:rsid w:val="000C733A"/>
    <w:rPr>
      <w:color w:val="467886" w:themeColor="hyperlink"/>
      <w:u w:val="single"/>
    </w:rPr>
  </w:style>
  <w:style w:type="character" w:styleId="UnresolvedMention">
    <w:name w:val="Unresolved Mention"/>
    <w:basedOn w:val="DefaultParagraphFont"/>
    <w:uiPriority w:val="99"/>
    <w:semiHidden/>
    <w:unhideWhenUsed/>
    <w:rsid w:val="000C733A"/>
    <w:rPr>
      <w:color w:val="605E5C"/>
      <w:shd w:val="clear" w:color="auto" w:fill="E1DFDD"/>
    </w:rPr>
  </w:style>
  <w:style w:type="character" w:styleId="FollowedHyperlink">
    <w:name w:val="FollowedHyperlink"/>
    <w:basedOn w:val="DefaultParagraphFont"/>
    <w:uiPriority w:val="99"/>
    <w:semiHidden/>
    <w:unhideWhenUsed/>
    <w:rsid w:val="000908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42/pir.31-2-47" TargetMode="External"/><Relationship Id="rId13" Type="http://schemas.openxmlformats.org/officeDocument/2006/relationships/hyperlink" Target="https://doi.org/10.1016/s0140-6736(08)61707-9" TargetMode="External"/><Relationship Id="rId18" Type="http://schemas.openxmlformats.org/officeDocument/2006/relationships/hyperlink" Target="https://doi.org/10.12968/eyed.2017.19.6.54" TargetMode="External"/><Relationship Id="rId26" Type="http://schemas.openxmlformats.org/officeDocument/2006/relationships/hyperlink" Target="https://doi.org/10.1177/2349300320973825" TargetMode="External"/><Relationship Id="rId3" Type="http://schemas.openxmlformats.org/officeDocument/2006/relationships/webSettings" Target="webSettings.xml"/><Relationship Id="rId21" Type="http://schemas.openxmlformats.org/officeDocument/2006/relationships/hyperlink" Target="https://doi.org/10.1080/13575279.2019.1685464" TargetMode="External"/><Relationship Id="rId7" Type="http://schemas.openxmlformats.org/officeDocument/2006/relationships/hyperlink" Target="https://doi.org/10.1016/j.avb.2004.03.001" TargetMode="External"/><Relationship Id="rId12" Type="http://schemas.openxmlformats.org/officeDocument/2006/relationships/hyperlink" Target="https://doi.org/10.1016/j.mpfou.2008.11.009" TargetMode="External"/><Relationship Id="rId17" Type="http://schemas.openxmlformats.org/officeDocument/2006/relationships/hyperlink" Target="https://www.sciencedirect.com/science/article/pii/S0031395514001278" TargetMode="External"/><Relationship Id="rId25" Type="http://schemas.openxmlformats.org/officeDocument/2006/relationships/hyperlink" Target="https://doi.org/10.1093/lawfam/6.1.245" TargetMode="External"/><Relationship Id="rId2" Type="http://schemas.openxmlformats.org/officeDocument/2006/relationships/settings" Target="settings.xml"/><Relationship Id="rId16" Type="http://schemas.openxmlformats.org/officeDocument/2006/relationships/hyperlink" Target="https://apo.org.au/sites/default/files/resource-files/2014-05/apo-nid39583.pdf" TargetMode="External"/><Relationship Id="rId20" Type="http://schemas.openxmlformats.org/officeDocument/2006/relationships/hyperlink" Target="https://doi.org/10.3390/socsci3030460" TargetMode="External"/><Relationship Id="rId29" Type="http://schemas.openxmlformats.org/officeDocument/2006/relationships/hyperlink" Target="https://pubmed.ncbi.nlm.nih.gov/24426794" TargetMode="External"/><Relationship Id="rId1" Type="http://schemas.openxmlformats.org/officeDocument/2006/relationships/styles" Target="styles.xml"/><Relationship Id="rId6" Type="http://schemas.openxmlformats.org/officeDocument/2006/relationships/hyperlink" Target="https://doi.org/10.1016/j.avb.2003.07.001" TargetMode="External"/><Relationship Id="rId11" Type="http://schemas.openxmlformats.org/officeDocument/2006/relationships/hyperlink" Target="https://doi.org/10.1016/s0033-3506(05)80166-0" TargetMode="External"/><Relationship Id="rId24" Type="http://schemas.openxmlformats.org/officeDocument/2006/relationships/hyperlink" Target="https://www.nspcc.org.uk/what-is-child-abuse/types-of-abuse/"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002/imhj.20310" TargetMode="External"/><Relationship Id="rId23" Type="http://schemas.openxmlformats.org/officeDocument/2006/relationships/hyperlink" Target="https://www.ncbi.nlm.nih.gov/books/NBK259595/" TargetMode="External"/><Relationship Id="rId28" Type="http://schemas.openxmlformats.org/officeDocument/2006/relationships/hyperlink" Target="https://doi.org/10.1016/j.chiabu.2020.104399" TargetMode="External"/><Relationship Id="rId10" Type="http://schemas.openxmlformats.org/officeDocument/2006/relationships/hyperlink" Target="https://doi.org/10.1080/03004430500131387" TargetMode="External"/><Relationship Id="rId19" Type="http://schemas.openxmlformats.org/officeDocument/2006/relationships/hyperlink" Target="https://doi.org/10.1136/archdischild-2020-320093"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aifs.gov.au/cfca/sites/default/files/publication-documents/issues22.pdf" TargetMode="External"/><Relationship Id="rId14" Type="http://schemas.openxmlformats.org/officeDocument/2006/relationships/hyperlink" Target="https://doi.org/10.1016/s2352-4642(20)30060-2" TargetMode="External"/><Relationship Id="rId22" Type="http://schemas.openxmlformats.org/officeDocument/2006/relationships/hyperlink" Target="https://www.nice.org.uk/guidance/ng76/chapter/About-this-guideline" TargetMode="External"/><Relationship Id="rId27" Type="http://schemas.openxmlformats.org/officeDocument/2006/relationships/hyperlink" Target="https://doi.org/10.1186/1471-2458-13-807.(Accessed"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3317</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58</cp:revision>
  <dcterms:created xsi:type="dcterms:W3CDTF">2024-07-10T21:12:00Z</dcterms:created>
  <dcterms:modified xsi:type="dcterms:W3CDTF">2024-07-12T21:40:00Z</dcterms:modified>
</cp:coreProperties>
</file>