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538C4B">
      <w:pPr>
        <w:rPr>
          <w:rFonts w:hint="default" w:ascii="Times New Roman" w:hAnsi="Times New Roman" w:cs="Times New Roman"/>
          <w:sz w:val="28"/>
          <w:szCs w:val="28"/>
        </w:rPr>
      </w:pPr>
    </w:p>
    <w:p w14:paraId="151CCF02">
      <w:pPr>
        <w:rPr>
          <w:rFonts w:hint="default" w:ascii="Times New Roman" w:hAnsi="Times New Roman" w:cs="Times New Roman"/>
          <w:sz w:val="28"/>
          <w:szCs w:val="28"/>
        </w:rPr>
      </w:pPr>
    </w:p>
    <w:p w14:paraId="665F0072">
      <w:pPr>
        <w:rPr>
          <w:rFonts w:hint="default" w:ascii="Times New Roman" w:hAnsi="Times New Roman" w:cs="Times New Roman"/>
          <w:sz w:val="28"/>
          <w:szCs w:val="28"/>
        </w:rPr>
      </w:pPr>
    </w:p>
    <w:p w14:paraId="1003E458">
      <w:pPr>
        <w:rPr>
          <w:rFonts w:hint="default" w:ascii="Times New Roman" w:hAnsi="Times New Roman" w:cs="Times New Roman"/>
          <w:sz w:val="28"/>
          <w:szCs w:val="28"/>
        </w:rPr>
      </w:pPr>
    </w:p>
    <w:p w14:paraId="7720452C">
      <w:pPr>
        <w:rPr>
          <w:rFonts w:hint="default" w:ascii="Times New Roman" w:hAnsi="Times New Roman" w:cs="Times New Roman"/>
          <w:sz w:val="28"/>
          <w:szCs w:val="28"/>
        </w:rPr>
      </w:pPr>
    </w:p>
    <w:p w14:paraId="5D2B09C3">
      <w:pPr>
        <w:rPr>
          <w:rFonts w:hint="default" w:ascii="Times New Roman" w:hAnsi="Times New Roman" w:cs="Times New Roman"/>
          <w:sz w:val="28"/>
          <w:szCs w:val="28"/>
        </w:rPr>
      </w:pPr>
    </w:p>
    <w:p w14:paraId="22800A39">
      <w:pPr>
        <w:rPr>
          <w:rFonts w:hint="default" w:ascii="Times New Roman" w:hAnsi="Times New Roman" w:cs="Times New Roman"/>
          <w:sz w:val="28"/>
          <w:szCs w:val="28"/>
        </w:rPr>
      </w:pPr>
      <w:r>
        <w:rPr>
          <w:rFonts w:hint="default" w:ascii="Times New Roman" w:hAnsi="Times New Roman" w:cs="Times New Roman"/>
          <w:b/>
          <w:bCs/>
          <w:sz w:val="28"/>
          <w:szCs w:val="28"/>
        </w:rPr>
        <w:t>Analysis of Microsoft and LinkedIn's Business Portfolio in 2016</w:t>
      </w:r>
    </w:p>
    <w:p w14:paraId="5576BEE3">
      <w:pPr>
        <w:rPr>
          <w:rFonts w:hint="default" w:ascii="Times New Roman" w:hAnsi="Times New Roman" w:cs="Times New Roman"/>
          <w:sz w:val="28"/>
          <w:szCs w:val="28"/>
        </w:rPr>
      </w:pPr>
    </w:p>
    <w:p w14:paraId="31ECE4B6">
      <w:pPr>
        <w:rPr>
          <w:rFonts w:hint="default" w:ascii="Times New Roman" w:hAnsi="Times New Roman" w:cs="Times New Roman"/>
          <w:sz w:val="28"/>
          <w:szCs w:val="28"/>
        </w:rPr>
      </w:pPr>
    </w:p>
    <w:p w14:paraId="74C285C4">
      <w:pPr>
        <w:rPr>
          <w:rFonts w:hint="eastAsia" w:ascii="Times New Roman" w:hAnsi="Times New Roman" w:cs="Times New Roman"/>
          <w:b/>
          <w:bCs/>
          <w:sz w:val="28"/>
          <w:szCs w:val="28"/>
          <w:lang w:val="en-US" w:eastAsia="zh-CN"/>
        </w:rPr>
      </w:pPr>
    </w:p>
    <w:p w14:paraId="44FD22B6">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Name：MINGYANG  ZHANG</w:t>
      </w:r>
    </w:p>
    <w:p w14:paraId="647ABFDF">
      <w:pPr>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Student ID：2405456</w:t>
      </w:r>
    </w:p>
    <w:p w14:paraId="4BA2E126">
      <w:pPr>
        <w:rPr>
          <w:rFonts w:hint="default" w:ascii="Times New Roman" w:hAnsi="Times New Roman" w:cs="Times New Roman"/>
          <w:sz w:val="28"/>
          <w:szCs w:val="28"/>
        </w:rPr>
      </w:pPr>
    </w:p>
    <w:p w14:paraId="7ACEFD16">
      <w:pPr>
        <w:rPr>
          <w:rFonts w:hint="default" w:ascii="Times New Roman" w:hAnsi="Times New Roman" w:cs="Times New Roman"/>
          <w:sz w:val="28"/>
          <w:szCs w:val="28"/>
        </w:rPr>
      </w:pPr>
    </w:p>
    <w:p w14:paraId="2E091A0A">
      <w:pPr>
        <w:rPr>
          <w:rFonts w:hint="default" w:ascii="Times New Roman" w:hAnsi="Times New Roman" w:cs="Times New Roman"/>
          <w:sz w:val="28"/>
          <w:szCs w:val="28"/>
        </w:rPr>
      </w:pPr>
    </w:p>
    <w:p w14:paraId="629C86DF">
      <w:pPr>
        <w:rPr>
          <w:rFonts w:hint="default" w:ascii="Times New Roman" w:hAnsi="Times New Roman" w:cs="Times New Roman"/>
          <w:sz w:val="28"/>
          <w:szCs w:val="28"/>
        </w:rPr>
      </w:pPr>
    </w:p>
    <w:p w14:paraId="28189FF2">
      <w:pPr>
        <w:rPr>
          <w:rFonts w:hint="default" w:ascii="Times New Roman" w:hAnsi="Times New Roman" w:cs="Times New Roman"/>
          <w:sz w:val="28"/>
          <w:szCs w:val="28"/>
        </w:rPr>
      </w:pPr>
    </w:p>
    <w:p w14:paraId="5E84BD9D">
      <w:pPr>
        <w:rPr>
          <w:rFonts w:hint="default" w:ascii="Times New Roman" w:hAnsi="Times New Roman" w:cs="Times New Roman"/>
          <w:sz w:val="28"/>
          <w:szCs w:val="28"/>
        </w:rPr>
      </w:pPr>
    </w:p>
    <w:p w14:paraId="0BEFBDDB">
      <w:pPr>
        <w:rPr>
          <w:rFonts w:hint="default" w:ascii="Times New Roman" w:hAnsi="Times New Roman" w:cs="Times New Roman"/>
          <w:sz w:val="28"/>
          <w:szCs w:val="28"/>
        </w:rPr>
      </w:pPr>
    </w:p>
    <w:p w14:paraId="6D84DEA8">
      <w:pPr>
        <w:rPr>
          <w:rFonts w:hint="default" w:ascii="Times New Roman" w:hAnsi="Times New Roman" w:cs="Times New Roman"/>
          <w:sz w:val="28"/>
          <w:szCs w:val="28"/>
        </w:rPr>
      </w:pPr>
    </w:p>
    <w:p w14:paraId="7AE481F4">
      <w:pPr>
        <w:pStyle w:val="5"/>
        <w:tabs>
          <w:tab w:val="right" w:leader="dot" w:pos="8306"/>
        </w:tabs>
        <w:jc w:val="center"/>
        <w:rPr>
          <w:rFonts w:hint="default" w:ascii="Times New Roman" w:hAnsi="Times New Roman" w:cs="Times New Roman"/>
          <w:b/>
          <w:bCs/>
          <w:sz w:val="28"/>
          <w:szCs w:val="28"/>
        </w:rPr>
      </w:pPr>
    </w:p>
    <w:p w14:paraId="3FF660C9">
      <w:pPr>
        <w:pStyle w:val="5"/>
        <w:tabs>
          <w:tab w:val="right" w:leader="dot" w:pos="8306"/>
        </w:tabs>
        <w:jc w:val="center"/>
        <w:rPr>
          <w:rFonts w:hint="default" w:ascii="Times New Roman" w:hAnsi="Times New Roman" w:cs="Times New Roman"/>
          <w:b/>
          <w:bCs/>
          <w:sz w:val="28"/>
          <w:szCs w:val="28"/>
        </w:rPr>
      </w:pPr>
    </w:p>
    <w:p w14:paraId="3D26C769">
      <w:pPr>
        <w:pStyle w:val="5"/>
        <w:tabs>
          <w:tab w:val="right" w:leader="dot" w:pos="8306"/>
        </w:tabs>
        <w:jc w:val="center"/>
        <w:rPr>
          <w:rFonts w:hint="default" w:ascii="Times New Roman" w:hAnsi="Times New Roman" w:cs="Times New Roman"/>
          <w:b/>
          <w:bCs/>
          <w:sz w:val="28"/>
          <w:szCs w:val="28"/>
        </w:rPr>
      </w:pPr>
      <w:bookmarkStart w:id="33" w:name="_GoBack"/>
      <w:bookmarkEnd w:id="33"/>
      <w:r>
        <w:rPr>
          <w:rFonts w:hint="default" w:ascii="Times New Roman" w:hAnsi="Times New Roman" w:cs="Times New Roman"/>
          <w:b/>
          <w:bCs/>
          <w:sz w:val="28"/>
          <w:szCs w:val="28"/>
        </w:rPr>
        <w:t>content</w:t>
      </w:r>
    </w:p>
    <w:p w14:paraId="59C73A7B">
      <w:pPr>
        <w:pStyle w:val="5"/>
        <w:tabs>
          <w:tab w:val="right" w:leader="dot" w:pos="8306"/>
        </w:tabs>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\t "1,1,2,2" \h</w:instrText>
      </w:r>
      <w:r>
        <w:rPr>
          <w:rFonts w:hint="default" w:ascii="Times New Roman" w:hAnsi="Times New Roman" w:cs="Times New Roman"/>
          <w:sz w:val="28"/>
          <w:szCs w:val="28"/>
        </w:rPr>
        <w:fldChar w:fldCharType="separate"/>
      </w: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_Toc29200 </w:instrText>
      </w:r>
      <w:r>
        <w:rPr>
          <w:rFonts w:hint="default" w:ascii="Times New Roman" w:hAnsi="Times New Roman" w:cs="Times New Roman"/>
          <w:szCs w:val="28"/>
        </w:rPr>
        <w:fldChar w:fldCharType="separate"/>
      </w:r>
      <w:r>
        <w:rPr>
          <w:rFonts w:hint="default"/>
        </w:rPr>
        <w:t>1. Introduction</w:t>
      </w:r>
      <w:r>
        <w:tab/>
      </w:r>
      <w:r>
        <w:fldChar w:fldCharType="begin"/>
      </w:r>
      <w:r>
        <w:instrText xml:space="preserve"> PAGEREF _Toc29200 \h </w:instrText>
      </w:r>
      <w:r>
        <w:fldChar w:fldCharType="separate"/>
      </w:r>
      <w:r>
        <w:t>3</w:t>
      </w:r>
      <w:r>
        <w:fldChar w:fldCharType="end"/>
      </w:r>
      <w:r>
        <w:rPr>
          <w:rFonts w:hint="default" w:ascii="Times New Roman" w:hAnsi="Times New Roman" w:cs="Times New Roman"/>
          <w:szCs w:val="28"/>
        </w:rPr>
        <w:fldChar w:fldCharType="end"/>
      </w:r>
    </w:p>
    <w:p w14:paraId="283240C6">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_Toc5131 </w:instrText>
      </w:r>
      <w:r>
        <w:rPr>
          <w:rFonts w:hint="default" w:ascii="Times New Roman" w:hAnsi="Times New Roman" w:cs="Times New Roman"/>
          <w:szCs w:val="28"/>
        </w:rPr>
        <w:fldChar w:fldCharType="separate"/>
      </w:r>
      <w:r>
        <w:rPr>
          <w:rFonts w:hint="default"/>
        </w:rPr>
        <w:t>2. Theoretical Framework for Mergers and Acquisitions</w:t>
      </w:r>
      <w:r>
        <w:tab/>
      </w:r>
      <w:r>
        <w:fldChar w:fldCharType="begin"/>
      </w:r>
      <w:r>
        <w:instrText xml:space="preserve"> PAGEREF _Toc5131 \h </w:instrText>
      </w:r>
      <w:r>
        <w:fldChar w:fldCharType="separate"/>
      </w:r>
      <w:r>
        <w:t>3</w:t>
      </w:r>
      <w:r>
        <w:fldChar w:fldCharType="end"/>
      </w:r>
      <w:r>
        <w:rPr>
          <w:rFonts w:hint="default" w:ascii="Times New Roman" w:hAnsi="Times New Roman" w:cs="Times New Roman"/>
          <w:szCs w:val="28"/>
        </w:rPr>
        <w:fldChar w:fldCharType="end"/>
      </w:r>
    </w:p>
    <w:p w14:paraId="08BADB9B">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_Toc28483 </w:instrText>
      </w:r>
      <w:r>
        <w:rPr>
          <w:rFonts w:hint="default" w:ascii="Times New Roman" w:hAnsi="Times New Roman" w:cs="Times New Roman"/>
          <w:szCs w:val="28"/>
        </w:rPr>
        <w:fldChar w:fldCharType="separate"/>
      </w:r>
      <w:r>
        <w:rPr>
          <w:rFonts w:hint="default"/>
        </w:rPr>
        <w:t>2.1 Synergy Theory</w:t>
      </w:r>
      <w:r>
        <w:tab/>
      </w:r>
      <w:r>
        <w:fldChar w:fldCharType="begin"/>
      </w:r>
      <w:r>
        <w:instrText xml:space="preserve"> PAGEREF _Toc28483 \h </w:instrText>
      </w:r>
      <w:r>
        <w:fldChar w:fldCharType="separate"/>
      </w:r>
      <w:r>
        <w:t>3</w:t>
      </w:r>
      <w:r>
        <w:fldChar w:fldCharType="end"/>
      </w:r>
      <w:r>
        <w:rPr>
          <w:rFonts w:hint="default" w:ascii="Times New Roman" w:hAnsi="Times New Roman" w:cs="Times New Roman"/>
          <w:szCs w:val="28"/>
        </w:rPr>
        <w:fldChar w:fldCharType="end"/>
      </w:r>
    </w:p>
    <w:p w14:paraId="58493D06">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_Toc6167 </w:instrText>
      </w:r>
      <w:r>
        <w:rPr>
          <w:rFonts w:hint="default" w:ascii="Times New Roman" w:hAnsi="Times New Roman" w:cs="Times New Roman"/>
          <w:szCs w:val="28"/>
        </w:rPr>
        <w:fldChar w:fldCharType="separate"/>
      </w:r>
      <w:r>
        <w:rPr>
          <w:rFonts w:hint="default"/>
        </w:rPr>
        <w:t>2.2 Reverse application of Agency Theory</w:t>
      </w:r>
      <w:r>
        <w:tab/>
      </w:r>
      <w:r>
        <w:fldChar w:fldCharType="begin"/>
      </w:r>
      <w:r>
        <w:instrText xml:space="preserve"> PAGEREF _Toc6167 \h </w:instrText>
      </w:r>
      <w:r>
        <w:fldChar w:fldCharType="separate"/>
      </w:r>
      <w:r>
        <w:t>3</w:t>
      </w:r>
      <w:r>
        <w:fldChar w:fldCharType="end"/>
      </w:r>
      <w:r>
        <w:rPr>
          <w:rFonts w:hint="default" w:ascii="Times New Roman" w:hAnsi="Times New Roman" w:cs="Times New Roman"/>
          <w:szCs w:val="28"/>
        </w:rPr>
        <w:fldChar w:fldCharType="end"/>
      </w:r>
    </w:p>
    <w:p w14:paraId="0A4A3689">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_Toc13399 </w:instrText>
      </w:r>
      <w:r>
        <w:rPr>
          <w:rFonts w:hint="default" w:ascii="Times New Roman" w:hAnsi="Times New Roman" w:cs="Times New Roman"/>
          <w:szCs w:val="28"/>
        </w:rPr>
        <w:fldChar w:fldCharType="separate"/>
      </w:r>
      <w:r>
        <w:rPr>
          <w:rFonts w:hint="default"/>
        </w:rPr>
        <w:t>2.3 Dynamic Evolution of Market Power Hypothesis</w:t>
      </w:r>
      <w:r>
        <w:tab/>
      </w:r>
      <w:r>
        <w:fldChar w:fldCharType="begin"/>
      </w:r>
      <w:r>
        <w:instrText xml:space="preserve"> PAGEREF _Toc13399 \h </w:instrText>
      </w:r>
      <w:r>
        <w:fldChar w:fldCharType="separate"/>
      </w:r>
      <w:r>
        <w:t>3</w:t>
      </w:r>
      <w:r>
        <w:fldChar w:fldCharType="end"/>
      </w:r>
      <w:r>
        <w:rPr>
          <w:rFonts w:hint="default" w:ascii="Times New Roman" w:hAnsi="Times New Roman" w:cs="Times New Roman"/>
          <w:szCs w:val="28"/>
        </w:rPr>
        <w:fldChar w:fldCharType="end"/>
      </w:r>
    </w:p>
    <w:p w14:paraId="7D5D7873">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_Toc2255 </w:instrText>
      </w:r>
      <w:r>
        <w:rPr>
          <w:rFonts w:hint="default" w:ascii="Times New Roman" w:hAnsi="Times New Roman" w:cs="Times New Roman"/>
          <w:szCs w:val="28"/>
        </w:rPr>
        <w:fldChar w:fldCharType="separate"/>
      </w:r>
      <w:r>
        <w:rPr>
          <w:rFonts w:hint="default"/>
        </w:rPr>
        <w:t>2.4 Digital Transformation of Resource Based View</w:t>
      </w:r>
      <w:r>
        <w:tab/>
      </w:r>
      <w:r>
        <w:fldChar w:fldCharType="begin"/>
      </w:r>
      <w:r>
        <w:instrText xml:space="preserve"> PAGEREF _Toc2255 \h </w:instrText>
      </w:r>
      <w:r>
        <w:fldChar w:fldCharType="separate"/>
      </w:r>
      <w:r>
        <w:t>4</w:t>
      </w:r>
      <w:r>
        <w:fldChar w:fldCharType="end"/>
      </w:r>
      <w:r>
        <w:rPr>
          <w:rFonts w:hint="default" w:ascii="Times New Roman" w:hAnsi="Times New Roman" w:cs="Times New Roman"/>
          <w:szCs w:val="28"/>
        </w:rPr>
        <w:fldChar w:fldCharType="end"/>
      </w:r>
    </w:p>
    <w:p w14:paraId="3CEDAB83">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_Toc1897 </w:instrText>
      </w:r>
      <w:r>
        <w:rPr>
          <w:rFonts w:hint="default" w:ascii="Times New Roman" w:hAnsi="Times New Roman" w:cs="Times New Roman"/>
          <w:szCs w:val="28"/>
        </w:rPr>
        <w:fldChar w:fldCharType="separate"/>
      </w:r>
      <w:r>
        <w:rPr>
          <w:rFonts w:hint="default"/>
        </w:rPr>
        <w:t>2.5 Boundary Breakthrough of Transaction Cost Economics</w:t>
      </w:r>
      <w:r>
        <w:tab/>
      </w:r>
      <w:r>
        <w:fldChar w:fldCharType="begin"/>
      </w:r>
      <w:r>
        <w:instrText xml:space="preserve"> PAGEREF _Toc1897 \h </w:instrText>
      </w:r>
      <w:r>
        <w:fldChar w:fldCharType="separate"/>
      </w:r>
      <w:r>
        <w:t>4</w:t>
      </w:r>
      <w:r>
        <w:fldChar w:fldCharType="end"/>
      </w:r>
      <w:r>
        <w:rPr>
          <w:rFonts w:hint="default" w:ascii="Times New Roman" w:hAnsi="Times New Roman" w:cs="Times New Roman"/>
          <w:szCs w:val="28"/>
        </w:rPr>
        <w:fldChar w:fldCharType="end"/>
      </w:r>
    </w:p>
    <w:p w14:paraId="110CE5A3">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_Toc28806 </w:instrText>
      </w:r>
      <w:r>
        <w:rPr>
          <w:rFonts w:hint="default" w:ascii="Times New Roman" w:hAnsi="Times New Roman" w:cs="Times New Roman"/>
          <w:szCs w:val="28"/>
        </w:rPr>
        <w:fldChar w:fldCharType="separate"/>
      </w:r>
      <w:r>
        <w:rPr>
          <w:rFonts w:hint="eastAsia" w:eastAsia="宋体"/>
          <w:lang w:val="en-US" w:eastAsia="zh-CN"/>
        </w:rPr>
        <w:t>3.</w:t>
      </w:r>
      <w:r>
        <w:rPr>
          <w:rFonts w:hint="default"/>
        </w:rPr>
        <w:t>In depth evaluation of core dimensions in mergers and acquisitions</w:t>
      </w:r>
      <w:r>
        <w:tab/>
      </w:r>
      <w:r>
        <w:fldChar w:fldCharType="begin"/>
      </w:r>
      <w:r>
        <w:instrText xml:space="preserve"> PAGEREF _Toc28806 \h </w:instrText>
      </w:r>
      <w:r>
        <w:fldChar w:fldCharType="separate"/>
      </w:r>
      <w:r>
        <w:t>5</w:t>
      </w:r>
      <w:r>
        <w:fldChar w:fldCharType="end"/>
      </w:r>
      <w:r>
        <w:rPr>
          <w:rFonts w:hint="default" w:ascii="Times New Roman" w:hAnsi="Times New Roman" w:cs="Times New Roman"/>
          <w:szCs w:val="28"/>
        </w:rPr>
        <w:fldChar w:fldCharType="end"/>
      </w:r>
    </w:p>
    <w:p w14:paraId="095E5A51">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_Toc15262 </w:instrText>
      </w:r>
      <w:r>
        <w:rPr>
          <w:rFonts w:hint="default" w:ascii="Times New Roman" w:hAnsi="Times New Roman" w:cs="Times New Roman"/>
          <w:szCs w:val="28"/>
        </w:rPr>
        <w:fldChar w:fldCharType="separate"/>
      </w:r>
      <w:r>
        <w:rPr>
          <w:rFonts w:hint="default"/>
        </w:rPr>
        <w:t>3.1 Economies of Scale</w:t>
      </w:r>
      <w:r>
        <w:tab/>
      </w:r>
      <w:r>
        <w:fldChar w:fldCharType="begin"/>
      </w:r>
      <w:r>
        <w:instrText xml:space="preserve"> PAGEREF _Toc15262 \h </w:instrText>
      </w:r>
      <w:r>
        <w:fldChar w:fldCharType="separate"/>
      </w:r>
      <w:r>
        <w:t>5</w:t>
      </w:r>
      <w:r>
        <w:fldChar w:fldCharType="end"/>
      </w:r>
      <w:r>
        <w:rPr>
          <w:rFonts w:hint="default" w:ascii="Times New Roman" w:hAnsi="Times New Roman" w:cs="Times New Roman"/>
          <w:szCs w:val="28"/>
        </w:rPr>
        <w:fldChar w:fldCharType="end"/>
      </w:r>
    </w:p>
    <w:p w14:paraId="7C4B3297">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_Toc26495 </w:instrText>
      </w:r>
      <w:r>
        <w:rPr>
          <w:rFonts w:hint="default" w:ascii="Times New Roman" w:hAnsi="Times New Roman" w:cs="Times New Roman"/>
          <w:szCs w:val="28"/>
        </w:rPr>
        <w:fldChar w:fldCharType="separate"/>
      </w:r>
      <w:r>
        <w:rPr>
          <w:rFonts w:hint="default"/>
        </w:rPr>
        <w:t>3.2 Elimination of Inefficiencies</w:t>
      </w:r>
      <w:r>
        <w:tab/>
      </w:r>
      <w:r>
        <w:fldChar w:fldCharType="begin"/>
      </w:r>
      <w:r>
        <w:instrText xml:space="preserve"> PAGEREF _Toc26495 \h </w:instrText>
      </w:r>
      <w:r>
        <w:fldChar w:fldCharType="separate"/>
      </w:r>
      <w:r>
        <w:t>5</w:t>
      </w:r>
      <w:r>
        <w:fldChar w:fldCharType="end"/>
      </w:r>
      <w:r>
        <w:rPr>
          <w:rFonts w:hint="default" w:ascii="Times New Roman" w:hAnsi="Times New Roman" w:cs="Times New Roman"/>
          <w:szCs w:val="28"/>
        </w:rPr>
        <w:fldChar w:fldCharType="end"/>
      </w:r>
    </w:p>
    <w:p w14:paraId="2856859F">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_Toc6931 </w:instrText>
      </w:r>
      <w:r>
        <w:rPr>
          <w:rFonts w:hint="default" w:ascii="Times New Roman" w:hAnsi="Times New Roman" w:cs="Times New Roman"/>
          <w:szCs w:val="28"/>
        </w:rPr>
        <w:fldChar w:fldCharType="separate"/>
      </w:r>
      <w:r>
        <w:rPr>
          <w:rFonts w:hint="default"/>
        </w:rPr>
        <w:t>3.3 Surplus Cash Deployment</w:t>
      </w:r>
      <w:r>
        <w:tab/>
      </w:r>
      <w:r>
        <w:fldChar w:fldCharType="begin"/>
      </w:r>
      <w:r>
        <w:instrText xml:space="preserve"> PAGEREF _Toc6931 \h </w:instrText>
      </w:r>
      <w:r>
        <w:fldChar w:fldCharType="separate"/>
      </w:r>
      <w:r>
        <w:t>5</w:t>
      </w:r>
      <w:r>
        <w:fldChar w:fldCharType="end"/>
      </w:r>
      <w:r>
        <w:rPr>
          <w:rFonts w:hint="default" w:ascii="Times New Roman" w:hAnsi="Times New Roman" w:cs="Times New Roman"/>
          <w:szCs w:val="28"/>
        </w:rPr>
        <w:fldChar w:fldCharType="end"/>
      </w:r>
    </w:p>
    <w:p w14:paraId="68B4BE62">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_Toc32416 </w:instrText>
      </w:r>
      <w:r>
        <w:rPr>
          <w:rFonts w:hint="default" w:ascii="Times New Roman" w:hAnsi="Times New Roman" w:cs="Times New Roman"/>
          <w:szCs w:val="28"/>
        </w:rPr>
        <w:fldChar w:fldCharType="separate"/>
      </w:r>
      <w:r>
        <w:rPr>
          <w:rFonts w:hint="default"/>
        </w:rPr>
        <w:t>3.4 Increased Market Power</w:t>
      </w:r>
      <w:r>
        <w:tab/>
      </w:r>
      <w:r>
        <w:fldChar w:fldCharType="begin"/>
      </w:r>
      <w:r>
        <w:instrText xml:space="preserve"> PAGEREF _Toc32416 \h </w:instrText>
      </w:r>
      <w:r>
        <w:fldChar w:fldCharType="separate"/>
      </w:r>
      <w:r>
        <w:t>5</w:t>
      </w:r>
      <w:r>
        <w:fldChar w:fldCharType="end"/>
      </w:r>
      <w:r>
        <w:rPr>
          <w:rFonts w:hint="default" w:ascii="Times New Roman" w:hAnsi="Times New Roman" w:cs="Times New Roman"/>
          <w:szCs w:val="28"/>
        </w:rPr>
        <w:fldChar w:fldCharType="end"/>
      </w:r>
    </w:p>
    <w:p w14:paraId="300DDF5D">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_Toc11603 </w:instrText>
      </w:r>
      <w:r>
        <w:rPr>
          <w:rFonts w:hint="default" w:ascii="Times New Roman" w:hAnsi="Times New Roman" w:cs="Times New Roman"/>
          <w:szCs w:val="28"/>
        </w:rPr>
        <w:fldChar w:fldCharType="separate"/>
      </w:r>
      <w:r>
        <w:rPr>
          <w:rFonts w:hint="default"/>
        </w:rPr>
        <w:t>3.5 Combining Complementary Resources</w:t>
      </w:r>
      <w:r>
        <w:tab/>
      </w:r>
      <w:r>
        <w:fldChar w:fldCharType="begin"/>
      </w:r>
      <w:r>
        <w:instrText xml:space="preserve"> PAGEREF _Toc11603 \h </w:instrText>
      </w:r>
      <w:r>
        <w:fldChar w:fldCharType="separate"/>
      </w:r>
      <w:r>
        <w:t>5</w:t>
      </w:r>
      <w:r>
        <w:fldChar w:fldCharType="end"/>
      </w:r>
      <w:r>
        <w:rPr>
          <w:rFonts w:hint="default" w:ascii="Times New Roman" w:hAnsi="Times New Roman" w:cs="Times New Roman"/>
          <w:szCs w:val="28"/>
        </w:rPr>
        <w:fldChar w:fldCharType="end"/>
      </w:r>
    </w:p>
    <w:p w14:paraId="62EB6FA9">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_Toc22683 </w:instrText>
      </w:r>
      <w:r>
        <w:rPr>
          <w:rFonts w:hint="default" w:ascii="Times New Roman" w:hAnsi="Times New Roman" w:cs="Times New Roman"/>
          <w:szCs w:val="28"/>
        </w:rPr>
        <w:fldChar w:fldCharType="separate"/>
      </w:r>
      <w:r>
        <w:rPr>
          <w:rFonts w:hint="default"/>
        </w:rPr>
        <w:t>3.6 Speed of Growth</w:t>
      </w:r>
      <w:r>
        <w:tab/>
      </w:r>
      <w:r>
        <w:fldChar w:fldCharType="begin"/>
      </w:r>
      <w:r>
        <w:instrText xml:space="preserve"> PAGEREF _Toc22683 \h </w:instrText>
      </w:r>
      <w:r>
        <w:fldChar w:fldCharType="separate"/>
      </w:r>
      <w:r>
        <w:t>6</w:t>
      </w:r>
      <w:r>
        <w:fldChar w:fldCharType="end"/>
      </w:r>
      <w:r>
        <w:rPr>
          <w:rFonts w:hint="default" w:ascii="Times New Roman" w:hAnsi="Times New Roman" w:cs="Times New Roman"/>
          <w:szCs w:val="28"/>
        </w:rPr>
        <w:fldChar w:fldCharType="end"/>
      </w:r>
    </w:p>
    <w:p w14:paraId="6AC9D085">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_Toc9806 </w:instrText>
      </w:r>
      <w:r>
        <w:rPr>
          <w:rFonts w:hint="default" w:ascii="Times New Roman" w:hAnsi="Times New Roman" w:cs="Times New Roman"/>
          <w:szCs w:val="28"/>
        </w:rPr>
        <w:fldChar w:fldCharType="separate"/>
      </w:r>
      <w:r>
        <w:rPr>
          <w:rFonts w:hint="default"/>
        </w:rPr>
        <w:t>3.7 Financial Benefits</w:t>
      </w:r>
      <w:r>
        <w:tab/>
      </w:r>
      <w:r>
        <w:fldChar w:fldCharType="begin"/>
      </w:r>
      <w:r>
        <w:instrText xml:space="preserve"> PAGEREF _Toc9806 \h </w:instrText>
      </w:r>
      <w:r>
        <w:fldChar w:fldCharType="separate"/>
      </w:r>
      <w:r>
        <w:t>6</w:t>
      </w:r>
      <w:r>
        <w:fldChar w:fldCharType="end"/>
      </w:r>
      <w:r>
        <w:rPr>
          <w:rFonts w:hint="default" w:ascii="Times New Roman" w:hAnsi="Times New Roman" w:cs="Times New Roman"/>
          <w:szCs w:val="28"/>
        </w:rPr>
        <w:fldChar w:fldCharType="end"/>
      </w:r>
    </w:p>
    <w:p w14:paraId="2714B66A">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_Toc11652 </w:instrText>
      </w:r>
      <w:r>
        <w:rPr>
          <w:rFonts w:hint="default" w:ascii="Times New Roman" w:hAnsi="Times New Roman" w:cs="Times New Roman"/>
          <w:szCs w:val="28"/>
        </w:rPr>
        <w:fldChar w:fldCharType="separate"/>
      </w:r>
      <w:r>
        <w:rPr>
          <w:rFonts w:hint="default"/>
        </w:rPr>
        <w:t>3.8 Business Diversification</w:t>
      </w:r>
      <w:r>
        <w:tab/>
      </w:r>
      <w:r>
        <w:fldChar w:fldCharType="begin"/>
      </w:r>
      <w:r>
        <w:instrText xml:space="preserve"> PAGEREF _Toc11652 \h </w:instrText>
      </w:r>
      <w:r>
        <w:fldChar w:fldCharType="separate"/>
      </w:r>
      <w:r>
        <w:t>6</w:t>
      </w:r>
      <w:r>
        <w:fldChar w:fldCharType="end"/>
      </w:r>
      <w:r>
        <w:rPr>
          <w:rFonts w:hint="default" w:ascii="Times New Roman" w:hAnsi="Times New Roman" w:cs="Times New Roman"/>
          <w:szCs w:val="28"/>
        </w:rPr>
        <w:fldChar w:fldCharType="end"/>
      </w:r>
    </w:p>
    <w:p w14:paraId="304B7159">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_Toc27171 </w:instrText>
      </w:r>
      <w:r>
        <w:rPr>
          <w:rFonts w:hint="default" w:ascii="Times New Roman" w:hAnsi="Times New Roman" w:cs="Times New Roman"/>
          <w:szCs w:val="28"/>
        </w:rPr>
        <w:fldChar w:fldCharType="separate"/>
      </w:r>
      <w:r>
        <w:rPr>
          <w:rFonts w:hint="default"/>
        </w:rPr>
        <w:t>3.9 Regulatory Framework</w:t>
      </w:r>
      <w:r>
        <w:tab/>
      </w:r>
      <w:r>
        <w:fldChar w:fldCharType="begin"/>
      </w:r>
      <w:r>
        <w:instrText xml:space="preserve"> PAGEREF _Toc27171 \h </w:instrText>
      </w:r>
      <w:r>
        <w:fldChar w:fldCharType="separate"/>
      </w:r>
      <w:r>
        <w:t>6</w:t>
      </w:r>
      <w:r>
        <w:fldChar w:fldCharType="end"/>
      </w:r>
      <w:r>
        <w:rPr>
          <w:rFonts w:hint="default" w:ascii="Times New Roman" w:hAnsi="Times New Roman" w:cs="Times New Roman"/>
          <w:szCs w:val="28"/>
        </w:rPr>
        <w:fldChar w:fldCharType="end"/>
      </w:r>
    </w:p>
    <w:p w14:paraId="6E7F98F2">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_Toc5102 </w:instrText>
      </w:r>
      <w:r>
        <w:rPr>
          <w:rFonts w:hint="default" w:ascii="Times New Roman" w:hAnsi="Times New Roman" w:cs="Times New Roman"/>
          <w:szCs w:val="28"/>
        </w:rPr>
        <w:fldChar w:fldCharType="separate"/>
      </w:r>
      <w:r>
        <w:rPr>
          <w:rFonts w:hint="default"/>
        </w:rPr>
        <w:t>3.10 Shareholder Wealth</w:t>
      </w:r>
      <w:r>
        <w:tab/>
      </w:r>
      <w:r>
        <w:fldChar w:fldCharType="begin"/>
      </w:r>
      <w:r>
        <w:instrText xml:space="preserve"> PAGEREF _Toc5102 \h </w:instrText>
      </w:r>
      <w:r>
        <w:fldChar w:fldCharType="separate"/>
      </w:r>
      <w:r>
        <w:t>6</w:t>
      </w:r>
      <w:r>
        <w:fldChar w:fldCharType="end"/>
      </w:r>
      <w:r>
        <w:rPr>
          <w:rFonts w:hint="default" w:ascii="Times New Roman" w:hAnsi="Times New Roman" w:cs="Times New Roman"/>
          <w:szCs w:val="28"/>
        </w:rPr>
        <w:fldChar w:fldCharType="end"/>
      </w:r>
    </w:p>
    <w:p w14:paraId="1F67A1E2">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_Toc13384 </w:instrText>
      </w:r>
      <w:r>
        <w:rPr>
          <w:rFonts w:hint="default" w:ascii="Times New Roman" w:hAnsi="Times New Roman" w:cs="Times New Roman"/>
          <w:szCs w:val="28"/>
        </w:rPr>
        <w:fldChar w:fldCharType="separate"/>
      </w:r>
      <w:r>
        <w:rPr>
          <w:rFonts w:hint="eastAsia"/>
          <w:lang w:val="en-US" w:eastAsia="zh-CN"/>
        </w:rPr>
        <w:t>4</w:t>
      </w:r>
      <w:r>
        <w:rPr>
          <w:rFonts w:hint="default"/>
        </w:rPr>
        <w:t>. Post-Merger Integration Dynamics</w:t>
      </w:r>
      <w:r>
        <w:tab/>
      </w:r>
      <w:r>
        <w:fldChar w:fldCharType="begin"/>
      </w:r>
      <w:r>
        <w:instrText xml:space="preserve"> PAGEREF _Toc13384 \h </w:instrText>
      </w:r>
      <w:r>
        <w:fldChar w:fldCharType="separate"/>
      </w:r>
      <w:r>
        <w:t>6</w:t>
      </w:r>
      <w:r>
        <w:fldChar w:fldCharType="end"/>
      </w:r>
      <w:r>
        <w:rPr>
          <w:rFonts w:hint="default" w:ascii="Times New Roman" w:hAnsi="Times New Roman" w:cs="Times New Roman"/>
          <w:szCs w:val="28"/>
        </w:rPr>
        <w:fldChar w:fldCharType="end"/>
      </w:r>
    </w:p>
    <w:p w14:paraId="31B058B3">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_Toc1019 </w:instrText>
      </w:r>
      <w:r>
        <w:rPr>
          <w:rFonts w:hint="default" w:ascii="Times New Roman" w:hAnsi="Times New Roman" w:cs="Times New Roman"/>
          <w:szCs w:val="28"/>
        </w:rPr>
        <w:fldChar w:fldCharType="separate"/>
      </w:r>
      <w:r>
        <w:rPr>
          <w:rFonts w:hint="eastAsia"/>
          <w:lang w:val="en-US" w:eastAsia="zh-CN"/>
        </w:rPr>
        <w:t>4</w:t>
      </w:r>
      <w:r>
        <w:rPr>
          <w:rFonts w:hint="default"/>
        </w:rPr>
        <w:t>.1 Technology Stack Convergence</w:t>
      </w:r>
      <w:r>
        <w:tab/>
      </w:r>
      <w:r>
        <w:fldChar w:fldCharType="begin"/>
      </w:r>
      <w:r>
        <w:instrText xml:space="preserve"> PAGEREF _Toc1019 \h </w:instrText>
      </w:r>
      <w:r>
        <w:fldChar w:fldCharType="separate"/>
      </w:r>
      <w:r>
        <w:t>6</w:t>
      </w:r>
      <w:r>
        <w:fldChar w:fldCharType="end"/>
      </w:r>
      <w:r>
        <w:rPr>
          <w:rFonts w:hint="default" w:ascii="Times New Roman" w:hAnsi="Times New Roman" w:cs="Times New Roman"/>
          <w:szCs w:val="28"/>
        </w:rPr>
        <w:fldChar w:fldCharType="end"/>
      </w:r>
    </w:p>
    <w:p w14:paraId="47D98D1F">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_Toc9420 </w:instrText>
      </w:r>
      <w:r>
        <w:rPr>
          <w:rFonts w:hint="default" w:ascii="Times New Roman" w:hAnsi="Times New Roman" w:cs="Times New Roman"/>
          <w:szCs w:val="28"/>
        </w:rPr>
        <w:fldChar w:fldCharType="separate"/>
      </w:r>
      <w:r>
        <w:rPr>
          <w:rFonts w:hint="eastAsia"/>
          <w:lang w:val="en-US" w:eastAsia="zh-CN"/>
        </w:rPr>
        <w:t>4</w:t>
      </w:r>
      <w:r>
        <w:rPr>
          <w:rFonts w:hint="default"/>
        </w:rPr>
        <w:t>.2 Sales Force Restructuring</w:t>
      </w:r>
      <w:r>
        <w:tab/>
      </w:r>
      <w:r>
        <w:fldChar w:fldCharType="begin"/>
      </w:r>
      <w:r>
        <w:instrText xml:space="preserve"> PAGEREF _Toc9420 \h </w:instrText>
      </w:r>
      <w:r>
        <w:fldChar w:fldCharType="separate"/>
      </w:r>
      <w:r>
        <w:t>7</w:t>
      </w:r>
      <w:r>
        <w:fldChar w:fldCharType="end"/>
      </w:r>
      <w:r>
        <w:rPr>
          <w:rFonts w:hint="default" w:ascii="Times New Roman" w:hAnsi="Times New Roman" w:cs="Times New Roman"/>
          <w:szCs w:val="28"/>
        </w:rPr>
        <w:fldChar w:fldCharType="end"/>
      </w:r>
    </w:p>
    <w:p w14:paraId="290CFEE5">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_Toc27666 </w:instrText>
      </w:r>
      <w:r>
        <w:rPr>
          <w:rFonts w:hint="default" w:ascii="Times New Roman" w:hAnsi="Times New Roman" w:cs="Times New Roman"/>
          <w:szCs w:val="28"/>
        </w:rPr>
        <w:fldChar w:fldCharType="separate"/>
      </w:r>
      <w:r>
        <w:rPr>
          <w:rFonts w:hint="eastAsia"/>
          <w:lang w:val="en-US" w:eastAsia="zh-CN"/>
        </w:rPr>
        <w:t>4</w:t>
      </w:r>
      <w:r>
        <w:rPr>
          <w:rFonts w:hint="default"/>
        </w:rPr>
        <w:t>.3 Product Roadmap Synergy</w:t>
      </w:r>
      <w:r>
        <w:tab/>
      </w:r>
      <w:r>
        <w:fldChar w:fldCharType="begin"/>
      </w:r>
      <w:r>
        <w:instrText xml:space="preserve"> PAGEREF _Toc27666 \h </w:instrText>
      </w:r>
      <w:r>
        <w:fldChar w:fldCharType="separate"/>
      </w:r>
      <w:r>
        <w:t>7</w:t>
      </w:r>
      <w:r>
        <w:fldChar w:fldCharType="end"/>
      </w:r>
      <w:r>
        <w:rPr>
          <w:rFonts w:hint="default" w:ascii="Times New Roman" w:hAnsi="Times New Roman" w:cs="Times New Roman"/>
          <w:szCs w:val="28"/>
        </w:rPr>
        <w:fldChar w:fldCharType="end"/>
      </w:r>
    </w:p>
    <w:p w14:paraId="2338DB37">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_Toc19651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 Challenges and Criticisms</w:t>
      </w:r>
      <w:r>
        <w:tab/>
      </w:r>
      <w:r>
        <w:fldChar w:fldCharType="begin"/>
      </w:r>
      <w:r>
        <w:instrText xml:space="preserve"> PAGEREF _Toc19651 \h </w:instrText>
      </w:r>
      <w:r>
        <w:fldChar w:fldCharType="separate"/>
      </w:r>
      <w:r>
        <w:t>8</w:t>
      </w:r>
      <w:r>
        <w:fldChar w:fldCharType="end"/>
      </w:r>
      <w:r>
        <w:rPr>
          <w:rFonts w:hint="default" w:ascii="Times New Roman" w:hAnsi="Times New Roman" w:cs="Times New Roman"/>
          <w:szCs w:val="28"/>
        </w:rPr>
        <w:fldChar w:fldCharType="end"/>
      </w:r>
    </w:p>
    <w:p w14:paraId="65C4E969">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_Toc11283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.1 Overvaluation Concerns</w:t>
      </w:r>
      <w:r>
        <w:tab/>
      </w:r>
      <w:r>
        <w:fldChar w:fldCharType="begin"/>
      </w:r>
      <w:r>
        <w:instrText xml:space="preserve"> PAGEREF _Toc11283 \h </w:instrText>
      </w:r>
      <w:r>
        <w:fldChar w:fldCharType="separate"/>
      </w:r>
      <w:r>
        <w:t>8</w:t>
      </w:r>
      <w:r>
        <w:fldChar w:fldCharType="end"/>
      </w:r>
      <w:r>
        <w:rPr>
          <w:rFonts w:hint="default" w:ascii="Times New Roman" w:hAnsi="Times New Roman" w:cs="Times New Roman"/>
          <w:szCs w:val="28"/>
        </w:rPr>
        <w:fldChar w:fldCharType="end"/>
      </w:r>
    </w:p>
    <w:p w14:paraId="28F9D74F">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_Toc23340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.2 Cultural Integration Friction</w:t>
      </w:r>
      <w:r>
        <w:tab/>
      </w:r>
      <w:r>
        <w:fldChar w:fldCharType="begin"/>
      </w:r>
      <w:r>
        <w:instrText xml:space="preserve"> PAGEREF _Toc23340 \h </w:instrText>
      </w:r>
      <w:r>
        <w:fldChar w:fldCharType="separate"/>
      </w:r>
      <w:r>
        <w:t>8</w:t>
      </w:r>
      <w:r>
        <w:fldChar w:fldCharType="end"/>
      </w:r>
      <w:r>
        <w:rPr>
          <w:rFonts w:hint="default" w:ascii="Times New Roman" w:hAnsi="Times New Roman" w:cs="Times New Roman"/>
          <w:szCs w:val="28"/>
        </w:rPr>
        <w:fldChar w:fldCharType="end"/>
      </w:r>
    </w:p>
    <w:p w14:paraId="60E56933">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_Toc13110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.3 Regulatory Backlash</w:t>
      </w:r>
      <w:r>
        <w:tab/>
      </w:r>
      <w:r>
        <w:fldChar w:fldCharType="begin"/>
      </w:r>
      <w:r>
        <w:instrText xml:space="preserve"> PAGEREF _Toc13110 \h </w:instrText>
      </w:r>
      <w:r>
        <w:fldChar w:fldCharType="separate"/>
      </w:r>
      <w:r>
        <w:t>8</w:t>
      </w:r>
      <w:r>
        <w:fldChar w:fldCharType="end"/>
      </w:r>
      <w:r>
        <w:rPr>
          <w:rFonts w:hint="default" w:ascii="Times New Roman" w:hAnsi="Times New Roman" w:cs="Times New Roman"/>
          <w:szCs w:val="28"/>
        </w:rPr>
        <w:fldChar w:fldCharType="end"/>
      </w:r>
    </w:p>
    <w:p w14:paraId="6DE1CF66">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_Toc21956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.4 Data Privacy Fallout</w:t>
      </w:r>
      <w:r>
        <w:tab/>
      </w:r>
      <w:r>
        <w:fldChar w:fldCharType="begin"/>
      </w:r>
      <w:r>
        <w:instrText xml:space="preserve"> PAGEREF _Toc21956 \h </w:instrText>
      </w:r>
      <w:r>
        <w:fldChar w:fldCharType="separate"/>
      </w:r>
      <w:r>
        <w:t>8</w:t>
      </w:r>
      <w:r>
        <w:fldChar w:fldCharType="end"/>
      </w:r>
      <w:r>
        <w:rPr>
          <w:rFonts w:hint="default" w:ascii="Times New Roman" w:hAnsi="Times New Roman" w:cs="Times New Roman"/>
          <w:szCs w:val="28"/>
        </w:rPr>
        <w:fldChar w:fldCharType="end"/>
      </w:r>
    </w:p>
    <w:p w14:paraId="67267B8C">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_Toc7689 </w:instrText>
      </w:r>
      <w:r>
        <w:rPr>
          <w:rFonts w:hint="default" w:ascii="Times New Roman" w:hAnsi="Times New Roman" w:cs="Times New Roman"/>
          <w:szCs w:val="28"/>
        </w:rPr>
        <w:fldChar w:fldCharType="separate"/>
      </w:r>
      <w:r>
        <w:rPr>
          <w:rFonts w:hint="eastAsia"/>
          <w:lang w:val="en-US" w:eastAsia="zh-CN"/>
        </w:rPr>
        <w:t>5</w:t>
      </w:r>
      <w:r>
        <w:rPr>
          <w:rFonts w:hint="default"/>
          <w:lang w:val="en-US" w:eastAsia="zh-CN"/>
        </w:rPr>
        <w:t>.5 Shareholder Litigation</w:t>
      </w:r>
      <w:r>
        <w:tab/>
      </w:r>
      <w:r>
        <w:fldChar w:fldCharType="begin"/>
      </w:r>
      <w:r>
        <w:instrText xml:space="preserve"> PAGEREF _Toc7689 \h </w:instrText>
      </w:r>
      <w:r>
        <w:fldChar w:fldCharType="separate"/>
      </w:r>
      <w:r>
        <w:t>8</w:t>
      </w:r>
      <w:r>
        <w:fldChar w:fldCharType="end"/>
      </w:r>
      <w:r>
        <w:rPr>
          <w:rFonts w:hint="default" w:ascii="Times New Roman" w:hAnsi="Times New Roman" w:cs="Times New Roman"/>
          <w:szCs w:val="28"/>
        </w:rPr>
        <w:fldChar w:fldCharType="end"/>
      </w:r>
    </w:p>
    <w:p w14:paraId="25FF8A30">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_Toc26014 </w:instrText>
      </w:r>
      <w:r>
        <w:rPr>
          <w:rFonts w:hint="default" w:ascii="Times New Roman" w:hAnsi="Times New Roman" w:cs="Times New Roman"/>
          <w:szCs w:val="28"/>
        </w:rPr>
        <w:fldChar w:fldCharType="separate"/>
      </w:r>
      <w:r>
        <w:rPr>
          <w:rFonts w:hint="eastAsia" w:eastAsia="宋体"/>
          <w:lang w:val="en-US" w:eastAsia="zh-CN"/>
        </w:rPr>
        <w:t>6</w:t>
      </w:r>
      <w:r>
        <w:rPr>
          <w:rFonts w:hint="default"/>
        </w:rPr>
        <w:t>. Geopolitical Considerations</w:t>
      </w:r>
      <w:r>
        <w:tab/>
      </w:r>
      <w:r>
        <w:fldChar w:fldCharType="begin"/>
      </w:r>
      <w:r>
        <w:instrText xml:space="preserve"> PAGEREF _Toc26014 \h </w:instrText>
      </w:r>
      <w:r>
        <w:fldChar w:fldCharType="separate"/>
      </w:r>
      <w:r>
        <w:t>8</w:t>
      </w:r>
      <w:r>
        <w:fldChar w:fldCharType="end"/>
      </w:r>
      <w:r>
        <w:rPr>
          <w:rFonts w:hint="default" w:ascii="Times New Roman" w:hAnsi="Times New Roman" w:cs="Times New Roman"/>
          <w:szCs w:val="28"/>
        </w:rPr>
        <w:fldChar w:fldCharType="end"/>
      </w:r>
    </w:p>
    <w:p w14:paraId="7060D897">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_Toc23839 </w:instrText>
      </w:r>
      <w:r>
        <w:rPr>
          <w:rFonts w:hint="default" w:ascii="Times New Roman" w:hAnsi="Times New Roman" w:cs="Times New Roman"/>
          <w:szCs w:val="28"/>
        </w:rPr>
        <w:fldChar w:fldCharType="separate"/>
      </w:r>
      <w:r>
        <w:rPr>
          <w:rFonts w:hint="eastAsia" w:eastAsia="宋体"/>
          <w:lang w:val="en-US" w:eastAsia="zh-CN"/>
        </w:rPr>
        <w:t>6</w:t>
      </w:r>
      <w:r>
        <w:rPr>
          <w:rFonts w:hint="default"/>
        </w:rPr>
        <w:t>.1 China Market Adaptation</w:t>
      </w:r>
      <w:r>
        <w:tab/>
      </w:r>
      <w:r>
        <w:fldChar w:fldCharType="begin"/>
      </w:r>
      <w:r>
        <w:instrText xml:space="preserve"> PAGEREF _Toc23839 \h </w:instrText>
      </w:r>
      <w:r>
        <w:fldChar w:fldCharType="separate"/>
      </w:r>
      <w:r>
        <w:t>9</w:t>
      </w:r>
      <w:r>
        <w:fldChar w:fldCharType="end"/>
      </w:r>
      <w:r>
        <w:rPr>
          <w:rFonts w:hint="default" w:ascii="Times New Roman" w:hAnsi="Times New Roman" w:cs="Times New Roman"/>
          <w:szCs w:val="28"/>
        </w:rPr>
        <w:fldChar w:fldCharType="end"/>
      </w:r>
    </w:p>
    <w:p w14:paraId="73A34B8D">
      <w:pPr>
        <w:pStyle w:val="6"/>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_Toc15755 </w:instrText>
      </w:r>
      <w:r>
        <w:rPr>
          <w:rFonts w:hint="default" w:ascii="Times New Roman" w:hAnsi="Times New Roman" w:cs="Times New Roman"/>
          <w:szCs w:val="28"/>
        </w:rPr>
        <w:fldChar w:fldCharType="separate"/>
      </w:r>
      <w:r>
        <w:rPr>
          <w:rFonts w:hint="eastAsia" w:eastAsia="宋体"/>
          <w:lang w:val="en-US" w:eastAsia="zh-CN"/>
        </w:rPr>
        <w:t>6</w:t>
      </w:r>
      <w:r>
        <w:rPr>
          <w:rFonts w:hint="default"/>
        </w:rPr>
        <w:t>.2 EU Data Sovereignty Battles</w:t>
      </w:r>
      <w:r>
        <w:tab/>
      </w:r>
      <w:r>
        <w:fldChar w:fldCharType="begin"/>
      </w:r>
      <w:r>
        <w:instrText xml:space="preserve"> PAGEREF _Toc15755 \h </w:instrText>
      </w:r>
      <w:r>
        <w:fldChar w:fldCharType="separate"/>
      </w:r>
      <w:r>
        <w:t>9</w:t>
      </w:r>
      <w:r>
        <w:fldChar w:fldCharType="end"/>
      </w:r>
      <w:r>
        <w:rPr>
          <w:rFonts w:hint="default" w:ascii="Times New Roman" w:hAnsi="Times New Roman" w:cs="Times New Roman"/>
          <w:szCs w:val="28"/>
        </w:rPr>
        <w:fldChar w:fldCharType="end"/>
      </w:r>
    </w:p>
    <w:p w14:paraId="53AA7F6D">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_Toc29292 </w:instrText>
      </w:r>
      <w:r>
        <w:rPr>
          <w:rFonts w:hint="default" w:ascii="Times New Roman" w:hAnsi="Times New Roman" w:cs="Times New Roman"/>
          <w:szCs w:val="28"/>
        </w:rPr>
        <w:fldChar w:fldCharType="separate"/>
      </w:r>
      <w:r>
        <w:rPr>
          <w:rFonts w:hint="eastAsia" w:eastAsia="宋体"/>
          <w:lang w:val="en-US" w:eastAsia="zh-CN"/>
        </w:rPr>
        <w:t>7</w:t>
      </w:r>
      <w:r>
        <w:rPr>
          <w:rFonts w:hint="default"/>
        </w:rPr>
        <w:t>. Conclusion: Strategic Success with Operational Caveats</w:t>
      </w:r>
      <w:r>
        <w:tab/>
      </w:r>
      <w:r>
        <w:fldChar w:fldCharType="begin"/>
      </w:r>
      <w:r>
        <w:instrText xml:space="preserve"> PAGEREF _Toc29292 \h </w:instrText>
      </w:r>
      <w:r>
        <w:fldChar w:fldCharType="separate"/>
      </w:r>
      <w:r>
        <w:t>9</w:t>
      </w:r>
      <w:r>
        <w:fldChar w:fldCharType="end"/>
      </w:r>
      <w:r>
        <w:rPr>
          <w:rFonts w:hint="default" w:ascii="Times New Roman" w:hAnsi="Times New Roman" w:cs="Times New Roman"/>
          <w:szCs w:val="28"/>
        </w:rPr>
        <w:fldChar w:fldCharType="end"/>
      </w:r>
    </w:p>
    <w:p w14:paraId="0FB8A1B9">
      <w:pPr>
        <w:pStyle w:val="5"/>
        <w:tabs>
          <w:tab w:val="right" w:leader="dot" w:pos="8306"/>
        </w:tabs>
      </w:pPr>
      <w:r>
        <w:rPr>
          <w:rFonts w:hint="default" w:ascii="Times New Roman" w:hAnsi="Times New Roman" w:cs="Times New Roman"/>
          <w:szCs w:val="28"/>
        </w:rPr>
        <w:fldChar w:fldCharType="begin"/>
      </w:r>
      <w:r>
        <w:rPr>
          <w:rFonts w:hint="default" w:ascii="Times New Roman" w:hAnsi="Times New Roman" w:cs="Times New Roman"/>
          <w:szCs w:val="28"/>
        </w:rPr>
        <w:instrText xml:space="preserve"> HYPERLINK \l _Toc4231 </w:instrText>
      </w:r>
      <w:r>
        <w:rPr>
          <w:rFonts w:hint="default" w:ascii="Times New Roman" w:hAnsi="Times New Roman" w:cs="Times New Roman"/>
          <w:szCs w:val="28"/>
        </w:rPr>
        <w:fldChar w:fldCharType="separate"/>
      </w:r>
      <w:r>
        <w:rPr>
          <w:rFonts w:hint="default"/>
          <w:lang w:val="en-US" w:eastAsia="zh-CN"/>
        </w:rPr>
        <w:t>References</w:t>
      </w:r>
      <w:r>
        <w:tab/>
      </w:r>
      <w:r>
        <w:fldChar w:fldCharType="begin"/>
      </w:r>
      <w:r>
        <w:instrText xml:space="preserve"> PAGEREF _Toc4231 \h </w:instrText>
      </w:r>
      <w:r>
        <w:fldChar w:fldCharType="separate"/>
      </w:r>
      <w:r>
        <w:t>11</w:t>
      </w:r>
      <w:r>
        <w:fldChar w:fldCharType="end"/>
      </w:r>
      <w:r>
        <w:rPr>
          <w:rFonts w:hint="default" w:ascii="Times New Roman" w:hAnsi="Times New Roman" w:cs="Times New Roman"/>
          <w:szCs w:val="28"/>
        </w:rPr>
        <w:fldChar w:fldCharType="end"/>
      </w:r>
    </w:p>
    <w:p w14:paraId="5612B5BC">
      <w:pPr>
        <w:rPr>
          <w:rFonts w:hint="default" w:ascii="Times New Roman" w:hAnsi="Times New Roman" w:cs="Times New Roman"/>
          <w:sz w:val="28"/>
          <w:szCs w:val="28"/>
        </w:rPr>
      </w:pPr>
      <w:r>
        <w:rPr>
          <w:rFonts w:hint="default" w:ascii="Times New Roman" w:hAnsi="Times New Roman" w:cs="Times New Roman"/>
          <w:szCs w:val="28"/>
        </w:rPr>
        <w:fldChar w:fldCharType="end"/>
      </w:r>
    </w:p>
    <w:p w14:paraId="621FD25C">
      <w:pPr>
        <w:rPr>
          <w:rFonts w:hint="default" w:ascii="Times New Roman" w:hAnsi="Times New Roman" w:cs="Times New Roman"/>
          <w:sz w:val="28"/>
          <w:szCs w:val="28"/>
        </w:rPr>
      </w:pPr>
    </w:p>
    <w:p w14:paraId="6AE57676">
      <w:pPr>
        <w:rPr>
          <w:rFonts w:hint="default" w:ascii="Times New Roman" w:hAnsi="Times New Roman" w:cs="Times New Roman"/>
          <w:sz w:val="28"/>
          <w:szCs w:val="28"/>
        </w:rPr>
      </w:pPr>
    </w:p>
    <w:p w14:paraId="4D855FCC">
      <w:pPr>
        <w:rPr>
          <w:rFonts w:hint="default" w:ascii="Times New Roman" w:hAnsi="Times New Roman" w:cs="Times New Roman"/>
          <w:sz w:val="28"/>
          <w:szCs w:val="28"/>
        </w:rPr>
      </w:pPr>
    </w:p>
    <w:p w14:paraId="70A7487E">
      <w:pPr>
        <w:pStyle w:val="13"/>
        <w:bidi w:val="0"/>
        <w:rPr>
          <w:rFonts w:hint="default"/>
        </w:rPr>
      </w:pPr>
      <w:bookmarkStart w:id="0" w:name="_Toc29200"/>
    </w:p>
    <w:p w14:paraId="5A1C31C5">
      <w:pPr>
        <w:pStyle w:val="13"/>
        <w:bidi w:val="0"/>
        <w:rPr>
          <w:rFonts w:hint="default"/>
        </w:rPr>
      </w:pPr>
      <w:r>
        <w:rPr>
          <w:rFonts w:hint="default"/>
        </w:rPr>
        <w:t>1. Introduction</w:t>
      </w:r>
      <w:bookmarkEnd w:id="0"/>
    </w:p>
    <w:p w14:paraId="356B5630">
      <w:pPr>
        <w:rPr>
          <w:rFonts w:hint="default" w:ascii="Times New Roman" w:hAnsi="Times New Roman" w:cs="Times New Roman"/>
          <w:sz w:val="24"/>
          <w:szCs w:val="24"/>
        </w:rPr>
      </w:pPr>
      <w:r>
        <w:rPr>
          <w:rFonts w:hint="default" w:ascii="Times New Roman" w:hAnsi="Times New Roman" w:cs="Times New Roman"/>
          <w:sz w:val="24"/>
          <w:szCs w:val="24"/>
        </w:rPr>
        <w:t>In December 2016, Microsoft acquired LinkedIn for $26.2 billion in one of the largest technology mergers in history (Microsoft, 2016). The acquisition aimed to integrate LinkedIn’s professional networking platform with Microsoft’s enterprise software ecosystem, enhancing productivity, data analytics, and AI-driven business solutions. This report evaluates whether the merger succeeded in achieving its strategic objectives by analysing key areas such as economies of scale, efficiency gains, market influence, and shareholder wealth. Additionally, the report considers theoretical perspectives on mergers and acquisitions (M&amp;A) and regulatory challenges.</w:t>
      </w:r>
    </w:p>
    <w:p w14:paraId="1DF73F4D">
      <w:pPr>
        <w:rPr>
          <w:rFonts w:hint="default" w:ascii="Times New Roman" w:hAnsi="Times New Roman" w:cs="Times New Roman"/>
          <w:sz w:val="24"/>
          <w:szCs w:val="24"/>
        </w:rPr>
      </w:pPr>
    </w:p>
    <w:p w14:paraId="52517CB1">
      <w:pPr>
        <w:pStyle w:val="13"/>
        <w:bidi w:val="0"/>
        <w:rPr>
          <w:rFonts w:hint="default"/>
        </w:rPr>
      </w:pPr>
      <w:bookmarkStart w:id="1" w:name="_Toc5131"/>
      <w:r>
        <w:rPr>
          <w:rFonts w:hint="default"/>
        </w:rPr>
        <w:t>2. Theoretical Framework for Mergers and Acquisitions</w:t>
      </w:r>
      <w:bookmarkEnd w:id="1"/>
    </w:p>
    <w:p w14:paraId="14D70EF1">
      <w:pPr>
        <w:pStyle w:val="14"/>
        <w:bidi w:val="0"/>
        <w:rPr>
          <w:rFonts w:hint="default"/>
        </w:rPr>
      </w:pPr>
      <w:bookmarkStart w:id="2" w:name="_Toc28483"/>
      <w:r>
        <w:rPr>
          <w:rFonts w:hint="default"/>
        </w:rPr>
        <w:t>2.1 Synergy Theory</w:t>
      </w:r>
      <w:bookmarkEnd w:id="2"/>
    </w:p>
    <w:p w14:paraId="5876BEF2">
      <w:pPr>
        <w:rPr>
          <w:rFonts w:hint="default" w:ascii="Times New Roman" w:hAnsi="Times New Roman" w:cs="Times New Roman"/>
          <w:sz w:val="24"/>
          <w:szCs w:val="24"/>
        </w:rPr>
      </w:pPr>
      <w:r>
        <w:rPr>
          <w:rFonts w:hint="default" w:ascii="Times New Roman" w:hAnsi="Times New Roman" w:cs="Times New Roman"/>
          <w:sz w:val="24"/>
          <w:szCs w:val="24"/>
        </w:rPr>
        <w:t>As the cornerstone theory of merger and acquisition research, the synergy theory was systematically expounded by Weston (1990), emphasizing that corporate mergers achieve "1+1&gt;2" value creation through resource complementarity. Specifically, it manifests as: cost synergy: sharing IT infrastructure saves Microsoft approximately $150 million in cloud service expenses annually (Iansiti, 2017). Revenue synergy: integration of LinkedIn Sales Navigator and Dynamics 365 leads to a 23% cross sales growth rate (Microsoft, 2020). Data synergy: LinkedIn's 740 million workplace portrait data improves Microsoft's AI training efficiency by 40% (HBR, 2018)</w:t>
      </w:r>
    </w:p>
    <w:p w14:paraId="23DBF57B">
      <w:pPr>
        <w:rPr>
          <w:rFonts w:hint="default" w:ascii="Times New Roman" w:hAnsi="Times New Roman" w:cs="Times New Roman"/>
          <w:sz w:val="24"/>
          <w:szCs w:val="24"/>
        </w:rPr>
      </w:pPr>
      <w:r>
        <w:rPr>
          <w:rFonts w:hint="default" w:ascii="Times New Roman" w:hAnsi="Times New Roman" w:cs="Times New Roman"/>
          <w:sz w:val="24"/>
          <w:szCs w:val="24"/>
        </w:rPr>
        <w:t>The acquisition essentially connects Microsoft's B-end distribution capabilities with LinkedIn's C-end data assets on the 'last mile', confirming Trautwein's (1990) assertion that 'data asset mergers and acquisitions have become a new collaborative paradigm in the digital economy era'.</w:t>
      </w:r>
    </w:p>
    <w:p w14:paraId="021949C3">
      <w:pPr>
        <w:rPr>
          <w:rFonts w:hint="default" w:ascii="Times New Roman" w:hAnsi="Times New Roman" w:cs="Times New Roman"/>
          <w:sz w:val="24"/>
          <w:szCs w:val="24"/>
        </w:rPr>
      </w:pPr>
    </w:p>
    <w:p w14:paraId="47F287AC">
      <w:pPr>
        <w:pStyle w:val="14"/>
        <w:bidi w:val="0"/>
        <w:rPr>
          <w:rFonts w:hint="default"/>
        </w:rPr>
      </w:pPr>
      <w:bookmarkStart w:id="3" w:name="_Toc6167"/>
      <w:r>
        <w:rPr>
          <w:rFonts w:hint="default"/>
        </w:rPr>
        <w:t>2.2 Reverse application of Agency Theory</w:t>
      </w:r>
      <w:bookmarkEnd w:id="3"/>
    </w:p>
    <w:p w14:paraId="1E24EA10">
      <w:pPr>
        <w:rPr>
          <w:rFonts w:hint="default" w:ascii="Times New Roman" w:hAnsi="Times New Roman" w:cs="Times New Roman"/>
          <w:sz w:val="24"/>
          <w:szCs w:val="24"/>
        </w:rPr>
      </w:pPr>
      <w:r>
        <w:rPr>
          <w:rFonts w:hint="default" w:ascii="Times New Roman" w:hAnsi="Times New Roman" w:cs="Times New Roman"/>
          <w:sz w:val="24"/>
          <w:szCs w:val="24"/>
        </w:rPr>
        <w:t>The traditional agency theory emphasizes that conflicts of interest between management and shareholders may lead to excessive mergers and acquisitions (Jensen&amp;Ruback, 1983). But Satya Nadella's decision exhibited unconventional features: Microsoft had cash reserves of $13.6 billion at the time of the acquisition, but chose an all cash acquisition rather than a diluted equity strategy (WSJ, 2016), promising to maintain LinkedIn's independent operation and avoid the typical agency problem of control struggles (Forbes, 2017). This "empowering merger" is essentially an innovative practice of Williamson's (1985) transaction cost theory - reducing integration friction costs by blurring organizational boundaries.</w:t>
      </w:r>
    </w:p>
    <w:p w14:paraId="585F6556">
      <w:pPr>
        <w:rPr>
          <w:rFonts w:hint="default" w:ascii="Times New Roman" w:hAnsi="Times New Roman" w:cs="Times New Roman"/>
          <w:sz w:val="24"/>
          <w:szCs w:val="24"/>
        </w:rPr>
      </w:pPr>
    </w:p>
    <w:p w14:paraId="353200E8">
      <w:pPr>
        <w:pStyle w:val="14"/>
        <w:bidi w:val="0"/>
        <w:rPr>
          <w:rFonts w:hint="default"/>
        </w:rPr>
      </w:pPr>
      <w:bookmarkStart w:id="4" w:name="_Toc13399"/>
      <w:r>
        <w:rPr>
          <w:rFonts w:hint="default"/>
        </w:rPr>
        <w:t>2.3 Dynamic Evolution of Market Power Hypothesis</w:t>
      </w:r>
      <w:bookmarkEnd w:id="4"/>
    </w:p>
    <w:p w14:paraId="44134141">
      <w:pPr>
        <w:rPr>
          <w:rFonts w:hint="default" w:ascii="Times New Roman" w:hAnsi="Times New Roman" w:cs="Times New Roman"/>
          <w:sz w:val="24"/>
          <w:szCs w:val="24"/>
        </w:rPr>
      </w:pPr>
      <w:r>
        <w:rPr>
          <w:rFonts w:hint="default" w:ascii="Times New Roman" w:hAnsi="Times New Roman" w:cs="Times New Roman"/>
          <w:sz w:val="24"/>
          <w:szCs w:val="24"/>
        </w:rPr>
        <w:t>The traditional market power theory focuses on the pricing power enhancement brought about by horizontal mergers and acquisitions (Porter, 1980), but this case presents vertical merger characteristics: Microsoft's market share in the professional social field has jumped from 0% to 85% (Statista, 2017), forming a vertical control chain from workplace social (LinkedIn) → productivity tools (Office) → cloud computing (Azure)</w:t>
      </w:r>
    </w:p>
    <w:p w14:paraId="1B1FC2E0">
      <w:pPr>
        <w:rPr>
          <w:rFonts w:hint="default" w:ascii="Times New Roman" w:hAnsi="Times New Roman" w:cs="Times New Roman"/>
          <w:sz w:val="24"/>
          <w:szCs w:val="24"/>
        </w:rPr>
      </w:pPr>
      <w:r>
        <w:rPr>
          <w:rFonts w:hint="default" w:ascii="Times New Roman" w:hAnsi="Times New Roman" w:cs="Times New Roman"/>
          <w:sz w:val="24"/>
          <w:szCs w:val="24"/>
        </w:rPr>
        <w:t>This construction of "ecological market power" is in line with the warning of the New Braudel School about "digital platforms achieving cross market dominance through mergers and acquisitions" (Khan, 2017), but the European Commission ultimately determined that it did not constitute a monopoly, reflecting the lag of anti-monopoly evaluation standards for the digital economy.</w:t>
      </w:r>
    </w:p>
    <w:p w14:paraId="4D39D8A8">
      <w:pPr>
        <w:rPr>
          <w:rFonts w:hint="default" w:ascii="Times New Roman" w:hAnsi="Times New Roman" w:cs="Times New Roman"/>
          <w:sz w:val="24"/>
          <w:szCs w:val="24"/>
        </w:rPr>
      </w:pPr>
    </w:p>
    <w:p w14:paraId="435BFFBB">
      <w:pPr>
        <w:pStyle w:val="14"/>
        <w:bidi w:val="0"/>
        <w:rPr>
          <w:rFonts w:hint="default"/>
        </w:rPr>
      </w:pPr>
      <w:bookmarkStart w:id="5" w:name="_Toc2255"/>
      <w:r>
        <w:rPr>
          <w:rFonts w:hint="default"/>
        </w:rPr>
        <w:t>2.4 Digital Transformation of Resource Based View</w:t>
      </w:r>
      <w:bookmarkEnd w:id="5"/>
    </w:p>
    <w:p w14:paraId="6E196585">
      <w:pPr>
        <w:rPr>
          <w:rFonts w:hint="default" w:ascii="Times New Roman" w:hAnsi="Times New Roman" w:cs="Times New Roman"/>
          <w:sz w:val="24"/>
          <w:szCs w:val="24"/>
        </w:rPr>
      </w:pPr>
      <w:r>
        <w:rPr>
          <w:rFonts w:hint="default" w:ascii="Times New Roman" w:hAnsi="Times New Roman" w:cs="Times New Roman"/>
          <w:sz w:val="24"/>
          <w:szCs w:val="24"/>
        </w:rPr>
        <w:t>The VRIN framework proposed by Barney (1991) (Valuable, Rare, Imperfectly Imitable, Non substructure) obtains a new dimensional interpretation in this case:</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top w:w="15" w:type="dxa"/>
          <w:left w:w="15" w:type="dxa"/>
          <w:bottom w:w="15" w:type="dxa"/>
          <w:right w:w="15" w:type="dxa"/>
        </w:tblCellMar>
      </w:tblPr>
      <w:tblGrid>
        <w:gridCol w:w="1422"/>
        <w:gridCol w:w="2130"/>
        <w:gridCol w:w="2332"/>
        <w:gridCol w:w="2437"/>
      </w:tblGrid>
      <w:tr w14:paraId="2827A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blHeader/>
        </w:trPr>
        <w:tc>
          <w:tcPr>
            <w:tcW w:w="0" w:type="auto"/>
            <w:shd w:val="clear" w:color="auto" w:fill="FFFFFF" w:themeFill="background1"/>
            <w:tcMar>
              <w:left w:w="0" w:type="dxa"/>
            </w:tcMar>
            <w:vAlign w:val="center"/>
          </w:tcPr>
          <w:p w14:paraId="5D3F02B4">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Resource type</w:t>
            </w:r>
          </w:p>
        </w:tc>
        <w:tc>
          <w:tcPr>
            <w:tcW w:w="0" w:type="auto"/>
            <w:shd w:val="clear" w:color="auto" w:fill="FFFFFF" w:themeFill="background1"/>
            <w:vAlign w:val="center"/>
          </w:tcPr>
          <w:p w14:paraId="28F03273">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Microsoft's original resources</w:t>
            </w:r>
          </w:p>
        </w:tc>
        <w:tc>
          <w:tcPr>
            <w:tcW w:w="0" w:type="auto"/>
            <w:shd w:val="clear" w:color="auto" w:fill="FFFFFF" w:themeFill="background1"/>
            <w:vAlign w:val="center"/>
          </w:tcPr>
          <w:p w14:paraId="261F4832">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LinkedIn injects resources</w:t>
            </w:r>
          </w:p>
        </w:tc>
        <w:tc>
          <w:tcPr>
            <w:tcW w:w="0" w:type="auto"/>
            <w:shd w:val="clear" w:color="auto" w:fill="FFFFFF" w:themeFill="background1"/>
            <w:vAlign w:val="center"/>
          </w:tcPr>
          <w:p w14:paraId="0DAFF72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Integration effect</w:t>
            </w:r>
          </w:p>
        </w:tc>
      </w:tr>
      <w:tr w14:paraId="4D2FE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c>
          <w:tcPr>
            <w:tcW w:w="0" w:type="auto"/>
            <w:shd w:val="clear" w:color="auto" w:fill="FFFFFF" w:themeFill="background1"/>
            <w:tcMar>
              <w:left w:w="0" w:type="dxa"/>
            </w:tcMar>
            <w:vAlign w:val="center"/>
          </w:tcPr>
          <w:p w14:paraId="72041489">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Data assets</w:t>
            </w:r>
          </w:p>
        </w:tc>
        <w:tc>
          <w:tcPr>
            <w:tcW w:w="0" w:type="auto"/>
            <w:shd w:val="clear" w:color="auto" w:fill="FFFFFF" w:themeFill="background1"/>
            <w:vAlign w:val="center"/>
          </w:tcPr>
          <w:p w14:paraId="73E76178">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Enterprise user behavior data</w:t>
            </w:r>
          </w:p>
        </w:tc>
        <w:tc>
          <w:tcPr>
            <w:tcW w:w="0" w:type="auto"/>
            <w:shd w:val="clear" w:color="auto" w:fill="FFFFFF" w:themeFill="background1"/>
            <w:vAlign w:val="center"/>
          </w:tcPr>
          <w:p w14:paraId="51EEA196">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Personal career trajectory data</w:t>
            </w:r>
          </w:p>
        </w:tc>
        <w:tc>
          <w:tcPr>
            <w:tcW w:w="0" w:type="auto"/>
            <w:shd w:val="clear" w:color="auto" w:fill="FFFFFF" w:themeFill="background1"/>
            <w:vAlign w:val="center"/>
          </w:tcPr>
          <w:p w14:paraId="3CB8F549">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Building a B2B2C data loop</w:t>
            </w:r>
          </w:p>
        </w:tc>
      </w:tr>
      <w:tr w14:paraId="55241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c>
          <w:tcPr>
            <w:tcW w:w="0" w:type="auto"/>
            <w:shd w:val="clear" w:color="auto" w:fill="FFFFFF" w:themeFill="background1"/>
            <w:tcMar>
              <w:left w:w="0" w:type="dxa"/>
            </w:tcMar>
            <w:vAlign w:val="center"/>
          </w:tcPr>
          <w:p w14:paraId="28F94A30">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Algorithm capability</w:t>
            </w:r>
          </w:p>
        </w:tc>
        <w:tc>
          <w:tcPr>
            <w:tcW w:w="0" w:type="auto"/>
            <w:shd w:val="clear" w:color="auto" w:fill="FFFFFF" w:themeFill="background1"/>
            <w:vAlign w:val="center"/>
          </w:tcPr>
          <w:p w14:paraId="2726822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Azure AI Infrastructure</w:t>
            </w:r>
          </w:p>
        </w:tc>
        <w:tc>
          <w:tcPr>
            <w:tcW w:w="0" w:type="auto"/>
            <w:shd w:val="clear" w:color="auto" w:fill="FFFFFF" w:themeFill="background1"/>
            <w:vAlign w:val="center"/>
          </w:tcPr>
          <w:p w14:paraId="2BC1143D">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Workplace Social Graph Algorithm</w:t>
            </w:r>
          </w:p>
        </w:tc>
        <w:tc>
          <w:tcPr>
            <w:tcW w:w="0" w:type="auto"/>
            <w:shd w:val="clear" w:color="auto" w:fill="FFFFFF" w:themeFill="background1"/>
            <w:vAlign w:val="center"/>
          </w:tcPr>
          <w:p w14:paraId="4EFE6875">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Optimize the accuracy of talent matching</w:t>
            </w:r>
          </w:p>
        </w:tc>
      </w:tr>
      <w:tr w14:paraId="17302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hemeFill="background1"/>
            <w:tcMar>
              <w:left w:w="0" w:type="dxa"/>
            </w:tcMar>
            <w:vAlign w:val="center"/>
          </w:tcPr>
          <w:p w14:paraId="0C2404A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user scenario</w:t>
            </w:r>
          </w:p>
        </w:tc>
        <w:tc>
          <w:tcPr>
            <w:tcW w:w="0" w:type="auto"/>
            <w:shd w:val="clear" w:color="auto" w:fill="FFFFFF" w:themeFill="background1"/>
            <w:vAlign w:val="center"/>
          </w:tcPr>
          <w:p w14:paraId="2D9BD47D">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Enterprise level software entrance</w:t>
            </w:r>
          </w:p>
        </w:tc>
        <w:tc>
          <w:tcPr>
            <w:tcW w:w="0" w:type="auto"/>
            <w:shd w:val="clear" w:color="auto" w:fill="FFFFFF" w:themeFill="background1"/>
            <w:vAlign w:val="center"/>
          </w:tcPr>
          <w:p w14:paraId="3C5987A1">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Personal Career Development Entrance</w:t>
            </w:r>
          </w:p>
        </w:tc>
        <w:tc>
          <w:tcPr>
            <w:tcW w:w="0" w:type="auto"/>
            <w:shd w:val="clear" w:color="auto" w:fill="FFFFFF" w:themeFill="background1"/>
            <w:vAlign w:val="center"/>
          </w:tcPr>
          <w:p w14:paraId="356FD2B9">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Creating value throughout the career lifecycle</w:t>
            </w:r>
          </w:p>
        </w:tc>
      </w:tr>
    </w:tbl>
    <w:p w14:paraId="57E1159C">
      <w:pPr>
        <w:rPr>
          <w:rFonts w:hint="default" w:ascii="Times New Roman" w:hAnsi="Times New Roman" w:cs="Times New Roman"/>
          <w:sz w:val="24"/>
          <w:szCs w:val="24"/>
        </w:rPr>
      </w:pPr>
    </w:p>
    <w:p w14:paraId="17DAFCF1">
      <w:pPr>
        <w:rPr>
          <w:rFonts w:hint="default" w:ascii="Times New Roman" w:hAnsi="Times New Roman" w:cs="Times New Roman"/>
          <w:sz w:val="24"/>
          <w:szCs w:val="24"/>
        </w:rPr>
      </w:pPr>
      <w:r>
        <w:rPr>
          <w:rFonts w:hint="default" w:ascii="Times New Roman" w:hAnsi="Times New Roman" w:cs="Times New Roman"/>
          <w:sz w:val="24"/>
          <w:szCs w:val="24"/>
        </w:rPr>
        <w:t>This complementary resource restructuring has created a competitive advantage for Microsoft in the SaaS field that is difficult to replicate, validating Helfat et al.'s (2007) "dynamic capability theory" that mergers and acquisitions have become an important way for companies to quickly acquire digital capabilities.</w:t>
      </w:r>
    </w:p>
    <w:p w14:paraId="4E1480B8">
      <w:pPr>
        <w:rPr>
          <w:rFonts w:hint="default" w:ascii="Times New Roman" w:hAnsi="Times New Roman" w:cs="Times New Roman"/>
          <w:sz w:val="24"/>
          <w:szCs w:val="24"/>
        </w:rPr>
      </w:pPr>
    </w:p>
    <w:p w14:paraId="0DADEEF1">
      <w:pPr>
        <w:pStyle w:val="14"/>
        <w:bidi w:val="0"/>
        <w:rPr>
          <w:rFonts w:hint="default"/>
        </w:rPr>
      </w:pPr>
      <w:bookmarkStart w:id="6" w:name="_Toc1897"/>
      <w:r>
        <w:rPr>
          <w:rFonts w:hint="default"/>
        </w:rPr>
        <w:t>2.5 Boundary Breakthrough of Transaction Cost Economics</w:t>
      </w:r>
      <w:bookmarkEnd w:id="6"/>
    </w:p>
    <w:p w14:paraId="2B190ADE">
      <w:pPr>
        <w:rPr>
          <w:rFonts w:hint="default" w:ascii="Times New Roman" w:hAnsi="Times New Roman" w:cs="Times New Roman"/>
          <w:sz w:val="24"/>
          <w:szCs w:val="24"/>
        </w:rPr>
      </w:pPr>
      <w:r>
        <w:rPr>
          <w:rFonts w:hint="default" w:ascii="Times New Roman" w:hAnsi="Times New Roman" w:cs="Times New Roman"/>
          <w:sz w:val="24"/>
          <w:szCs w:val="24"/>
        </w:rPr>
        <w:t>Coase's (1937) classic theory that "enterprise boundaries are determined by the balance of internal management costs and market transaction costs" faces challenges in data-driven mergers and acquisitions: Microsoft did not choose to build its own social platform (estimated R&amp;D cost of $1.5 billion/5 years) but paid a premium of $2.62 billion to acquire it, reflecting that the strategic value of data assets has surpassed traditional cost accounting frameworks. This shift in decision-making logic confirms Zenger's (2013) contemporary proposition that "mergers and acquisitions are evolving from resource allocation tools to strategic option purchases". Through the lens of multiple theories, it can be seen that this merger not only follows the classical theoretical framework, but also achieves theoretical breakthroughs in the context of the digital economy, providing a hybrid strategic model for subsequent technology mergers and acquisitions. The diversity of the application of this theory also explains why the transaction was able to pass anti-monopoly reviews in the United States and Europe - regulatory agencies still primarily evaluate based on traditional market definition theories, failing to fully capture the potential competitive impact of data aggregation (Stucke, 2018).</w:t>
      </w:r>
    </w:p>
    <w:p w14:paraId="10E617A0">
      <w:pPr>
        <w:rPr>
          <w:rFonts w:hint="default" w:ascii="Times New Roman" w:hAnsi="Times New Roman" w:cs="Times New Roman"/>
          <w:sz w:val="24"/>
          <w:szCs w:val="24"/>
        </w:rPr>
      </w:pPr>
    </w:p>
    <w:p w14:paraId="563FF983">
      <w:pPr>
        <w:pStyle w:val="13"/>
        <w:numPr>
          <w:numId w:val="0"/>
        </w:numPr>
        <w:bidi w:val="0"/>
        <w:rPr>
          <w:rFonts w:hint="default"/>
        </w:rPr>
      </w:pPr>
      <w:bookmarkStart w:id="7" w:name="_Toc28806"/>
      <w:r>
        <w:rPr>
          <w:rFonts w:hint="eastAsia" w:eastAsia="宋体"/>
          <w:lang w:val="en-US" w:eastAsia="zh-CN"/>
        </w:rPr>
        <w:t>3.</w:t>
      </w:r>
      <w:r>
        <w:rPr>
          <w:rFonts w:hint="default"/>
        </w:rPr>
        <w:t>In depth evaluation of core dimensions in mergers and acquisitions</w:t>
      </w:r>
      <w:bookmarkEnd w:id="7"/>
    </w:p>
    <w:p w14:paraId="7397383B">
      <w:pPr>
        <w:pStyle w:val="14"/>
        <w:numPr>
          <w:numId w:val="0"/>
        </w:numPr>
        <w:bidi w:val="0"/>
        <w:rPr>
          <w:rFonts w:hint="default"/>
        </w:rPr>
      </w:pPr>
      <w:bookmarkStart w:id="8" w:name="_Toc15262"/>
      <w:r>
        <w:rPr>
          <w:rFonts w:hint="default"/>
        </w:rPr>
        <w:t>3.1 Economies of Scale</w:t>
      </w:r>
      <w:bookmarkEnd w:id="8"/>
    </w:p>
    <w:p w14:paraId="61B377B0">
      <w:pPr>
        <w:rPr>
          <w:rFonts w:hint="default"/>
        </w:rPr>
      </w:pPr>
      <w:r>
        <w:rPr>
          <w:rFonts w:hint="default"/>
        </w:rPr>
        <w:t>The integration effect has reduced the unit cost of Microsoft cloud services by 28% (Iansiti&amp;Lakhani, 2017). Typical cases include: LinkedIn's daily 5.7PB data traffic has increased Azure server utilization to 89%, shared AI training resources have reduced talent matching model development costs by $42 million per year, and enterprise user acquisition costs have decreased from 153 to 97 (compared to Workday's $121).</w:t>
      </w:r>
    </w:p>
    <w:p w14:paraId="32920EBA">
      <w:pPr>
        <w:rPr>
          <w:rFonts w:hint="default"/>
        </w:rPr>
      </w:pPr>
    </w:p>
    <w:p w14:paraId="2D330EC4">
      <w:pPr>
        <w:pStyle w:val="14"/>
        <w:bidi w:val="0"/>
        <w:rPr>
          <w:rFonts w:hint="default"/>
        </w:rPr>
      </w:pPr>
      <w:bookmarkStart w:id="9" w:name="_Toc26495"/>
      <w:r>
        <w:rPr>
          <w:rFonts w:hint="default"/>
        </w:rPr>
        <w:t>3.2 Elimination of Inefficiencies</w:t>
      </w:r>
      <w:bookmarkEnd w:id="9"/>
    </w:p>
    <w:p w14:paraId="78BCFBF9">
      <w:pPr>
        <w:rPr>
          <w:rFonts w:hint="default" w:ascii="Times New Roman" w:hAnsi="Times New Roman" w:cs="Times New Roman"/>
          <w:sz w:val="24"/>
          <w:szCs w:val="24"/>
        </w:rPr>
      </w:pPr>
      <w:r>
        <w:rPr>
          <w:rFonts w:hint="default" w:ascii="Times New Roman" w:hAnsi="Times New Roman" w:cs="Times New Roman"/>
          <w:sz w:val="24"/>
          <w:szCs w:val="24"/>
        </w:rPr>
        <w:t>This goal is achieved through the "Digital Surgical Knife" program: reducing marketing duplicate spending by $280 million, increasing customer conversion rates by 19%, merging 47 AI projects into 12 core programs, improving R&amp;D efficiency by 40%, shortening customer service response time by 88%, and achieving customer satisfaction at an industry peak of 91%.</w:t>
      </w:r>
    </w:p>
    <w:p w14:paraId="10730BF5">
      <w:pPr>
        <w:rPr>
          <w:rFonts w:hint="default" w:ascii="Times New Roman" w:hAnsi="Times New Roman" w:cs="Times New Roman"/>
          <w:sz w:val="24"/>
          <w:szCs w:val="24"/>
        </w:rPr>
      </w:pPr>
    </w:p>
    <w:p w14:paraId="20A5488A">
      <w:pPr>
        <w:pStyle w:val="14"/>
        <w:bidi w:val="0"/>
        <w:rPr>
          <w:rFonts w:hint="default"/>
        </w:rPr>
      </w:pPr>
      <w:bookmarkStart w:id="10" w:name="_Toc6931"/>
      <w:r>
        <w:rPr>
          <w:rFonts w:hint="default"/>
        </w:rPr>
        <w:t>3.3 Surplus Cash Deployment</w:t>
      </w:r>
      <w:bookmarkEnd w:id="10"/>
    </w:p>
    <w:p w14:paraId="69E0F613">
      <w:pPr>
        <w:rPr>
          <w:rFonts w:hint="default" w:ascii="Times New Roman" w:hAnsi="Times New Roman" w:cs="Times New Roman"/>
          <w:sz w:val="24"/>
          <w:szCs w:val="24"/>
        </w:rPr>
      </w:pPr>
      <w:r>
        <w:rPr>
          <w:rFonts w:hint="default" w:ascii="Times New Roman" w:hAnsi="Times New Roman" w:cs="Times New Roman"/>
          <w:sz w:val="24"/>
          <w:szCs w:val="24"/>
        </w:rPr>
        <w:t>The tactical layout of the $26.2 billion acquisition fund: issuing bonds at a 5.4% interest rate, saving interest expenses of $170 million (compared to Oracle), reserving $9 billion to deal with regulatory risks, with actual expenses accounting for only 3% of the budget, investing $800 million to transform LinkedIn Learning, and achieving a three-year revenue growth of 270%.</w:t>
      </w:r>
    </w:p>
    <w:p w14:paraId="0AD6384F">
      <w:pPr>
        <w:rPr>
          <w:rFonts w:hint="default" w:ascii="Times New Roman" w:hAnsi="Times New Roman" w:cs="Times New Roman"/>
          <w:sz w:val="24"/>
          <w:szCs w:val="24"/>
        </w:rPr>
      </w:pPr>
    </w:p>
    <w:p w14:paraId="2EE8587B">
      <w:pPr>
        <w:pStyle w:val="14"/>
        <w:bidi w:val="0"/>
        <w:rPr>
          <w:rFonts w:hint="default"/>
        </w:rPr>
      </w:pPr>
      <w:bookmarkStart w:id="11" w:name="_Toc32416"/>
      <w:r>
        <w:rPr>
          <w:rFonts w:hint="default"/>
        </w:rPr>
        <w:t>3.4 Increased Market Power</w:t>
      </w:r>
      <w:bookmarkEnd w:id="11"/>
    </w:p>
    <w:p w14:paraId="03B47F8A">
      <w:pPr>
        <w:rPr>
          <w:rFonts w:hint="default" w:ascii="Times New Roman" w:hAnsi="Times New Roman" w:cs="Times New Roman"/>
          <w:sz w:val="24"/>
          <w:szCs w:val="24"/>
        </w:rPr>
      </w:pPr>
      <w:r>
        <w:rPr>
          <w:rFonts w:hint="default" w:ascii="Times New Roman" w:hAnsi="Times New Roman" w:cs="Times New Roman"/>
          <w:sz w:val="24"/>
          <w:szCs w:val="24"/>
        </w:rPr>
        <w:t>The three layers of competitive advantages formed by mergers and acquisitions:</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Layout w:type="autofit"/>
        <w:tblCellMar>
          <w:top w:w="15" w:type="dxa"/>
          <w:left w:w="15" w:type="dxa"/>
          <w:bottom w:w="15" w:type="dxa"/>
          <w:right w:w="15" w:type="dxa"/>
        </w:tblCellMar>
      </w:tblPr>
      <w:tblGrid>
        <w:gridCol w:w="975"/>
        <w:gridCol w:w="3988"/>
        <w:gridCol w:w="3358"/>
      </w:tblGrid>
      <w:tr w14:paraId="17B9A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rPr>
          <w:trHeight w:val="90" w:hRule="atLeast"/>
          <w:tblHeader/>
        </w:trPr>
        <w:tc>
          <w:tcPr>
            <w:tcW w:w="0" w:type="auto"/>
            <w:shd w:val="clear" w:color="auto" w:fill="FFFFFF" w:themeFill="background1"/>
            <w:tcMar>
              <w:left w:w="0" w:type="dxa"/>
            </w:tcMar>
            <w:vAlign w:val="center"/>
          </w:tcPr>
          <w:p w14:paraId="59D1183B">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level</w:t>
            </w:r>
          </w:p>
        </w:tc>
        <w:tc>
          <w:tcPr>
            <w:tcW w:w="0" w:type="auto"/>
            <w:shd w:val="clear" w:color="auto" w:fill="FFFFFF" w:themeFill="background1"/>
            <w:vAlign w:val="center"/>
          </w:tcPr>
          <w:p w14:paraId="06052A96">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14:textFill>
                  <w14:solidFill>
                    <w14:schemeClr w14:val="tx1"/>
                  </w14:solidFill>
                </w14:textFill>
              </w:rPr>
              <w:t>Indicator changes</w:t>
            </w:r>
          </w:p>
        </w:tc>
        <w:tc>
          <w:tcPr>
            <w:tcW w:w="0" w:type="auto"/>
            <w:shd w:val="clear" w:color="auto" w:fill="FFFFFF" w:themeFill="background1"/>
            <w:vAlign w:val="center"/>
          </w:tcPr>
          <w:p w14:paraId="00467F4E">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Competitive Impact</w:t>
            </w:r>
          </w:p>
        </w:tc>
      </w:tr>
      <w:tr w14:paraId="09098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c>
          <w:tcPr>
            <w:tcW w:w="0" w:type="auto"/>
            <w:shd w:val="clear" w:color="auto" w:fill="FFFFFF" w:themeFill="background1"/>
            <w:tcMar>
              <w:left w:w="0" w:type="dxa"/>
            </w:tcMar>
            <w:vAlign w:val="center"/>
          </w:tcPr>
          <w:p w14:paraId="73B8312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dominant</w:t>
            </w:r>
          </w:p>
        </w:tc>
        <w:tc>
          <w:tcPr>
            <w:tcW w:w="0" w:type="auto"/>
            <w:shd w:val="clear" w:color="auto" w:fill="FFFFFF" w:themeFill="background1"/>
            <w:vAlign w:val="center"/>
          </w:tcPr>
          <w:p w14:paraId="0E4C6E5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HR SaaS share increases from 17% to 34%</w:t>
            </w:r>
          </w:p>
        </w:tc>
        <w:tc>
          <w:tcPr>
            <w:tcW w:w="0" w:type="auto"/>
            <w:shd w:val="clear" w:color="auto" w:fill="FFFFFF" w:themeFill="background1"/>
            <w:vAlign w:val="center"/>
          </w:tcPr>
          <w:p w14:paraId="241BB8F3">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Beyond the Salesforce</w:t>
            </w:r>
          </w:p>
        </w:tc>
      </w:tr>
      <w:tr w14:paraId="0664D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c>
          <w:tcPr>
            <w:tcW w:w="0" w:type="auto"/>
            <w:shd w:val="clear" w:color="auto" w:fill="FFFFFF" w:themeFill="background1"/>
            <w:tcMar>
              <w:left w:w="0" w:type="dxa"/>
            </w:tcMar>
            <w:vAlign w:val="center"/>
          </w:tcPr>
          <w:p w14:paraId="72B10F5E">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implicit</w:t>
            </w:r>
          </w:p>
        </w:tc>
        <w:tc>
          <w:tcPr>
            <w:tcW w:w="0" w:type="auto"/>
            <w:shd w:val="clear" w:color="auto" w:fill="FFFFFF" w:themeFill="background1"/>
            <w:vAlign w:val="center"/>
          </w:tcPr>
          <w:p w14:paraId="536CBB9B">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eastAsia"/>
              </w:rPr>
              <w:t>Master 85% of executive career data</w:t>
            </w:r>
          </w:p>
        </w:tc>
        <w:tc>
          <w:tcPr>
            <w:tcW w:w="0" w:type="auto"/>
            <w:shd w:val="clear" w:color="auto" w:fill="FFFFFF" w:themeFill="background1"/>
            <w:vAlign w:val="center"/>
          </w:tcPr>
          <w:p w14:paraId="43E46F0A">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Define the talent assessment criteria</w:t>
            </w:r>
          </w:p>
        </w:tc>
      </w:tr>
      <w:tr w14:paraId="78E9A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c>
          <w:tcPr>
            <w:tcW w:w="0" w:type="auto"/>
            <w:shd w:val="clear" w:color="auto" w:fill="FFFFFF" w:themeFill="background1"/>
            <w:tcMar>
              <w:left w:w="0" w:type="dxa"/>
            </w:tcMar>
            <w:vAlign w:val="center"/>
          </w:tcPr>
          <w:p w14:paraId="7F1989D2">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derivative</w:t>
            </w:r>
          </w:p>
        </w:tc>
        <w:tc>
          <w:tcPr>
            <w:tcW w:w="0" w:type="auto"/>
            <w:shd w:val="clear" w:color="auto" w:fill="FFFFFF" w:themeFill="background1"/>
            <w:vAlign w:val="center"/>
          </w:tcPr>
          <w:p w14:paraId="507C178B">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Office renewal rate+11%</w:t>
            </w:r>
          </w:p>
        </w:tc>
        <w:tc>
          <w:tcPr>
            <w:tcW w:w="0" w:type="auto"/>
            <w:shd w:val="clear" w:color="auto" w:fill="FFFFFF" w:themeFill="background1"/>
            <w:vAlign w:val="center"/>
          </w:tcPr>
          <w:p w14:paraId="361D285B">
            <w:pPr>
              <w:jc w:val="center"/>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lang w:val="en-US" w:eastAsia="zh-CN"/>
                <w14:textFill>
                  <w14:solidFill>
                    <w14:schemeClr w14:val="tx1"/>
                  </w14:solidFill>
                </w14:textFill>
              </w:rPr>
              <w:t>Ecological locking effect</w:t>
            </w:r>
          </w:p>
        </w:tc>
      </w:tr>
    </w:tbl>
    <w:p w14:paraId="6F40BDE3">
      <w:pPr>
        <w:rPr>
          <w:rFonts w:hint="default" w:ascii="Times New Roman" w:hAnsi="Times New Roman" w:cs="Times New Roman"/>
          <w:sz w:val="24"/>
          <w:szCs w:val="24"/>
        </w:rPr>
      </w:pPr>
    </w:p>
    <w:p w14:paraId="1FE1BBFA">
      <w:pPr>
        <w:pStyle w:val="14"/>
        <w:bidi w:val="0"/>
        <w:rPr>
          <w:rFonts w:hint="default"/>
        </w:rPr>
      </w:pPr>
      <w:bookmarkStart w:id="12" w:name="_Toc11603"/>
      <w:r>
        <w:rPr>
          <w:rFonts w:hint="default"/>
        </w:rPr>
        <w:t>3.5 Combining Complementary Resources</w:t>
      </w:r>
      <w:bookmarkEnd w:id="12"/>
    </w:p>
    <w:p w14:paraId="4AAE9E9B">
      <w:pPr>
        <w:rPr>
          <w:rFonts w:hint="default" w:ascii="Times New Roman" w:hAnsi="Times New Roman" w:cs="Times New Roman"/>
          <w:sz w:val="24"/>
          <w:szCs w:val="24"/>
        </w:rPr>
      </w:pPr>
      <w:r>
        <w:rPr>
          <w:rFonts w:hint="default" w:ascii="Times New Roman" w:hAnsi="Times New Roman" w:cs="Times New Roman"/>
          <w:sz w:val="24"/>
          <w:szCs w:val="24"/>
        </w:rPr>
        <w:t>Typical case of data flywheel effect:</w:t>
      </w:r>
    </w:p>
    <w:p w14:paraId="1C077582">
      <w:pPr>
        <w:rPr>
          <w:rFonts w:hint="default" w:ascii="Times New Roman" w:hAnsi="Times New Roman" w:cs="Times New Roman"/>
          <w:sz w:val="24"/>
          <w:szCs w:val="24"/>
        </w:rPr>
      </w:pPr>
      <w:r>
        <w:rPr>
          <w:rFonts w:hint="default" w:ascii="Times New Roman" w:hAnsi="Times New Roman" w:cs="Times New Roman"/>
          <w:sz w:val="24"/>
          <w:szCs w:val="24"/>
        </w:rPr>
        <w:t>LinkedIn profile+Outlook calendar → Smart Meeting Assistant (can save approximately 3.5 hours per week)</w:t>
      </w:r>
    </w:p>
    <w:p w14:paraId="5AAB105D">
      <w:pPr>
        <w:rPr>
          <w:rFonts w:hint="default" w:ascii="Times New Roman" w:hAnsi="Times New Roman" w:cs="Times New Roman"/>
          <w:sz w:val="24"/>
          <w:szCs w:val="24"/>
        </w:rPr>
      </w:pPr>
    </w:p>
    <w:p w14:paraId="39103AD7">
      <w:pPr>
        <w:rPr>
          <w:rFonts w:hint="default" w:ascii="Times New Roman" w:hAnsi="Times New Roman" w:cs="Times New Roman"/>
          <w:sz w:val="24"/>
          <w:szCs w:val="24"/>
        </w:rPr>
      </w:pPr>
      <w:r>
        <w:rPr>
          <w:rFonts w:hint="default" w:ascii="Times New Roman" w:hAnsi="Times New Roman" w:cs="Times New Roman"/>
          <w:sz w:val="24"/>
          <w:szCs w:val="24"/>
        </w:rPr>
        <w:t>Azure Analytics Learning Behavior → Course Recommendation Accuracy+62%</w:t>
      </w:r>
    </w:p>
    <w:p w14:paraId="4E082A88">
      <w:pPr>
        <w:rPr>
          <w:rFonts w:hint="default" w:ascii="Times New Roman" w:hAnsi="Times New Roman" w:cs="Times New Roman"/>
          <w:sz w:val="24"/>
          <w:szCs w:val="24"/>
        </w:rPr>
      </w:pPr>
    </w:p>
    <w:p w14:paraId="620C0DA6">
      <w:pPr>
        <w:rPr>
          <w:rFonts w:hint="default" w:ascii="Times New Roman" w:hAnsi="Times New Roman" w:cs="Times New Roman"/>
          <w:sz w:val="24"/>
          <w:szCs w:val="24"/>
        </w:rPr>
      </w:pPr>
      <w:r>
        <w:rPr>
          <w:rFonts w:hint="default" w:ascii="Times New Roman" w:hAnsi="Times New Roman" w:cs="Times New Roman"/>
          <w:sz w:val="24"/>
          <w:szCs w:val="24"/>
        </w:rPr>
        <w:t>Career data+AI model → Recruitment efficiency increased by 40%</w:t>
      </w:r>
    </w:p>
    <w:p w14:paraId="5A1A41C2">
      <w:pPr>
        <w:rPr>
          <w:rFonts w:hint="default" w:ascii="Times New Roman" w:hAnsi="Times New Roman" w:cs="Times New Roman"/>
          <w:b/>
          <w:bCs/>
          <w:sz w:val="24"/>
          <w:szCs w:val="24"/>
        </w:rPr>
      </w:pPr>
    </w:p>
    <w:p w14:paraId="218FBE45">
      <w:pPr>
        <w:rPr>
          <w:rFonts w:hint="default" w:ascii="Times New Roman" w:hAnsi="Times New Roman" w:cs="Times New Roman"/>
          <w:b/>
          <w:bCs/>
          <w:sz w:val="24"/>
          <w:szCs w:val="24"/>
        </w:rPr>
      </w:pPr>
    </w:p>
    <w:p w14:paraId="76A40CAA">
      <w:pPr>
        <w:rPr>
          <w:rFonts w:hint="default" w:ascii="Times New Roman" w:hAnsi="Times New Roman" w:cs="Times New Roman"/>
          <w:b/>
          <w:bCs/>
          <w:sz w:val="24"/>
          <w:szCs w:val="24"/>
        </w:rPr>
      </w:pPr>
    </w:p>
    <w:p w14:paraId="41BB0618">
      <w:pPr>
        <w:pStyle w:val="14"/>
        <w:bidi w:val="0"/>
        <w:rPr>
          <w:rFonts w:hint="default"/>
        </w:rPr>
      </w:pPr>
      <w:bookmarkStart w:id="13" w:name="_Toc22683"/>
      <w:r>
        <w:rPr>
          <w:rFonts w:hint="default"/>
        </w:rPr>
        <w:t>3.6 Speed of Growth</w:t>
      </w:r>
      <w:bookmarkEnd w:id="13"/>
    </w:p>
    <w:p w14:paraId="1013E017">
      <w:pPr>
        <w:rPr>
          <w:rFonts w:hint="default" w:ascii="Times New Roman" w:hAnsi="Times New Roman" w:cs="Times New Roman"/>
          <w:sz w:val="24"/>
          <w:szCs w:val="24"/>
        </w:rPr>
      </w:pPr>
      <w:r>
        <w:rPr>
          <w:rFonts w:hint="default" w:ascii="Times New Roman" w:hAnsi="Times New Roman" w:cs="Times New Roman"/>
          <w:sz w:val="24"/>
          <w:szCs w:val="24"/>
        </w:rPr>
        <w:t>Comparison of core business growth rates:</w:t>
      </w: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Layout w:type="autofit"/>
        <w:tblCellMar>
          <w:top w:w="15" w:type="dxa"/>
          <w:left w:w="15" w:type="dxa"/>
          <w:bottom w:w="15" w:type="dxa"/>
          <w:right w:w="15" w:type="dxa"/>
        </w:tblCellMar>
      </w:tblPr>
      <w:tblGrid>
        <w:gridCol w:w="2235"/>
        <w:gridCol w:w="1670"/>
        <w:gridCol w:w="1670"/>
        <w:gridCol w:w="1636"/>
      </w:tblGrid>
      <w:tr w14:paraId="01D3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rPr>
          <w:tblHeader/>
        </w:trPr>
        <w:tc>
          <w:tcPr>
            <w:tcW w:w="0" w:type="auto"/>
            <w:shd w:val="clear" w:color="auto" w:fill="auto"/>
            <w:tcMar>
              <w:left w:w="0" w:type="dxa"/>
            </w:tcMar>
            <w:vAlign w:val="center"/>
          </w:tcPr>
          <w:p w14:paraId="00A8955D">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Line of Business</w:t>
            </w:r>
          </w:p>
        </w:tc>
        <w:tc>
          <w:tcPr>
            <w:tcW w:w="0" w:type="auto"/>
            <w:shd w:val="clear" w:color="auto" w:fill="auto"/>
            <w:vAlign w:val="center"/>
          </w:tcPr>
          <w:p w14:paraId="6F105BF3">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2016 growth rate</w:t>
            </w:r>
          </w:p>
        </w:tc>
        <w:tc>
          <w:tcPr>
            <w:tcW w:w="0" w:type="auto"/>
            <w:shd w:val="clear" w:color="auto" w:fill="auto"/>
            <w:vAlign w:val="center"/>
          </w:tcPr>
          <w:p w14:paraId="3C4AC216">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2022 growth rate</w:t>
            </w:r>
          </w:p>
        </w:tc>
        <w:tc>
          <w:tcPr>
            <w:tcW w:w="0" w:type="auto"/>
            <w:shd w:val="clear" w:color="auto" w:fill="auto"/>
            <w:vAlign w:val="center"/>
          </w:tcPr>
          <w:p w14:paraId="1870303A">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Industry average</w:t>
            </w:r>
          </w:p>
        </w:tc>
      </w:tr>
      <w:tr w14:paraId="06005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left w:w="0" w:type="dxa"/>
            </w:tcMar>
            <w:vAlign w:val="center"/>
          </w:tcPr>
          <w:p w14:paraId="68234CF0">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Enterprise subscription</w:t>
            </w:r>
          </w:p>
        </w:tc>
        <w:tc>
          <w:tcPr>
            <w:tcW w:w="0" w:type="auto"/>
            <w:shd w:val="clear" w:color="auto" w:fill="auto"/>
            <w:vAlign w:val="center"/>
          </w:tcPr>
          <w:p w14:paraId="311D3FF7">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18%</w:t>
            </w:r>
          </w:p>
        </w:tc>
        <w:tc>
          <w:tcPr>
            <w:tcW w:w="0" w:type="auto"/>
            <w:shd w:val="clear" w:color="auto" w:fill="auto"/>
            <w:vAlign w:val="center"/>
          </w:tcPr>
          <w:p w14:paraId="26FDD8D9">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34%</w:t>
            </w:r>
          </w:p>
        </w:tc>
        <w:tc>
          <w:tcPr>
            <w:tcW w:w="0" w:type="auto"/>
            <w:shd w:val="clear" w:color="auto" w:fill="auto"/>
            <w:vAlign w:val="center"/>
          </w:tcPr>
          <w:p w14:paraId="52CB9E9A">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22%</w:t>
            </w:r>
          </w:p>
        </w:tc>
      </w:tr>
      <w:tr w14:paraId="1C41E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292A2D"/>
          <w:tblCellMar>
            <w:top w:w="15" w:type="dxa"/>
            <w:left w:w="15" w:type="dxa"/>
            <w:bottom w:w="15" w:type="dxa"/>
            <w:right w:w="15" w:type="dxa"/>
          </w:tblCellMar>
        </w:tblPrEx>
        <w:tc>
          <w:tcPr>
            <w:tcW w:w="0" w:type="auto"/>
            <w:shd w:val="clear" w:color="auto" w:fill="auto"/>
            <w:tcMar>
              <w:left w:w="0" w:type="dxa"/>
            </w:tcMar>
            <w:vAlign w:val="center"/>
          </w:tcPr>
          <w:p w14:paraId="7E30368D">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Talent Solutions</w:t>
            </w:r>
          </w:p>
        </w:tc>
        <w:tc>
          <w:tcPr>
            <w:tcW w:w="0" w:type="auto"/>
            <w:shd w:val="clear" w:color="auto" w:fill="auto"/>
            <w:vAlign w:val="center"/>
          </w:tcPr>
          <w:p w14:paraId="5B5B87A8">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22%</w:t>
            </w:r>
          </w:p>
        </w:tc>
        <w:tc>
          <w:tcPr>
            <w:tcW w:w="0" w:type="auto"/>
            <w:shd w:val="clear" w:color="auto" w:fill="auto"/>
            <w:vAlign w:val="center"/>
          </w:tcPr>
          <w:p w14:paraId="2656E7F3">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41%</w:t>
            </w:r>
          </w:p>
        </w:tc>
        <w:tc>
          <w:tcPr>
            <w:tcW w:w="0" w:type="auto"/>
            <w:shd w:val="clear" w:color="auto" w:fill="auto"/>
            <w:vAlign w:val="center"/>
          </w:tcPr>
          <w:p w14:paraId="5C729788">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27%</w:t>
            </w:r>
          </w:p>
        </w:tc>
      </w:tr>
      <w:tr w14:paraId="6ACFE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auto"/>
            <w:tcMar>
              <w:left w:w="0" w:type="dxa"/>
            </w:tcMar>
            <w:vAlign w:val="center"/>
          </w:tcPr>
          <w:p w14:paraId="59666390">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Online education</w:t>
            </w:r>
          </w:p>
        </w:tc>
        <w:tc>
          <w:tcPr>
            <w:tcW w:w="0" w:type="auto"/>
            <w:shd w:val="clear" w:color="auto" w:fill="auto"/>
            <w:vAlign w:val="center"/>
          </w:tcPr>
          <w:p w14:paraId="316AC499">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15%</w:t>
            </w:r>
          </w:p>
        </w:tc>
        <w:tc>
          <w:tcPr>
            <w:tcW w:w="0" w:type="auto"/>
            <w:shd w:val="clear" w:color="auto" w:fill="auto"/>
            <w:vAlign w:val="center"/>
          </w:tcPr>
          <w:p w14:paraId="3388DB57">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57%</w:t>
            </w:r>
          </w:p>
        </w:tc>
        <w:tc>
          <w:tcPr>
            <w:tcW w:w="0" w:type="auto"/>
            <w:shd w:val="clear" w:color="auto" w:fill="auto"/>
            <w:vAlign w:val="center"/>
          </w:tcPr>
          <w:p w14:paraId="679EF292">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33%</w:t>
            </w:r>
          </w:p>
        </w:tc>
      </w:tr>
    </w:tbl>
    <w:p w14:paraId="67EEB207">
      <w:pPr>
        <w:rPr>
          <w:rFonts w:hint="default" w:ascii="Times New Roman" w:hAnsi="Times New Roman" w:cs="Times New Roman"/>
          <w:sz w:val="24"/>
          <w:szCs w:val="24"/>
        </w:rPr>
      </w:pPr>
    </w:p>
    <w:p w14:paraId="62BCD123">
      <w:pPr>
        <w:pStyle w:val="14"/>
        <w:bidi w:val="0"/>
        <w:rPr>
          <w:rFonts w:hint="default"/>
        </w:rPr>
      </w:pPr>
      <w:bookmarkStart w:id="14" w:name="_Toc9806"/>
      <w:r>
        <w:rPr>
          <w:rFonts w:hint="default"/>
        </w:rPr>
        <w:t>3.7 Financial Benefits</w:t>
      </w:r>
      <w:bookmarkEnd w:id="14"/>
    </w:p>
    <w:p w14:paraId="5B96CF2E">
      <w:pPr>
        <w:rPr>
          <w:rFonts w:hint="default" w:ascii="Times New Roman" w:hAnsi="Times New Roman" w:cs="Times New Roman"/>
          <w:sz w:val="24"/>
          <w:szCs w:val="24"/>
        </w:rPr>
      </w:pPr>
      <w:r>
        <w:rPr>
          <w:rFonts w:hint="default" w:ascii="Times New Roman" w:hAnsi="Times New Roman" w:cs="Times New Roman"/>
          <w:sz w:val="24"/>
          <w:szCs w:val="24"/>
        </w:rPr>
        <w:t>Value allocation matrix:</w:t>
      </w:r>
    </w:p>
    <w:p w14:paraId="4AA875B4">
      <w:pPr>
        <w:rPr>
          <w:rFonts w:hint="default" w:ascii="Times New Roman" w:hAnsi="Times New Roman" w:cs="Times New Roman"/>
          <w:sz w:val="24"/>
          <w:szCs w:val="24"/>
        </w:rPr>
      </w:pPr>
      <w:r>
        <w:rPr>
          <w:rFonts w:hint="default" w:ascii="Times New Roman" w:hAnsi="Times New Roman" w:cs="Times New Roman"/>
          <w:sz w:val="24"/>
          <w:szCs w:val="24"/>
        </w:rPr>
        <w:t>Shareholders: 287% cumulative return, dividend growth of 45%</w:t>
      </w:r>
    </w:p>
    <w:p w14:paraId="1A8816DC">
      <w:pPr>
        <w:rPr>
          <w:rFonts w:hint="default" w:ascii="Times New Roman" w:hAnsi="Times New Roman" w:cs="Times New Roman"/>
          <w:sz w:val="24"/>
          <w:szCs w:val="24"/>
        </w:rPr>
      </w:pPr>
    </w:p>
    <w:p w14:paraId="54D71D35">
      <w:pPr>
        <w:rPr>
          <w:rFonts w:hint="default" w:ascii="Times New Roman" w:hAnsi="Times New Roman" w:cs="Times New Roman"/>
          <w:sz w:val="24"/>
          <w:szCs w:val="24"/>
        </w:rPr>
      </w:pPr>
      <w:r>
        <w:rPr>
          <w:rFonts w:hint="default" w:ascii="Times New Roman" w:hAnsi="Times New Roman" w:cs="Times New Roman"/>
          <w:sz w:val="24"/>
          <w:szCs w:val="24"/>
        </w:rPr>
        <w:t>Enterprise: Recruitment costs decrease by $3.8 million per year (HRMAC, 2021)</w:t>
      </w:r>
    </w:p>
    <w:p w14:paraId="2377911E">
      <w:pPr>
        <w:rPr>
          <w:rFonts w:hint="default" w:ascii="Times New Roman" w:hAnsi="Times New Roman" w:cs="Times New Roman"/>
          <w:sz w:val="24"/>
          <w:szCs w:val="24"/>
        </w:rPr>
      </w:pPr>
    </w:p>
    <w:p w14:paraId="67A5F8B7">
      <w:pPr>
        <w:rPr>
          <w:rFonts w:hint="default" w:ascii="Times New Roman" w:hAnsi="Times New Roman" w:cs="Times New Roman"/>
          <w:sz w:val="24"/>
          <w:szCs w:val="24"/>
        </w:rPr>
      </w:pPr>
      <w:r>
        <w:rPr>
          <w:rFonts w:hint="default" w:ascii="Times New Roman" w:hAnsi="Times New Roman" w:cs="Times New Roman"/>
          <w:sz w:val="24"/>
          <w:szCs w:val="24"/>
        </w:rPr>
        <w:t>Platform: Annual monetization value of user data 210vs feedback 210vs feedback 15</w:t>
      </w:r>
    </w:p>
    <w:p w14:paraId="727D0566">
      <w:pPr>
        <w:rPr>
          <w:rFonts w:hint="default" w:ascii="Times New Roman" w:hAnsi="Times New Roman" w:cs="Times New Roman"/>
          <w:sz w:val="24"/>
          <w:szCs w:val="24"/>
        </w:rPr>
      </w:pPr>
    </w:p>
    <w:p w14:paraId="74A8763A">
      <w:pPr>
        <w:pStyle w:val="14"/>
        <w:bidi w:val="0"/>
        <w:rPr>
          <w:rFonts w:hint="default"/>
        </w:rPr>
      </w:pPr>
      <w:bookmarkStart w:id="15" w:name="_Toc11652"/>
      <w:r>
        <w:rPr>
          <w:rFonts w:hint="default"/>
        </w:rPr>
        <w:t>3.8 Business Diversification</w:t>
      </w:r>
      <w:bookmarkEnd w:id="15"/>
    </w:p>
    <w:p w14:paraId="1C140111">
      <w:pPr>
        <w:rPr>
          <w:rFonts w:hint="default" w:ascii="Times New Roman" w:hAnsi="Times New Roman" w:cs="Times New Roman"/>
          <w:sz w:val="24"/>
          <w:szCs w:val="24"/>
        </w:rPr>
      </w:pPr>
      <w:r>
        <w:rPr>
          <w:rFonts w:hint="default" w:ascii="Times New Roman" w:hAnsi="Times New Roman" w:cs="Times New Roman"/>
          <w:sz w:val="24"/>
          <w:szCs w:val="24"/>
        </w:rPr>
        <w:t>Evolution of income structure:</w:t>
      </w:r>
    </w:p>
    <w:p w14:paraId="4A40246E">
      <w:pPr>
        <w:rPr>
          <w:rFonts w:hint="default" w:ascii="Times New Roman" w:hAnsi="Times New Roman" w:cs="Times New Roman"/>
          <w:sz w:val="24"/>
          <w:szCs w:val="24"/>
        </w:rPr>
      </w:pPr>
      <w:r>
        <w:rPr>
          <w:rFonts w:hint="default" w:ascii="Times New Roman" w:hAnsi="Times New Roman" w:cs="Times New Roman"/>
          <w:sz w:val="24"/>
          <w:szCs w:val="24"/>
        </w:rPr>
        <w:t>Workplace solution: From 0% to 28% (surpassing Windows business)</w:t>
      </w:r>
    </w:p>
    <w:p w14:paraId="1E3E6E3F">
      <w:pPr>
        <w:rPr>
          <w:rFonts w:hint="default" w:ascii="Times New Roman" w:hAnsi="Times New Roman" w:cs="Times New Roman"/>
          <w:sz w:val="24"/>
          <w:szCs w:val="24"/>
        </w:rPr>
      </w:pPr>
    </w:p>
    <w:p w14:paraId="2BE2C058">
      <w:pPr>
        <w:rPr>
          <w:rFonts w:hint="default" w:ascii="Times New Roman" w:hAnsi="Times New Roman" w:cs="Times New Roman"/>
          <w:sz w:val="24"/>
          <w:szCs w:val="24"/>
        </w:rPr>
      </w:pPr>
      <w:r>
        <w:rPr>
          <w:rFonts w:hint="default" w:ascii="Times New Roman" w:hAnsi="Times New Roman" w:cs="Times New Roman"/>
          <w:sz w:val="24"/>
          <w:szCs w:val="24"/>
        </w:rPr>
        <w:t>New product revenue contribution rate: 12% → 38%</w:t>
      </w:r>
    </w:p>
    <w:p w14:paraId="0414AF53">
      <w:pPr>
        <w:rPr>
          <w:rFonts w:hint="default" w:ascii="Times New Roman" w:hAnsi="Times New Roman" w:cs="Times New Roman"/>
          <w:sz w:val="24"/>
          <w:szCs w:val="24"/>
        </w:rPr>
      </w:pPr>
    </w:p>
    <w:p w14:paraId="79BEA0AC">
      <w:pPr>
        <w:rPr>
          <w:rFonts w:hint="default" w:ascii="Times New Roman" w:hAnsi="Times New Roman" w:cs="Times New Roman"/>
          <w:sz w:val="24"/>
          <w:szCs w:val="24"/>
        </w:rPr>
      </w:pPr>
      <w:r>
        <w:rPr>
          <w:rFonts w:hint="default" w:ascii="Times New Roman" w:hAnsi="Times New Roman" w:cs="Times New Roman"/>
          <w:sz w:val="24"/>
          <w:szCs w:val="24"/>
        </w:rPr>
        <w:t>Cloud service dependency: from 68% to 61%</w:t>
      </w:r>
    </w:p>
    <w:p w14:paraId="001917C1">
      <w:pPr>
        <w:rPr>
          <w:rFonts w:hint="default" w:ascii="Times New Roman" w:hAnsi="Times New Roman" w:cs="Times New Roman"/>
          <w:sz w:val="24"/>
          <w:szCs w:val="24"/>
        </w:rPr>
      </w:pPr>
    </w:p>
    <w:p w14:paraId="353B36C4">
      <w:pPr>
        <w:pStyle w:val="14"/>
        <w:bidi w:val="0"/>
        <w:rPr>
          <w:rFonts w:hint="default"/>
        </w:rPr>
      </w:pPr>
      <w:bookmarkStart w:id="16" w:name="_Toc27171"/>
      <w:r>
        <w:rPr>
          <w:rFonts w:hint="default"/>
        </w:rPr>
        <w:t>3.9 Regulatory Framework</w:t>
      </w:r>
      <w:bookmarkEnd w:id="16"/>
    </w:p>
    <w:p w14:paraId="188F5E87">
      <w:pPr>
        <w:rPr>
          <w:rFonts w:hint="default" w:ascii="Times New Roman" w:hAnsi="Times New Roman" w:cs="Times New Roman"/>
          <w:sz w:val="24"/>
          <w:szCs w:val="24"/>
        </w:rPr>
      </w:pPr>
      <w:r>
        <w:rPr>
          <w:rFonts w:hint="default" w:ascii="Times New Roman" w:hAnsi="Times New Roman" w:cs="Times New Roman"/>
          <w:sz w:val="24"/>
          <w:szCs w:val="24"/>
        </w:rPr>
        <w:t>The three pillars of compliance management:</w:t>
      </w:r>
    </w:p>
    <w:p w14:paraId="58139DAF">
      <w:pPr>
        <w:rPr>
          <w:rFonts w:hint="default" w:ascii="Times New Roman" w:hAnsi="Times New Roman" w:cs="Times New Roman"/>
          <w:sz w:val="24"/>
          <w:szCs w:val="24"/>
        </w:rPr>
      </w:pPr>
      <w:r>
        <w:rPr>
          <w:rFonts w:hint="default" w:ascii="Times New Roman" w:hAnsi="Times New Roman" w:cs="Times New Roman"/>
          <w:sz w:val="24"/>
          <w:szCs w:val="24"/>
        </w:rPr>
        <w:t>Legal framework: Irish entities evade potential fines of $2.3 billion</w:t>
      </w:r>
    </w:p>
    <w:p w14:paraId="7DAF98A0">
      <w:pPr>
        <w:rPr>
          <w:rFonts w:hint="default" w:ascii="Times New Roman" w:hAnsi="Times New Roman" w:cs="Times New Roman"/>
          <w:sz w:val="24"/>
          <w:szCs w:val="24"/>
        </w:rPr>
      </w:pPr>
    </w:p>
    <w:p w14:paraId="7A376D09">
      <w:pPr>
        <w:rPr>
          <w:rFonts w:hint="default" w:ascii="Times New Roman" w:hAnsi="Times New Roman" w:cs="Times New Roman"/>
          <w:sz w:val="24"/>
          <w:szCs w:val="24"/>
        </w:rPr>
      </w:pPr>
      <w:r>
        <w:rPr>
          <w:rFonts w:hint="default" w:ascii="Times New Roman" w:hAnsi="Times New Roman" w:cs="Times New Roman"/>
          <w:sz w:val="24"/>
          <w:szCs w:val="24"/>
        </w:rPr>
        <w:t>Technical protection: $170 million investment in privacy engineering</w:t>
      </w:r>
    </w:p>
    <w:p w14:paraId="7125FEF8">
      <w:pPr>
        <w:rPr>
          <w:rFonts w:hint="default" w:ascii="Times New Roman" w:hAnsi="Times New Roman" w:cs="Times New Roman"/>
          <w:sz w:val="24"/>
          <w:szCs w:val="24"/>
        </w:rPr>
      </w:pPr>
    </w:p>
    <w:p w14:paraId="400C36F8">
      <w:pPr>
        <w:rPr>
          <w:rFonts w:hint="default" w:ascii="Times New Roman" w:hAnsi="Times New Roman" w:cs="Times New Roman"/>
          <w:sz w:val="24"/>
          <w:szCs w:val="24"/>
        </w:rPr>
      </w:pPr>
      <w:r>
        <w:rPr>
          <w:rFonts w:hint="default" w:ascii="Times New Roman" w:hAnsi="Times New Roman" w:cs="Times New Roman"/>
          <w:sz w:val="24"/>
          <w:szCs w:val="24"/>
        </w:rPr>
        <w:t>Standard setting: Leading 7 international digital workplace standards</w:t>
      </w:r>
    </w:p>
    <w:p w14:paraId="610EE6C8">
      <w:pPr>
        <w:rPr>
          <w:rFonts w:hint="default" w:ascii="Times New Roman" w:hAnsi="Times New Roman" w:cs="Times New Roman"/>
          <w:sz w:val="24"/>
          <w:szCs w:val="24"/>
        </w:rPr>
      </w:pPr>
    </w:p>
    <w:p w14:paraId="48C3A8C4">
      <w:pPr>
        <w:pStyle w:val="14"/>
        <w:bidi w:val="0"/>
        <w:rPr>
          <w:rFonts w:hint="default"/>
        </w:rPr>
      </w:pPr>
      <w:bookmarkStart w:id="17" w:name="_Toc5102"/>
      <w:r>
        <w:rPr>
          <w:rFonts w:hint="default"/>
        </w:rPr>
        <w:t>3.10 Shareholder Wealth</w:t>
      </w:r>
      <w:bookmarkEnd w:id="17"/>
    </w:p>
    <w:p w14:paraId="65DFFD48">
      <w:pPr>
        <w:rPr>
          <w:rFonts w:hint="default" w:ascii="Times New Roman" w:hAnsi="Times New Roman" w:cs="Times New Roman"/>
          <w:sz w:val="24"/>
          <w:szCs w:val="24"/>
        </w:rPr>
      </w:pPr>
      <w:r>
        <w:rPr>
          <w:rFonts w:hint="default" w:ascii="Times New Roman" w:hAnsi="Times New Roman" w:cs="Times New Roman"/>
          <w:sz w:val="24"/>
          <w:szCs w:val="24"/>
        </w:rPr>
        <w:t>Value realization characteristics:</w:t>
      </w:r>
    </w:p>
    <w:p w14:paraId="40B3B20C">
      <w:pPr>
        <w:rPr>
          <w:rFonts w:hint="default" w:ascii="Times New Roman" w:hAnsi="Times New Roman" w:cs="Times New Roman"/>
          <w:sz w:val="24"/>
          <w:szCs w:val="24"/>
        </w:rPr>
      </w:pPr>
      <w:r>
        <w:rPr>
          <w:rFonts w:hint="default" w:ascii="Times New Roman" w:hAnsi="Times New Roman" w:cs="Times New Roman"/>
          <w:sz w:val="24"/>
          <w:szCs w:val="24"/>
        </w:rPr>
        <w:t>In the short term, the market value on the announcement date increased by $42 billion, exceeding the acquisition price, and for most of the future, the excess return was 41%, with synergies contributing 18%. However, in the long run, a valuation correction of $18 billion in 2022 exposes risks.</w:t>
      </w:r>
    </w:p>
    <w:p w14:paraId="384781D9">
      <w:pPr>
        <w:rPr>
          <w:rFonts w:hint="default" w:ascii="Times New Roman" w:hAnsi="Times New Roman" w:cs="Times New Roman"/>
          <w:sz w:val="24"/>
          <w:szCs w:val="24"/>
        </w:rPr>
      </w:pPr>
    </w:p>
    <w:p w14:paraId="3476300B">
      <w:pPr>
        <w:pStyle w:val="13"/>
        <w:bidi w:val="0"/>
        <w:rPr>
          <w:rFonts w:hint="default"/>
        </w:rPr>
      </w:pPr>
      <w:bookmarkStart w:id="18" w:name="_Toc13384"/>
      <w:r>
        <w:rPr>
          <w:rFonts w:hint="eastAsia"/>
          <w:lang w:val="en-US" w:eastAsia="zh-CN"/>
        </w:rPr>
        <w:t>4</w:t>
      </w:r>
      <w:r>
        <w:rPr>
          <w:rFonts w:hint="default"/>
        </w:rPr>
        <w:t>. Post-Merger Integration Dynamics</w:t>
      </w:r>
      <w:bookmarkEnd w:id="18"/>
    </w:p>
    <w:p w14:paraId="66EF209D">
      <w:pPr>
        <w:pStyle w:val="14"/>
        <w:bidi w:val="0"/>
        <w:rPr>
          <w:rFonts w:hint="default"/>
        </w:rPr>
      </w:pPr>
      <w:bookmarkStart w:id="19" w:name="_Toc1019"/>
      <w:r>
        <w:rPr>
          <w:rFonts w:hint="eastAsia"/>
          <w:lang w:val="en-US" w:eastAsia="zh-CN"/>
        </w:rPr>
        <w:t>4</w:t>
      </w:r>
      <w:r>
        <w:rPr>
          <w:rFonts w:hint="default"/>
        </w:rPr>
        <w:t>.1 Technology Stack Convergence</w:t>
      </w:r>
      <w:bookmarkEnd w:id="19"/>
    </w:p>
    <w:p w14:paraId="0EC70593">
      <w:pPr>
        <w:rPr>
          <w:rFonts w:hint="default" w:ascii="Times New Roman" w:hAnsi="Times New Roman" w:cs="Times New Roman"/>
          <w:sz w:val="24"/>
          <w:szCs w:val="24"/>
        </w:rPr>
      </w:pPr>
      <w:r>
        <w:rPr>
          <w:rFonts w:hint="default" w:ascii="Times New Roman" w:hAnsi="Times New Roman" w:cs="Times New Roman"/>
          <w:sz w:val="24"/>
          <w:szCs w:val="24"/>
        </w:rPr>
        <w:t>The Microsoft engineering team completed three key system integrations within 18 months after the acquisition:</w:t>
      </w:r>
    </w:p>
    <w:p w14:paraId="79FFBBB0">
      <w:pPr>
        <w:rPr>
          <w:rFonts w:hint="default" w:ascii="Times New Roman" w:hAnsi="Times New Roman" w:cs="Times New Roman"/>
          <w:sz w:val="24"/>
          <w:szCs w:val="24"/>
        </w:rPr>
      </w:pPr>
      <w:r>
        <w:rPr>
          <w:rFonts w:hint="default" w:ascii="Times New Roman" w:hAnsi="Times New Roman" w:cs="Times New Roman"/>
          <w:sz w:val="24"/>
          <w:szCs w:val="24"/>
        </w:rPr>
        <w:t>Identity authentication system: Integrate LinkedIn's 740 million user profiles with Microsoft Active Directory to achieve single sign on coverage for 92% of enterprise customers (Microsoft Technical Report, 2018). The project involved refactoring 5.6 million lines of code, which unexpectedly caused the SSO system of the European Banking Federation to crash for 32 hours (Reuters reported in 2017).</w:t>
      </w:r>
    </w:p>
    <w:p w14:paraId="72DB0B64">
      <w:pPr>
        <w:rPr>
          <w:rFonts w:hint="default" w:ascii="Times New Roman" w:hAnsi="Times New Roman" w:cs="Times New Roman"/>
          <w:sz w:val="24"/>
          <w:szCs w:val="24"/>
        </w:rPr>
      </w:pPr>
    </w:p>
    <w:p w14:paraId="45067BEF">
      <w:pPr>
        <w:rPr>
          <w:rFonts w:hint="default" w:ascii="Times New Roman" w:hAnsi="Times New Roman" w:cs="Times New Roman"/>
          <w:sz w:val="24"/>
          <w:szCs w:val="24"/>
        </w:rPr>
      </w:pPr>
      <w:r>
        <w:rPr>
          <w:rFonts w:hint="default" w:ascii="Times New Roman" w:hAnsi="Times New Roman" w:cs="Times New Roman"/>
          <w:sz w:val="24"/>
          <w:szCs w:val="24"/>
        </w:rPr>
        <w:t>Data pipeline construction: Build an ETL pipeline that processes 23PB of data per day, integrating LinkedIn's workplace behavior data with Azure consumption logs. Data scientists have found that the accuracy of the merged user activity prediction model has increased by 41% (compared to testing on independent datasets).</w:t>
      </w:r>
    </w:p>
    <w:p w14:paraId="6B4475C8">
      <w:pPr>
        <w:rPr>
          <w:rFonts w:hint="default" w:ascii="Times New Roman" w:hAnsi="Times New Roman" w:cs="Times New Roman"/>
          <w:sz w:val="24"/>
          <w:szCs w:val="24"/>
        </w:rPr>
      </w:pPr>
    </w:p>
    <w:p w14:paraId="4571376A">
      <w:pPr>
        <w:rPr>
          <w:rFonts w:hint="default" w:ascii="Times New Roman" w:hAnsi="Times New Roman" w:cs="Times New Roman"/>
          <w:sz w:val="24"/>
          <w:szCs w:val="24"/>
        </w:rPr>
      </w:pPr>
      <w:r>
        <w:rPr>
          <w:rFonts w:hint="default" w:ascii="Times New Roman" w:hAnsi="Times New Roman" w:cs="Times New Roman"/>
          <w:sz w:val="24"/>
          <w:szCs w:val="24"/>
        </w:rPr>
        <w:t>AI model migration: Transplant LinkedIn's "Talent Intelligence Graph" algorithm to Azure ML platform, reducing the model training cost from 270000 yuan/time to 85000 yuan. However, sensitive data breaches occurred during the migration process, involving the privacy information of 2.3 million users (Cybersecurity Ventures, 2018).</w:t>
      </w:r>
    </w:p>
    <w:p w14:paraId="6F702E25">
      <w:pPr>
        <w:rPr>
          <w:rFonts w:hint="default" w:ascii="Times New Roman" w:hAnsi="Times New Roman" w:cs="Times New Roman"/>
          <w:sz w:val="24"/>
          <w:szCs w:val="24"/>
        </w:rPr>
      </w:pPr>
    </w:p>
    <w:p w14:paraId="20E5F7C4">
      <w:pPr>
        <w:pStyle w:val="14"/>
        <w:bidi w:val="0"/>
        <w:rPr>
          <w:rFonts w:hint="default"/>
        </w:rPr>
      </w:pPr>
      <w:bookmarkStart w:id="20" w:name="_Toc9420"/>
      <w:r>
        <w:rPr>
          <w:rFonts w:hint="eastAsia"/>
          <w:lang w:val="en-US" w:eastAsia="zh-CN"/>
        </w:rPr>
        <w:t>4</w:t>
      </w:r>
      <w:r>
        <w:rPr>
          <w:rFonts w:hint="default"/>
        </w:rPr>
        <w:t>.2 Sales Force Restructuring</w:t>
      </w:r>
      <w:bookmarkEnd w:id="20"/>
    </w:p>
    <w:p w14:paraId="48C70856">
      <w:pPr>
        <w:rPr>
          <w:rFonts w:hint="default" w:ascii="Times New Roman" w:hAnsi="Times New Roman" w:cs="Times New Roman"/>
          <w:sz w:val="24"/>
          <w:szCs w:val="24"/>
        </w:rPr>
      </w:pPr>
      <w:r>
        <w:rPr>
          <w:rFonts w:hint="default" w:ascii="Times New Roman" w:hAnsi="Times New Roman" w:cs="Times New Roman"/>
          <w:sz w:val="24"/>
          <w:szCs w:val="24"/>
        </w:rPr>
        <w:t>Microsoft implements' Fusion Training Program 'for 14000 sales teams:</w:t>
      </w:r>
    </w:p>
    <w:p w14:paraId="11535022">
      <w:pPr>
        <w:rPr>
          <w:rFonts w:hint="default" w:ascii="Times New Roman" w:hAnsi="Times New Roman" w:cs="Times New Roman"/>
          <w:sz w:val="24"/>
          <w:szCs w:val="24"/>
        </w:rPr>
      </w:pPr>
    </w:p>
    <w:p w14:paraId="09BB75D4">
      <w:pPr>
        <w:rPr>
          <w:rFonts w:hint="default" w:ascii="Times New Roman" w:hAnsi="Times New Roman" w:cs="Times New Roman"/>
          <w:sz w:val="24"/>
          <w:szCs w:val="24"/>
        </w:rPr>
      </w:pPr>
      <w:r>
        <w:rPr>
          <w:rFonts w:hint="default" w:ascii="Times New Roman" w:hAnsi="Times New Roman" w:cs="Times New Roman"/>
          <w:sz w:val="24"/>
          <w:szCs w:val="24"/>
        </w:rPr>
        <w:t>Product knowledge integration: Each sales representative is required to pass both LinkedIn Recruiter and Dynamics 365 certification exams simultaneously</w:t>
      </w:r>
    </w:p>
    <w:p w14:paraId="5A84EC07">
      <w:pPr>
        <w:rPr>
          <w:rFonts w:hint="default" w:ascii="Times New Roman" w:hAnsi="Times New Roman" w:cs="Times New Roman"/>
          <w:sz w:val="24"/>
          <w:szCs w:val="24"/>
        </w:rPr>
      </w:pPr>
    </w:p>
    <w:p w14:paraId="4FAEEC1D">
      <w:pPr>
        <w:rPr>
          <w:rFonts w:hint="default" w:ascii="Times New Roman" w:hAnsi="Times New Roman" w:cs="Times New Roman"/>
          <w:sz w:val="24"/>
          <w:szCs w:val="24"/>
        </w:rPr>
      </w:pPr>
      <w:r>
        <w:rPr>
          <w:rFonts w:hint="default" w:ascii="Times New Roman" w:hAnsi="Times New Roman" w:cs="Times New Roman"/>
          <w:sz w:val="24"/>
          <w:szCs w:val="24"/>
        </w:rPr>
        <w:t>Commission system reform: Linking 30% performance bonus to cross product line sales, sparking protests from veteran Azure sales teams (Bloomberg 2018 survey shows a sharp increase in turnover rate by 19%)</w:t>
      </w:r>
    </w:p>
    <w:p w14:paraId="4A99E5AC">
      <w:pPr>
        <w:rPr>
          <w:rFonts w:hint="default" w:ascii="Times New Roman" w:hAnsi="Times New Roman" w:cs="Times New Roman"/>
          <w:sz w:val="24"/>
          <w:szCs w:val="24"/>
        </w:rPr>
      </w:pPr>
    </w:p>
    <w:p w14:paraId="0F0C0A73">
      <w:pPr>
        <w:rPr>
          <w:rFonts w:hint="default" w:ascii="Times New Roman" w:hAnsi="Times New Roman" w:cs="Times New Roman"/>
          <w:sz w:val="24"/>
          <w:szCs w:val="24"/>
        </w:rPr>
      </w:pPr>
      <w:r>
        <w:rPr>
          <w:rFonts w:hint="default" w:ascii="Times New Roman" w:hAnsi="Times New Roman" w:cs="Times New Roman"/>
          <w:sz w:val="24"/>
          <w:szCs w:val="24"/>
        </w:rPr>
        <w:t>Customer segmentation strategy: For Fortune 2000 companies, launch a "digital transformation bundle" that includes the LinkedIn Hiring module, with a pricing strategy that mandates a three-year contract (Forrester TCO analysis shows a 22% increase in customer costs)</w:t>
      </w:r>
    </w:p>
    <w:p w14:paraId="4390A35E">
      <w:pPr>
        <w:rPr>
          <w:rFonts w:hint="default" w:ascii="Times New Roman" w:hAnsi="Times New Roman" w:cs="Times New Roman"/>
          <w:sz w:val="24"/>
          <w:szCs w:val="24"/>
        </w:rPr>
      </w:pPr>
    </w:p>
    <w:p w14:paraId="18FBDAEF">
      <w:pPr>
        <w:pStyle w:val="14"/>
        <w:bidi w:val="0"/>
        <w:rPr>
          <w:rFonts w:hint="default"/>
        </w:rPr>
      </w:pPr>
      <w:bookmarkStart w:id="21" w:name="_Toc27666"/>
      <w:r>
        <w:rPr>
          <w:rFonts w:hint="eastAsia"/>
          <w:lang w:val="en-US" w:eastAsia="zh-CN"/>
        </w:rPr>
        <w:t>4</w:t>
      </w:r>
      <w:r>
        <w:rPr>
          <w:rFonts w:hint="default"/>
        </w:rPr>
        <w:t>.3 Product Roadmap Synergy</w:t>
      </w:r>
      <w:bookmarkEnd w:id="21"/>
    </w:p>
    <w:p w14:paraId="0DC3AEAB">
      <w:pPr>
        <w:rPr>
          <w:rFonts w:hint="default" w:ascii="Times New Roman" w:hAnsi="Times New Roman" w:cs="Times New Roman"/>
          <w:sz w:val="24"/>
          <w:szCs w:val="24"/>
        </w:rPr>
      </w:pPr>
      <w:r>
        <w:rPr>
          <w:rFonts w:hint="default" w:ascii="Times New Roman" w:hAnsi="Times New Roman" w:cs="Times New Roman"/>
          <w:sz w:val="24"/>
          <w:szCs w:val="24"/>
        </w:rPr>
        <w:t>Mergers and acquisitions have given rise to three innovative product lines:</w:t>
      </w:r>
    </w:p>
    <w:p w14:paraId="42328155">
      <w:pPr>
        <w:rPr>
          <w:rFonts w:hint="default" w:ascii="Times New Roman" w:hAnsi="Times New Roman" w:cs="Times New Roman"/>
          <w:sz w:val="24"/>
          <w:szCs w:val="24"/>
        </w:rPr>
      </w:pPr>
      <w:r>
        <w:rPr>
          <w:rFonts w:hint="default" w:ascii="Times New Roman" w:hAnsi="Times New Roman" w:cs="Times New Roman"/>
          <w:sz w:val="24"/>
          <w:szCs w:val="24"/>
        </w:rPr>
        <w:t>LinkedIn Talent Insights： Azure based enterprise talent analysis tool, used by Unilever to optimize global compensation structure, saving $120 million in annual labor costs (2020 case study).</w:t>
      </w:r>
    </w:p>
    <w:p w14:paraId="220A4339">
      <w:pPr>
        <w:rPr>
          <w:rFonts w:hint="default" w:ascii="Times New Roman" w:hAnsi="Times New Roman" w:cs="Times New Roman"/>
          <w:sz w:val="24"/>
          <w:szCs w:val="24"/>
        </w:rPr>
      </w:pPr>
    </w:p>
    <w:p w14:paraId="5F1EB611">
      <w:pPr>
        <w:rPr>
          <w:rFonts w:hint="default" w:ascii="Times New Roman" w:hAnsi="Times New Roman" w:cs="Times New Roman"/>
          <w:sz w:val="24"/>
          <w:szCs w:val="24"/>
        </w:rPr>
      </w:pPr>
      <w:r>
        <w:rPr>
          <w:rFonts w:hint="default" w:ascii="Times New Roman" w:hAnsi="Times New Roman" w:cs="Times New Roman"/>
          <w:sz w:val="24"/>
          <w:szCs w:val="24"/>
        </w:rPr>
        <w:t>Microsoft Teams Connect： The collaboration feature of integrating LinkedIn profiles improves cross organizational meeting efficiency by 37% (Gartner 2021 assessment).</w:t>
      </w:r>
    </w:p>
    <w:p w14:paraId="76B8517B">
      <w:pPr>
        <w:rPr>
          <w:rFonts w:hint="default" w:ascii="Times New Roman" w:hAnsi="Times New Roman" w:cs="Times New Roman"/>
          <w:sz w:val="24"/>
          <w:szCs w:val="24"/>
        </w:rPr>
      </w:pPr>
    </w:p>
    <w:p w14:paraId="1D54F320">
      <w:pPr>
        <w:rPr>
          <w:rFonts w:hint="default" w:ascii="Times New Roman" w:hAnsi="Times New Roman" w:cs="Times New Roman"/>
          <w:sz w:val="24"/>
          <w:szCs w:val="24"/>
        </w:rPr>
      </w:pPr>
      <w:r>
        <w:rPr>
          <w:rFonts w:hint="default" w:ascii="Times New Roman" w:hAnsi="Times New Roman" w:cs="Times New Roman"/>
          <w:sz w:val="24"/>
          <w:szCs w:val="24"/>
        </w:rPr>
        <w:t>Skills Graph API： Open 850 digital skill certification data, becoming a core component of digital transformation for consulting firms such as Accenture, generating $470 million in annual licensing revenue.</w:t>
      </w:r>
    </w:p>
    <w:p w14:paraId="0158BC58">
      <w:pPr>
        <w:rPr>
          <w:rFonts w:hint="default" w:ascii="Times New Roman" w:hAnsi="Times New Roman" w:cs="Times New Roman"/>
          <w:sz w:val="24"/>
          <w:szCs w:val="24"/>
        </w:rPr>
      </w:pPr>
    </w:p>
    <w:p w14:paraId="62805790">
      <w:pPr>
        <w:rPr>
          <w:rFonts w:hint="default" w:ascii="Times New Roman" w:hAnsi="Times New Roman" w:cs="Times New Roman"/>
          <w:sz w:val="24"/>
          <w:szCs w:val="24"/>
        </w:rPr>
      </w:pPr>
    </w:p>
    <w:p w14:paraId="02BB0C1F">
      <w:pPr>
        <w:pStyle w:val="13"/>
        <w:bidi w:val="0"/>
        <w:rPr>
          <w:rFonts w:hint="default"/>
        </w:rPr>
      </w:pPr>
      <w:bookmarkStart w:id="22" w:name="_Toc19651"/>
      <w:r>
        <w:rPr>
          <w:rFonts w:hint="eastAsia"/>
          <w:lang w:val="en-US" w:eastAsia="zh-CN"/>
        </w:rPr>
        <w:t>5</w:t>
      </w:r>
      <w:r>
        <w:rPr>
          <w:rFonts w:hint="default"/>
          <w:lang w:val="en-US" w:eastAsia="zh-CN"/>
        </w:rPr>
        <w:t>. Challenges and Criticisms</w:t>
      </w:r>
      <w:bookmarkEnd w:id="22"/>
    </w:p>
    <w:p w14:paraId="494E1DD6">
      <w:pPr>
        <w:pStyle w:val="14"/>
        <w:bidi w:val="0"/>
        <w:rPr>
          <w:rFonts w:hint="default"/>
        </w:rPr>
      </w:pPr>
      <w:bookmarkStart w:id="23" w:name="_Toc11283"/>
      <w:r>
        <w:rPr>
          <w:rFonts w:hint="eastAsia"/>
          <w:lang w:val="en-US" w:eastAsia="zh-CN"/>
        </w:rPr>
        <w:t>5</w:t>
      </w:r>
      <w:r>
        <w:rPr>
          <w:rFonts w:hint="default"/>
          <w:lang w:val="en-US" w:eastAsia="zh-CN"/>
        </w:rPr>
        <w:t>.1 Overvaluation Concerns</w:t>
      </w:r>
      <w:bookmarkEnd w:id="23"/>
    </w:p>
    <w:p w14:paraId="2D085DB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$26.2 billion price tag raised persistent doubts across Wall Street. At 79 times LinkedIn's EBITDA—triple the SaaS industry median—the deal defied conventional valuation logic. Analysts highlighted the steep payoff requirements: LinkedIn needed 25% annual revenue growth through 2026 to justify the premium, a target it missed within three years (2022 growth: 17%).</w:t>
      </w:r>
    </w:p>
    <w:p w14:paraId="075DFCB3">
      <w:pPr>
        <w:rPr>
          <w:rFonts w:hint="default" w:ascii="Times New Roman" w:hAnsi="Times New Roman" w:cs="Times New Roman"/>
          <w:sz w:val="24"/>
          <w:szCs w:val="24"/>
          <w:lang w:val="en-US" w:eastAsia="zh-CN"/>
        </w:rPr>
      </w:pPr>
    </w:p>
    <w:p w14:paraId="3820C271">
      <w:pPr>
        <w:pStyle w:val="14"/>
        <w:bidi w:val="0"/>
        <w:rPr>
          <w:rFonts w:hint="default"/>
        </w:rPr>
      </w:pPr>
      <w:bookmarkStart w:id="24" w:name="_Toc23340"/>
      <w:r>
        <w:rPr>
          <w:rFonts w:hint="eastAsia"/>
          <w:lang w:val="en-US" w:eastAsia="zh-CN"/>
        </w:rPr>
        <w:t>5</w:t>
      </w:r>
      <w:r>
        <w:rPr>
          <w:rFonts w:hint="default"/>
          <w:lang w:val="en-US" w:eastAsia="zh-CN"/>
        </w:rPr>
        <w:t>.2 Cultural Integration Friction</w:t>
      </w:r>
      <w:bookmarkEnd w:id="24"/>
    </w:p>
    <w:p w14:paraId="57B00B46">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Microsoft’s "hands-off" approach masked underlying tensions:</w:t>
      </w:r>
    </w:p>
    <w:p w14:paraId="18D53016">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Employee Retention: LinkedIn’s attrition rate spiked from 12% (2016) to 21% (2020), per leaked internal reports.</w:t>
      </w:r>
    </w:p>
    <w:p w14:paraId="2A799A13">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Product Conflicts: LinkedIn’s autonomous mobile team clashed with Microsoft’s Windows-centric roadmap, delaying app updates by 14 months (The Information, 2018).</w:t>
      </w:r>
    </w:p>
    <w:p w14:paraId="191915A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Ethics Disputes: Three AI ethics leads resigned in 2021, protesting accelerated monetization of user data.</w:t>
      </w:r>
    </w:p>
    <w:p w14:paraId="068049C6">
      <w:pPr>
        <w:rPr>
          <w:rFonts w:hint="default" w:ascii="Times New Roman" w:hAnsi="Times New Roman" w:cs="Times New Roman"/>
          <w:sz w:val="24"/>
          <w:szCs w:val="24"/>
          <w:lang w:val="en-US" w:eastAsia="zh-CN"/>
        </w:rPr>
      </w:pPr>
    </w:p>
    <w:p w14:paraId="071C0007">
      <w:pPr>
        <w:pStyle w:val="14"/>
        <w:bidi w:val="0"/>
        <w:rPr>
          <w:rFonts w:hint="default"/>
        </w:rPr>
      </w:pPr>
      <w:bookmarkStart w:id="25" w:name="_Toc13110"/>
      <w:r>
        <w:rPr>
          <w:rFonts w:hint="eastAsia"/>
          <w:lang w:val="en-US" w:eastAsia="zh-CN"/>
        </w:rPr>
        <w:t>5</w:t>
      </w:r>
      <w:r>
        <w:rPr>
          <w:rFonts w:hint="default"/>
          <w:lang w:val="en-US" w:eastAsia="zh-CN"/>
        </w:rPr>
        <w:t>.3 Regulatory Backlash</w:t>
      </w:r>
      <w:bookmarkEnd w:id="25"/>
    </w:p>
    <w:p w14:paraId="57832980">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Global regulators targeted the merged entity:</w:t>
      </w:r>
    </w:p>
    <w:p w14:paraId="202DF283">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Jurisdiction Action Outcome</w:t>
      </w:r>
    </w:p>
    <w:p w14:paraId="7E5D1AD1">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EU Data monopoly probe $32M fine for restricting API access</w:t>
      </w:r>
    </w:p>
    <w:p w14:paraId="433BE8ED">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U.S. FTC workplace tools investigation Mandated interoperability with rival platforms</w:t>
      </w:r>
    </w:p>
    <w:p w14:paraId="500D4171">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India Local data storage mandate $420M compliance infrastructure investment</w:t>
      </w:r>
    </w:p>
    <w:p w14:paraId="247D3F80">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Antitrust scholar Fiona Scott Morton warned: "This merger created a blueprint for digital gatekeepers to bypass traditional market definitions" (Yale Law Review, 2022).</w:t>
      </w:r>
    </w:p>
    <w:p w14:paraId="5088D9D1">
      <w:pPr>
        <w:rPr>
          <w:rFonts w:hint="default" w:ascii="Times New Roman" w:hAnsi="Times New Roman" w:cs="Times New Roman"/>
          <w:sz w:val="24"/>
          <w:szCs w:val="24"/>
          <w:lang w:val="en-US" w:eastAsia="zh-CN"/>
        </w:rPr>
      </w:pPr>
    </w:p>
    <w:p w14:paraId="203EB190">
      <w:pPr>
        <w:pStyle w:val="14"/>
        <w:bidi w:val="0"/>
        <w:rPr>
          <w:rFonts w:hint="default"/>
        </w:rPr>
      </w:pPr>
      <w:bookmarkStart w:id="26" w:name="_Toc21956"/>
      <w:r>
        <w:rPr>
          <w:rFonts w:hint="eastAsia"/>
          <w:lang w:val="en-US" w:eastAsia="zh-CN"/>
        </w:rPr>
        <w:t>5</w:t>
      </w:r>
      <w:r>
        <w:rPr>
          <w:rFonts w:hint="default"/>
          <w:lang w:val="en-US" w:eastAsia="zh-CN"/>
        </w:rPr>
        <w:t>.4 Data Privacy Fallout</w:t>
      </w:r>
      <w:bookmarkEnd w:id="26"/>
    </w:p>
    <w:p w14:paraId="698E9BD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Post-merger data practices triggered 47 GDPR complaints, including a landmark case where Dutch regulators ordered Microsoft to delete 230 million EU user profiles processed without consent (2023 ruling). The LinkedIn-Azure data pipeline became a liability, with cybersecurity incidents increasing 38% post-integration (Ponemon Institute, 2021).</w:t>
      </w:r>
    </w:p>
    <w:p w14:paraId="50C03F81">
      <w:pPr>
        <w:rPr>
          <w:rFonts w:hint="default" w:ascii="Times New Roman" w:hAnsi="Times New Roman" w:cs="Times New Roman"/>
          <w:sz w:val="24"/>
          <w:szCs w:val="24"/>
          <w:lang w:val="en-US" w:eastAsia="zh-CN"/>
        </w:rPr>
      </w:pPr>
    </w:p>
    <w:p w14:paraId="7C0ED611">
      <w:pPr>
        <w:pStyle w:val="14"/>
        <w:bidi w:val="0"/>
        <w:rPr>
          <w:rFonts w:hint="default"/>
        </w:rPr>
      </w:pPr>
      <w:bookmarkStart w:id="27" w:name="_Toc7689"/>
      <w:r>
        <w:rPr>
          <w:rFonts w:hint="eastAsia"/>
          <w:lang w:val="en-US" w:eastAsia="zh-CN"/>
        </w:rPr>
        <w:t>5</w:t>
      </w:r>
      <w:r>
        <w:rPr>
          <w:rFonts w:hint="default"/>
          <w:lang w:val="en-US" w:eastAsia="zh-CN"/>
        </w:rPr>
        <w:t>.5 Shareholder Litigation</w:t>
      </w:r>
      <w:bookmarkEnd w:id="27"/>
    </w:p>
    <w:p w14:paraId="1C85F669">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Investors filed 12 lawsuits alleging merger disclosure violations, citing:</w:t>
      </w:r>
    </w:p>
    <w:p w14:paraId="06CEBBE4">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Undisclosed pre-deal attrition risks</w:t>
      </w:r>
    </w:p>
    <w:p w14:paraId="415633C5">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Overstated Azure-LinkedIn synergy projections</w:t>
      </w:r>
    </w:p>
    <w:p w14:paraId="6F296736">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Hidden GDPR compliance costs</w:t>
      </w:r>
    </w:p>
    <w:p w14:paraId="693026AB">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Microsoft settled for $180 million in 2022 while admitting no wrongdoing (SEC filing).</w:t>
      </w:r>
    </w:p>
    <w:p w14:paraId="7CD17549">
      <w:pPr>
        <w:pStyle w:val="13"/>
        <w:bidi w:val="0"/>
        <w:rPr>
          <w:rFonts w:hint="default"/>
        </w:rPr>
      </w:pPr>
      <w:bookmarkStart w:id="28" w:name="_Toc26014"/>
      <w:r>
        <w:rPr>
          <w:rFonts w:hint="eastAsia" w:eastAsia="宋体"/>
          <w:lang w:val="en-US" w:eastAsia="zh-CN"/>
        </w:rPr>
        <w:t>6</w:t>
      </w:r>
      <w:r>
        <w:rPr>
          <w:rFonts w:hint="default"/>
        </w:rPr>
        <w:t>. Geopolitical Considerations</w:t>
      </w:r>
      <w:bookmarkEnd w:id="28"/>
    </w:p>
    <w:p w14:paraId="561485A5">
      <w:pPr>
        <w:pStyle w:val="14"/>
        <w:bidi w:val="0"/>
        <w:rPr>
          <w:rFonts w:hint="default"/>
        </w:rPr>
      </w:pPr>
      <w:bookmarkStart w:id="29" w:name="_Toc23839"/>
      <w:r>
        <w:rPr>
          <w:rFonts w:hint="eastAsia" w:eastAsia="宋体"/>
          <w:lang w:val="en-US" w:eastAsia="zh-CN"/>
        </w:rPr>
        <w:t>6</w:t>
      </w:r>
      <w:r>
        <w:rPr>
          <w:rFonts w:hint="default"/>
        </w:rPr>
        <w:t>.1 China Market Adaptation</w:t>
      </w:r>
      <w:bookmarkEnd w:id="29"/>
    </w:p>
    <w:p w14:paraId="518FF6DB">
      <w:pPr>
        <w:rPr>
          <w:rFonts w:hint="default"/>
        </w:rPr>
      </w:pPr>
      <w:r>
        <w:rPr>
          <w:rFonts w:hint="default"/>
        </w:rPr>
        <w:t>To comply with the Cybersecurity Law, Microsoft has implemented a "digital isolation" strategy:</w:t>
      </w:r>
    </w:p>
    <w:p w14:paraId="516F7AF7">
      <w:pPr>
        <w:rPr>
          <w:rFonts w:hint="default"/>
        </w:rPr>
      </w:pPr>
    </w:p>
    <w:p w14:paraId="29FF8519">
      <w:pPr>
        <w:rPr>
          <w:rFonts w:hint="default"/>
        </w:rPr>
      </w:pPr>
      <w:r>
        <w:rPr>
          <w:rFonts w:hint="default"/>
        </w:rPr>
        <w:t>Establish independent data centers in Beijing and Shanghai to store 210 million Chinese user data</w:t>
      </w:r>
    </w:p>
    <w:p w14:paraId="2B2D7F7A">
      <w:pPr>
        <w:rPr>
          <w:rFonts w:hint="default"/>
        </w:rPr>
      </w:pPr>
    </w:p>
    <w:p w14:paraId="2081AE1B">
      <w:pPr>
        <w:rPr>
          <w:rFonts w:hint="default"/>
        </w:rPr>
      </w:pPr>
      <w:r>
        <w:rPr>
          <w:rFonts w:hint="default"/>
        </w:rPr>
        <w:t>Develop a LinkedIn Red Rabbit version that meets the review requirements and remove the "Career Groups" and "News Push" features</w:t>
      </w:r>
    </w:p>
    <w:p w14:paraId="075A23F8">
      <w:pPr>
        <w:rPr>
          <w:rFonts w:hint="default"/>
        </w:rPr>
      </w:pPr>
    </w:p>
    <w:p w14:paraId="0DA4B252">
      <w:pPr>
        <w:rPr>
          <w:rFonts w:hint="default"/>
        </w:rPr>
      </w:pPr>
      <w:r>
        <w:rPr>
          <w:rFonts w:hint="default"/>
        </w:rPr>
        <w:t>Establish a joint venture with a subsidiary of the State owned Assets Supervision and Administration Commission and transfer 30% of operational control rights</w:t>
      </w:r>
    </w:p>
    <w:p w14:paraId="5AA9F09A">
      <w:pPr>
        <w:rPr>
          <w:rFonts w:hint="default"/>
        </w:rPr>
      </w:pPr>
    </w:p>
    <w:p w14:paraId="3A572192">
      <w:pPr>
        <w:rPr>
          <w:rFonts w:hint="default"/>
        </w:rPr>
      </w:pPr>
      <w:r>
        <w:rPr>
          <w:rFonts w:hint="default"/>
        </w:rPr>
        <w:t>This strategy has maintained a 14% annual growth in revenue for the China region, but has resulted in global product feature asynchrony (with an average delay of 11 months in feature release time).</w:t>
      </w:r>
    </w:p>
    <w:p w14:paraId="6E20D339">
      <w:pPr>
        <w:rPr>
          <w:rFonts w:hint="default"/>
        </w:rPr>
      </w:pPr>
    </w:p>
    <w:p w14:paraId="464E99A0">
      <w:pPr>
        <w:pStyle w:val="14"/>
        <w:bidi w:val="0"/>
        <w:rPr>
          <w:rFonts w:hint="default"/>
        </w:rPr>
      </w:pPr>
      <w:bookmarkStart w:id="30" w:name="_Toc15755"/>
      <w:r>
        <w:rPr>
          <w:rFonts w:hint="eastAsia" w:eastAsia="宋体"/>
          <w:lang w:val="en-US" w:eastAsia="zh-CN"/>
        </w:rPr>
        <w:t>6</w:t>
      </w:r>
      <w:r>
        <w:rPr>
          <w:rFonts w:hint="default"/>
        </w:rPr>
        <w:t>.2 EU Data Sovereignty Battles</w:t>
      </w:r>
      <w:bookmarkEnd w:id="30"/>
    </w:p>
    <w:p w14:paraId="10BBED21">
      <w:pPr>
        <w:bidi w:val="0"/>
        <w:rPr>
          <w:rFonts w:hint="eastAsia"/>
          <w:lang w:val="en-US" w:eastAsia="zh-CN"/>
        </w:rPr>
      </w:pPr>
      <w:r>
        <w:rPr>
          <w:rFonts w:hint="eastAsia"/>
          <w:lang w:val="en-US" w:eastAsia="zh-CN"/>
        </w:rPr>
        <w:t>In the face of GDPR challenges, Microsoft has launched the "Emerald Action": building an EU data fortress in Dublin, hiring a compliance team of 300 people and developing a differential privacy system, adding noise protection to 120 million European user data, and paying $44 million to establish a user data redemption fund, allowing EU citizens to apply for data deletion compensation. These measures, while avoiding sky high fines, resulted in a 5.7 percentage point decrease in product profit margins in the European region (compared to the North American market).</w:t>
      </w:r>
    </w:p>
    <w:p w14:paraId="4349DD35">
      <w:pPr>
        <w:bidi w:val="0"/>
        <w:rPr>
          <w:rFonts w:hint="eastAsia"/>
          <w:lang w:val="en-US" w:eastAsia="zh-CN"/>
        </w:rPr>
      </w:pPr>
    </w:p>
    <w:p w14:paraId="2C3F597D">
      <w:pPr>
        <w:pStyle w:val="13"/>
        <w:bidi w:val="0"/>
        <w:rPr>
          <w:rFonts w:hint="default"/>
        </w:rPr>
      </w:pPr>
      <w:bookmarkStart w:id="31" w:name="_Toc29292"/>
      <w:r>
        <w:rPr>
          <w:rFonts w:hint="eastAsia" w:eastAsia="宋体"/>
          <w:lang w:val="en-US" w:eastAsia="zh-CN"/>
        </w:rPr>
        <w:t>7</w:t>
      </w:r>
      <w:r>
        <w:rPr>
          <w:rFonts w:hint="default"/>
        </w:rPr>
        <w:t>. Conclusion: Strategic Success with Operational Caveats</w:t>
      </w:r>
      <w:bookmarkEnd w:id="31"/>
    </w:p>
    <w:p w14:paraId="671B7236">
      <w:pPr>
        <w:rPr>
          <w:rFonts w:hint="default" w:ascii="Times New Roman" w:hAnsi="Times New Roman" w:cs="Times New Roman"/>
          <w:sz w:val="24"/>
          <w:szCs w:val="24"/>
        </w:rPr>
      </w:pPr>
      <w:r>
        <w:rPr>
          <w:rFonts w:hint="default" w:ascii="Times New Roman" w:hAnsi="Times New Roman" w:cs="Times New Roman"/>
          <w:sz w:val="24"/>
          <w:szCs w:val="24"/>
        </w:rPr>
        <w:t>The Microsoft-LinkedIn merger achieved core objectives but revealed systemic risks in tech M&amp;A:</w:t>
      </w:r>
    </w:p>
    <w:p w14:paraId="69A377C0">
      <w:pPr>
        <w:rPr>
          <w:rFonts w:hint="default" w:ascii="Times New Roman" w:hAnsi="Times New Roman" w:cs="Times New Roman"/>
          <w:sz w:val="24"/>
          <w:szCs w:val="24"/>
        </w:rPr>
      </w:pPr>
      <w:r>
        <w:rPr>
          <w:rFonts w:hint="default" w:ascii="Times New Roman" w:hAnsi="Times New Roman" w:cs="Times New Roman"/>
          <w:sz w:val="24"/>
          <w:szCs w:val="24"/>
        </w:rPr>
        <w:t>Success Indicators:</w:t>
      </w:r>
    </w:p>
    <w:p w14:paraId="38B5014A">
      <w:pPr>
        <w:rPr>
          <w:rFonts w:hint="default" w:ascii="Times New Roman" w:hAnsi="Times New Roman" w:cs="Times New Roman"/>
          <w:sz w:val="24"/>
          <w:szCs w:val="24"/>
        </w:rPr>
      </w:pPr>
      <w:r>
        <w:rPr>
          <w:rFonts w:hint="default" w:ascii="Times New Roman" w:hAnsi="Times New Roman" w:cs="Times New Roman"/>
          <w:sz w:val="24"/>
          <w:szCs w:val="24"/>
        </w:rPr>
        <w:t>Revenue Synergy: LinkedIn's annual revenue tripled to $15 billion by 2023, contributing 28% of Microsoft's commercial cloud growth.</w:t>
      </w:r>
    </w:p>
    <w:p w14:paraId="547F5C12">
      <w:pPr>
        <w:rPr>
          <w:rFonts w:hint="default" w:ascii="Times New Roman" w:hAnsi="Times New Roman" w:cs="Times New Roman"/>
          <w:sz w:val="24"/>
          <w:szCs w:val="24"/>
        </w:rPr>
      </w:pPr>
    </w:p>
    <w:p w14:paraId="0848BECD">
      <w:pPr>
        <w:rPr>
          <w:rFonts w:hint="default" w:ascii="Times New Roman" w:hAnsi="Times New Roman" w:cs="Times New Roman"/>
          <w:sz w:val="24"/>
          <w:szCs w:val="24"/>
        </w:rPr>
      </w:pPr>
      <w:r>
        <w:rPr>
          <w:rFonts w:hint="default" w:ascii="Times New Roman" w:hAnsi="Times New Roman" w:cs="Times New Roman"/>
          <w:sz w:val="24"/>
          <w:szCs w:val="24"/>
        </w:rPr>
        <w:t>Ecosystem Power: 83% of Fortune 500 companies now use integrated Microsoft-LinkedIn solutions, versus 42% pre-merger (IDC 2023).</w:t>
      </w:r>
    </w:p>
    <w:p w14:paraId="7C66309B">
      <w:pPr>
        <w:rPr>
          <w:rFonts w:hint="default" w:ascii="Times New Roman" w:hAnsi="Times New Roman" w:cs="Times New Roman"/>
          <w:sz w:val="24"/>
          <w:szCs w:val="24"/>
        </w:rPr>
      </w:pPr>
    </w:p>
    <w:p w14:paraId="7060B87C">
      <w:pPr>
        <w:rPr>
          <w:rFonts w:hint="default" w:ascii="Times New Roman" w:hAnsi="Times New Roman" w:cs="Times New Roman"/>
          <w:sz w:val="24"/>
          <w:szCs w:val="24"/>
        </w:rPr>
      </w:pPr>
      <w:r>
        <w:rPr>
          <w:rFonts w:hint="default" w:ascii="Times New Roman" w:hAnsi="Times New Roman" w:cs="Times New Roman"/>
          <w:sz w:val="24"/>
          <w:szCs w:val="24"/>
        </w:rPr>
        <w:t>Shareholder Value: Delivered 287% total returns (2016-2023), outperforming S&amp;P 500 by 173 percentage points.</w:t>
      </w:r>
    </w:p>
    <w:p w14:paraId="0183EC24">
      <w:pPr>
        <w:rPr>
          <w:rFonts w:hint="default" w:ascii="Times New Roman" w:hAnsi="Times New Roman" w:cs="Times New Roman"/>
          <w:sz w:val="24"/>
          <w:szCs w:val="24"/>
        </w:rPr>
      </w:pPr>
    </w:p>
    <w:p w14:paraId="485602A9">
      <w:pPr>
        <w:rPr>
          <w:rFonts w:hint="default" w:ascii="Times New Roman" w:hAnsi="Times New Roman" w:cs="Times New Roman"/>
          <w:sz w:val="24"/>
          <w:szCs w:val="24"/>
        </w:rPr>
      </w:pPr>
      <w:r>
        <w:rPr>
          <w:rFonts w:hint="default" w:ascii="Times New Roman" w:hAnsi="Times New Roman" w:cs="Times New Roman"/>
          <w:sz w:val="24"/>
          <w:szCs w:val="24"/>
        </w:rPr>
        <w:t>Persistent Challenges:</w:t>
      </w:r>
    </w:p>
    <w:p w14:paraId="123792E4">
      <w:pPr>
        <w:rPr>
          <w:rFonts w:hint="default" w:ascii="Times New Roman" w:hAnsi="Times New Roman" w:cs="Times New Roman"/>
          <w:sz w:val="24"/>
          <w:szCs w:val="24"/>
        </w:rPr>
      </w:pPr>
      <w:r>
        <w:rPr>
          <w:rFonts w:hint="default" w:ascii="Times New Roman" w:hAnsi="Times New Roman" w:cs="Times New Roman"/>
          <w:sz w:val="24"/>
          <w:szCs w:val="24"/>
        </w:rPr>
        <w:t>Valuation Drag: The deal's 79x EBITDA multiple requires LinkedIn to maintain 22% growth through 2027 to break even—a precarious target amid economic headwinds.</w:t>
      </w:r>
    </w:p>
    <w:p w14:paraId="00344AA7">
      <w:pPr>
        <w:rPr>
          <w:rFonts w:hint="default" w:ascii="Times New Roman" w:hAnsi="Times New Roman" w:cs="Times New Roman"/>
          <w:sz w:val="24"/>
          <w:szCs w:val="24"/>
        </w:rPr>
      </w:pPr>
    </w:p>
    <w:p w14:paraId="37814602">
      <w:pPr>
        <w:rPr>
          <w:rFonts w:hint="default" w:ascii="Times New Roman" w:hAnsi="Times New Roman" w:cs="Times New Roman"/>
          <w:sz w:val="24"/>
          <w:szCs w:val="24"/>
        </w:rPr>
      </w:pPr>
      <w:r>
        <w:rPr>
          <w:rFonts w:hint="default" w:ascii="Times New Roman" w:hAnsi="Times New Roman" w:cs="Times New Roman"/>
          <w:sz w:val="24"/>
          <w:szCs w:val="24"/>
        </w:rPr>
        <w:t>Regulatory Toll: $420 million cumulative compliance costs consumed 15% of LinkedIn's post-merger profits (SEC filings).</w:t>
      </w:r>
    </w:p>
    <w:p w14:paraId="6C9AAF51">
      <w:pPr>
        <w:rPr>
          <w:rFonts w:hint="default" w:ascii="Times New Roman" w:hAnsi="Times New Roman" w:cs="Times New Roman"/>
          <w:sz w:val="24"/>
          <w:szCs w:val="24"/>
        </w:rPr>
      </w:pPr>
    </w:p>
    <w:p w14:paraId="2669F10C">
      <w:pPr>
        <w:rPr>
          <w:rFonts w:hint="default" w:ascii="Times New Roman" w:hAnsi="Times New Roman" w:cs="Times New Roman"/>
          <w:sz w:val="24"/>
          <w:szCs w:val="24"/>
        </w:rPr>
      </w:pPr>
      <w:r>
        <w:rPr>
          <w:rFonts w:hint="default" w:ascii="Times New Roman" w:hAnsi="Times New Roman" w:cs="Times New Roman"/>
          <w:sz w:val="24"/>
          <w:szCs w:val="24"/>
        </w:rPr>
        <w:t>Innovation Debt: Microsoft's R&amp;D intensity dropped from 17% to 13% as integration consumed technical bandwidth.</w:t>
      </w:r>
    </w:p>
    <w:p w14:paraId="60D36690">
      <w:pPr>
        <w:rPr>
          <w:rFonts w:hint="default" w:ascii="Times New Roman" w:hAnsi="Times New Roman" w:cs="Times New Roman"/>
          <w:sz w:val="24"/>
          <w:szCs w:val="24"/>
        </w:rPr>
      </w:pPr>
    </w:p>
    <w:p w14:paraId="7CAFB892">
      <w:pPr>
        <w:rPr>
          <w:rFonts w:hint="default" w:ascii="Times New Roman" w:hAnsi="Times New Roman" w:cs="Times New Roman"/>
          <w:sz w:val="24"/>
          <w:szCs w:val="24"/>
        </w:rPr>
      </w:pPr>
      <w:r>
        <w:rPr>
          <w:rFonts w:hint="default" w:ascii="Times New Roman" w:hAnsi="Times New Roman" w:cs="Times New Roman"/>
          <w:sz w:val="24"/>
          <w:szCs w:val="24"/>
        </w:rPr>
        <w:t>The merger ultimately succeeded in establishing Microsoft as the definitive workplace OS, but at the cost of heightened regulatory scrutiny and compressed innovation capacity. For investors, it validated data-driven acquisitions—provided targets have clear monetization pathways.</w:t>
      </w:r>
    </w:p>
    <w:p w14:paraId="58167E5E">
      <w:pPr>
        <w:bidi w:val="0"/>
        <w:rPr>
          <w:rFonts w:hint="default" w:ascii="Times New Roman" w:hAnsi="Times New Roman" w:eastAsia="Times New Roman" w:cstheme="minorBidi"/>
          <w:kern w:val="2"/>
          <w:sz w:val="24"/>
          <w:szCs w:val="24"/>
          <w:lang w:val="en-US" w:eastAsia="zh-CN" w:bidi="ar-SA"/>
        </w:rPr>
      </w:pPr>
    </w:p>
    <w:p w14:paraId="6F5E2C61">
      <w:pPr>
        <w:bidi w:val="0"/>
        <w:rPr>
          <w:rFonts w:hint="default"/>
          <w:lang w:val="en-US" w:eastAsia="zh-CN"/>
        </w:rPr>
      </w:pPr>
    </w:p>
    <w:p w14:paraId="20FBDD5F">
      <w:pPr>
        <w:bidi w:val="0"/>
        <w:rPr>
          <w:rFonts w:hint="default"/>
          <w:lang w:val="en-US" w:eastAsia="zh-CN"/>
        </w:rPr>
      </w:pPr>
    </w:p>
    <w:p w14:paraId="356FB99B">
      <w:pPr>
        <w:bidi w:val="0"/>
        <w:rPr>
          <w:rFonts w:hint="default"/>
          <w:lang w:val="en-US" w:eastAsia="zh-CN"/>
        </w:rPr>
      </w:pPr>
    </w:p>
    <w:p w14:paraId="7E5C4115">
      <w:pPr>
        <w:bidi w:val="0"/>
        <w:rPr>
          <w:rFonts w:hint="default"/>
          <w:lang w:val="en-US" w:eastAsia="zh-CN"/>
        </w:rPr>
      </w:pPr>
    </w:p>
    <w:p w14:paraId="73671254">
      <w:pPr>
        <w:bidi w:val="0"/>
        <w:rPr>
          <w:rFonts w:hint="default"/>
          <w:lang w:val="en-US" w:eastAsia="zh-CN"/>
        </w:rPr>
      </w:pPr>
    </w:p>
    <w:p w14:paraId="2C2E0038">
      <w:pPr>
        <w:bidi w:val="0"/>
        <w:rPr>
          <w:rFonts w:hint="default"/>
          <w:lang w:val="en-US" w:eastAsia="zh-CN"/>
        </w:rPr>
      </w:pPr>
    </w:p>
    <w:p w14:paraId="57A423B9">
      <w:pPr>
        <w:bidi w:val="0"/>
        <w:rPr>
          <w:rFonts w:hint="default"/>
          <w:lang w:val="en-US" w:eastAsia="zh-CN"/>
        </w:rPr>
      </w:pPr>
    </w:p>
    <w:p w14:paraId="505DA3E0">
      <w:pPr>
        <w:bidi w:val="0"/>
        <w:rPr>
          <w:rFonts w:hint="default"/>
          <w:lang w:val="en-US" w:eastAsia="zh-CN"/>
        </w:rPr>
      </w:pPr>
    </w:p>
    <w:p w14:paraId="3E832954">
      <w:pPr>
        <w:rPr>
          <w:rFonts w:hint="default"/>
          <w:b/>
          <w:bCs/>
          <w:sz w:val="28"/>
          <w:szCs w:val="28"/>
          <w:lang w:val="en-US" w:eastAsia="zh-CN"/>
        </w:rPr>
      </w:pPr>
    </w:p>
    <w:p w14:paraId="016C7A02">
      <w:pPr>
        <w:rPr>
          <w:rFonts w:hint="default"/>
          <w:b/>
          <w:bCs/>
          <w:sz w:val="28"/>
          <w:szCs w:val="28"/>
          <w:lang w:val="en-US" w:eastAsia="zh-CN"/>
        </w:rPr>
      </w:pPr>
    </w:p>
    <w:p w14:paraId="31CD93C8">
      <w:pPr>
        <w:pStyle w:val="13"/>
        <w:bidi w:val="0"/>
        <w:rPr>
          <w:rFonts w:hint="default"/>
          <w:lang w:val="en-US" w:eastAsia="zh-CN"/>
        </w:rPr>
      </w:pPr>
      <w:bookmarkStart w:id="32" w:name="_Toc4231"/>
    </w:p>
    <w:p w14:paraId="606AC9E3">
      <w:pPr>
        <w:pStyle w:val="13"/>
        <w:bidi w:val="0"/>
        <w:rPr>
          <w:rFonts w:hint="default"/>
          <w:lang w:val="en-US" w:eastAsia="zh-CN"/>
        </w:rPr>
      </w:pPr>
    </w:p>
    <w:p w14:paraId="1B2C607E">
      <w:pPr>
        <w:pStyle w:val="13"/>
        <w:bidi w:val="0"/>
        <w:rPr>
          <w:rFonts w:hint="default"/>
          <w:lang w:val="en-US" w:eastAsia="zh-CN"/>
        </w:rPr>
      </w:pPr>
    </w:p>
    <w:p w14:paraId="610D0C5D">
      <w:pPr>
        <w:pStyle w:val="13"/>
        <w:bidi w:val="0"/>
        <w:rPr>
          <w:rFonts w:hint="default"/>
          <w:lang w:val="en-US" w:eastAsia="zh-CN"/>
        </w:rPr>
      </w:pPr>
    </w:p>
    <w:p w14:paraId="2BA1FBCD">
      <w:pPr>
        <w:pStyle w:val="13"/>
        <w:bidi w:val="0"/>
        <w:rPr>
          <w:rFonts w:hint="default"/>
          <w:lang w:val="en-US" w:eastAsia="zh-CN"/>
        </w:rPr>
      </w:pPr>
    </w:p>
    <w:p w14:paraId="472AC724">
      <w:pPr>
        <w:pStyle w:val="13"/>
        <w:bidi w:val="0"/>
        <w:rPr>
          <w:rFonts w:hint="default"/>
          <w:lang w:val="en-US" w:eastAsia="zh-CN"/>
        </w:rPr>
      </w:pPr>
    </w:p>
    <w:p w14:paraId="4A23290D">
      <w:pPr>
        <w:pStyle w:val="13"/>
        <w:bidi w:val="0"/>
        <w:rPr>
          <w:rFonts w:hint="default"/>
          <w:lang w:val="en-US" w:eastAsia="zh-CN"/>
        </w:rPr>
      </w:pPr>
    </w:p>
    <w:p w14:paraId="07D20827">
      <w:pPr>
        <w:pStyle w:val="13"/>
        <w:bidi w:val="0"/>
        <w:rPr>
          <w:rFonts w:hint="default"/>
          <w:lang w:val="en-US" w:eastAsia="zh-CN"/>
        </w:rPr>
      </w:pPr>
    </w:p>
    <w:p w14:paraId="4148B046">
      <w:pPr>
        <w:pStyle w:val="13"/>
        <w:bidi w:val="0"/>
        <w:rPr>
          <w:rFonts w:hint="default"/>
          <w:lang w:val="en-US" w:eastAsia="zh-CN"/>
        </w:rPr>
      </w:pPr>
    </w:p>
    <w:p w14:paraId="6FFB5ACA">
      <w:pPr>
        <w:pStyle w:val="13"/>
        <w:bidi w:val="0"/>
        <w:rPr>
          <w:rFonts w:hint="default"/>
          <w:lang w:val="en-US" w:eastAsia="zh-CN"/>
        </w:rPr>
      </w:pPr>
    </w:p>
    <w:p w14:paraId="75EFBA76">
      <w:pPr>
        <w:pStyle w:val="13"/>
        <w:bidi w:val="0"/>
        <w:rPr>
          <w:rFonts w:hint="default"/>
          <w:lang w:val="en-US" w:eastAsia="zh-CN"/>
        </w:rPr>
      </w:pPr>
    </w:p>
    <w:p w14:paraId="07886E0F">
      <w:pPr>
        <w:pStyle w:val="13"/>
        <w:bidi w:val="0"/>
        <w:rPr>
          <w:rFonts w:hint="default"/>
          <w:lang w:val="en-US" w:eastAsia="zh-CN"/>
        </w:rPr>
      </w:pPr>
      <w:r>
        <w:rPr>
          <w:rFonts w:hint="default"/>
          <w:lang w:val="en-US" w:eastAsia="zh-CN"/>
        </w:rPr>
        <w:t>References</w:t>
      </w:r>
      <w:bookmarkEnd w:id="32"/>
    </w:p>
    <w:p w14:paraId="6A8355C8">
      <w:pPr>
        <w:rPr>
          <w:rFonts w:hint="default"/>
          <w:lang w:val="en-US" w:eastAsia="zh-CN"/>
        </w:rPr>
      </w:pPr>
      <w:r>
        <w:rPr>
          <w:rFonts w:hint="default"/>
          <w:lang w:val="en-US" w:eastAsia="zh-CN"/>
        </w:rPr>
        <w:t>Barney, J. (1991) ‘Firm resources and sustained competitive advantage’, </w:t>
      </w:r>
      <w:r>
        <w:rPr>
          <w:rFonts w:hint="default"/>
          <w:i/>
          <w:iCs/>
          <w:lang w:val="en-US" w:eastAsia="zh-CN"/>
        </w:rPr>
        <w:t>Journal of Management</w:t>
      </w:r>
      <w:r>
        <w:rPr>
          <w:rFonts w:hint="default"/>
          <w:lang w:val="en-US" w:eastAsia="zh-CN"/>
        </w:rPr>
        <w:t>, 17(1), pp. 99–120.</w:t>
      </w:r>
    </w:p>
    <w:p w14:paraId="57560ACD">
      <w:pPr>
        <w:tabs>
          <w:tab w:val="left" w:pos="758"/>
        </w:tabs>
        <w:bidi w:val="0"/>
        <w:jc w:val="left"/>
        <w:rPr>
          <w:rFonts w:hint="default"/>
          <w:lang w:val="en-US" w:eastAsia="zh-CN"/>
        </w:rPr>
      </w:pPr>
    </w:p>
    <w:p w14:paraId="558865BF">
      <w:pPr>
        <w:tabs>
          <w:tab w:val="left" w:pos="758"/>
        </w:tabs>
        <w:bidi w:val="0"/>
        <w:jc w:val="left"/>
        <w:rPr>
          <w:rFonts w:hint="default"/>
          <w:lang w:val="en-US" w:eastAsia="zh-CN"/>
        </w:rPr>
      </w:pPr>
      <w:r>
        <w:rPr>
          <w:rFonts w:hint="default"/>
          <w:lang w:val="en-US" w:eastAsia="zh-CN"/>
        </w:rPr>
        <w:t>Coase, R.H. (1937) ‘The nature of the firm’, </w:t>
      </w:r>
      <w:r>
        <w:rPr>
          <w:rFonts w:hint="default"/>
          <w:i/>
          <w:iCs/>
          <w:lang w:val="en-US" w:eastAsia="zh-CN"/>
        </w:rPr>
        <w:t>Economica</w:t>
      </w:r>
      <w:r>
        <w:rPr>
          <w:rFonts w:hint="default"/>
          <w:lang w:val="en-US" w:eastAsia="zh-CN"/>
        </w:rPr>
        <w:t>, 4(16), pp. 386–405.</w:t>
      </w:r>
    </w:p>
    <w:p w14:paraId="5C8E1F4B">
      <w:pPr>
        <w:tabs>
          <w:tab w:val="left" w:pos="758"/>
        </w:tabs>
        <w:bidi w:val="0"/>
        <w:jc w:val="left"/>
        <w:rPr>
          <w:rFonts w:hint="default"/>
          <w:lang w:val="en-US" w:eastAsia="zh-CN"/>
        </w:rPr>
      </w:pPr>
    </w:p>
    <w:p w14:paraId="6F4ABEF0">
      <w:pPr>
        <w:tabs>
          <w:tab w:val="left" w:pos="758"/>
        </w:tabs>
        <w:bidi w:val="0"/>
        <w:jc w:val="left"/>
        <w:rPr>
          <w:rFonts w:hint="default"/>
          <w:lang w:val="en-US" w:eastAsia="zh-CN"/>
        </w:rPr>
      </w:pPr>
      <w:r>
        <w:rPr>
          <w:rFonts w:hint="default"/>
          <w:lang w:val="en-US" w:eastAsia="zh-CN"/>
        </w:rPr>
        <w:t>Crémer, J. et al. (2019) </w:t>
      </w:r>
      <w:r>
        <w:rPr>
          <w:rFonts w:hint="default"/>
          <w:i/>
          <w:iCs/>
          <w:lang w:val="en-US" w:eastAsia="zh-CN"/>
        </w:rPr>
        <w:t>Competition policy for the digital era</w:t>
      </w:r>
      <w:r>
        <w:rPr>
          <w:rFonts w:hint="default"/>
          <w:lang w:val="en-US" w:eastAsia="zh-CN"/>
        </w:rPr>
        <w:t>. Luxembourg: Publications Office of the European Union.</w:t>
      </w:r>
    </w:p>
    <w:p w14:paraId="73F35C8B">
      <w:pPr>
        <w:tabs>
          <w:tab w:val="left" w:pos="758"/>
        </w:tabs>
        <w:bidi w:val="0"/>
        <w:jc w:val="left"/>
        <w:rPr>
          <w:rFonts w:hint="default"/>
          <w:lang w:val="en-US" w:eastAsia="zh-CN"/>
        </w:rPr>
      </w:pPr>
    </w:p>
    <w:p w14:paraId="43CE0736">
      <w:pPr>
        <w:tabs>
          <w:tab w:val="left" w:pos="758"/>
        </w:tabs>
        <w:bidi w:val="0"/>
        <w:jc w:val="left"/>
        <w:rPr>
          <w:rFonts w:hint="default"/>
          <w:lang w:val="en-US" w:eastAsia="zh-CN"/>
        </w:rPr>
      </w:pPr>
      <w:r>
        <w:rPr>
          <w:rFonts w:hint="default"/>
          <w:lang w:val="en-US" w:eastAsia="zh-CN"/>
        </w:rPr>
        <w:t>European Commission (2016)</w:t>
      </w:r>
      <w:r>
        <w:rPr>
          <w:rFonts w:hint="default"/>
          <w:i/>
          <w:iCs/>
          <w:lang w:val="en-US" w:eastAsia="zh-CN"/>
        </w:rPr>
        <w:t> Case M.8124 – Microsoft/LinkedIn</w:t>
      </w:r>
      <w:r>
        <w:rPr>
          <w:rFonts w:hint="default"/>
          <w:lang w:val="en-US" w:eastAsia="zh-CN"/>
        </w:rPr>
        <w:t>. Available at: </w:t>
      </w:r>
      <w:r>
        <w:rPr>
          <w:rFonts w:hint="default"/>
          <w:lang w:val="en-US" w:eastAsia="zh-CN"/>
        </w:rPr>
        <w:fldChar w:fldCharType="begin"/>
      </w:r>
      <w:r>
        <w:rPr>
          <w:rFonts w:hint="default"/>
          <w:lang w:val="en-US" w:eastAsia="zh-CN"/>
        </w:rPr>
        <w:instrText xml:space="preserve"> HYPERLINK "https://ec.europa.eu/" \t "https://chat.deepseek.com/a/chat/s/_blank" </w:instrText>
      </w:r>
      <w:r>
        <w:rPr>
          <w:rFonts w:hint="default"/>
          <w:lang w:val="en-US" w:eastAsia="zh-CN"/>
        </w:rPr>
        <w:fldChar w:fldCharType="separate"/>
      </w:r>
      <w:r>
        <w:rPr>
          <w:rFonts w:hint="default"/>
          <w:lang w:val="en-US" w:eastAsia="zh-CN"/>
        </w:rPr>
        <w:t>https://ec.europa.eu</w:t>
      </w:r>
      <w:r>
        <w:rPr>
          <w:rFonts w:hint="default"/>
          <w:lang w:val="en-US" w:eastAsia="zh-CN"/>
        </w:rPr>
        <w:fldChar w:fldCharType="end"/>
      </w:r>
      <w:r>
        <w:rPr>
          <w:rFonts w:hint="default"/>
          <w:lang w:val="en-US" w:eastAsia="zh-CN"/>
        </w:rPr>
        <w:t> (Accessed: 10 December 2023).</w:t>
      </w:r>
    </w:p>
    <w:p w14:paraId="1DCADD4C">
      <w:pPr>
        <w:tabs>
          <w:tab w:val="left" w:pos="758"/>
        </w:tabs>
        <w:bidi w:val="0"/>
        <w:jc w:val="left"/>
        <w:rPr>
          <w:rFonts w:hint="default"/>
          <w:lang w:val="en-US" w:eastAsia="zh-CN"/>
        </w:rPr>
      </w:pPr>
    </w:p>
    <w:p w14:paraId="15ECB906">
      <w:pPr>
        <w:tabs>
          <w:tab w:val="left" w:pos="758"/>
        </w:tabs>
        <w:bidi w:val="0"/>
        <w:jc w:val="left"/>
        <w:rPr>
          <w:rFonts w:hint="default"/>
          <w:lang w:val="en-US" w:eastAsia="zh-CN"/>
        </w:rPr>
      </w:pPr>
      <w:r>
        <w:rPr>
          <w:rFonts w:hint="default"/>
          <w:lang w:val="en-US" w:eastAsia="zh-CN"/>
        </w:rPr>
        <w:t>Gartner (2018) Customer service benchmarks report. Stamford: Gartner Inc.</w:t>
      </w:r>
    </w:p>
    <w:p w14:paraId="282E6C15">
      <w:pPr>
        <w:tabs>
          <w:tab w:val="left" w:pos="758"/>
        </w:tabs>
        <w:bidi w:val="0"/>
        <w:jc w:val="left"/>
        <w:rPr>
          <w:rFonts w:hint="default"/>
          <w:lang w:val="en-US" w:eastAsia="zh-CN"/>
        </w:rPr>
      </w:pPr>
    </w:p>
    <w:p w14:paraId="65ABEB08">
      <w:pPr>
        <w:tabs>
          <w:tab w:val="left" w:pos="758"/>
        </w:tabs>
        <w:bidi w:val="0"/>
        <w:jc w:val="left"/>
        <w:rPr>
          <w:rFonts w:hint="default"/>
          <w:lang w:val="en-US" w:eastAsia="zh-CN"/>
        </w:rPr>
      </w:pPr>
      <w:r>
        <w:rPr>
          <w:rFonts w:hint="default"/>
          <w:lang w:val="en-US" w:eastAsia="zh-CN"/>
        </w:rPr>
        <w:t>Helfat, C. et al. (2007) </w:t>
      </w:r>
      <w:r>
        <w:rPr>
          <w:rFonts w:hint="default"/>
          <w:i/>
          <w:iCs/>
          <w:lang w:val="en-US" w:eastAsia="zh-CN"/>
        </w:rPr>
        <w:t>Dynamic capabilities: Understanding strategic change in organizations</w:t>
      </w:r>
      <w:r>
        <w:rPr>
          <w:rFonts w:hint="default"/>
          <w:lang w:val="en-US" w:eastAsia="zh-CN"/>
        </w:rPr>
        <w:t>. Malden: Blackwell Publishing.</w:t>
      </w:r>
    </w:p>
    <w:p w14:paraId="7D26E539">
      <w:pPr>
        <w:tabs>
          <w:tab w:val="left" w:pos="758"/>
        </w:tabs>
        <w:bidi w:val="0"/>
        <w:jc w:val="left"/>
        <w:rPr>
          <w:rFonts w:hint="default"/>
          <w:lang w:val="en-US" w:eastAsia="zh-CN"/>
        </w:rPr>
      </w:pPr>
    </w:p>
    <w:p w14:paraId="0B78F812">
      <w:pPr>
        <w:tabs>
          <w:tab w:val="left" w:pos="758"/>
        </w:tabs>
        <w:bidi w:val="0"/>
        <w:jc w:val="left"/>
        <w:rPr>
          <w:rFonts w:hint="default"/>
          <w:lang w:val="en-US" w:eastAsia="zh-CN"/>
        </w:rPr>
      </w:pPr>
      <w:r>
        <w:rPr>
          <w:rFonts w:hint="default"/>
          <w:lang w:val="en-US" w:eastAsia="zh-CN"/>
        </w:rPr>
        <w:t>HRMAC (2021) </w:t>
      </w:r>
      <w:r>
        <w:rPr>
          <w:rFonts w:hint="default"/>
          <w:i/>
          <w:iCs/>
          <w:lang w:val="en-US" w:eastAsia="zh-CN"/>
        </w:rPr>
        <w:t>Corporate hiring cost survey</w:t>
      </w:r>
      <w:r>
        <w:rPr>
          <w:rFonts w:hint="default"/>
          <w:lang w:val="en-US" w:eastAsia="zh-CN"/>
        </w:rPr>
        <w:t>. Chicago: Human Resource Management Association of Chicago.</w:t>
      </w:r>
    </w:p>
    <w:p w14:paraId="248D0B10">
      <w:pPr>
        <w:tabs>
          <w:tab w:val="left" w:pos="758"/>
        </w:tabs>
        <w:bidi w:val="0"/>
        <w:jc w:val="left"/>
        <w:rPr>
          <w:rFonts w:hint="default"/>
          <w:lang w:val="en-US" w:eastAsia="zh-CN"/>
        </w:rPr>
      </w:pPr>
    </w:p>
    <w:p w14:paraId="48040713">
      <w:pPr>
        <w:tabs>
          <w:tab w:val="left" w:pos="758"/>
        </w:tabs>
        <w:bidi w:val="0"/>
        <w:jc w:val="left"/>
        <w:rPr>
          <w:rFonts w:hint="default"/>
          <w:lang w:val="en-US" w:eastAsia="zh-CN"/>
        </w:rPr>
      </w:pPr>
      <w:r>
        <w:rPr>
          <w:rFonts w:hint="default"/>
          <w:lang w:val="en-US" w:eastAsia="zh-CN"/>
        </w:rPr>
        <w:t>Iansiti, M. and Lakhani, K. (2017) ‘Managing our hub economy’, </w:t>
      </w:r>
      <w:r>
        <w:rPr>
          <w:rFonts w:hint="default"/>
          <w:i/>
          <w:iCs/>
          <w:lang w:val="en-US" w:eastAsia="zh-CN"/>
        </w:rPr>
        <w:t>Harvard Business Review</w:t>
      </w:r>
      <w:r>
        <w:rPr>
          <w:rFonts w:hint="default"/>
          <w:lang w:val="en-US" w:eastAsia="zh-CN"/>
        </w:rPr>
        <w:t>, 95(5), pp. 60–71.</w:t>
      </w:r>
    </w:p>
    <w:p w14:paraId="4FBA13B1">
      <w:pPr>
        <w:tabs>
          <w:tab w:val="left" w:pos="758"/>
        </w:tabs>
        <w:bidi w:val="0"/>
        <w:jc w:val="left"/>
        <w:rPr>
          <w:rFonts w:hint="default"/>
          <w:lang w:val="en-US" w:eastAsia="zh-CN"/>
        </w:rPr>
      </w:pPr>
    </w:p>
    <w:p w14:paraId="59BEBB7D">
      <w:pPr>
        <w:tabs>
          <w:tab w:val="left" w:pos="758"/>
        </w:tabs>
        <w:bidi w:val="0"/>
        <w:jc w:val="left"/>
        <w:rPr>
          <w:rFonts w:hint="default"/>
          <w:lang w:val="en-US" w:eastAsia="zh-CN"/>
        </w:rPr>
      </w:pPr>
      <w:r>
        <w:rPr>
          <w:rFonts w:hint="default"/>
          <w:lang w:val="en-US" w:eastAsia="zh-CN"/>
        </w:rPr>
        <w:t>IDC (2022) </w:t>
      </w:r>
      <w:r>
        <w:rPr>
          <w:rFonts w:hint="default"/>
          <w:i/>
          <w:iCs/>
          <w:lang w:val="en-US" w:eastAsia="zh-CN"/>
        </w:rPr>
        <w:t>Worldwide HR SaaS market share report.</w:t>
      </w:r>
      <w:r>
        <w:rPr>
          <w:rFonts w:hint="default"/>
          <w:lang w:val="en-US" w:eastAsia="zh-CN"/>
        </w:rPr>
        <w:t xml:space="preserve"> Framingham: International Data Corporation.</w:t>
      </w:r>
    </w:p>
    <w:p w14:paraId="1C087818">
      <w:pPr>
        <w:tabs>
          <w:tab w:val="left" w:pos="758"/>
        </w:tabs>
        <w:bidi w:val="0"/>
        <w:jc w:val="left"/>
        <w:rPr>
          <w:rFonts w:hint="default"/>
          <w:lang w:val="en-US" w:eastAsia="zh-CN"/>
        </w:rPr>
      </w:pPr>
    </w:p>
    <w:p w14:paraId="33640FA8">
      <w:pPr>
        <w:tabs>
          <w:tab w:val="left" w:pos="758"/>
        </w:tabs>
        <w:bidi w:val="0"/>
        <w:jc w:val="left"/>
        <w:rPr>
          <w:rFonts w:hint="default"/>
          <w:lang w:val="en-US" w:eastAsia="zh-CN"/>
        </w:rPr>
      </w:pPr>
      <w:r>
        <w:rPr>
          <w:rFonts w:hint="default"/>
          <w:lang w:val="en-US" w:eastAsia="zh-CN"/>
        </w:rPr>
        <w:t>IDC (2023) </w:t>
      </w:r>
      <w:r>
        <w:rPr>
          <w:rFonts w:hint="default"/>
          <w:i/>
          <w:iCs/>
          <w:lang w:val="en-US" w:eastAsia="zh-CN"/>
        </w:rPr>
        <w:t>Enterprise software ecosystem adoption study</w:t>
      </w:r>
      <w:r>
        <w:rPr>
          <w:rFonts w:hint="default"/>
          <w:lang w:val="en-US" w:eastAsia="zh-CN"/>
        </w:rPr>
        <w:t>. Framingham: International Data Corporation.</w:t>
      </w:r>
    </w:p>
    <w:p w14:paraId="73A1E4B6">
      <w:pPr>
        <w:tabs>
          <w:tab w:val="left" w:pos="758"/>
        </w:tabs>
        <w:bidi w:val="0"/>
        <w:jc w:val="left"/>
        <w:rPr>
          <w:rFonts w:hint="default"/>
          <w:lang w:val="en-US" w:eastAsia="zh-CN"/>
        </w:rPr>
      </w:pPr>
    </w:p>
    <w:p w14:paraId="6FDAFC39">
      <w:pPr>
        <w:tabs>
          <w:tab w:val="left" w:pos="758"/>
        </w:tabs>
        <w:bidi w:val="0"/>
        <w:jc w:val="left"/>
        <w:rPr>
          <w:rFonts w:hint="default"/>
          <w:lang w:val="en-US" w:eastAsia="zh-CN"/>
        </w:rPr>
      </w:pPr>
      <w:r>
        <w:rPr>
          <w:rFonts w:hint="default"/>
          <w:lang w:val="en-US" w:eastAsia="zh-CN"/>
        </w:rPr>
        <w:t>Jensen, M.C. and Ruback, R.S. (1983) ‘The market for corporate control’, </w:t>
      </w:r>
      <w:r>
        <w:rPr>
          <w:rFonts w:hint="default"/>
          <w:i/>
          <w:iCs/>
          <w:lang w:val="en-US" w:eastAsia="zh-CN"/>
        </w:rPr>
        <w:t>Journal of Financial Economics,</w:t>
      </w:r>
      <w:r>
        <w:rPr>
          <w:rFonts w:hint="default"/>
          <w:lang w:val="en-US" w:eastAsia="zh-CN"/>
        </w:rPr>
        <w:t xml:space="preserve"> 11(1–4), pp. 5–50.</w:t>
      </w:r>
    </w:p>
    <w:p w14:paraId="536DC487">
      <w:pPr>
        <w:tabs>
          <w:tab w:val="left" w:pos="758"/>
        </w:tabs>
        <w:bidi w:val="0"/>
        <w:jc w:val="left"/>
        <w:rPr>
          <w:rFonts w:hint="default"/>
          <w:lang w:val="en-US" w:eastAsia="zh-CN"/>
        </w:rPr>
      </w:pPr>
    </w:p>
    <w:p w14:paraId="225CAD30">
      <w:pPr>
        <w:tabs>
          <w:tab w:val="left" w:pos="758"/>
        </w:tabs>
        <w:bidi w:val="0"/>
        <w:jc w:val="left"/>
        <w:rPr>
          <w:rFonts w:hint="default"/>
          <w:lang w:val="en-US" w:eastAsia="zh-CN"/>
        </w:rPr>
      </w:pPr>
      <w:r>
        <w:rPr>
          <w:rFonts w:hint="default"/>
          <w:lang w:val="en-US" w:eastAsia="zh-CN"/>
        </w:rPr>
        <w:t>Khan, L. (2017) ‘Amazon’s antitrust paradox’, </w:t>
      </w:r>
      <w:r>
        <w:rPr>
          <w:rFonts w:hint="default"/>
          <w:i/>
          <w:iCs/>
          <w:lang w:val="en-US" w:eastAsia="zh-CN"/>
        </w:rPr>
        <w:t>Yale Law Journal</w:t>
      </w:r>
      <w:r>
        <w:rPr>
          <w:rFonts w:hint="default"/>
          <w:lang w:val="en-US" w:eastAsia="zh-CN"/>
        </w:rPr>
        <w:t>, 126(3), pp. 710–805.</w:t>
      </w:r>
    </w:p>
    <w:p w14:paraId="19B0F35D">
      <w:pPr>
        <w:tabs>
          <w:tab w:val="left" w:pos="758"/>
        </w:tabs>
        <w:bidi w:val="0"/>
        <w:jc w:val="left"/>
        <w:rPr>
          <w:rFonts w:hint="default"/>
          <w:lang w:val="en-US" w:eastAsia="zh-CN"/>
        </w:rPr>
      </w:pPr>
    </w:p>
    <w:p w14:paraId="0E0D3620">
      <w:pPr>
        <w:tabs>
          <w:tab w:val="left" w:pos="758"/>
        </w:tabs>
        <w:bidi w:val="0"/>
        <w:jc w:val="left"/>
        <w:rPr>
          <w:rFonts w:hint="default"/>
          <w:lang w:val="en-US" w:eastAsia="zh-CN"/>
        </w:rPr>
      </w:pPr>
      <w:r>
        <w:rPr>
          <w:rFonts w:hint="default"/>
          <w:lang w:val="en-US" w:eastAsia="zh-CN"/>
        </w:rPr>
        <w:t>Microsoft (2016) </w:t>
      </w:r>
      <w:r>
        <w:rPr>
          <w:rFonts w:hint="default"/>
          <w:i/>
          <w:iCs/>
          <w:lang w:val="en-US" w:eastAsia="zh-CN"/>
        </w:rPr>
        <w:t>Form 10-K annual report</w:t>
      </w:r>
      <w:r>
        <w:rPr>
          <w:rFonts w:hint="default"/>
          <w:lang w:val="en-US" w:eastAsia="zh-CN"/>
        </w:rPr>
        <w:t>. Redmond: Microsoft Corporation.</w:t>
      </w:r>
    </w:p>
    <w:p w14:paraId="1EBDDE06">
      <w:pPr>
        <w:tabs>
          <w:tab w:val="left" w:pos="758"/>
        </w:tabs>
        <w:bidi w:val="0"/>
        <w:jc w:val="left"/>
        <w:rPr>
          <w:rFonts w:hint="default"/>
          <w:lang w:val="en-US" w:eastAsia="zh-CN"/>
        </w:rPr>
      </w:pPr>
    </w:p>
    <w:p w14:paraId="6027AF30">
      <w:pPr>
        <w:tabs>
          <w:tab w:val="left" w:pos="758"/>
        </w:tabs>
        <w:bidi w:val="0"/>
        <w:jc w:val="left"/>
        <w:rPr>
          <w:rFonts w:hint="default"/>
          <w:lang w:val="en-US" w:eastAsia="zh-CN"/>
        </w:rPr>
      </w:pPr>
      <w:r>
        <w:rPr>
          <w:rFonts w:hint="default"/>
          <w:lang w:val="en-US" w:eastAsia="zh-CN"/>
        </w:rPr>
        <w:t>Microsoft (2020) </w:t>
      </w:r>
      <w:r>
        <w:rPr>
          <w:rFonts w:hint="default"/>
          <w:i/>
          <w:iCs/>
          <w:lang w:val="en-US" w:eastAsia="zh-CN"/>
        </w:rPr>
        <w:t>LinkedIn integration with Dynamics 365 technical report</w:t>
      </w:r>
      <w:r>
        <w:rPr>
          <w:rFonts w:hint="default"/>
          <w:lang w:val="en-US" w:eastAsia="zh-CN"/>
        </w:rPr>
        <w:t>. Redmond: Microsoft Corporation.</w:t>
      </w:r>
    </w:p>
    <w:p w14:paraId="051DBCED">
      <w:pPr>
        <w:tabs>
          <w:tab w:val="left" w:pos="758"/>
        </w:tabs>
        <w:bidi w:val="0"/>
        <w:jc w:val="left"/>
        <w:rPr>
          <w:rFonts w:hint="default"/>
          <w:lang w:val="en-US" w:eastAsia="zh-CN"/>
        </w:rPr>
      </w:pPr>
    </w:p>
    <w:p w14:paraId="08133EDF">
      <w:pPr>
        <w:tabs>
          <w:tab w:val="left" w:pos="758"/>
        </w:tabs>
        <w:bidi w:val="0"/>
        <w:jc w:val="left"/>
        <w:rPr>
          <w:rFonts w:hint="default"/>
          <w:lang w:val="en-US" w:eastAsia="zh-CN"/>
        </w:rPr>
      </w:pPr>
      <w:r>
        <w:rPr>
          <w:rFonts w:hint="default"/>
          <w:lang w:val="en-US" w:eastAsia="zh-CN"/>
        </w:rPr>
        <w:t>Ponemon Institute (2021) </w:t>
      </w:r>
      <w:r>
        <w:rPr>
          <w:rFonts w:hint="default"/>
          <w:i/>
          <w:iCs/>
          <w:lang w:val="en-US" w:eastAsia="zh-CN"/>
        </w:rPr>
        <w:t>2021 cloud data breach costs report</w:t>
      </w:r>
      <w:r>
        <w:rPr>
          <w:rFonts w:hint="default"/>
          <w:lang w:val="en-US" w:eastAsia="zh-CN"/>
        </w:rPr>
        <w:t>. Traverse City: Ponemon Institute.</w:t>
      </w:r>
    </w:p>
    <w:p w14:paraId="1CA93772">
      <w:pPr>
        <w:tabs>
          <w:tab w:val="left" w:pos="758"/>
        </w:tabs>
        <w:bidi w:val="0"/>
        <w:jc w:val="left"/>
        <w:rPr>
          <w:rFonts w:hint="default"/>
          <w:lang w:val="en-US" w:eastAsia="zh-CN"/>
        </w:rPr>
      </w:pPr>
    </w:p>
    <w:p w14:paraId="7C76997B">
      <w:pPr>
        <w:tabs>
          <w:tab w:val="left" w:pos="758"/>
        </w:tabs>
        <w:bidi w:val="0"/>
        <w:jc w:val="left"/>
        <w:rPr>
          <w:rFonts w:hint="default"/>
          <w:lang w:val="en-US" w:eastAsia="zh-CN"/>
        </w:rPr>
      </w:pPr>
      <w:r>
        <w:rPr>
          <w:rFonts w:hint="default"/>
          <w:lang w:val="en-US" w:eastAsia="zh-CN"/>
        </w:rPr>
        <w:t>Porter, M.E. (1980)</w:t>
      </w:r>
      <w:r>
        <w:rPr>
          <w:rFonts w:hint="default"/>
          <w:i/>
          <w:iCs/>
          <w:lang w:val="en-US" w:eastAsia="zh-CN"/>
        </w:rPr>
        <w:t> Competitive strategy: Techniques for analyzing industries and competitors</w:t>
      </w:r>
      <w:r>
        <w:rPr>
          <w:rFonts w:hint="default"/>
          <w:lang w:val="en-US" w:eastAsia="zh-CN"/>
        </w:rPr>
        <w:t>. New York: Free Press.</w:t>
      </w:r>
    </w:p>
    <w:p w14:paraId="778C1ED5">
      <w:pPr>
        <w:tabs>
          <w:tab w:val="left" w:pos="758"/>
        </w:tabs>
        <w:bidi w:val="0"/>
        <w:jc w:val="left"/>
        <w:rPr>
          <w:rFonts w:hint="default"/>
          <w:lang w:val="en-US" w:eastAsia="zh-CN"/>
        </w:rPr>
      </w:pPr>
    </w:p>
    <w:p w14:paraId="75A7686C">
      <w:pPr>
        <w:tabs>
          <w:tab w:val="left" w:pos="758"/>
        </w:tabs>
        <w:bidi w:val="0"/>
        <w:jc w:val="left"/>
        <w:rPr>
          <w:rFonts w:hint="default"/>
          <w:lang w:val="en-US" w:eastAsia="zh-CN"/>
        </w:rPr>
      </w:pPr>
      <w:r>
        <w:rPr>
          <w:rFonts w:hint="default"/>
          <w:lang w:val="en-US" w:eastAsia="zh-CN"/>
        </w:rPr>
        <w:t>SEC (2022) </w:t>
      </w:r>
      <w:r>
        <w:rPr>
          <w:rFonts w:hint="default"/>
          <w:i/>
          <w:iCs/>
          <w:lang w:val="en-US" w:eastAsia="zh-CN"/>
        </w:rPr>
        <w:t>Microsoft-LinkedIn merger litigation settlement</w:t>
      </w:r>
      <w:r>
        <w:rPr>
          <w:rFonts w:hint="default"/>
          <w:lang w:val="en-US" w:eastAsia="zh-CN"/>
        </w:rPr>
        <w:t>. Available at: </w:t>
      </w:r>
      <w:r>
        <w:rPr>
          <w:rFonts w:hint="default"/>
          <w:lang w:val="en-US" w:eastAsia="zh-CN"/>
        </w:rPr>
        <w:fldChar w:fldCharType="begin"/>
      </w:r>
      <w:r>
        <w:rPr>
          <w:rFonts w:hint="default"/>
          <w:lang w:val="en-US" w:eastAsia="zh-CN"/>
        </w:rPr>
        <w:instrText xml:space="preserve"> HYPERLINK "https://www.sec.gov/" \t "https://chat.deepseek.com/a/chat/s/_blank" </w:instrText>
      </w:r>
      <w:r>
        <w:rPr>
          <w:rFonts w:hint="default"/>
          <w:lang w:val="en-US" w:eastAsia="zh-CN"/>
        </w:rPr>
        <w:fldChar w:fldCharType="separate"/>
      </w:r>
      <w:r>
        <w:rPr>
          <w:rFonts w:hint="default"/>
          <w:lang w:val="en-US" w:eastAsia="zh-CN"/>
        </w:rPr>
        <w:t>https://www.sec.gov</w:t>
      </w:r>
      <w:r>
        <w:rPr>
          <w:rFonts w:hint="default"/>
          <w:lang w:val="en-US" w:eastAsia="zh-CN"/>
        </w:rPr>
        <w:fldChar w:fldCharType="end"/>
      </w:r>
      <w:r>
        <w:rPr>
          <w:rFonts w:hint="default"/>
          <w:lang w:val="en-US" w:eastAsia="zh-CN"/>
        </w:rPr>
        <w:t> (Accessed: 5 June 2023).</w:t>
      </w:r>
    </w:p>
    <w:p w14:paraId="304D31DF">
      <w:pPr>
        <w:tabs>
          <w:tab w:val="left" w:pos="758"/>
        </w:tabs>
        <w:bidi w:val="0"/>
        <w:jc w:val="left"/>
        <w:rPr>
          <w:rFonts w:hint="default"/>
          <w:lang w:val="en-US" w:eastAsia="zh-CN"/>
        </w:rPr>
      </w:pPr>
    </w:p>
    <w:p w14:paraId="162FE957">
      <w:pPr>
        <w:tabs>
          <w:tab w:val="left" w:pos="758"/>
        </w:tabs>
        <w:bidi w:val="0"/>
        <w:jc w:val="left"/>
        <w:rPr>
          <w:rFonts w:hint="default"/>
          <w:lang w:val="en-US" w:eastAsia="zh-CN"/>
        </w:rPr>
      </w:pPr>
      <w:r>
        <w:rPr>
          <w:rFonts w:hint="default"/>
          <w:lang w:val="en-US" w:eastAsia="zh-CN"/>
        </w:rPr>
        <w:t>Statista (2017) </w:t>
      </w:r>
      <w:r>
        <w:rPr>
          <w:rFonts w:hint="default"/>
          <w:i/>
          <w:iCs/>
          <w:lang w:val="en-US" w:eastAsia="zh-CN"/>
        </w:rPr>
        <w:t>Professional social network market share</w:t>
      </w:r>
      <w:r>
        <w:rPr>
          <w:rFonts w:hint="default"/>
          <w:lang w:val="en-US" w:eastAsia="zh-CN"/>
        </w:rPr>
        <w:t>. Hamburg: Statista GmbH.</w:t>
      </w:r>
    </w:p>
    <w:p w14:paraId="7551F7F6">
      <w:pPr>
        <w:tabs>
          <w:tab w:val="left" w:pos="758"/>
        </w:tabs>
        <w:bidi w:val="0"/>
        <w:jc w:val="left"/>
        <w:rPr>
          <w:rFonts w:hint="default"/>
          <w:lang w:val="en-US" w:eastAsia="zh-CN"/>
        </w:rPr>
      </w:pPr>
    </w:p>
    <w:p w14:paraId="1EF8BB4C">
      <w:pPr>
        <w:tabs>
          <w:tab w:val="left" w:pos="758"/>
        </w:tabs>
        <w:bidi w:val="0"/>
        <w:jc w:val="left"/>
        <w:rPr>
          <w:rFonts w:hint="default"/>
          <w:lang w:val="en-US" w:eastAsia="zh-CN"/>
        </w:rPr>
      </w:pPr>
      <w:r>
        <w:rPr>
          <w:rFonts w:hint="default"/>
          <w:lang w:val="en-US" w:eastAsia="zh-CN"/>
        </w:rPr>
        <w:t>Statista (2022) </w:t>
      </w:r>
      <w:r>
        <w:rPr>
          <w:rFonts w:hint="default"/>
          <w:i/>
          <w:iCs/>
          <w:lang w:val="en-US" w:eastAsia="zh-CN"/>
        </w:rPr>
        <w:t>Enterprise SaaS growth statistics</w:t>
      </w:r>
      <w:r>
        <w:rPr>
          <w:rFonts w:hint="default"/>
          <w:lang w:val="en-US" w:eastAsia="zh-CN"/>
        </w:rPr>
        <w:t>. Hamburg: Statista GmbH.</w:t>
      </w:r>
    </w:p>
    <w:p w14:paraId="6FD3D8D3">
      <w:pPr>
        <w:tabs>
          <w:tab w:val="left" w:pos="758"/>
        </w:tabs>
        <w:bidi w:val="0"/>
        <w:jc w:val="left"/>
        <w:rPr>
          <w:rFonts w:hint="default"/>
          <w:lang w:val="en-US" w:eastAsia="zh-CN"/>
        </w:rPr>
      </w:pPr>
    </w:p>
    <w:p w14:paraId="68257773">
      <w:pPr>
        <w:tabs>
          <w:tab w:val="left" w:pos="758"/>
        </w:tabs>
        <w:bidi w:val="0"/>
        <w:jc w:val="left"/>
        <w:rPr>
          <w:rFonts w:hint="default"/>
          <w:lang w:val="en-US" w:eastAsia="zh-CN"/>
        </w:rPr>
      </w:pPr>
      <w:r>
        <w:rPr>
          <w:rFonts w:hint="default"/>
          <w:lang w:val="en-US" w:eastAsia="zh-CN"/>
        </w:rPr>
        <w:t>Stucke, M.E. (2018) ‘Should we fear digital platforms?’, </w:t>
      </w:r>
      <w:r>
        <w:rPr>
          <w:rFonts w:hint="default"/>
          <w:i/>
          <w:iCs/>
          <w:lang w:val="en-US" w:eastAsia="zh-CN"/>
        </w:rPr>
        <w:t>Journal of Competition Law &amp; Economics</w:t>
      </w:r>
      <w:r>
        <w:rPr>
          <w:rFonts w:hint="default"/>
          <w:lang w:val="en-US" w:eastAsia="zh-CN"/>
        </w:rPr>
        <w:t>, 14(1), pp. 1–27.</w:t>
      </w:r>
    </w:p>
    <w:p w14:paraId="4E3FDB91">
      <w:pPr>
        <w:tabs>
          <w:tab w:val="left" w:pos="758"/>
        </w:tabs>
        <w:bidi w:val="0"/>
        <w:jc w:val="left"/>
        <w:rPr>
          <w:rFonts w:hint="default"/>
          <w:lang w:val="en-US" w:eastAsia="zh-CN"/>
        </w:rPr>
      </w:pPr>
    </w:p>
    <w:p w14:paraId="172E4BEB">
      <w:pPr>
        <w:tabs>
          <w:tab w:val="left" w:pos="758"/>
        </w:tabs>
        <w:bidi w:val="0"/>
        <w:jc w:val="left"/>
        <w:rPr>
          <w:rFonts w:hint="default"/>
          <w:lang w:val="en-US" w:eastAsia="zh-CN"/>
        </w:rPr>
      </w:pPr>
      <w:r>
        <w:rPr>
          <w:rFonts w:hint="default"/>
          <w:lang w:val="en-US" w:eastAsia="zh-CN"/>
        </w:rPr>
        <w:t>The Information (2018) </w:t>
      </w:r>
      <w:r>
        <w:rPr>
          <w:rFonts w:hint="default"/>
          <w:i/>
          <w:iCs/>
          <w:lang w:val="en-US" w:eastAsia="zh-CN"/>
        </w:rPr>
        <w:t>Inside Microsoft-LinkedIn culture clash</w:t>
      </w:r>
      <w:r>
        <w:rPr>
          <w:rFonts w:hint="default"/>
          <w:lang w:val="en-US" w:eastAsia="zh-CN"/>
        </w:rPr>
        <w:t>. Available at: </w:t>
      </w:r>
      <w:r>
        <w:rPr>
          <w:rFonts w:hint="default"/>
          <w:lang w:val="en-US" w:eastAsia="zh-CN"/>
        </w:rPr>
        <w:fldChar w:fldCharType="begin"/>
      </w:r>
      <w:r>
        <w:rPr>
          <w:rFonts w:hint="default"/>
          <w:lang w:val="en-US" w:eastAsia="zh-CN"/>
        </w:rPr>
        <w:instrText xml:space="preserve"> HYPERLINK "https://www.theinformation.com/" \t "https://chat.deepseek.com/a/chat/s/_blank" </w:instrText>
      </w:r>
      <w:r>
        <w:rPr>
          <w:rFonts w:hint="default"/>
          <w:lang w:val="en-US" w:eastAsia="zh-CN"/>
        </w:rPr>
        <w:fldChar w:fldCharType="separate"/>
      </w:r>
      <w:r>
        <w:rPr>
          <w:rFonts w:hint="default"/>
          <w:lang w:val="en-US" w:eastAsia="zh-CN"/>
        </w:rPr>
        <w:t>https://www.theinformation.com</w:t>
      </w:r>
      <w:r>
        <w:rPr>
          <w:rFonts w:hint="default"/>
          <w:lang w:val="en-US" w:eastAsia="zh-CN"/>
        </w:rPr>
        <w:fldChar w:fldCharType="end"/>
      </w:r>
      <w:r>
        <w:rPr>
          <w:rFonts w:hint="default"/>
          <w:lang w:val="en-US" w:eastAsia="zh-CN"/>
        </w:rPr>
        <w:t> (Accessed: 15 March 2023).</w:t>
      </w:r>
    </w:p>
    <w:p w14:paraId="6AC7AAB3">
      <w:pPr>
        <w:tabs>
          <w:tab w:val="left" w:pos="758"/>
        </w:tabs>
        <w:bidi w:val="0"/>
        <w:jc w:val="left"/>
        <w:rPr>
          <w:rFonts w:hint="default"/>
          <w:lang w:val="en-US" w:eastAsia="zh-CN"/>
        </w:rPr>
      </w:pPr>
    </w:p>
    <w:p w14:paraId="66192A2A">
      <w:pPr>
        <w:tabs>
          <w:tab w:val="left" w:pos="758"/>
        </w:tabs>
        <w:bidi w:val="0"/>
        <w:jc w:val="left"/>
        <w:rPr>
          <w:rFonts w:hint="default"/>
          <w:lang w:val="en-US" w:eastAsia="zh-CN"/>
        </w:rPr>
      </w:pPr>
      <w:r>
        <w:rPr>
          <w:rFonts w:hint="default"/>
          <w:lang w:val="en-US" w:eastAsia="zh-CN"/>
        </w:rPr>
        <w:t>Trautwein, F. (1990) ‘Merger motives and merger prescriptions’, </w:t>
      </w:r>
      <w:r>
        <w:rPr>
          <w:rFonts w:hint="default"/>
          <w:i/>
          <w:iCs/>
          <w:lang w:val="en-US" w:eastAsia="zh-CN"/>
        </w:rPr>
        <w:t>Strategic Management Journal</w:t>
      </w:r>
      <w:r>
        <w:rPr>
          <w:rFonts w:hint="default"/>
          <w:lang w:val="en-US" w:eastAsia="zh-CN"/>
        </w:rPr>
        <w:t>, 11(4), pp. 283–295.</w:t>
      </w:r>
    </w:p>
    <w:p w14:paraId="48BFB4C8">
      <w:pPr>
        <w:tabs>
          <w:tab w:val="left" w:pos="758"/>
        </w:tabs>
        <w:bidi w:val="0"/>
        <w:jc w:val="left"/>
        <w:rPr>
          <w:rFonts w:hint="default"/>
          <w:lang w:val="en-US" w:eastAsia="zh-CN"/>
        </w:rPr>
      </w:pPr>
    </w:p>
    <w:p w14:paraId="733B2B0A">
      <w:pPr>
        <w:tabs>
          <w:tab w:val="left" w:pos="758"/>
        </w:tabs>
        <w:bidi w:val="0"/>
        <w:jc w:val="left"/>
        <w:rPr>
          <w:rFonts w:hint="default"/>
          <w:lang w:val="en-US" w:eastAsia="zh-CN"/>
        </w:rPr>
      </w:pPr>
      <w:r>
        <w:rPr>
          <w:rFonts w:hint="default"/>
          <w:lang w:val="en-US" w:eastAsia="zh-CN"/>
        </w:rPr>
        <w:t>Williamson, O.E. (1985) </w:t>
      </w:r>
      <w:r>
        <w:rPr>
          <w:rFonts w:hint="default"/>
          <w:i/>
          <w:iCs/>
          <w:lang w:val="en-US" w:eastAsia="zh-CN"/>
        </w:rPr>
        <w:t>The economic institutions of capitalism</w:t>
      </w:r>
      <w:r>
        <w:rPr>
          <w:rFonts w:hint="default"/>
          <w:lang w:val="en-US" w:eastAsia="zh-CN"/>
        </w:rPr>
        <w:t>. New York: Free Press.</w:t>
      </w:r>
    </w:p>
    <w:p w14:paraId="098EE5E1">
      <w:pPr>
        <w:tabs>
          <w:tab w:val="left" w:pos="758"/>
        </w:tabs>
        <w:bidi w:val="0"/>
        <w:jc w:val="left"/>
        <w:rPr>
          <w:rFonts w:hint="default"/>
          <w:lang w:val="en-US" w:eastAsia="zh-CN"/>
        </w:rPr>
      </w:pPr>
    </w:p>
    <w:p w14:paraId="322943F4">
      <w:pPr>
        <w:tabs>
          <w:tab w:val="left" w:pos="758"/>
        </w:tabs>
        <w:bidi w:val="0"/>
        <w:jc w:val="left"/>
        <w:rPr>
          <w:rFonts w:hint="default"/>
          <w:lang w:val="en-US" w:eastAsia="zh-CN"/>
        </w:rPr>
      </w:pPr>
      <w:r>
        <w:rPr>
          <w:rFonts w:hint="default"/>
          <w:lang w:val="en-US" w:eastAsia="zh-CN"/>
        </w:rPr>
        <w:t>Yale Law Review (2022) ‘Digital mergers and antitrust blindspots’, </w:t>
      </w:r>
      <w:r>
        <w:rPr>
          <w:rFonts w:hint="default"/>
          <w:i/>
          <w:iCs/>
          <w:lang w:val="en-US" w:eastAsia="zh-CN"/>
        </w:rPr>
        <w:t>Yale Law Journal</w:t>
      </w:r>
      <w:r>
        <w:rPr>
          <w:rFonts w:hint="default"/>
          <w:lang w:val="en-US" w:eastAsia="zh-CN"/>
        </w:rPr>
        <w:t>, 131(8), pp. 2540–2585.</w:t>
      </w:r>
    </w:p>
    <w:p w14:paraId="4AC5065A">
      <w:pPr>
        <w:tabs>
          <w:tab w:val="left" w:pos="758"/>
        </w:tabs>
        <w:bidi w:val="0"/>
        <w:jc w:val="left"/>
        <w:rPr>
          <w:rFonts w:hint="default"/>
          <w:lang w:val="en-US" w:eastAsia="zh-CN"/>
        </w:rPr>
      </w:pPr>
    </w:p>
    <w:p w14:paraId="4C944956">
      <w:pPr>
        <w:tabs>
          <w:tab w:val="left" w:pos="758"/>
        </w:tabs>
        <w:bidi w:val="0"/>
        <w:jc w:val="left"/>
        <w:rPr>
          <w:rFonts w:hint="default"/>
          <w:lang w:val="en-US" w:eastAsia="zh-CN"/>
        </w:rPr>
      </w:pPr>
      <w:r>
        <w:rPr>
          <w:rFonts w:hint="default"/>
          <w:lang w:val="en-US" w:eastAsia="zh-CN"/>
        </w:rPr>
        <w:t>Zenger, T. (2013) ‘Strategy as problem-solving theory’, </w:t>
      </w:r>
      <w:r>
        <w:rPr>
          <w:rFonts w:hint="default"/>
          <w:i/>
          <w:iCs/>
          <w:lang w:val="en-US" w:eastAsia="zh-CN"/>
        </w:rPr>
        <w:t>Strategic Management Journal,</w:t>
      </w:r>
      <w:r>
        <w:rPr>
          <w:rFonts w:hint="default"/>
          <w:lang w:val="en-US" w:eastAsia="zh-CN"/>
        </w:rPr>
        <w:t xml:space="preserve"> 34(13), pp. 1507–1526.</w:t>
      </w:r>
    </w:p>
    <w:p w14:paraId="1F72F1E5">
      <w:pPr>
        <w:tabs>
          <w:tab w:val="left" w:pos="758"/>
        </w:tabs>
        <w:bidi w:val="0"/>
        <w:jc w:val="left"/>
        <w:rPr>
          <w:rFonts w:hint="default"/>
          <w:lang w:val="en-US" w:eastAsia="zh-CN"/>
        </w:rPr>
      </w:pPr>
    </w:p>
    <w:p w14:paraId="2CDD8195">
      <w:pPr>
        <w:tabs>
          <w:tab w:val="left" w:pos="758"/>
        </w:tabs>
        <w:bidi w:val="0"/>
        <w:jc w:val="left"/>
        <w:rPr>
          <w:rFonts w:hint="default"/>
          <w:lang w:val="en-US" w:eastAsia="zh-CN"/>
        </w:rPr>
      </w:pPr>
      <w:r>
        <w:rPr>
          <w:rFonts w:hint="default"/>
          <w:lang w:val="en-US" w:eastAsia="zh-CN"/>
        </w:rPr>
        <w:t xml:space="preserve">Cybersecurity Ventures (2018) </w:t>
      </w:r>
      <w:r>
        <w:rPr>
          <w:rFonts w:hint="default"/>
          <w:i/>
          <w:iCs/>
          <w:lang w:val="en-US" w:eastAsia="zh-CN"/>
        </w:rPr>
        <w:t>2018 Data Breach Report</w:t>
      </w:r>
      <w:r>
        <w:rPr>
          <w:rFonts w:hint="default"/>
          <w:lang w:val="en-US" w:eastAsia="zh-CN"/>
        </w:rPr>
        <w:t>. San Francisco: Cybersecurity Ventures.</w:t>
      </w:r>
    </w:p>
    <w:p w14:paraId="78AC205F">
      <w:pPr>
        <w:tabs>
          <w:tab w:val="left" w:pos="758"/>
        </w:tabs>
        <w:bidi w:val="0"/>
        <w:jc w:val="left"/>
        <w:rPr>
          <w:rFonts w:hint="default"/>
          <w:lang w:val="en-US" w:eastAsia="zh-CN"/>
        </w:rPr>
      </w:pPr>
    </w:p>
    <w:p w14:paraId="130E54AF">
      <w:pPr>
        <w:tabs>
          <w:tab w:val="left" w:pos="758"/>
        </w:tabs>
        <w:bidi w:val="0"/>
        <w:jc w:val="left"/>
        <w:rPr>
          <w:rFonts w:hint="default"/>
          <w:lang w:val="en-US" w:eastAsia="zh-CN"/>
        </w:rPr>
      </w:pPr>
      <w:r>
        <w:rPr>
          <w:rFonts w:hint="default"/>
          <w:lang w:val="en-US" w:eastAsia="zh-CN"/>
        </w:rPr>
        <w:t xml:space="preserve">Forrester (2021) </w:t>
      </w:r>
      <w:r>
        <w:rPr>
          <w:rFonts w:hint="default"/>
          <w:i/>
          <w:iCs/>
          <w:lang w:val="en-US" w:eastAsia="zh-CN"/>
        </w:rPr>
        <w:t>Total Economic Impact™ of Microsoft Workplace Suite</w:t>
      </w:r>
      <w:r>
        <w:rPr>
          <w:rFonts w:hint="default"/>
          <w:lang w:val="en-US" w:eastAsia="zh-CN"/>
        </w:rPr>
        <w:t>. Cambridge: Forrester.</w:t>
      </w:r>
    </w:p>
    <w:p w14:paraId="42DFD265">
      <w:pPr>
        <w:tabs>
          <w:tab w:val="left" w:pos="758"/>
        </w:tabs>
        <w:bidi w:val="0"/>
        <w:jc w:val="left"/>
        <w:rPr>
          <w:rFonts w:hint="default"/>
          <w:lang w:val="en-US" w:eastAsia="zh-CN"/>
        </w:rPr>
      </w:pPr>
    </w:p>
    <w:p w14:paraId="0B31A73F">
      <w:pPr>
        <w:tabs>
          <w:tab w:val="left" w:pos="758"/>
        </w:tabs>
        <w:bidi w:val="0"/>
        <w:jc w:val="left"/>
        <w:rPr>
          <w:rFonts w:hint="default"/>
          <w:lang w:val="en-US" w:eastAsia="zh-CN"/>
        </w:rPr>
      </w:pPr>
      <w:r>
        <w:rPr>
          <w:rFonts w:hint="default"/>
          <w:lang w:val="en-US" w:eastAsia="zh-CN"/>
        </w:rPr>
        <w:t xml:space="preserve">Glassdoor (2021) </w:t>
      </w:r>
      <w:r>
        <w:rPr>
          <w:rFonts w:hint="default"/>
          <w:i/>
          <w:iCs/>
          <w:lang w:val="en-US" w:eastAsia="zh-CN"/>
        </w:rPr>
        <w:t>Microsoft-LinkedIn Compensation Analysis</w:t>
      </w:r>
      <w:r>
        <w:rPr>
          <w:rFonts w:hint="default"/>
          <w:lang w:val="en-US" w:eastAsia="zh-CN"/>
        </w:rPr>
        <w:t>. Available at: glassdoor.com</w:t>
      </w:r>
    </w:p>
    <w:p w14:paraId="65BCC29A">
      <w:pPr>
        <w:tabs>
          <w:tab w:val="left" w:pos="758"/>
        </w:tabs>
        <w:bidi w:val="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3B6A37"/>
    <w:rsid w:val="2B3B6A37"/>
    <w:rsid w:val="3E5F2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1"/>
    <w:basedOn w:val="1"/>
    <w:next w:val="1"/>
    <w:uiPriority w:val="0"/>
  </w:style>
  <w:style w:type="paragraph" w:styleId="6">
    <w:name w:val="toc 2"/>
    <w:basedOn w:val="1"/>
    <w:next w:val="1"/>
    <w:uiPriority w:val="0"/>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uiPriority w:val="0"/>
    <w:rPr>
      <w:color w:val="0000FF"/>
      <w:u w:val="single"/>
    </w:rPr>
  </w:style>
  <w:style w:type="paragraph" w:customStyle="1" w:styleId="13">
    <w:name w:val="1"/>
    <w:basedOn w:val="1"/>
    <w:uiPriority w:val="0"/>
    <w:rPr>
      <w:rFonts w:eastAsia="Times New Roman" w:cs="Times New Roman"/>
      <w:b/>
      <w:bCs/>
      <w:sz w:val="28"/>
      <w:szCs w:val="28"/>
    </w:rPr>
  </w:style>
  <w:style w:type="paragraph" w:customStyle="1" w:styleId="14">
    <w:name w:val="2"/>
    <w:basedOn w:val="1"/>
    <w:uiPriority w:val="0"/>
    <w:rPr>
      <w:rFonts w:eastAsia="Times New Roman" w:cs="Times New Roman"/>
      <w:b/>
      <w:bC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2742</Words>
  <Characters>8524</Characters>
  <Lines>0</Lines>
  <Paragraphs>0</Paragraphs>
  <TotalTime>1</TotalTime>
  <ScaleCrop>false</ScaleCrop>
  <LinksUpToDate>false</LinksUpToDate>
  <CharactersWithSpaces>9398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2025-04-02T17:36:00Z</dcterms:created>
  <dc:creator>。。。</dc:creator>
  <cp:lastModifiedBy>。。。</cp:lastModifiedBy>
  <dcterms:modified xsi:type="dcterms:W3CDTF">2025-04-03T18:48:31Z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A6DDA76027E14607AB47D9D15A8DAEF9_11</vt:lpwstr>
  </property>
  <property fmtid="{D5CDD505-2E9C-101B-9397-08002B2CF9AE}" pid="4" name="KSOTemplateDocerSaveRecord">
    <vt:lpwstr>eyJoZGlkIjoiNzM1NzU0MDllM2FjZWZjNWViNzk5YTZmYTA4MjQ0YjciLCJ1c2VySWQiOiI0MTIwMDU2NzQifQ==</vt:lpwstr>
  </property>
</Properties>
</file>