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2792F3" w14:textId="0A7F279A" w:rsidR="003D0368" w:rsidRPr="003D0368" w:rsidRDefault="003D0368" w:rsidP="003D0368">
      <w:pPr>
        <w:pStyle w:val="p1"/>
        <w:tabs>
          <w:tab w:val="left" w:pos="3705"/>
        </w:tabs>
        <w:spacing w:line="360" w:lineRule="auto"/>
        <w:rPr>
          <w:rStyle w:val="s1"/>
          <w:rFonts w:ascii="Arial" w:hAnsi="Arial" w:cs="Arial"/>
          <w:b w:val="0"/>
          <w:bCs w:val="0"/>
          <w:sz w:val="22"/>
          <w:szCs w:val="22"/>
        </w:rPr>
      </w:pPr>
      <w:r w:rsidRPr="003D0368">
        <w:rPr>
          <w:rStyle w:val="s1"/>
          <w:rFonts w:ascii="Arial" w:hAnsi="Arial" w:cs="Arial"/>
          <w:b w:val="0"/>
          <w:bCs w:val="0"/>
          <w:sz w:val="22"/>
          <w:szCs w:val="22"/>
        </w:rPr>
        <w:t>Digital Transformation in the Health and Care Professions</w:t>
      </w:r>
    </w:p>
    <w:p w14:paraId="7EC259D5" w14:textId="45CE7827" w:rsidR="003D0368" w:rsidRPr="003D0368" w:rsidRDefault="003D0368" w:rsidP="003D0368">
      <w:pPr>
        <w:pStyle w:val="p1"/>
        <w:tabs>
          <w:tab w:val="left" w:pos="3705"/>
        </w:tabs>
        <w:spacing w:line="360" w:lineRule="auto"/>
        <w:rPr>
          <w:rStyle w:val="s1"/>
          <w:rFonts w:ascii="Arial" w:hAnsi="Arial" w:cs="Arial"/>
          <w:b w:val="0"/>
          <w:bCs w:val="0"/>
          <w:sz w:val="22"/>
          <w:szCs w:val="22"/>
        </w:rPr>
      </w:pPr>
      <w:r w:rsidRPr="003D0368">
        <w:rPr>
          <w:rStyle w:val="s1"/>
          <w:rFonts w:ascii="Arial" w:hAnsi="Arial" w:cs="Arial"/>
          <w:b w:val="0"/>
          <w:bCs w:val="0"/>
          <w:sz w:val="22"/>
          <w:szCs w:val="22"/>
        </w:rPr>
        <w:t>BMHP6026_BIRM</w:t>
      </w:r>
    </w:p>
    <w:p w14:paraId="7BF54C09" w14:textId="06326FDD" w:rsidR="003D0368" w:rsidRPr="003D0368" w:rsidRDefault="003D0368" w:rsidP="003D0368">
      <w:pPr>
        <w:pStyle w:val="p1"/>
        <w:tabs>
          <w:tab w:val="left" w:pos="3705"/>
        </w:tabs>
        <w:spacing w:line="360" w:lineRule="auto"/>
        <w:rPr>
          <w:rStyle w:val="s1"/>
          <w:rFonts w:ascii="Arial" w:hAnsi="Arial" w:cs="Arial"/>
          <w:b w:val="0"/>
          <w:bCs w:val="0"/>
          <w:sz w:val="22"/>
          <w:szCs w:val="22"/>
        </w:rPr>
      </w:pPr>
      <w:r w:rsidRPr="003D0368">
        <w:rPr>
          <w:rStyle w:val="s1"/>
          <w:rFonts w:ascii="Arial" w:hAnsi="Arial" w:cs="Arial"/>
          <w:b w:val="0"/>
          <w:bCs w:val="0"/>
          <w:sz w:val="22"/>
          <w:szCs w:val="22"/>
        </w:rPr>
        <w:t>AISHA BEGUM</w:t>
      </w:r>
    </w:p>
    <w:p w14:paraId="332A5576" w14:textId="6CD3EFA6" w:rsidR="003D0368" w:rsidRPr="003D0368" w:rsidRDefault="003D0368" w:rsidP="003D0368">
      <w:pPr>
        <w:pStyle w:val="p1"/>
        <w:tabs>
          <w:tab w:val="left" w:pos="3705"/>
        </w:tabs>
        <w:spacing w:line="360" w:lineRule="auto"/>
        <w:rPr>
          <w:rStyle w:val="s1"/>
          <w:rFonts w:ascii="Arial" w:hAnsi="Arial" w:cs="Arial"/>
          <w:b w:val="0"/>
          <w:bCs w:val="0"/>
          <w:sz w:val="22"/>
          <w:szCs w:val="22"/>
        </w:rPr>
      </w:pPr>
      <w:r w:rsidRPr="003D0368">
        <w:rPr>
          <w:rStyle w:val="s1"/>
          <w:rFonts w:ascii="Arial" w:hAnsi="Arial" w:cs="Arial"/>
          <w:b w:val="0"/>
          <w:bCs w:val="0"/>
          <w:sz w:val="22"/>
          <w:szCs w:val="22"/>
        </w:rPr>
        <w:t>2321254</w:t>
      </w:r>
    </w:p>
    <w:p w14:paraId="4D8FC6ED" w14:textId="1458920F" w:rsidR="003D0368" w:rsidRPr="003D0368" w:rsidRDefault="003D0368" w:rsidP="003D0368">
      <w:pPr>
        <w:pStyle w:val="p1"/>
        <w:tabs>
          <w:tab w:val="left" w:pos="3705"/>
        </w:tabs>
        <w:spacing w:line="360" w:lineRule="auto"/>
        <w:rPr>
          <w:rFonts w:ascii="Arial" w:hAnsi="Arial" w:cs="Arial"/>
          <w:b/>
          <w:bCs/>
          <w:sz w:val="22"/>
          <w:szCs w:val="22"/>
        </w:rPr>
      </w:pPr>
      <w:r w:rsidRPr="003D0368">
        <w:rPr>
          <w:rStyle w:val="s1"/>
          <w:rFonts w:ascii="Arial" w:hAnsi="Arial" w:cs="Arial"/>
          <w:b w:val="0"/>
          <w:bCs w:val="0"/>
          <w:sz w:val="22"/>
          <w:szCs w:val="22"/>
        </w:rPr>
        <w:t>COMPONENT 1</w:t>
      </w:r>
    </w:p>
    <w:p w14:paraId="2EAE2A8D" w14:textId="6F3D310B" w:rsidR="003D0368" w:rsidRPr="003D0368" w:rsidRDefault="003D0368" w:rsidP="003D0368">
      <w:pPr>
        <w:pStyle w:val="p1"/>
        <w:tabs>
          <w:tab w:val="left" w:pos="3705"/>
        </w:tabs>
        <w:spacing w:line="360" w:lineRule="auto"/>
        <w:rPr>
          <w:rStyle w:val="s1"/>
          <w:rFonts w:ascii="Arial" w:hAnsi="Arial" w:cs="Arial"/>
          <w:sz w:val="22"/>
          <w:szCs w:val="22"/>
        </w:rPr>
      </w:pPr>
    </w:p>
    <w:p w14:paraId="12538D08" w14:textId="77777777" w:rsidR="003D0368" w:rsidRPr="003D0368" w:rsidRDefault="003D0368" w:rsidP="003D0368">
      <w:pPr>
        <w:pStyle w:val="p1"/>
        <w:spacing w:line="360" w:lineRule="auto"/>
        <w:rPr>
          <w:rStyle w:val="s1"/>
          <w:rFonts w:ascii="Arial" w:hAnsi="Arial" w:cs="Arial"/>
          <w:sz w:val="22"/>
          <w:szCs w:val="22"/>
        </w:rPr>
      </w:pPr>
    </w:p>
    <w:p w14:paraId="4757893F" w14:textId="77777777" w:rsidR="003D0368" w:rsidRPr="003D0368" w:rsidRDefault="003D0368" w:rsidP="003D0368">
      <w:pPr>
        <w:pStyle w:val="p1"/>
        <w:spacing w:line="360" w:lineRule="auto"/>
        <w:rPr>
          <w:rStyle w:val="s1"/>
          <w:rFonts w:ascii="Arial" w:hAnsi="Arial" w:cs="Arial"/>
          <w:sz w:val="22"/>
          <w:szCs w:val="22"/>
        </w:rPr>
      </w:pPr>
    </w:p>
    <w:p w14:paraId="1973E2E5" w14:textId="77777777" w:rsidR="003D0368" w:rsidRPr="003D0368" w:rsidRDefault="003D0368" w:rsidP="003D0368">
      <w:pPr>
        <w:pStyle w:val="p1"/>
        <w:spacing w:line="360" w:lineRule="auto"/>
        <w:rPr>
          <w:rStyle w:val="s1"/>
          <w:rFonts w:ascii="Arial" w:hAnsi="Arial" w:cs="Arial"/>
          <w:sz w:val="22"/>
          <w:szCs w:val="22"/>
        </w:rPr>
      </w:pPr>
    </w:p>
    <w:p w14:paraId="203B9A2E" w14:textId="77777777" w:rsidR="003D0368" w:rsidRPr="003D0368" w:rsidRDefault="003D0368" w:rsidP="003D0368">
      <w:pPr>
        <w:pStyle w:val="p1"/>
        <w:spacing w:line="360" w:lineRule="auto"/>
        <w:rPr>
          <w:rStyle w:val="s1"/>
          <w:rFonts w:ascii="Arial" w:hAnsi="Arial" w:cs="Arial"/>
          <w:sz w:val="22"/>
          <w:szCs w:val="22"/>
        </w:rPr>
      </w:pPr>
    </w:p>
    <w:p w14:paraId="117C2B60" w14:textId="77777777" w:rsidR="003D0368" w:rsidRPr="003D0368" w:rsidRDefault="003D0368" w:rsidP="003D0368">
      <w:pPr>
        <w:pStyle w:val="p1"/>
        <w:spacing w:line="360" w:lineRule="auto"/>
        <w:rPr>
          <w:rStyle w:val="s1"/>
          <w:rFonts w:ascii="Arial" w:hAnsi="Arial" w:cs="Arial"/>
          <w:sz w:val="22"/>
          <w:szCs w:val="22"/>
        </w:rPr>
      </w:pPr>
    </w:p>
    <w:p w14:paraId="77F5C6E3" w14:textId="77777777" w:rsidR="003D0368" w:rsidRPr="003D0368" w:rsidRDefault="003D0368" w:rsidP="003D0368">
      <w:pPr>
        <w:pStyle w:val="p1"/>
        <w:spacing w:line="360" w:lineRule="auto"/>
        <w:rPr>
          <w:rStyle w:val="s1"/>
          <w:rFonts w:ascii="Arial" w:hAnsi="Arial" w:cs="Arial"/>
          <w:sz w:val="22"/>
          <w:szCs w:val="22"/>
        </w:rPr>
      </w:pPr>
    </w:p>
    <w:p w14:paraId="4F5325F9" w14:textId="77777777" w:rsidR="003D0368" w:rsidRPr="003D0368" w:rsidRDefault="003D0368" w:rsidP="003D0368">
      <w:pPr>
        <w:pStyle w:val="p1"/>
        <w:spacing w:line="360" w:lineRule="auto"/>
        <w:rPr>
          <w:rStyle w:val="s1"/>
          <w:rFonts w:ascii="Arial" w:hAnsi="Arial" w:cs="Arial"/>
          <w:sz w:val="22"/>
          <w:szCs w:val="22"/>
        </w:rPr>
      </w:pPr>
    </w:p>
    <w:p w14:paraId="35AA92D3" w14:textId="77777777" w:rsidR="003D0368" w:rsidRPr="003D0368" w:rsidRDefault="003D0368" w:rsidP="003D0368">
      <w:pPr>
        <w:pStyle w:val="p1"/>
        <w:spacing w:line="360" w:lineRule="auto"/>
        <w:rPr>
          <w:rStyle w:val="s1"/>
          <w:rFonts w:ascii="Arial" w:hAnsi="Arial" w:cs="Arial"/>
          <w:sz w:val="22"/>
          <w:szCs w:val="22"/>
        </w:rPr>
      </w:pPr>
    </w:p>
    <w:p w14:paraId="0FD9EF76" w14:textId="77777777" w:rsidR="003D0368" w:rsidRPr="003D0368" w:rsidRDefault="003D0368" w:rsidP="003D0368">
      <w:pPr>
        <w:pStyle w:val="p1"/>
        <w:spacing w:line="360" w:lineRule="auto"/>
        <w:rPr>
          <w:rStyle w:val="s1"/>
          <w:rFonts w:ascii="Arial" w:hAnsi="Arial" w:cs="Arial"/>
          <w:sz w:val="22"/>
          <w:szCs w:val="22"/>
        </w:rPr>
      </w:pPr>
    </w:p>
    <w:p w14:paraId="21A3B29B" w14:textId="77777777" w:rsidR="003D0368" w:rsidRPr="003D0368" w:rsidRDefault="003D0368" w:rsidP="003D0368">
      <w:pPr>
        <w:pStyle w:val="p1"/>
        <w:spacing w:line="360" w:lineRule="auto"/>
        <w:rPr>
          <w:rStyle w:val="s1"/>
          <w:rFonts w:ascii="Arial" w:hAnsi="Arial" w:cs="Arial"/>
          <w:sz w:val="22"/>
          <w:szCs w:val="22"/>
        </w:rPr>
      </w:pPr>
    </w:p>
    <w:p w14:paraId="622DDF76" w14:textId="77777777" w:rsidR="003D0368" w:rsidRPr="003D0368" w:rsidRDefault="003D0368" w:rsidP="003D0368">
      <w:pPr>
        <w:pStyle w:val="p1"/>
        <w:spacing w:line="360" w:lineRule="auto"/>
        <w:rPr>
          <w:rStyle w:val="s1"/>
          <w:rFonts w:ascii="Arial" w:hAnsi="Arial" w:cs="Arial"/>
          <w:sz w:val="22"/>
          <w:szCs w:val="22"/>
        </w:rPr>
      </w:pPr>
    </w:p>
    <w:p w14:paraId="53865FDF" w14:textId="77777777" w:rsidR="003D0368" w:rsidRPr="003D0368" w:rsidRDefault="003D0368" w:rsidP="003D0368">
      <w:pPr>
        <w:pStyle w:val="p1"/>
        <w:spacing w:line="360" w:lineRule="auto"/>
        <w:rPr>
          <w:rStyle w:val="s1"/>
          <w:rFonts w:ascii="Arial" w:hAnsi="Arial" w:cs="Arial"/>
          <w:sz w:val="22"/>
          <w:szCs w:val="22"/>
        </w:rPr>
      </w:pPr>
    </w:p>
    <w:p w14:paraId="04167818" w14:textId="77777777" w:rsidR="003D0368" w:rsidRPr="003D0368" w:rsidRDefault="003D0368" w:rsidP="003D0368">
      <w:pPr>
        <w:pStyle w:val="p1"/>
        <w:spacing w:line="360" w:lineRule="auto"/>
        <w:rPr>
          <w:rStyle w:val="s1"/>
          <w:rFonts w:ascii="Arial" w:hAnsi="Arial" w:cs="Arial"/>
          <w:sz w:val="22"/>
          <w:szCs w:val="22"/>
        </w:rPr>
      </w:pPr>
    </w:p>
    <w:p w14:paraId="2ED7AB99" w14:textId="77777777" w:rsidR="003D0368" w:rsidRPr="003D0368" w:rsidRDefault="003D0368" w:rsidP="003D0368">
      <w:pPr>
        <w:pStyle w:val="p1"/>
        <w:spacing w:line="360" w:lineRule="auto"/>
        <w:rPr>
          <w:rStyle w:val="s1"/>
          <w:rFonts w:ascii="Arial" w:hAnsi="Arial" w:cs="Arial"/>
          <w:sz w:val="22"/>
          <w:szCs w:val="22"/>
        </w:rPr>
      </w:pPr>
    </w:p>
    <w:p w14:paraId="57A29387" w14:textId="6D09DFB2" w:rsidR="00641B8D" w:rsidRPr="003D0368" w:rsidRDefault="00641B8D" w:rsidP="003D0368">
      <w:pPr>
        <w:pStyle w:val="p1"/>
        <w:spacing w:line="360" w:lineRule="auto"/>
        <w:rPr>
          <w:rFonts w:ascii="Arial" w:hAnsi="Arial" w:cs="Arial"/>
          <w:sz w:val="22"/>
          <w:szCs w:val="22"/>
        </w:rPr>
      </w:pPr>
      <w:r w:rsidRPr="003D0368">
        <w:rPr>
          <w:rStyle w:val="s1"/>
          <w:rFonts w:ascii="Arial" w:hAnsi="Arial" w:cs="Arial"/>
          <w:sz w:val="22"/>
          <w:szCs w:val="22"/>
        </w:rPr>
        <w:t>Introduction</w:t>
      </w:r>
    </w:p>
    <w:p w14:paraId="130298BC" w14:textId="77777777" w:rsidR="00641B8D" w:rsidRDefault="00641B8D" w:rsidP="003D0368">
      <w:pPr>
        <w:pStyle w:val="p1"/>
        <w:spacing w:line="360" w:lineRule="auto"/>
        <w:rPr>
          <w:rStyle w:val="s2"/>
          <w:rFonts w:ascii="Arial" w:hAnsi="Arial" w:cs="Arial"/>
          <w:sz w:val="22"/>
          <w:szCs w:val="22"/>
        </w:rPr>
      </w:pPr>
      <w:r w:rsidRPr="003D0368">
        <w:rPr>
          <w:rStyle w:val="s2"/>
          <w:rFonts w:ascii="Arial" w:hAnsi="Arial" w:cs="Arial"/>
          <w:sz w:val="22"/>
          <w:szCs w:val="22"/>
        </w:rPr>
        <w:t xml:space="preserve">The NHS COVID-19 app represented one of the most significant digital innovations in UK health and social care during the past decade. Developed in response to the COVID-19 pandemic, the app aimed to enhance traditional manual contact tracing by using Bluetooth Low Energy technology to rapidly identify and notify individuals who had been </w:t>
      </w:r>
      <w:proofErr w:type="gramStart"/>
      <w:r w:rsidRPr="003D0368">
        <w:rPr>
          <w:rStyle w:val="s2"/>
          <w:rFonts w:ascii="Arial" w:hAnsi="Arial" w:cs="Arial"/>
          <w:sz w:val="22"/>
          <w:szCs w:val="22"/>
        </w:rPr>
        <w:t>in close proximity to</w:t>
      </w:r>
      <w:proofErr w:type="gramEnd"/>
      <w:r w:rsidRPr="003D0368">
        <w:rPr>
          <w:rStyle w:val="s2"/>
          <w:rFonts w:ascii="Arial" w:hAnsi="Arial" w:cs="Arial"/>
          <w:sz w:val="22"/>
          <w:szCs w:val="22"/>
        </w:rPr>
        <w:t xml:space="preserve"> someone who </w:t>
      </w:r>
      <w:proofErr w:type="gramStart"/>
      <w:r w:rsidRPr="003D0368">
        <w:rPr>
          <w:rStyle w:val="s2"/>
          <w:rFonts w:ascii="Arial" w:hAnsi="Arial" w:cs="Arial"/>
          <w:sz w:val="22"/>
          <w:szCs w:val="22"/>
        </w:rPr>
        <w:t>tested</w:t>
      </w:r>
      <w:proofErr w:type="gramEnd"/>
      <w:r w:rsidRPr="003D0368">
        <w:rPr>
          <w:rStyle w:val="s2"/>
          <w:rFonts w:ascii="Arial" w:hAnsi="Arial" w:cs="Arial"/>
          <w:sz w:val="22"/>
          <w:szCs w:val="22"/>
        </w:rPr>
        <w:t xml:space="preserve"> positive for COVID-19 (Fraser et al., 2023). Its significance lies in its integration of digital infrastructure into large-scale public health strategy, supporting efforts to reduce transmission, prevent hospitalisation, and protect vulnerable populations (UK Government, 2023). Evidence suggests that the app contributed to a measurable reduction in COVID-19 cases and deaths during its first year of operation, demonstrating the potential of digital tools to complement conventional public health interventions (Wymant et al., 2021; Fraser et al., 2023).</w:t>
      </w:r>
    </w:p>
    <w:p w14:paraId="18D647FC" w14:textId="77777777" w:rsidR="003D0368" w:rsidRPr="003D0368" w:rsidRDefault="003D0368" w:rsidP="003D0368">
      <w:pPr>
        <w:pStyle w:val="p1"/>
        <w:spacing w:line="360" w:lineRule="auto"/>
        <w:rPr>
          <w:rFonts w:ascii="Arial" w:hAnsi="Arial" w:cs="Arial"/>
          <w:sz w:val="22"/>
          <w:szCs w:val="22"/>
        </w:rPr>
      </w:pPr>
    </w:p>
    <w:p w14:paraId="65AA0CFB" w14:textId="77777777" w:rsidR="00641B8D" w:rsidRPr="003D0368" w:rsidRDefault="00641B8D" w:rsidP="003D0368">
      <w:pPr>
        <w:pStyle w:val="p1"/>
        <w:spacing w:line="360" w:lineRule="auto"/>
        <w:rPr>
          <w:rFonts w:ascii="Arial" w:hAnsi="Arial" w:cs="Arial"/>
          <w:sz w:val="22"/>
          <w:szCs w:val="22"/>
        </w:rPr>
      </w:pPr>
      <w:r w:rsidRPr="003D0368">
        <w:rPr>
          <w:rStyle w:val="s2"/>
          <w:rFonts w:ascii="Arial" w:hAnsi="Arial" w:cs="Arial"/>
          <w:sz w:val="22"/>
          <w:szCs w:val="22"/>
        </w:rPr>
        <w:t>Beyond infection control, the app symbolised a broader acceleration of digital transformation within UK health and social care, while simultaneously raising concerns about privacy, public trust, and digital exclusion (Dowthwaite et al., 2021).</w:t>
      </w:r>
    </w:p>
    <w:p w14:paraId="47C0EB39" w14:textId="77777777" w:rsidR="00641B8D" w:rsidRPr="003D0368" w:rsidRDefault="00641B8D" w:rsidP="003D0368">
      <w:pPr>
        <w:pStyle w:val="p1"/>
        <w:spacing w:line="360" w:lineRule="auto"/>
        <w:rPr>
          <w:rFonts w:ascii="Arial" w:hAnsi="Arial" w:cs="Arial"/>
          <w:sz w:val="22"/>
          <w:szCs w:val="22"/>
        </w:rPr>
      </w:pPr>
      <w:r w:rsidRPr="003D0368">
        <w:rPr>
          <w:rStyle w:val="s2"/>
          <w:rFonts w:ascii="Arial" w:hAnsi="Arial" w:cs="Arial"/>
          <w:sz w:val="22"/>
          <w:szCs w:val="22"/>
        </w:rPr>
        <w:lastRenderedPageBreak/>
        <w:t>This report critically evaluates the NHS COVID-19 app as a digital innovation. It examines its technological development and design, epidemiological effectiveness, levels of adoption and trust, ethical and governance challenges, and wider implications for future digital health initiatives within UK health and social care.</w:t>
      </w:r>
    </w:p>
    <w:p w14:paraId="4F0CD514" w14:textId="77777777" w:rsidR="00641B8D" w:rsidRPr="003D0368" w:rsidRDefault="00641B8D" w:rsidP="003D0368">
      <w:pPr>
        <w:pStyle w:val="p2"/>
        <w:spacing w:line="360" w:lineRule="auto"/>
        <w:rPr>
          <w:rFonts w:ascii="Arial" w:hAnsi="Arial" w:cs="Arial"/>
          <w:sz w:val="22"/>
          <w:szCs w:val="22"/>
        </w:rPr>
      </w:pPr>
    </w:p>
    <w:p w14:paraId="57066E7E" w14:textId="77777777" w:rsidR="00E54CE6" w:rsidRPr="003D0368" w:rsidRDefault="00E54CE6" w:rsidP="003D0368">
      <w:pPr>
        <w:pStyle w:val="p2"/>
        <w:spacing w:line="360" w:lineRule="auto"/>
        <w:rPr>
          <w:rFonts w:ascii="Arial" w:hAnsi="Arial" w:cs="Arial"/>
          <w:sz w:val="22"/>
          <w:szCs w:val="22"/>
        </w:rPr>
      </w:pPr>
      <w:r w:rsidRPr="003D0368">
        <w:rPr>
          <w:rFonts w:ascii="Arial" w:hAnsi="Arial" w:cs="Arial"/>
          <w:sz w:val="22"/>
          <w:szCs w:val="22"/>
        </w:rPr>
        <w:t>Context and Rationale of the NHS COVID-19 App</w:t>
      </w:r>
    </w:p>
    <w:p w14:paraId="2CC9AE51" w14:textId="77777777" w:rsidR="00E54CE6" w:rsidRPr="003D0368" w:rsidRDefault="00E54CE6" w:rsidP="003D0368">
      <w:pPr>
        <w:pStyle w:val="p2"/>
        <w:spacing w:line="360" w:lineRule="auto"/>
        <w:rPr>
          <w:rFonts w:ascii="Arial" w:hAnsi="Arial" w:cs="Arial"/>
          <w:sz w:val="22"/>
          <w:szCs w:val="22"/>
        </w:rPr>
      </w:pPr>
      <w:r w:rsidRPr="003D0368">
        <w:rPr>
          <w:rFonts w:ascii="Arial" w:hAnsi="Arial" w:cs="Arial"/>
          <w:sz w:val="22"/>
          <w:szCs w:val="22"/>
        </w:rPr>
        <w:t xml:space="preserve">Contact tracing is a central public health strategy for containing infectious disease outbreaks. Traditionally, this </w:t>
      </w:r>
      <w:proofErr w:type="gramStart"/>
      <w:r w:rsidRPr="003D0368">
        <w:rPr>
          <w:rFonts w:ascii="Arial" w:hAnsi="Arial" w:cs="Arial"/>
          <w:sz w:val="22"/>
          <w:szCs w:val="22"/>
        </w:rPr>
        <w:t>is performed</w:t>
      </w:r>
      <w:proofErr w:type="gramEnd"/>
      <w:r w:rsidRPr="003D0368">
        <w:rPr>
          <w:rFonts w:ascii="Arial" w:hAnsi="Arial" w:cs="Arial"/>
          <w:sz w:val="22"/>
          <w:szCs w:val="22"/>
        </w:rPr>
        <w:t xml:space="preserve"> manually through interviews and tracking of close contacts. Digital contact tracing via smartphone apps promised to enhance speed, coverage, and efficiency by using Bluetooth technology to automatically detect proximity between devices and notify at-risk users (Nature 594, 408–412, 2021). The UK government commissioned the NHS COVID-19 app to automate these functions at a national scale from 24 September 2020 (GOV.UK Technical Report, 2023).</w:t>
      </w:r>
    </w:p>
    <w:p w14:paraId="50312B66" w14:textId="045BD5BC" w:rsidR="00E54CE6" w:rsidRPr="003D0368" w:rsidRDefault="00E54CE6" w:rsidP="003D0368">
      <w:pPr>
        <w:pStyle w:val="p2"/>
        <w:numPr>
          <w:ilvl w:val="0"/>
          <w:numId w:val="2"/>
        </w:numPr>
        <w:spacing w:line="360" w:lineRule="auto"/>
        <w:rPr>
          <w:rFonts w:ascii="Arial" w:hAnsi="Arial" w:cs="Arial"/>
          <w:sz w:val="22"/>
          <w:szCs w:val="22"/>
        </w:rPr>
      </w:pPr>
      <w:r w:rsidRPr="003D0368">
        <w:rPr>
          <w:rFonts w:ascii="Arial" w:hAnsi="Arial" w:cs="Arial"/>
          <w:sz w:val="22"/>
          <w:szCs w:val="22"/>
        </w:rPr>
        <w:t>Technological Innovation and Development</w:t>
      </w:r>
    </w:p>
    <w:p w14:paraId="095AB6F5" w14:textId="4C42D025" w:rsidR="00E54CE6" w:rsidRPr="003D0368" w:rsidRDefault="00E54CE6" w:rsidP="003D0368">
      <w:pPr>
        <w:pStyle w:val="p2"/>
        <w:numPr>
          <w:ilvl w:val="0"/>
          <w:numId w:val="2"/>
        </w:numPr>
        <w:spacing w:line="360" w:lineRule="auto"/>
        <w:rPr>
          <w:rFonts w:ascii="Arial" w:hAnsi="Arial" w:cs="Arial"/>
          <w:sz w:val="22"/>
          <w:szCs w:val="22"/>
        </w:rPr>
      </w:pPr>
      <w:r w:rsidRPr="003D0368">
        <w:rPr>
          <w:rFonts w:ascii="Arial" w:hAnsi="Arial" w:cs="Arial"/>
          <w:sz w:val="22"/>
          <w:szCs w:val="22"/>
        </w:rPr>
        <w:t>Technical Design</w:t>
      </w:r>
    </w:p>
    <w:p w14:paraId="782992BE" w14:textId="77777777" w:rsidR="00E54CE6" w:rsidRPr="003D0368" w:rsidRDefault="00E54CE6" w:rsidP="003D0368">
      <w:pPr>
        <w:pStyle w:val="p2"/>
        <w:spacing w:line="360" w:lineRule="auto"/>
        <w:rPr>
          <w:rFonts w:ascii="Arial" w:hAnsi="Arial" w:cs="Arial"/>
          <w:sz w:val="22"/>
          <w:szCs w:val="22"/>
        </w:rPr>
      </w:pPr>
      <w:r w:rsidRPr="003D0368">
        <w:rPr>
          <w:rFonts w:ascii="Arial" w:hAnsi="Arial" w:cs="Arial"/>
          <w:sz w:val="22"/>
          <w:szCs w:val="22"/>
        </w:rPr>
        <w:t xml:space="preserve">The NHS COVID-19 app used Bluetooth Low Energy (BLE) proximity sensing to register encounters with other app users, enabling rapid notification of potential exposure once a person </w:t>
      </w:r>
      <w:proofErr w:type="gramStart"/>
      <w:r w:rsidRPr="003D0368">
        <w:rPr>
          <w:rFonts w:ascii="Arial" w:hAnsi="Arial" w:cs="Arial"/>
          <w:sz w:val="22"/>
          <w:szCs w:val="22"/>
        </w:rPr>
        <w:t>tested</w:t>
      </w:r>
      <w:proofErr w:type="gramEnd"/>
      <w:r w:rsidRPr="003D0368">
        <w:rPr>
          <w:rFonts w:ascii="Arial" w:hAnsi="Arial" w:cs="Arial"/>
          <w:sz w:val="22"/>
          <w:szCs w:val="22"/>
        </w:rPr>
        <w:t xml:space="preserve"> positive for COVID-19 (Nature Communications, 2023). This represented a digital innovation in public health by leveraging mobile computing and decentralised digital infrastructure to extend contact tracing beyond manual systems.</w:t>
      </w:r>
    </w:p>
    <w:p w14:paraId="6DEF76A3" w14:textId="62A7F900" w:rsidR="00E54CE6" w:rsidRPr="003D0368" w:rsidRDefault="00E54CE6" w:rsidP="003D0368">
      <w:pPr>
        <w:pStyle w:val="p2"/>
        <w:numPr>
          <w:ilvl w:val="0"/>
          <w:numId w:val="4"/>
        </w:numPr>
        <w:spacing w:line="360" w:lineRule="auto"/>
        <w:rPr>
          <w:rFonts w:ascii="Arial" w:hAnsi="Arial" w:cs="Arial"/>
          <w:sz w:val="22"/>
          <w:szCs w:val="22"/>
        </w:rPr>
      </w:pPr>
      <w:r w:rsidRPr="003D0368">
        <w:rPr>
          <w:rFonts w:ascii="Arial" w:hAnsi="Arial" w:cs="Arial"/>
          <w:sz w:val="22"/>
          <w:szCs w:val="22"/>
        </w:rPr>
        <w:t>Early Technical Challenges and Innovation Trade-offs</w:t>
      </w:r>
    </w:p>
    <w:p w14:paraId="16A72F8C" w14:textId="77777777" w:rsidR="00E54CE6" w:rsidRPr="003D0368" w:rsidRDefault="00E54CE6" w:rsidP="003D0368">
      <w:pPr>
        <w:pStyle w:val="p2"/>
        <w:spacing w:line="360" w:lineRule="auto"/>
        <w:rPr>
          <w:rFonts w:ascii="Arial" w:hAnsi="Arial" w:cs="Arial"/>
          <w:sz w:val="22"/>
          <w:szCs w:val="22"/>
        </w:rPr>
      </w:pPr>
      <w:r w:rsidRPr="003D0368">
        <w:rPr>
          <w:rFonts w:ascii="Arial" w:hAnsi="Arial" w:cs="Arial"/>
          <w:sz w:val="22"/>
          <w:szCs w:val="22"/>
        </w:rPr>
        <w:t xml:space="preserve">The initial development of the app </w:t>
      </w:r>
      <w:proofErr w:type="gramStart"/>
      <w:r w:rsidRPr="003D0368">
        <w:rPr>
          <w:rFonts w:ascii="Arial" w:hAnsi="Arial" w:cs="Arial"/>
          <w:sz w:val="22"/>
          <w:szCs w:val="22"/>
        </w:rPr>
        <w:t>was hampered</w:t>
      </w:r>
      <w:proofErr w:type="gramEnd"/>
      <w:r w:rsidRPr="003D0368">
        <w:rPr>
          <w:rFonts w:ascii="Arial" w:hAnsi="Arial" w:cs="Arial"/>
          <w:sz w:val="22"/>
          <w:szCs w:val="22"/>
        </w:rPr>
        <w:t xml:space="preserve"> by debates over centralised versus decentralised data models. Early NHSX prototypes using a centralised backend met criticism for poor iOS detection and privacy concerns, prompting a pivot to the Google-Apple Exposure Notification (GAEN) API model to improve performance and privacy (Wired UK; Gov Technical Report). The eventual adoption of the GAEN standard represents an important lesson in technology choice when balancing privacy, interoperability, and epidemiological effectiveness.</w:t>
      </w:r>
    </w:p>
    <w:p w14:paraId="26D7C9BB" w14:textId="3A559685" w:rsidR="00E54CE6" w:rsidRPr="003D0368" w:rsidRDefault="00E54CE6" w:rsidP="003D0368">
      <w:pPr>
        <w:pStyle w:val="p2"/>
        <w:numPr>
          <w:ilvl w:val="0"/>
          <w:numId w:val="3"/>
        </w:numPr>
        <w:spacing w:line="360" w:lineRule="auto"/>
        <w:rPr>
          <w:rFonts w:ascii="Arial" w:hAnsi="Arial" w:cs="Arial"/>
          <w:sz w:val="22"/>
          <w:szCs w:val="22"/>
        </w:rPr>
      </w:pPr>
      <w:r w:rsidRPr="003D0368">
        <w:rPr>
          <w:rFonts w:ascii="Arial" w:hAnsi="Arial" w:cs="Arial"/>
          <w:sz w:val="22"/>
          <w:szCs w:val="22"/>
        </w:rPr>
        <w:t>Epidemiological Effectiveness and Public Health Impact</w:t>
      </w:r>
    </w:p>
    <w:p w14:paraId="3F62C36E" w14:textId="77777777" w:rsidR="00E54CE6" w:rsidRPr="003D0368" w:rsidRDefault="00E54CE6" w:rsidP="003D0368">
      <w:pPr>
        <w:pStyle w:val="p2"/>
        <w:spacing w:line="360" w:lineRule="auto"/>
        <w:rPr>
          <w:rFonts w:ascii="Arial" w:hAnsi="Arial" w:cs="Arial"/>
          <w:sz w:val="22"/>
          <w:szCs w:val="22"/>
        </w:rPr>
      </w:pPr>
      <w:r w:rsidRPr="003D0368">
        <w:rPr>
          <w:rFonts w:ascii="Arial" w:hAnsi="Arial" w:cs="Arial"/>
          <w:sz w:val="22"/>
          <w:szCs w:val="22"/>
        </w:rPr>
        <w:t>Recent peer-reviewed studies suggest the app achieved measurable epidemiological benefits:</w:t>
      </w:r>
    </w:p>
    <w:p w14:paraId="4AF02B27" w14:textId="77777777" w:rsidR="00E54CE6" w:rsidRPr="003D0368" w:rsidRDefault="00E54CE6" w:rsidP="003D0368">
      <w:pPr>
        <w:pStyle w:val="p2"/>
        <w:spacing w:line="360" w:lineRule="auto"/>
        <w:rPr>
          <w:rFonts w:ascii="Arial" w:hAnsi="Arial" w:cs="Arial"/>
          <w:sz w:val="22"/>
          <w:szCs w:val="22"/>
        </w:rPr>
      </w:pPr>
      <w:r w:rsidRPr="003D0368">
        <w:rPr>
          <w:rFonts w:ascii="Arial" w:hAnsi="Arial" w:cs="Arial"/>
          <w:sz w:val="22"/>
          <w:szCs w:val="22"/>
        </w:rPr>
        <w:t xml:space="preserve">During its first year, the NHS COVID-19 app </w:t>
      </w:r>
      <w:proofErr w:type="gramStart"/>
      <w:r w:rsidRPr="003D0368">
        <w:rPr>
          <w:rFonts w:ascii="Arial" w:hAnsi="Arial" w:cs="Arial"/>
          <w:sz w:val="22"/>
          <w:szCs w:val="22"/>
        </w:rPr>
        <w:t>is estimated</w:t>
      </w:r>
      <w:proofErr w:type="gramEnd"/>
      <w:r w:rsidRPr="003D0368">
        <w:rPr>
          <w:rFonts w:ascii="Arial" w:hAnsi="Arial" w:cs="Arial"/>
          <w:sz w:val="22"/>
          <w:szCs w:val="22"/>
        </w:rPr>
        <w:t xml:space="preserve"> to have averted </w:t>
      </w:r>
      <w:proofErr w:type="gramStart"/>
      <w:r w:rsidRPr="003D0368">
        <w:rPr>
          <w:rFonts w:ascii="Arial" w:hAnsi="Arial" w:cs="Arial"/>
          <w:sz w:val="22"/>
          <w:szCs w:val="22"/>
        </w:rPr>
        <w:t>approximately 1</w:t>
      </w:r>
      <w:proofErr w:type="gramEnd"/>
      <w:r w:rsidRPr="003D0368">
        <w:rPr>
          <w:rFonts w:ascii="Arial" w:hAnsi="Arial" w:cs="Arial"/>
          <w:sz w:val="22"/>
          <w:szCs w:val="22"/>
        </w:rPr>
        <w:t xml:space="preserve"> million infections, corresponding to about 44,000 hospitalisations and </w:t>
      </w:r>
      <w:proofErr w:type="gramStart"/>
      <w:r w:rsidRPr="003D0368">
        <w:rPr>
          <w:rFonts w:ascii="Arial" w:hAnsi="Arial" w:cs="Arial"/>
          <w:sz w:val="22"/>
          <w:szCs w:val="22"/>
        </w:rPr>
        <w:t>nearly 10,000</w:t>
      </w:r>
      <w:proofErr w:type="gramEnd"/>
      <w:r w:rsidRPr="003D0368">
        <w:rPr>
          <w:rFonts w:ascii="Arial" w:hAnsi="Arial" w:cs="Arial"/>
          <w:sz w:val="22"/>
          <w:szCs w:val="22"/>
        </w:rPr>
        <w:t xml:space="preserve"> deaths (e.g., Oxford and Warwick analysis) and contributed directly to reducing community transmission (Nature Communications, 2023; Oxford Big Data Institute, 2023).</w:t>
      </w:r>
    </w:p>
    <w:p w14:paraId="7AB448FD" w14:textId="77777777" w:rsidR="00E54CE6" w:rsidRPr="003D0368" w:rsidRDefault="00E54CE6" w:rsidP="003D0368">
      <w:pPr>
        <w:pStyle w:val="p2"/>
        <w:spacing w:line="360" w:lineRule="auto"/>
        <w:rPr>
          <w:rFonts w:ascii="Arial" w:hAnsi="Arial" w:cs="Arial"/>
          <w:sz w:val="22"/>
          <w:szCs w:val="22"/>
        </w:rPr>
      </w:pPr>
      <w:r w:rsidRPr="003D0368">
        <w:rPr>
          <w:rFonts w:ascii="Arial" w:hAnsi="Arial" w:cs="Arial"/>
          <w:sz w:val="22"/>
          <w:szCs w:val="22"/>
        </w:rPr>
        <w:lastRenderedPageBreak/>
        <w:t>Modelling indicates that each 1% increase in app uptake could reduce case numbers by 0.8–2.3% (Nature 594, 2021).</w:t>
      </w:r>
    </w:p>
    <w:p w14:paraId="7160F93C" w14:textId="77777777" w:rsidR="00E54CE6" w:rsidRPr="003D0368" w:rsidRDefault="00E54CE6" w:rsidP="003D0368">
      <w:pPr>
        <w:pStyle w:val="p2"/>
        <w:spacing w:line="360" w:lineRule="auto"/>
        <w:rPr>
          <w:rFonts w:ascii="Arial" w:hAnsi="Arial" w:cs="Arial"/>
          <w:sz w:val="22"/>
          <w:szCs w:val="22"/>
        </w:rPr>
      </w:pPr>
      <w:r w:rsidRPr="003D0368">
        <w:rPr>
          <w:rFonts w:ascii="Arial" w:hAnsi="Arial" w:cs="Arial"/>
          <w:sz w:val="22"/>
          <w:szCs w:val="22"/>
        </w:rPr>
        <w:t>These findings illustrate the value of digital innovations that integrate epidemiological data with user-driven exposure notification to enhance traditional public health measures (Nature Communications, 2023; Oxford Big Data Institute, 2023).</w:t>
      </w:r>
    </w:p>
    <w:p w14:paraId="30465F38" w14:textId="7AC1A404" w:rsidR="00E54CE6" w:rsidRPr="003D0368" w:rsidRDefault="00E54CE6" w:rsidP="003D0368">
      <w:pPr>
        <w:pStyle w:val="p2"/>
        <w:numPr>
          <w:ilvl w:val="0"/>
          <w:numId w:val="1"/>
        </w:numPr>
        <w:spacing w:line="360" w:lineRule="auto"/>
        <w:rPr>
          <w:rFonts w:ascii="Arial" w:hAnsi="Arial" w:cs="Arial"/>
          <w:sz w:val="22"/>
          <w:szCs w:val="22"/>
        </w:rPr>
      </w:pPr>
      <w:r w:rsidRPr="003D0368">
        <w:rPr>
          <w:rFonts w:ascii="Arial" w:hAnsi="Arial" w:cs="Arial"/>
          <w:sz w:val="22"/>
          <w:szCs w:val="22"/>
        </w:rPr>
        <w:t>Adoption and Trust Issues</w:t>
      </w:r>
    </w:p>
    <w:p w14:paraId="16BFBAE4" w14:textId="77777777" w:rsidR="00E54CE6" w:rsidRPr="003D0368" w:rsidRDefault="00E54CE6" w:rsidP="003D0368">
      <w:pPr>
        <w:pStyle w:val="p2"/>
        <w:spacing w:line="360" w:lineRule="auto"/>
        <w:rPr>
          <w:rFonts w:ascii="Arial" w:hAnsi="Arial" w:cs="Arial"/>
          <w:sz w:val="22"/>
          <w:szCs w:val="22"/>
        </w:rPr>
      </w:pPr>
      <w:r w:rsidRPr="003D0368">
        <w:rPr>
          <w:rFonts w:ascii="Arial" w:hAnsi="Arial" w:cs="Arial"/>
          <w:sz w:val="22"/>
          <w:szCs w:val="22"/>
        </w:rPr>
        <w:t xml:space="preserve">Despite the public health potential, adoption </w:t>
      </w:r>
      <w:proofErr w:type="gramStart"/>
      <w:r w:rsidRPr="003D0368">
        <w:rPr>
          <w:rFonts w:ascii="Arial" w:hAnsi="Arial" w:cs="Arial"/>
          <w:sz w:val="22"/>
          <w:szCs w:val="22"/>
        </w:rPr>
        <w:t>was mixed</w:t>
      </w:r>
      <w:proofErr w:type="gramEnd"/>
      <w:r w:rsidRPr="003D0368">
        <w:rPr>
          <w:rFonts w:ascii="Arial" w:hAnsi="Arial" w:cs="Arial"/>
          <w:sz w:val="22"/>
          <w:szCs w:val="22"/>
        </w:rPr>
        <w:t>:</w:t>
      </w:r>
    </w:p>
    <w:p w14:paraId="5471849C" w14:textId="75E904D0" w:rsidR="00E54CE6" w:rsidRPr="003D0368" w:rsidRDefault="00E54CE6" w:rsidP="003D0368">
      <w:pPr>
        <w:pStyle w:val="p2"/>
        <w:numPr>
          <w:ilvl w:val="0"/>
          <w:numId w:val="1"/>
        </w:numPr>
        <w:spacing w:line="360" w:lineRule="auto"/>
        <w:rPr>
          <w:rFonts w:ascii="Arial" w:hAnsi="Arial" w:cs="Arial"/>
          <w:sz w:val="22"/>
          <w:szCs w:val="22"/>
        </w:rPr>
      </w:pPr>
      <w:r w:rsidRPr="003D0368">
        <w:rPr>
          <w:rFonts w:ascii="Arial" w:hAnsi="Arial" w:cs="Arial"/>
          <w:sz w:val="22"/>
          <w:szCs w:val="22"/>
        </w:rPr>
        <w:t>Uptake Rates</w:t>
      </w:r>
    </w:p>
    <w:p w14:paraId="21F92EF6" w14:textId="77777777" w:rsidR="00E54CE6" w:rsidRPr="003D0368" w:rsidRDefault="00E54CE6" w:rsidP="003D0368">
      <w:pPr>
        <w:pStyle w:val="p2"/>
        <w:spacing w:line="360" w:lineRule="auto"/>
        <w:rPr>
          <w:rFonts w:ascii="Arial" w:hAnsi="Arial" w:cs="Arial"/>
          <w:sz w:val="22"/>
          <w:szCs w:val="22"/>
        </w:rPr>
      </w:pPr>
      <w:r w:rsidRPr="003D0368">
        <w:rPr>
          <w:rFonts w:ascii="Arial" w:hAnsi="Arial" w:cs="Arial"/>
          <w:sz w:val="22"/>
          <w:szCs w:val="22"/>
        </w:rPr>
        <w:t xml:space="preserve">At its peak, the app </w:t>
      </w:r>
      <w:proofErr w:type="gramStart"/>
      <w:r w:rsidRPr="003D0368">
        <w:rPr>
          <w:rFonts w:ascii="Arial" w:hAnsi="Arial" w:cs="Arial"/>
          <w:sz w:val="22"/>
          <w:szCs w:val="22"/>
        </w:rPr>
        <w:t>was downloaded</w:t>
      </w:r>
      <w:proofErr w:type="gramEnd"/>
      <w:r w:rsidRPr="003D0368">
        <w:rPr>
          <w:rFonts w:ascii="Arial" w:hAnsi="Arial" w:cs="Arial"/>
          <w:sz w:val="22"/>
          <w:szCs w:val="22"/>
        </w:rPr>
        <w:t xml:space="preserve"> on at least 21–</w:t>
      </w:r>
      <w:proofErr w:type="gramStart"/>
      <w:r w:rsidRPr="003D0368">
        <w:rPr>
          <w:rFonts w:ascii="Arial" w:hAnsi="Arial" w:cs="Arial"/>
          <w:sz w:val="22"/>
          <w:szCs w:val="22"/>
        </w:rPr>
        <w:t>30</w:t>
      </w:r>
      <w:proofErr w:type="gramEnd"/>
      <w:r w:rsidRPr="003D0368">
        <w:rPr>
          <w:rFonts w:ascii="Arial" w:hAnsi="Arial" w:cs="Arial"/>
          <w:sz w:val="22"/>
          <w:szCs w:val="22"/>
        </w:rPr>
        <w:t xml:space="preserve"> million devices, with approximately 16.5 million active users in late 2020 (GOV.UK Technical Report, 2023). However, uptake was uneven across socio-demographic groups.</w:t>
      </w:r>
    </w:p>
    <w:p w14:paraId="6F8B687C" w14:textId="44C786A1" w:rsidR="00E54CE6" w:rsidRPr="003D0368" w:rsidRDefault="00E54CE6" w:rsidP="003D0368">
      <w:pPr>
        <w:pStyle w:val="p2"/>
        <w:numPr>
          <w:ilvl w:val="0"/>
          <w:numId w:val="1"/>
        </w:numPr>
        <w:spacing w:line="360" w:lineRule="auto"/>
        <w:rPr>
          <w:rFonts w:ascii="Arial" w:hAnsi="Arial" w:cs="Arial"/>
          <w:sz w:val="22"/>
          <w:szCs w:val="22"/>
        </w:rPr>
      </w:pPr>
      <w:r w:rsidRPr="003D0368">
        <w:rPr>
          <w:rFonts w:ascii="Arial" w:hAnsi="Arial" w:cs="Arial"/>
          <w:sz w:val="22"/>
          <w:szCs w:val="22"/>
        </w:rPr>
        <w:t>Trust and Compliance Barriers</w:t>
      </w:r>
    </w:p>
    <w:p w14:paraId="52344413" w14:textId="77777777" w:rsidR="00E54CE6" w:rsidRPr="003D0368" w:rsidRDefault="00E54CE6" w:rsidP="003D0368">
      <w:pPr>
        <w:pStyle w:val="p2"/>
        <w:spacing w:line="360" w:lineRule="auto"/>
        <w:rPr>
          <w:rFonts w:ascii="Arial" w:hAnsi="Arial" w:cs="Arial"/>
          <w:sz w:val="22"/>
          <w:szCs w:val="22"/>
        </w:rPr>
      </w:pPr>
      <w:r w:rsidRPr="003D0368">
        <w:rPr>
          <w:rFonts w:ascii="Arial" w:hAnsi="Arial" w:cs="Arial"/>
          <w:sz w:val="22"/>
          <w:szCs w:val="22"/>
        </w:rPr>
        <w:t>Research shows that trust and understanding critically affected app adoption:</w:t>
      </w:r>
    </w:p>
    <w:p w14:paraId="3A245D73" w14:textId="77777777" w:rsidR="00E54CE6" w:rsidRPr="003D0368" w:rsidRDefault="00E54CE6" w:rsidP="003D0368">
      <w:pPr>
        <w:pStyle w:val="p2"/>
        <w:spacing w:line="360" w:lineRule="auto"/>
        <w:rPr>
          <w:rFonts w:ascii="Arial" w:hAnsi="Arial" w:cs="Arial"/>
          <w:sz w:val="22"/>
          <w:szCs w:val="22"/>
        </w:rPr>
      </w:pPr>
      <w:r w:rsidRPr="003D0368">
        <w:rPr>
          <w:rFonts w:ascii="Arial" w:hAnsi="Arial" w:cs="Arial"/>
          <w:sz w:val="22"/>
          <w:szCs w:val="22"/>
        </w:rPr>
        <w:t>Only about half of surveyed respondents who were aware of the app had downloaded and kept it, with significant proportions deleting it or choosing not to install it (Dowthwaite et al., 2021).</w:t>
      </w:r>
    </w:p>
    <w:p w14:paraId="2021E8BC" w14:textId="77777777" w:rsidR="00E54CE6" w:rsidRPr="003D0368" w:rsidRDefault="00E54CE6" w:rsidP="003D0368">
      <w:pPr>
        <w:pStyle w:val="p2"/>
        <w:spacing w:line="360" w:lineRule="auto"/>
        <w:rPr>
          <w:rFonts w:ascii="Arial" w:hAnsi="Arial" w:cs="Arial"/>
          <w:sz w:val="22"/>
          <w:szCs w:val="22"/>
        </w:rPr>
      </w:pPr>
      <w:r w:rsidRPr="003D0368">
        <w:rPr>
          <w:rFonts w:ascii="Arial" w:hAnsi="Arial" w:cs="Arial"/>
          <w:sz w:val="22"/>
          <w:szCs w:val="22"/>
        </w:rPr>
        <w:t>Lower trust correlated with lower uptake and less compliance, particularly among older adults and Black, Asian, and minority ethnic (BAME) communities (Dowthwaite et al., 2021; PubMed 36301881).</w:t>
      </w:r>
    </w:p>
    <w:p w14:paraId="28466CEF" w14:textId="4FEA339C" w:rsidR="0023257E" w:rsidRPr="003D0368" w:rsidRDefault="00E54CE6" w:rsidP="003D0368">
      <w:pPr>
        <w:pStyle w:val="p2"/>
        <w:spacing w:line="360" w:lineRule="auto"/>
        <w:rPr>
          <w:rFonts w:ascii="Arial" w:hAnsi="Arial" w:cs="Arial"/>
          <w:sz w:val="22"/>
          <w:szCs w:val="22"/>
        </w:rPr>
      </w:pPr>
      <w:r w:rsidRPr="003D0368">
        <w:rPr>
          <w:rFonts w:ascii="Arial" w:hAnsi="Arial" w:cs="Arial"/>
          <w:sz w:val="22"/>
          <w:szCs w:val="22"/>
        </w:rPr>
        <w:t>These findings underscore that beyond technical innovations, social and psychological factors influence the success of digital health interventions.</w:t>
      </w:r>
    </w:p>
    <w:p w14:paraId="3A574545" w14:textId="77777777" w:rsidR="00641B8D" w:rsidRPr="003D0368" w:rsidRDefault="00641B8D" w:rsidP="003D0368">
      <w:pPr>
        <w:pStyle w:val="p2"/>
        <w:spacing w:line="360" w:lineRule="auto"/>
        <w:rPr>
          <w:rFonts w:ascii="Arial" w:hAnsi="Arial" w:cs="Arial"/>
          <w:sz w:val="22"/>
          <w:szCs w:val="22"/>
        </w:rPr>
      </w:pPr>
    </w:p>
    <w:p w14:paraId="1EA5EC2A" w14:textId="77777777" w:rsidR="00686BA6" w:rsidRPr="003D0368" w:rsidRDefault="00686BA6" w:rsidP="003D0368">
      <w:pPr>
        <w:pStyle w:val="p2"/>
        <w:spacing w:line="360" w:lineRule="auto"/>
        <w:rPr>
          <w:rFonts w:ascii="Arial" w:hAnsi="Arial" w:cs="Arial"/>
          <w:sz w:val="22"/>
          <w:szCs w:val="22"/>
        </w:rPr>
      </w:pPr>
    </w:p>
    <w:p w14:paraId="1CFF0BED"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Workforce Impact</w:t>
      </w:r>
    </w:p>
    <w:p w14:paraId="7F7937B2" w14:textId="77777777" w:rsidR="009C7DD0" w:rsidRDefault="009C7DD0" w:rsidP="003D0368">
      <w:pPr>
        <w:pStyle w:val="p2"/>
        <w:spacing w:line="360" w:lineRule="auto"/>
        <w:rPr>
          <w:rFonts w:ascii="Arial" w:hAnsi="Arial" w:cs="Arial"/>
          <w:sz w:val="22"/>
          <w:szCs w:val="22"/>
        </w:rPr>
      </w:pPr>
      <w:r w:rsidRPr="003D0368">
        <w:rPr>
          <w:rFonts w:ascii="Arial" w:hAnsi="Arial" w:cs="Arial"/>
          <w:sz w:val="22"/>
          <w:szCs w:val="22"/>
        </w:rPr>
        <w:t xml:space="preserve">The introduction of the NHS COVID-19 app significantly altered aspects of the public health and health protection workforce in England and Wales. Although the app </w:t>
      </w:r>
      <w:proofErr w:type="gramStart"/>
      <w:r w:rsidRPr="003D0368">
        <w:rPr>
          <w:rFonts w:ascii="Arial" w:hAnsi="Arial" w:cs="Arial"/>
          <w:sz w:val="22"/>
          <w:szCs w:val="22"/>
        </w:rPr>
        <w:t>was designed</w:t>
      </w:r>
      <w:proofErr w:type="gramEnd"/>
      <w:r w:rsidRPr="003D0368">
        <w:rPr>
          <w:rFonts w:ascii="Arial" w:hAnsi="Arial" w:cs="Arial"/>
          <w:sz w:val="22"/>
          <w:szCs w:val="22"/>
        </w:rPr>
        <w:t xml:space="preserve"> to supplement rather than replace manual contact tracing, it reshaped job roles, skill requirements and operational workflows within NHS Test and Trace and wider health protection teams.</w:t>
      </w:r>
    </w:p>
    <w:p w14:paraId="1F8B4570" w14:textId="77777777" w:rsidR="003D0368" w:rsidRPr="003D0368" w:rsidRDefault="003D0368" w:rsidP="003D0368">
      <w:pPr>
        <w:pStyle w:val="p2"/>
        <w:spacing w:line="360" w:lineRule="auto"/>
        <w:rPr>
          <w:rFonts w:ascii="Arial" w:hAnsi="Arial" w:cs="Arial"/>
          <w:sz w:val="22"/>
          <w:szCs w:val="22"/>
        </w:rPr>
      </w:pPr>
    </w:p>
    <w:p w14:paraId="685A9522"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Changes in Job Roles</w:t>
      </w:r>
    </w:p>
    <w:p w14:paraId="761821B9"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 xml:space="preserve">Traditionally, contact tracing relied heavily on trained public health practitioners conducting telephone interviews to identify and notify close contacts. With the implementation of the app, aspects of exposure notification became automated through Bluetooth-based proximity logging and algorithmic risk assessment (Wymant et al., 2021). This reduced </w:t>
      </w:r>
      <w:proofErr w:type="gramStart"/>
      <w:r w:rsidRPr="003D0368">
        <w:rPr>
          <w:rFonts w:ascii="Arial" w:hAnsi="Arial" w:cs="Arial"/>
          <w:sz w:val="22"/>
          <w:szCs w:val="22"/>
        </w:rPr>
        <w:t>some</w:t>
      </w:r>
      <w:proofErr w:type="gramEnd"/>
      <w:r w:rsidRPr="003D0368">
        <w:rPr>
          <w:rFonts w:ascii="Arial" w:hAnsi="Arial" w:cs="Arial"/>
          <w:sz w:val="22"/>
          <w:szCs w:val="22"/>
        </w:rPr>
        <w:t xml:space="preserve"> routine tracing activities, particularly the identification of unknown contacts in public spaces.</w:t>
      </w:r>
    </w:p>
    <w:p w14:paraId="16D2B763"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lastRenderedPageBreak/>
        <w:t xml:space="preserve">However, rather than eliminating roles, the innovation shifted the workforce towards oversight, data analysis, and digital system management. Staff </w:t>
      </w:r>
      <w:proofErr w:type="gramStart"/>
      <w:r w:rsidRPr="003D0368">
        <w:rPr>
          <w:rFonts w:ascii="Arial" w:hAnsi="Arial" w:cs="Arial"/>
          <w:sz w:val="22"/>
          <w:szCs w:val="22"/>
        </w:rPr>
        <w:t>were required</w:t>
      </w:r>
      <w:proofErr w:type="gramEnd"/>
      <w:r w:rsidRPr="003D0368">
        <w:rPr>
          <w:rFonts w:ascii="Arial" w:hAnsi="Arial" w:cs="Arial"/>
          <w:sz w:val="22"/>
          <w:szCs w:val="22"/>
        </w:rPr>
        <w:t xml:space="preserve"> to interpret app-generated exposure data, manage false exposure notifications, and provide support to users receiving isolation alerts. The digital system therefore reconfigured contact tracing from purely interpersonal investigation to a hybrid model combining digital surveillance with human follow-up (UK Government, 2023).</w:t>
      </w:r>
    </w:p>
    <w:p w14:paraId="065D14E1"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 xml:space="preserve">Additionally, new interdisciplinary roles emerged involving collaboration between public health professionals, data scientists, cybersecurity </w:t>
      </w:r>
      <w:proofErr w:type="gramStart"/>
      <w:r w:rsidRPr="003D0368">
        <w:rPr>
          <w:rFonts w:ascii="Arial" w:hAnsi="Arial" w:cs="Arial"/>
          <w:sz w:val="22"/>
          <w:szCs w:val="22"/>
        </w:rPr>
        <w:t>specialists</w:t>
      </w:r>
      <w:proofErr w:type="gramEnd"/>
      <w:r w:rsidRPr="003D0368">
        <w:rPr>
          <w:rFonts w:ascii="Arial" w:hAnsi="Arial" w:cs="Arial"/>
          <w:sz w:val="22"/>
          <w:szCs w:val="22"/>
        </w:rPr>
        <w:t xml:space="preserve"> and software engineers. This marked a broader transformation in UK health and social care towards digitally enabled service </w:t>
      </w:r>
      <w:proofErr w:type="gramStart"/>
      <w:r w:rsidRPr="003D0368">
        <w:rPr>
          <w:rFonts w:ascii="Arial" w:hAnsi="Arial" w:cs="Arial"/>
          <w:sz w:val="22"/>
          <w:szCs w:val="22"/>
        </w:rPr>
        <w:t>delivery</w:t>
      </w:r>
      <w:proofErr w:type="gramEnd"/>
    </w:p>
    <w:p w14:paraId="2CD20A23" w14:textId="4B6F42A8"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w:t>
      </w:r>
    </w:p>
    <w:p w14:paraId="10DBAAE6"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Skills, Training and Role Competency</w:t>
      </w:r>
    </w:p>
    <w:p w14:paraId="4A64FDCD" w14:textId="77777777" w:rsidR="007C1E4F" w:rsidRPr="007C1E4F" w:rsidRDefault="007C1E4F" w:rsidP="007C1E4F">
      <w:pPr>
        <w:pStyle w:val="p2"/>
        <w:spacing w:line="360" w:lineRule="auto"/>
        <w:rPr>
          <w:rFonts w:ascii="Arial" w:hAnsi="Arial" w:cs="Arial"/>
          <w:sz w:val="22"/>
          <w:szCs w:val="22"/>
        </w:rPr>
      </w:pPr>
      <w:r w:rsidRPr="007C1E4F">
        <w:rPr>
          <w:rFonts w:ascii="Arial" w:hAnsi="Arial" w:cs="Arial"/>
          <w:sz w:val="22"/>
          <w:szCs w:val="22"/>
        </w:rPr>
        <w:t>The digitalisation of contact tracing made workforce upskilling not just beneficial, but essential. Staff needed to master data governance, confidently navigate digital systems, and accurately interpret epidemiological dashboards generated by the app’s backend systems. To communicate effectively with the public, public health practitioners also had to grasp the principles of Bluetooth-based proximity detection and risk scoring. Investing in these competencies ensured a more responsive, transparent, and trustworthy public health response.</w:t>
      </w:r>
    </w:p>
    <w:p w14:paraId="094D11F1" w14:textId="77777777" w:rsidR="003D0368" w:rsidRPr="003D0368" w:rsidRDefault="003D0368" w:rsidP="003D0368">
      <w:pPr>
        <w:pStyle w:val="p2"/>
        <w:spacing w:line="360" w:lineRule="auto"/>
        <w:rPr>
          <w:rFonts w:ascii="Arial" w:hAnsi="Arial" w:cs="Arial"/>
          <w:sz w:val="22"/>
          <w:szCs w:val="22"/>
        </w:rPr>
      </w:pPr>
    </w:p>
    <w:p w14:paraId="398A6938"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Training therefore extended beyond infection control knowledge to include digital literacy and information governance. According to the UK Government (2023), operational teams required guidance on privacy protections and decentralised data architecture following the shift to the Apple-Google Exposure Notification framework. This highlights how digital innovations often necessitate parallel investment in workforce development to ensure safe and competent use.</w:t>
      </w:r>
    </w:p>
    <w:p w14:paraId="0DF35600"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 xml:space="preserve">Nevertheless, rapid implementation during the pandemic meant training </w:t>
      </w:r>
      <w:proofErr w:type="gramStart"/>
      <w:r w:rsidRPr="003D0368">
        <w:rPr>
          <w:rFonts w:ascii="Arial" w:hAnsi="Arial" w:cs="Arial"/>
          <w:sz w:val="22"/>
          <w:szCs w:val="22"/>
        </w:rPr>
        <w:t>was sometimes compressed</w:t>
      </w:r>
      <w:proofErr w:type="gramEnd"/>
      <w:r w:rsidRPr="003D0368">
        <w:rPr>
          <w:rFonts w:ascii="Arial" w:hAnsi="Arial" w:cs="Arial"/>
          <w:sz w:val="22"/>
          <w:szCs w:val="22"/>
        </w:rPr>
        <w:t>, contributing to confusion and inconsistent messaging in early phases (Dowthwaite et al., 2021). This reflects a common challenge in crisis-driven digital transformation: technological rollout may outpace organisational readiness.</w:t>
      </w:r>
    </w:p>
    <w:p w14:paraId="4120679A" w14:textId="77777777" w:rsidR="00BC4752" w:rsidRPr="003D0368" w:rsidRDefault="00BC4752" w:rsidP="003D0368">
      <w:pPr>
        <w:pStyle w:val="p2"/>
        <w:spacing w:line="360" w:lineRule="auto"/>
        <w:rPr>
          <w:rFonts w:ascii="Arial" w:hAnsi="Arial" w:cs="Arial"/>
          <w:sz w:val="22"/>
          <w:szCs w:val="22"/>
        </w:rPr>
      </w:pPr>
    </w:p>
    <w:p w14:paraId="4B36EA82"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Benefits and Challenges</w:t>
      </w:r>
    </w:p>
    <w:p w14:paraId="14CF5306" w14:textId="77777777" w:rsidR="009C7DD0" w:rsidRDefault="009C7DD0" w:rsidP="003D0368">
      <w:pPr>
        <w:pStyle w:val="p2"/>
        <w:spacing w:line="360" w:lineRule="auto"/>
        <w:rPr>
          <w:rFonts w:ascii="Arial" w:hAnsi="Arial" w:cs="Arial"/>
          <w:sz w:val="22"/>
          <w:szCs w:val="22"/>
        </w:rPr>
      </w:pPr>
      <w:r w:rsidRPr="003D0368">
        <w:rPr>
          <w:rFonts w:ascii="Arial" w:hAnsi="Arial" w:cs="Arial"/>
          <w:sz w:val="22"/>
          <w:szCs w:val="22"/>
        </w:rPr>
        <w:t>One of the key workforce benefits was efficiency. The app enabled faster notification of contacts than manual tracing alone, potentially interrupting chains of transmission more rapidly (Wymant et al., 2021). Automated exposure logging reduced the need for individuals to recall contacts retrospectively, improving accuracy compared to memory-based interviews.</w:t>
      </w:r>
    </w:p>
    <w:p w14:paraId="5315CF12" w14:textId="77777777" w:rsidR="003D0368" w:rsidRPr="003D0368" w:rsidRDefault="003D0368" w:rsidP="003D0368">
      <w:pPr>
        <w:pStyle w:val="p2"/>
        <w:spacing w:line="360" w:lineRule="auto"/>
        <w:rPr>
          <w:rFonts w:ascii="Arial" w:hAnsi="Arial" w:cs="Arial"/>
          <w:sz w:val="22"/>
          <w:szCs w:val="22"/>
        </w:rPr>
      </w:pPr>
    </w:p>
    <w:p w14:paraId="70B0BFD4"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Furthermore, modelling studies estimated that the app prevented hundreds of thousands of infections in its first year (Fraser et al., 2023). By reducing transmission, it indirectly alleviated pressure on frontline NHS staff during peak waves of infection.</w:t>
      </w:r>
    </w:p>
    <w:p w14:paraId="47BC2020"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However, challenges were substantial. Resistance to change was evident both within sections of the public and among professionals sceptical about technological reliability and privacy implications (Dowthwaite et al., 2021). Early technical issues and the policy reversal from a centralised to decentralised model risked undermining professional confidence.</w:t>
      </w:r>
    </w:p>
    <w:p w14:paraId="17294C0F"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 xml:space="preserve">Workforce strain also persisted because digital alerts often required follow-up clarification, particularly when individuals questioned isolation requirements. Thus, while automation enhanced efficiency in </w:t>
      </w:r>
      <w:proofErr w:type="gramStart"/>
      <w:r w:rsidRPr="003D0368">
        <w:rPr>
          <w:rFonts w:ascii="Arial" w:hAnsi="Arial" w:cs="Arial"/>
          <w:sz w:val="22"/>
          <w:szCs w:val="22"/>
        </w:rPr>
        <w:t>some</w:t>
      </w:r>
      <w:proofErr w:type="gramEnd"/>
      <w:r w:rsidRPr="003D0368">
        <w:rPr>
          <w:rFonts w:ascii="Arial" w:hAnsi="Arial" w:cs="Arial"/>
          <w:sz w:val="22"/>
          <w:szCs w:val="22"/>
        </w:rPr>
        <w:t xml:space="preserve"> areas, it simultaneously generated new forms of demand.</w:t>
      </w:r>
    </w:p>
    <w:p w14:paraId="2657AC86" w14:textId="77777777" w:rsidR="009C7DD0" w:rsidRDefault="009C7DD0" w:rsidP="003D0368">
      <w:pPr>
        <w:pStyle w:val="p2"/>
        <w:spacing w:line="360" w:lineRule="auto"/>
        <w:rPr>
          <w:rFonts w:ascii="Arial" w:hAnsi="Arial" w:cs="Arial"/>
          <w:sz w:val="22"/>
          <w:szCs w:val="22"/>
        </w:rPr>
      </w:pPr>
      <w:r w:rsidRPr="003D0368">
        <w:rPr>
          <w:rFonts w:ascii="Arial" w:hAnsi="Arial" w:cs="Arial"/>
          <w:sz w:val="22"/>
          <w:szCs w:val="22"/>
        </w:rPr>
        <w:t>In summary, the NHS COVID-19 app transformed the contact tracing workforce by shifting roles towards digital oversight, requiring new competencies in data and technology management, and delivering efficiency gains alongside organisational and cultural challenges.</w:t>
      </w:r>
    </w:p>
    <w:p w14:paraId="1C70E941" w14:textId="77777777" w:rsidR="003D0368" w:rsidRPr="003D0368" w:rsidRDefault="003D0368" w:rsidP="003D0368">
      <w:pPr>
        <w:pStyle w:val="p2"/>
        <w:spacing w:line="360" w:lineRule="auto"/>
        <w:rPr>
          <w:rFonts w:ascii="Arial" w:hAnsi="Arial" w:cs="Arial"/>
          <w:sz w:val="22"/>
          <w:szCs w:val="22"/>
        </w:rPr>
      </w:pPr>
    </w:p>
    <w:p w14:paraId="0C8258B0"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Patient / Service User Impact</w:t>
      </w:r>
    </w:p>
    <w:p w14:paraId="7F9120C4"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The NHS COVID-19 app had significant implications for patients and service users, particularly in relation to access, autonomy, privacy, and equity within digital health services.</w:t>
      </w:r>
    </w:p>
    <w:p w14:paraId="7DA2EE51"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Changes in Access, Convenience and Quality of Care</w:t>
      </w:r>
    </w:p>
    <w:p w14:paraId="6E9DA803"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The app enhanced immediacy and convenience by enabling users to receive rapid exposure notifications without waiting for manual contact tracing calls. This immediacy was associated with quicker self-isolation and testing behaviours, which modelling suggests contributed to reduced transmission (Wymant et al., 2021; Fraser et al., 2023).</w:t>
      </w:r>
    </w:p>
    <w:p w14:paraId="31436E68" w14:textId="77777777" w:rsidR="009C7DD0" w:rsidRDefault="009C7DD0" w:rsidP="003D0368">
      <w:pPr>
        <w:pStyle w:val="p2"/>
        <w:spacing w:line="360" w:lineRule="auto"/>
        <w:rPr>
          <w:rFonts w:ascii="Arial" w:hAnsi="Arial" w:cs="Arial"/>
          <w:sz w:val="22"/>
          <w:szCs w:val="22"/>
        </w:rPr>
      </w:pPr>
      <w:r w:rsidRPr="003D0368">
        <w:rPr>
          <w:rFonts w:ascii="Arial" w:hAnsi="Arial" w:cs="Arial"/>
          <w:sz w:val="22"/>
          <w:szCs w:val="22"/>
        </w:rPr>
        <w:t>For service users, the app also offered symptom checking, QR venue check-in and local risk alerts, centralising pandemic-related public health information into a single digital interface. This streamlined communication and empowered individuals to take preventative action independently.</w:t>
      </w:r>
    </w:p>
    <w:p w14:paraId="544E87EF" w14:textId="77777777" w:rsidR="003D0368" w:rsidRPr="003D0368" w:rsidRDefault="003D0368" w:rsidP="003D0368">
      <w:pPr>
        <w:pStyle w:val="p2"/>
        <w:spacing w:line="360" w:lineRule="auto"/>
        <w:rPr>
          <w:rFonts w:ascii="Arial" w:hAnsi="Arial" w:cs="Arial"/>
          <w:sz w:val="22"/>
          <w:szCs w:val="22"/>
        </w:rPr>
      </w:pPr>
    </w:p>
    <w:p w14:paraId="02EF543E"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 xml:space="preserve">However, care quality was variably experienced. </w:t>
      </w:r>
      <w:proofErr w:type="gramStart"/>
      <w:r w:rsidRPr="003D0368">
        <w:rPr>
          <w:rFonts w:ascii="Arial" w:hAnsi="Arial" w:cs="Arial"/>
          <w:sz w:val="22"/>
          <w:szCs w:val="22"/>
        </w:rPr>
        <w:t>Some</w:t>
      </w:r>
      <w:proofErr w:type="gramEnd"/>
      <w:r w:rsidRPr="003D0368">
        <w:rPr>
          <w:rFonts w:ascii="Arial" w:hAnsi="Arial" w:cs="Arial"/>
          <w:sz w:val="22"/>
          <w:szCs w:val="22"/>
        </w:rPr>
        <w:t xml:space="preserve"> users reported confusion regarding isolation guidance and risk scoring, reflecting the complexity of communicating algorithm-driven decisions (Dowthwaite et al., 2021). Therefore, while digital notification improved speed, it did not always improve clarity.</w:t>
      </w:r>
    </w:p>
    <w:p w14:paraId="327F7470"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Privacy, Digital Literacy and Fairness of Access</w:t>
      </w:r>
    </w:p>
    <w:p w14:paraId="5EA2C315"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 xml:space="preserve">Privacy concerns were central to user perceptions. Studies found that trust in government and perceptions of data protection strongly influenced adoption and sustained usage </w:t>
      </w:r>
      <w:r w:rsidRPr="003D0368">
        <w:rPr>
          <w:rFonts w:ascii="Arial" w:hAnsi="Arial" w:cs="Arial"/>
          <w:sz w:val="22"/>
          <w:szCs w:val="22"/>
        </w:rPr>
        <w:lastRenderedPageBreak/>
        <w:t>(Dowthwaite et al., 2021). Although the decentralised architecture limited identifiable data storage, misunderstanding about surveillance risks reduced public confidence.</w:t>
      </w:r>
    </w:p>
    <w:p w14:paraId="2522D7AB"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 xml:space="preserve">Digital literacy also shaped user engagement. Individuals with limited technological skills, older adults, and socioeconomically disadvantaged groups were less likely to download or consistently use the app. This raises concerns about digital exclusion and health inequalities, as those already at greater risk of COVID-19 exposure may have </w:t>
      </w:r>
      <w:proofErr w:type="gramStart"/>
      <w:r w:rsidRPr="003D0368">
        <w:rPr>
          <w:rFonts w:ascii="Arial" w:hAnsi="Arial" w:cs="Arial"/>
          <w:sz w:val="22"/>
          <w:szCs w:val="22"/>
        </w:rPr>
        <w:t>been underrepresented</w:t>
      </w:r>
      <w:proofErr w:type="gramEnd"/>
      <w:r w:rsidRPr="003D0368">
        <w:rPr>
          <w:rFonts w:ascii="Arial" w:hAnsi="Arial" w:cs="Arial"/>
          <w:sz w:val="22"/>
          <w:szCs w:val="22"/>
        </w:rPr>
        <w:t xml:space="preserve"> among users.</w:t>
      </w:r>
    </w:p>
    <w:p w14:paraId="44B88932"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 xml:space="preserve">Fairness of access </w:t>
      </w:r>
      <w:proofErr w:type="gramStart"/>
      <w:r w:rsidRPr="003D0368">
        <w:rPr>
          <w:rFonts w:ascii="Arial" w:hAnsi="Arial" w:cs="Arial"/>
          <w:sz w:val="22"/>
          <w:szCs w:val="22"/>
        </w:rPr>
        <w:t>was constrained</w:t>
      </w:r>
      <w:proofErr w:type="gramEnd"/>
      <w:r w:rsidRPr="003D0368">
        <w:rPr>
          <w:rFonts w:ascii="Arial" w:hAnsi="Arial" w:cs="Arial"/>
          <w:sz w:val="22"/>
          <w:szCs w:val="22"/>
        </w:rPr>
        <w:t xml:space="preserve"> by smartphone ownership requirements. Those without compatible devices </w:t>
      </w:r>
      <w:proofErr w:type="gramStart"/>
      <w:r w:rsidRPr="003D0368">
        <w:rPr>
          <w:rFonts w:ascii="Arial" w:hAnsi="Arial" w:cs="Arial"/>
          <w:sz w:val="22"/>
          <w:szCs w:val="22"/>
        </w:rPr>
        <w:t>were effectively excluded</w:t>
      </w:r>
      <w:proofErr w:type="gramEnd"/>
      <w:r w:rsidRPr="003D0368">
        <w:rPr>
          <w:rFonts w:ascii="Arial" w:hAnsi="Arial" w:cs="Arial"/>
          <w:sz w:val="22"/>
          <w:szCs w:val="22"/>
        </w:rPr>
        <w:t xml:space="preserve"> from digital contact tracing benefits, reinforcing existing structural inequalities within health access.</w:t>
      </w:r>
    </w:p>
    <w:p w14:paraId="76742757"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Evidence from Research and Patient Perspectives</w:t>
      </w:r>
    </w:p>
    <w:p w14:paraId="61162F30"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 xml:space="preserve">Empirical research suggests that uptake levels significantly influenced epidemiological effectiveness. Wymant et al. (2021) demonstrated that higher regional adoption correlated with larger reductions in infection rates. Fraser et al. (2023) estimated the app prevented </w:t>
      </w:r>
      <w:proofErr w:type="gramStart"/>
      <w:r w:rsidRPr="003D0368">
        <w:rPr>
          <w:rFonts w:ascii="Arial" w:hAnsi="Arial" w:cs="Arial"/>
          <w:sz w:val="22"/>
          <w:szCs w:val="22"/>
        </w:rPr>
        <w:t>approximately one</w:t>
      </w:r>
      <w:proofErr w:type="gramEnd"/>
      <w:r w:rsidRPr="003D0368">
        <w:rPr>
          <w:rFonts w:ascii="Arial" w:hAnsi="Arial" w:cs="Arial"/>
          <w:sz w:val="22"/>
          <w:szCs w:val="22"/>
        </w:rPr>
        <w:t xml:space="preserve"> million infections in its first year, indicating population-level benefit when engagement was sufficient.</w:t>
      </w:r>
    </w:p>
    <w:p w14:paraId="2B1D2492"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 xml:space="preserve">However, Dowthwaite et al. (2021) found that public understanding of how the app functioned was often incomplete, and concerns about privacy or technical reliability led </w:t>
      </w:r>
      <w:proofErr w:type="gramStart"/>
      <w:r w:rsidRPr="003D0368">
        <w:rPr>
          <w:rFonts w:ascii="Arial" w:hAnsi="Arial" w:cs="Arial"/>
          <w:sz w:val="22"/>
          <w:szCs w:val="22"/>
        </w:rPr>
        <w:t>some</w:t>
      </w:r>
      <w:proofErr w:type="gramEnd"/>
      <w:r w:rsidRPr="003D0368">
        <w:rPr>
          <w:rFonts w:ascii="Arial" w:hAnsi="Arial" w:cs="Arial"/>
          <w:sz w:val="22"/>
          <w:szCs w:val="22"/>
        </w:rPr>
        <w:t xml:space="preserve"> users to uninstall it. These findings illustrate the gap between technological potential and real-world behaviour.</w:t>
      </w:r>
    </w:p>
    <w:p w14:paraId="1810D09B" w14:textId="77777777" w:rsidR="009C7DD0" w:rsidRPr="003D0368" w:rsidRDefault="009C7DD0" w:rsidP="003D0368">
      <w:pPr>
        <w:pStyle w:val="p2"/>
        <w:spacing w:line="360" w:lineRule="auto"/>
        <w:rPr>
          <w:rFonts w:ascii="Arial" w:hAnsi="Arial" w:cs="Arial"/>
          <w:sz w:val="22"/>
          <w:szCs w:val="22"/>
        </w:rPr>
      </w:pPr>
      <w:r w:rsidRPr="003D0368">
        <w:rPr>
          <w:rFonts w:ascii="Arial" w:hAnsi="Arial" w:cs="Arial"/>
          <w:sz w:val="22"/>
          <w:szCs w:val="22"/>
        </w:rPr>
        <w:t>From a patient perspective, the app offered greater autonomy in managing exposure risk but also transferred responsibility for action (self-isolation) onto individuals based on algorithmic prompts. This shift reflects broader ethical debates in digital health about balancing public good with individual burden.</w:t>
      </w:r>
    </w:p>
    <w:p w14:paraId="201E7ECF" w14:textId="77777777" w:rsidR="00F44696" w:rsidRDefault="00F44696" w:rsidP="003D0368">
      <w:pPr>
        <w:pStyle w:val="p2"/>
        <w:spacing w:line="360" w:lineRule="auto"/>
        <w:rPr>
          <w:rFonts w:ascii="Arial" w:hAnsi="Arial" w:cs="Arial"/>
          <w:sz w:val="22"/>
          <w:szCs w:val="22"/>
        </w:rPr>
      </w:pPr>
    </w:p>
    <w:p w14:paraId="4E7172A1" w14:textId="77777777" w:rsidR="003D0368" w:rsidRDefault="003D0368" w:rsidP="003D0368">
      <w:pPr>
        <w:pStyle w:val="p2"/>
        <w:spacing w:line="360" w:lineRule="auto"/>
        <w:rPr>
          <w:rFonts w:ascii="Arial" w:hAnsi="Arial" w:cs="Arial"/>
          <w:sz w:val="22"/>
          <w:szCs w:val="22"/>
        </w:rPr>
      </w:pPr>
    </w:p>
    <w:p w14:paraId="5D5BFF9B" w14:textId="77777777" w:rsidR="003D0368" w:rsidRPr="003D0368" w:rsidRDefault="003D0368" w:rsidP="003D0368">
      <w:pPr>
        <w:pStyle w:val="p2"/>
        <w:spacing w:line="360" w:lineRule="auto"/>
        <w:rPr>
          <w:rFonts w:ascii="Arial" w:hAnsi="Arial" w:cs="Arial"/>
          <w:sz w:val="22"/>
          <w:szCs w:val="22"/>
        </w:rPr>
      </w:pPr>
    </w:p>
    <w:p w14:paraId="3712A4B5" w14:textId="6E00FDEF" w:rsidR="00F44696" w:rsidRPr="003D0368" w:rsidRDefault="00F44696" w:rsidP="003D0368">
      <w:pPr>
        <w:pStyle w:val="p2"/>
        <w:spacing w:line="360" w:lineRule="auto"/>
        <w:rPr>
          <w:rFonts w:ascii="Arial" w:hAnsi="Arial" w:cs="Arial"/>
          <w:sz w:val="22"/>
          <w:szCs w:val="22"/>
        </w:rPr>
      </w:pPr>
      <w:r w:rsidRPr="003D0368">
        <w:rPr>
          <w:rFonts w:ascii="Arial" w:hAnsi="Arial" w:cs="Arial"/>
          <w:sz w:val="22"/>
          <w:szCs w:val="22"/>
        </w:rPr>
        <w:t>Conclusion</w:t>
      </w:r>
    </w:p>
    <w:p w14:paraId="5D47D1EF" w14:textId="54C849E1" w:rsidR="004C0310" w:rsidRPr="003D0368" w:rsidRDefault="004C0310" w:rsidP="003D0368">
      <w:pPr>
        <w:spacing w:line="360" w:lineRule="auto"/>
        <w:rPr>
          <w:rFonts w:ascii="Arial" w:hAnsi="Arial" w:cs="Arial"/>
          <w:color w:val="000000" w:themeColor="text1"/>
        </w:rPr>
      </w:pPr>
    </w:p>
    <w:p w14:paraId="274D96EA" w14:textId="77777777" w:rsidR="004C0310" w:rsidRPr="003D0368" w:rsidRDefault="004C0310" w:rsidP="003D0368">
      <w:pPr>
        <w:spacing w:line="360" w:lineRule="auto"/>
        <w:rPr>
          <w:rFonts w:ascii="Arial" w:hAnsi="Arial" w:cs="Arial"/>
          <w:color w:val="000000" w:themeColor="text1"/>
        </w:rPr>
      </w:pPr>
      <w:r w:rsidRPr="003D0368">
        <w:rPr>
          <w:rFonts w:ascii="Arial" w:hAnsi="Arial" w:cs="Arial"/>
          <w:color w:val="000000" w:themeColor="text1"/>
        </w:rPr>
        <w:t xml:space="preserve">The NHS COVID-19 app illustrates the complex impact of digital innovation within UK health and social care. Evidence suggests that, where uptake was sufficient, the app significantly reduced COVID-19 transmission, </w:t>
      </w:r>
      <w:proofErr w:type="gramStart"/>
      <w:r w:rsidRPr="003D0368">
        <w:rPr>
          <w:rFonts w:ascii="Arial" w:hAnsi="Arial" w:cs="Arial"/>
          <w:color w:val="000000" w:themeColor="text1"/>
        </w:rPr>
        <w:t>hospitalisations</w:t>
      </w:r>
      <w:proofErr w:type="gramEnd"/>
      <w:r w:rsidRPr="003D0368">
        <w:rPr>
          <w:rFonts w:ascii="Arial" w:hAnsi="Arial" w:cs="Arial"/>
          <w:color w:val="000000" w:themeColor="text1"/>
        </w:rPr>
        <w:t xml:space="preserve"> and mortality (Wymant et al., 2021; Fraser et al., 2023). For the workforce, it increased tracing capacity and introduced valuable digital competencies, yet also created operational complexity, required rapid </w:t>
      </w:r>
      <w:proofErr w:type="gramStart"/>
      <w:r w:rsidRPr="003D0368">
        <w:rPr>
          <w:rFonts w:ascii="Arial" w:hAnsi="Arial" w:cs="Arial"/>
          <w:color w:val="000000" w:themeColor="text1"/>
        </w:rPr>
        <w:t>upskilling</w:t>
      </w:r>
      <w:proofErr w:type="gramEnd"/>
      <w:r w:rsidRPr="003D0368">
        <w:rPr>
          <w:rFonts w:ascii="Arial" w:hAnsi="Arial" w:cs="Arial"/>
          <w:color w:val="000000" w:themeColor="text1"/>
        </w:rPr>
        <w:t xml:space="preserve"> and exposed organisational readiness gaps (UK Government, 2023). For service users, the app improved the speed and convenience of exposure notification and promoted self-management, but raised concerns about privacy, algorithmic </w:t>
      </w:r>
      <w:proofErr w:type="gramStart"/>
      <w:r w:rsidRPr="003D0368">
        <w:rPr>
          <w:rFonts w:ascii="Arial" w:hAnsi="Arial" w:cs="Arial"/>
          <w:color w:val="000000" w:themeColor="text1"/>
        </w:rPr>
        <w:t>transparency</w:t>
      </w:r>
      <w:proofErr w:type="gramEnd"/>
      <w:r w:rsidRPr="003D0368">
        <w:rPr>
          <w:rFonts w:ascii="Arial" w:hAnsi="Arial" w:cs="Arial"/>
          <w:color w:val="000000" w:themeColor="text1"/>
        </w:rPr>
        <w:t xml:space="preserve"> and digital </w:t>
      </w:r>
      <w:r w:rsidRPr="003D0368">
        <w:rPr>
          <w:rFonts w:ascii="Arial" w:hAnsi="Arial" w:cs="Arial"/>
          <w:color w:val="000000" w:themeColor="text1"/>
        </w:rPr>
        <w:lastRenderedPageBreak/>
        <w:t xml:space="preserve">exclusion (Dowthwaite et al., 2021). Overall, its effectiveness depended not solely on technical functionality but on public trust, equitable </w:t>
      </w:r>
      <w:proofErr w:type="gramStart"/>
      <w:r w:rsidRPr="003D0368">
        <w:rPr>
          <w:rFonts w:ascii="Arial" w:hAnsi="Arial" w:cs="Arial"/>
          <w:color w:val="000000" w:themeColor="text1"/>
        </w:rPr>
        <w:t>access</w:t>
      </w:r>
      <w:proofErr w:type="gramEnd"/>
      <w:r w:rsidRPr="003D0368">
        <w:rPr>
          <w:rFonts w:ascii="Arial" w:hAnsi="Arial" w:cs="Arial"/>
          <w:color w:val="000000" w:themeColor="text1"/>
        </w:rPr>
        <w:t xml:space="preserve"> and system integration.</w:t>
      </w:r>
    </w:p>
    <w:p w14:paraId="66A367B9" w14:textId="77777777" w:rsidR="004C0310" w:rsidRDefault="004C0310" w:rsidP="003D0368">
      <w:pPr>
        <w:spacing w:line="360" w:lineRule="auto"/>
        <w:rPr>
          <w:rFonts w:ascii="Arial" w:hAnsi="Arial" w:cs="Arial"/>
          <w:color w:val="000000" w:themeColor="text1"/>
        </w:rPr>
      </w:pPr>
      <w:r w:rsidRPr="003D0368">
        <w:rPr>
          <w:rFonts w:ascii="Arial" w:hAnsi="Arial" w:cs="Arial"/>
          <w:color w:val="000000" w:themeColor="text1"/>
        </w:rPr>
        <w:t xml:space="preserve">Selecting an innovation from the last ten years is essential because contemporary health systems operate within rapidly evolving technological, </w:t>
      </w:r>
      <w:proofErr w:type="gramStart"/>
      <w:r w:rsidRPr="003D0368">
        <w:rPr>
          <w:rFonts w:ascii="Arial" w:hAnsi="Arial" w:cs="Arial"/>
          <w:color w:val="000000" w:themeColor="text1"/>
        </w:rPr>
        <w:t>social</w:t>
      </w:r>
      <w:proofErr w:type="gramEnd"/>
      <w:r w:rsidRPr="003D0368">
        <w:rPr>
          <w:rFonts w:ascii="Arial" w:hAnsi="Arial" w:cs="Arial"/>
          <w:color w:val="000000" w:themeColor="text1"/>
        </w:rPr>
        <w:t xml:space="preserve"> and epidemiological contexts. Recent innovations such as digital contact tracing reflect current challenges—data governance, digital literacy, </w:t>
      </w:r>
      <w:proofErr w:type="gramStart"/>
      <w:r w:rsidRPr="003D0368">
        <w:rPr>
          <w:rFonts w:ascii="Arial" w:hAnsi="Arial" w:cs="Arial"/>
          <w:color w:val="000000" w:themeColor="text1"/>
        </w:rPr>
        <w:t>interoperability</w:t>
      </w:r>
      <w:proofErr w:type="gramEnd"/>
      <w:r w:rsidRPr="003D0368">
        <w:rPr>
          <w:rFonts w:ascii="Arial" w:hAnsi="Arial" w:cs="Arial"/>
          <w:color w:val="000000" w:themeColor="text1"/>
        </w:rPr>
        <w:t xml:space="preserve"> and public accountability—making them highly relevant for evaluating future health transformation strategies.</w:t>
      </w:r>
    </w:p>
    <w:p w14:paraId="4D13EDEC" w14:textId="77777777" w:rsidR="003D0368" w:rsidRPr="003D0368" w:rsidRDefault="003D0368" w:rsidP="003D0368">
      <w:pPr>
        <w:spacing w:line="360" w:lineRule="auto"/>
        <w:rPr>
          <w:rFonts w:ascii="Arial" w:hAnsi="Arial" w:cs="Arial"/>
          <w:color w:val="000000" w:themeColor="text1"/>
        </w:rPr>
      </w:pPr>
    </w:p>
    <w:p w14:paraId="2117D8AD" w14:textId="25CF0072" w:rsidR="00641B8D" w:rsidRPr="003D0368" w:rsidRDefault="004C0310" w:rsidP="003D0368">
      <w:pPr>
        <w:spacing w:line="360" w:lineRule="auto"/>
        <w:rPr>
          <w:rFonts w:ascii="Arial" w:hAnsi="Arial" w:cs="Arial"/>
          <w:color w:val="000000" w:themeColor="text1"/>
        </w:rPr>
      </w:pPr>
      <w:r w:rsidRPr="003D0368">
        <w:rPr>
          <w:rFonts w:ascii="Arial" w:hAnsi="Arial" w:cs="Arial"/>
          <w:color w:val="000000" w:themeColor="text1"/>
        </w:rPr>
        <w:t>Clear recommendations include: (1) embedding structured digital and data governance training within public health workforce development to improve competency and confidence (UK Government, 2023); (2) strengthening transparent communication and community co-design to enhance trust and equitable uptake (Dowthwaite et al., 2021); and (3) integrating digital tools with social and financial support mechanisms to mitigate unintended burdens, such as isolation-related hardship (Wymant et al., 2021). Without addressing these structural barriers, the potential of digital health innovation will remain unevenly realised.</w:t>
      </w:r>
    </w:p>
    <w:p w14:paraId="2C738EEB" w14:textId="77777777" w:rsidR="002C3816" w:rsidRPr="003D0368" w:rsidRDefault="002C3816" w:rsidP="003D0368">
      <w:pPr>
        <w:spacing w:line="360" w:lineRule="auto"/>
        <w:rPr>
          <w:rFonts w:ascii="Arial" w:hAnsi="Arial" w:cs="Arial"/>
          <w:color w:val="000000" w:themeColor="text1"/>
        </w:rPr>
      </w:pPr>
    </w:p>
    <w:p w14:paraId="43B0762C" w14:textId="77777777" w:rsidR="002C3816" w:rsidRPr="003D0368" w:rsidRDefault="002C3816" w:rsidP="003D0368">
      <w:pPr>
        <w:spacing w:line="360" w:lineRule="auto"/>
        <w:rPr>
          <w:rFonts w:ascii="Arial" w:hAnsi="Arial" w:cs="Arial"/>
          <w:color w:val="000000" w:themeColor="text1"/>
        </w:rPr>
      </w:pPr>
    </w:p>
    <w:p w14:paraId="4B709A88" w14:textId="77777777" w:rsidR="002C3816" w:rsidRDefault="002C3816" w:rsidP="003D0368">
      <w:pPr>
        <w:spacing w:line="360" w:lineRule="auto"/>
        <w:rPr>
          <w:rFonts w:ascii="Arial" w:hAnsi="Arial" w:cs="Arial"/>
          <w:color w:val="000000" w:themeColor="text1"/>
        </w:rPr>
      </w:pPr>
    </w:p>
    <w:p w14:paraId="6405840E" w14:textId="77777777" w:rsidR="003D0368" w:rsidRDefault="003D0368" w:rsidP="003D0368">
      <w:pPr>
        <w:spacing w:line="360" w:lineRule="auto"/>
        <w:rPr>
          <w:rFonts w:ascii="Arial" w:hAnsi="Arial" w:cs="Arial"/>
          <w:color w:val="000000" w:themeColor="text1"/>
        </w:rPr>
      </w:pPr>
    </w:p>
    <w:p w14:paraId="42A591FB" w14:textId="77777777" w:rsidR="003D0368" w:rsidRDefault="003D0368" w:rsidP="003D0368">
      <w:pPr>
        <w:spacing w:line="360" w:lineRule="auto"/>
        <w:rPr>
          <w:rFonts w:ascii="Arial" w:hAnsi="Arial" w:cs="Arial"/>
          <w:color w:val="000000" w:themeColor="text1"/>
        </w:rPr>
      </w:pPr>
    </w:p>
    <w:p w14:paraId="36F9844C" w14:textId="77777777" w:rsidR="003D0368" w:rsidRDefault="003D0368" w:rsidP="003D0368">
      <w:pPr>
        <w:spacing w:line="360" w:lineRule="auto"/>
        <w:rPr>
          <w:rFonts w:ascii="Arial" w:hAnsi="Arial" w:cs="Arial"/>
          <w:color w:val="000000" w:themeColor="text1"/>
        </w:rPr>
      </w:pPr>
    </w:p>
    <w:p w14:paraId="64436965" w14:textId="77777777" w:rsidR="003D0368" w:rsidRDefault="003D0368" w:rsidP="003D0368">
      <w:pPr>
        <w:spacing w:line="360" w:lineRule="auto"/>
        <w:rPr>
          <w:rFonts w:ascii="Arial" w:hAnsi="Arial" w:cs="Arial"/>
          <w:color w:val="000000" w:themeColor="text1"/>
        </w:rPr>
      </w:pPr>
    </w:p>
    <w:p w14:paraId="700C513D" w14:textId="77777777" w:rsidR="003D0368" w:rsidRDefault="003D0368" w:rsidP="003D0368">
      <w:pPr>
        <w:spacing w:line="360" w:lineRule="auto"/>
        <w:rPr>
          <w:rFonts w:ascii="Arial" w:hAnsi="Arial" w:cs="Arial"/>
          <w:color w:val="000000" w:themeColor="text1"/>
        </w:rPr>
      </w:pPr>
    </w:p>
    <w:p w14:paraId="3BB4516F" w14:textId="77777777" w:rsidR="003D0368" w:rsidRDefault="003D0368" w:rsidP="003D0368">
      <w:pPr>
        <w:spacing w:line="360" w:lineRule="auto"/>
        <w:rPr>
          <w:rFonts w:ascii="Arial" w:hAnsi="Arial" w:cs="Arial"/>
          <w:color w:val="000000" w:themeColor="text1"/>
        </w:rPr>
      </w:pPr>
    </w:p>
    <w:p w14:paraId="417585C1" w14:textId="77777777" w:rsidR="003D0368" w:rsidRDefault="003D0368" w:rsidP="003D0368">
      <w:pPr>
        <w:spacing w:line="360" w:lineRule="auto"/>
        <w:rPr>
          <w:rFonts w:ascii="Arial" w:hAnsi="Arial" w:cs="Arial"/>
          <w:color w:val="000000" w:themeColor="text1"/>
        </w:rPr>
      </w:pPr>
    </w:p>
    <w:p w14:paraId="0E99D142" w14:textId="77777777" w:rsidR="003D0368" w:rsidRDefault="003D0368" w:rsidP="003D0368">
      <w:pPr>
        <w:spacing w:line="360" w:lineRule="auto"/>
        <w:rPr>
          <w:rFonts w:ascii="Arial" w:hAnsi="Arial" w:cs="Arial"/>
          <w:color w:val="000000" w:themeColor="text1"/>
        </w:rPr>
      </w:pPr>
    </w:p>
    <w:p w14:paraId="422843CE" w14:textId="77777777" w:rsidR="003D0368" w:rsidRDefault="003D0368" w:rsidP="003D0368">
      <w:pPr>
        <w:spacing w:line="360" w:lineRule="auto"/>
        <w:rPr>
          <w:rFonts w:ascii="Arial" w:hAnsi="Arial" w:cs="Arial"/>
          <w:color w:val="000000" w:themeColor="text1"/>
        </w:rPr>
      </w:pPr>
    </w:p>
    <w:p w14:paraId="1D752827" w14:textId="77777777" w:rsidR="003D0368" w:rsidRDefault="003D0368" w:rsidP="003D0368">
      <w:pPr>
        <w:spacing w:line="360" w:lineRule="auto"/>
        <w:rPr>
          <w:rFonts w:ascii="Arial" w:hAnsi="Arial" w:cs="Arial"/>
          <w:color w:val="000000" w:themeColor="text1"/>
        </w:rPr>
      </w:pPr>
    </w:p>
    <w:p w14:paraId="2D8EDE7F" w14:textId="77777777" w:rsidR="003D0368" w:rsidRDefault="003D0368" w:rsidP="003D0368">
      <w:pPr>
        <w:spacing w:line="360" w:lineRule="auto"/>
        <w:rPr>
          <w:rFonts w:ascii="Arial" w:hAnsi="Arial" w:cs="Arial"/>
          <w:color w:val="000000" w:themeColor="text1"/>
        </w:rPr>
      </w:pPr>
    </w:p>
    <w:p w14:paraId="1081C78A" w14:textId="77777777" w:rsidR="003D0368" w:rsidRDefault="003D0368" w:rsidP="003D0368">
      <w:pPr>
        <w:spacing w:line="360" w:lineRule="auto"/>
        <w:rPr>
          <w:rFonts w:ascii="Arial" w:hAnsi="Arial" w:cs="Arial"/>
          <w:color w:val="000000" w:themeColor="text1"/>
        </w:rPr>
      </w:pPr>
    </w:p>
    <w:p w14:paraId="2D26A40E" w14:textId="77777777" w:rsidR="003D0368" w:rsidRDefault="003D0368" w:rsidP="003D0368">
      <w:pPr>
        <w:spacing w:line="360" w:lineRule="auto"/>
        <w:rPr>
          <w:rFonts w:ascii="Arial" w:hAnsi="Arial" w:cs="Arial"/>
          <w:color w:val="000000" w:themeColor="text1"/>
        </w:rPr>
      </w:pPr>
    </w:p>
    <w:p w14:paraId="7D28ECF3" w14:textId="77777777" w:rsidR="003D0368" w:rsidRDefault="003D0368" w:rsidP="003D0368">
      <w:pPr>
        <w:spacing w:line="360" w:lineRule="auto"/>
        <w:rPr>
          <w:rFonts w:ascii="Arial" w:hAnsi="Arial" w:cs="Arial"/>
          <w:color w:val="000000" w:themeColor="text1"/>
        </w:rPr>
      </w:pPr>
    </w:p>
    <w:p w14:paraId="5EF5C7FB" w14:textId="77777777" w:rsidR="003D0368" w:rsidRDefault="003D0368" w:rsidP="003D0368">
      <w:pPr>
        <w:spacing w:line="360" w:lineRule="auto"/>
        <w:rPr>
          <w:rFonts w:ascii="Arial" w:hAnsi="Arial" w:cs="Arial"/>
          <w:color w:val="000000" w:themeColor="text1"/>
        </w:rPr>
      </w:pPr>
    </w:p>
    <w:p w14:paraId="78E52FD6" w14:textId="77777777" w:rsidR="003D0368" w:rsidRDefault="003D0368" w:rsidP="003D0368">
      <w:pPr>
        <w:spacing w:line="360" w:lineRule="auto"/>
        <w:rPr>
          <w:rFonts w:ascii="Arial" w:hAnsi="Arial" w:cs="Arial"/>
          <w:color w:val="000000" w:themeColor="text1"/>
        </w:rPr>
      </w:pPr>
    </w:p>
    <w:p w14:paraId="5A371B0B" w14:textId="77777777" w:rsidR="003D0368" w:rsidRDefault="003D0368" w:rsidP="003D0368">
      <w:pPr>
        <w:spacing w:line="360" w:lineRule="auto"/>
        <w:rPr>
          <w:rFonts w:ascii="Arial" w:hAnsi="Arial" w:cs="Arial"/>
          <w:color w:val="000000" w:themeColor="text1"/>
        </w:rPr>
      </w:pPr>
    </w:p>
    <w:p w14:paraId="424FB8F4" w14:textId="77777777" w:rsidR="003D0368" w:rsidRDefault="003D0368" w:rsidP="003D0368">
      <w:pPr>
        <w:spacing w:line="360" w:lineRule="auto"/>
        <w:rPr>
          <w:rFonts w:ascii="Arial" w:hAnsi="Arial" w:cs="Arial"/>
          <w:color w:val="000000" w:themeColor="text1"/>
        </w:rPr>
      </w:pPr>
    </w:p>
    <w:p w14:paraId="056398AE" w14:textId="77777777" w:rsidR="003D0368" w:rsidRDefault="003D0368" w:rsidP="003D0368">
      <w:pPr>
        <w:spacing w:line="360" w:lineRule="auto"/>
        <w:rPr>
          <w:rFonts w:ascii="Arial" w:hAnsi="Arial" w:cs="Arial"/>
          <w:color w:val="000000" w:themeColor="text1"/>
        </w:rPr>
      </w:pPr>
    </w:p>
    <w:p w14:paraId="61B2B2A3" w14:textId="77777777" w:rsidR="003D0368" w:rsidRDefault="003D0368" w:rsidP="003D0368">
      <w:pPr>
        <w:spacing w:line="360" w:lineRule="auto"/>
        <w:rPr>
          <w:rFonts w:ascii="Arial" w:hAnsi="Arial" w:cs="Arial"/>
          <w:color w:val="000000" w:themeColor="text1"/>
        </w:rPr>
      </w:pPr>
    </w:p>
    <w:p w14:paraId="73623AA8" w14:textId="77777777" w:rsidR="003D0368" w:rsidRDefault="003D0368" w:rsidP="003D0368">
      <w:pPr>
        <w:spacing w:line="360" w:lineRule="auto"/>
        <w:rPr>
          <w:rFonts w:ascii="Arial" w:hAnsi="Arial" w:cs="Arial"/>
          <w:color w:val="000000" w:themeColor="text1"/>
        </w:rPr>
      </w:pPr>
    </w:p>
    <w:p w14:paraId="04885EA6" w14:textId="77777777" w:rsidR="003D0368" w:rsidRDefault="003D0368" w:rsidP="003D0368">
      <w:pPr>
        <w:spacing w:line="360" w:lineRule="auto"/>
        <w:rPr>
          <w:rFonts w:ascii="Arial" w:hAnsi="Arial" w:cs="Arial"/>
          <w:color w:val="000000" w:themeColor="text1"/>
        </w:rPr>
      </w:pPr>
    </w:p>
    <w:p w14:paraId="32CD994C" w14:textId="77777777" w:rsidR="003D0368" w:rsidRDefault="003D0368" w:rsidP="003D0368">
      <w:pPr>
        <w:spacing w:line="360" w:lineRule="auto"/>
        <w:rPr>
          <w:rFonts w:ascii="Arial" w:hAnsi="Arial" w:cs="Arial"/>
          <w:color w:val="000000" w:themeColor="text1"/>
        </w:rPr>
      </w:pPr>
    </w:p>
    <w:p w14:paraId="5FAFDF35" w14:textId="77777777" w:rsidR="003D0368" w:rsidRDefault="003D0368" w:rsidP="003D0368">
      <w:pPr>
        <w:spacing w:line="360" w:lineRule="auto"/>
        <w:rPr>
          <w:rFonts w:ascii="Arial" w:hAnsi="Arial" w:cs="Arial"/>
          <w:color w:val="000000" w:themeColor="text1"/>
        </w:rPr>
      </w:pPr>
    </w:p>
    <w:p w14:paraId="63F763AE" w14:textId="77777777" w:rsidR="003D0368" w:rsidRDefault="003D0368" w:rsidP="003D0368">
      <w:pPr>
        <w:spacing w:line="360" w:lineRule="auto"/>
        <w:rPr>
          <w:rFonts w:ascii="Arial" w:hAnsi="Arial" w:cs="Arial"/>
          <w:color w:val="000000" w:themeColor="text1"/>
        </w:rPr>
      </w:pPr>
    </w:p>
    <w:p w14:paraId="3E838F15" w14:textId="77777777" w:rsidR="003D0368" w:rsidRDefault="003D0368" w:rsidP="003D0368">
      <w:pPr>
        <w:spacing w:line="360" w:lineRule="auto"/>
        <w:rPr>
          <w:rFonts w:ascii="Arial" w:hAnsi="Arial" w:cs="Arial"/>
          <w:color w:val="000000" w:themeColor="text1"/>
        </w:rPr>
      </w:pPr>
    </w:p>
    <w:p w14:paraId="381C6674" w14:textId="77777777" w:rsidR="003D0368" w:rsidRDefault="003D0368" w:rsidP="003D0368">
      <w:pPr>
        <w:spacing w:line="360" w:lineRule="auto"/>
        <w:rPr>
          <w:rFonts w:ascii="Arial" w:hAnsi="Arial" w:cs="Arial"/>
          <w:color w:val="000000" w:themeColor="text1"/>
        </w:rPr>
      </w:pPr>
    </w:p>
    <w:p w14:paraId="11AC724F" w14:textId="77777777" w:rsidR="003D0368" w:rsidRDefault="003D0368" w:rsidP="003D0368">
      <w:pPr>
        <w:spacing w:line="360" w:lineRule="auto"/>
        <w:rPr>
          <w:rFonts w:ascii="Arial" w:hAnsi="Arial" w:cs="Arial"/>
          <w:color w:val="000000" w:themeColor="text1"/>
        </w:rPr>
      </w:pPr>
    </w:p>
    <w:p w14:paraId="6C1208B2" w14:textId="77777777" w:rsidR="003D0368" w:rsidRDefault="003D0368" w:rsidP="003D0368">
      <w:pPr>
        <w:spacing w:line="360" w:lineRule="auto"/>
        <w:rPr>
          <w:rFonts w:ascii="Arial" w:hAnsi="Arial" w:cs="Arial"/>
          <w:color w:val="000000" w:themeColor="text1"/>
        </w:rPr>
      </w:pPr>
    </w:p>
    <w:p w14:paraId="7989CFEF" w14:textId="77777777" w:rsidR="003D0368" w:rsidRPr="003D0368" w:rsidRDefault="003D0368" w:rsidP="003D0368">
      <w:pPr>
        <w:spacing w:line="360" w:lineRule="auto"/>
        <w:rPr>
          <w:rFonts w:ascii="Arial" w:hAnsi="Arial" w:cs="Arial"/>
          <w:color w:val="000000" w:themeColor="text1"/>
        </w:rPr>
      </w:pPr>
    </w:p>
    <w:p w14:paraId="2633F083" w14:textId="77777777" w:rsidR="002C3816" w:rsidRPr="003D0368" w:rsidRDefault="002C3816" w:rsidP="003D0368">
      <w:pPr>
        <w:spacing w:line="360" w:lineRule="auto"/>
        <w:rPr>
          <w:rFonts w:ascii="Arial" w:hAnsi="Arial" w:cs="Arial"/>
          <w:color w:val="000000" w:themeColor="text1"/>
        </w:rPr>
      </w:pPr>
    </w:p>
    <w:p w14:paraId="2BA294FC" w14:textId="009B7CB3" w:rsidR="002C3816" w:rsidRPr="003D0368" w:rsidRDefault="002C3816" w:rsidP="003D0368">
      <w:pPr>
        <w:spacing w:line="360" w:lineRule="auto"/>
        <w:rPr>
          <w:rFonts w:ascii="Arial" w:hAnsi="Arial" w:cs="Arial"/>
          <w:b/>
          <w:bCs/>
          <w:color w:val="000000" w:themeColor="text1"/>
        </w:rPr>
      </w:pPr>
      <w:r w:rsidRPr="003D0368">
        <w:rPr>
          <w:rFonts w:ascii="Arial" w:hAnsi="Arial" w:cs="Arial"/>
          <w:b/>
          <w:bCs/>
          <w:color w:val="000000" w:themeColor="text1"/>
        </w:rPr>
        <w:t>Reference list</w:t>
      </w:r>
    </w:p>
    <w:p w14:paraId="53A4765E" w14:textId="61CFF91E" w:rsidR="004E40F3" w:rsidRPr="003D0368" w:rsidRDefault="004E40F3" w:rsidP="003D0368">
      <w:pPr>
        <w:spacing w:line="360" w:lineRule="auto"/>
        <w:rPr>
          <w:rFonts w:ascii="Arial" w:hAnsi="Arial" w:cs="Arial"/>
          <w:color w:val="000000" w:themeColor="text1"/>
        </w:rPr>
      </w:pPr>
      <w:r w:rsidRPr="003D0368">
        <w:rPr>
          <w:rFonts w:ascii="Arial" w:hAnsi="Arial" w:cs="Arial"/>
          <w:color w:val="000000" w:themeColor="text1"/>
        </w:rPr>
        <w:t xml:space="preserve">Ada Lovelace Institute (2020) Exit through the App Store? </w:t>
      </w:r>
      <w:proofErr w:type="gramStart"/>
      <w:r w:rsidRPr="003D0368">
        <w:rPr>
          <w:rFonts w:ascii="Arial" w:hAnsi="Arial" w:cs="Arial"/>
          <w:color w:val="000000" w:themeColor="text1"/>
        </w:rPr>
        <w:t>A rapid evidence</w:t>
      </w:r>
      <w:proofErr w:type="gramEnd"/>
      <w:r w:rsidRPr="003D0368">
        <w:rPr>
          <w:rFonts w:ascii="Arial" w:hAnsi="Arial" w:cs="Arial"/>
          <w:color w:val="000000" w:themeColor="text1"/>
        </w:rPr>
        <w:t xml:space="preserve"> </w:t>
      </w:r>
      <w:r w:rsidR="003D0368" w:rsidRPr="003D0368">
        <w:rPr>
          <w:rFonts w:ascii="Arial" w:hAnsi="Arial" w:cs="Arial"/>
          <w:color w:val="000000" w:themeColor="text1"/>
        </w:rPr>
        <w:t>reviews</w:t>
      </w:r>
      <w:r w:rsidRPr="003D0368">
        <w:rPr>
          <w:rFonts w:ascii="Arial" w:hAnsi="Arial" w:cs="Arial"/>
          <w:color w:val="000000" w:themeColor="text1"/>
        </w:rPr>
        <w:t xml:space="preserve"> on the technical considerations and societal implications of using technology to transition from the COVID-19 crisis. London: Ada Lovelace Institute. Available at: </w:t>
      </w:r>
      <w:hyperlink r:id="rId5" w:history="1">
        <w:r w:rsidR="003D0368" w:rsidRPr="003648A5">
          <w:rPr>
            <w:rStyle w:val="Hyperlink"/>
            <w:rFonts w:ascii="Arial" w:hAnsi="Arial" w:cs="Arial"/>
          </w:rPr>
          <w:t>https://www.adalovelaceinstitute.org/report/exit-through-the-app-store/</w:t>
        </w:r>
      </w:hyperlink>
      <w:r w:rsidR="003D0368">
        <w:rPr>
          <w:rFonts w:ascii="Arial" w:hAnsi="Arial" w:cs="Arial"/>
          <w:color w:val="000000" w:themeColor="text1"/>
        </w:rPr>
        <w:t xml:space="preserve"> </w:t>
      </w:r>
      <w:r w:rsidRPr="003D0368">
        <w:rPr>
          <w:rFonts w:ascii="Arial" w:hAnsi="Arial" w:cs="Arial"/>
          <w:color w:val="000000" w:themeColor="text1"/>
        </w:rPr>
        <w:t xml:space="preserve"> (Accessed: 2</w:t>
      </w:r>
      <w:r w:rsidR="003D0368">
        <w:rPr>
          <w:rFonts w:ascii="Arial" w:hAnsi="Arial" w:cs="Arial"/>
          <w:color w:val="000000" w:themeColor="text1"/>
        </w:rPr>
        <w:t>4</w:t>
      </w:r>
      <w:r w:rsidRPr="003D0368">
        <w:rPr>
          <w:rFonts w:ascii="Arial" w:hAnsi="Arial" w:cs="Arial"/>
          <w:color w:val="000000" w:themeColor="text1"/>
        </w:rPr>
        <w:t xml:space="preserve"> February 2026).</w:t>
      </w:r>
    </w:p>
    <w:p w14:paraId="675DC72B" w14:textId="087FE966" w:rsidR="004E40F3" w:rsidRPr="003D0368" w:rsidRDefault="004E40F3" w:rsidP="003D0368">
      <w:pPr>
        <w:spacing w:line="360" w:lineRule="auto"/>
        <w:rPr>
          <w:rFonts w:ascii="Arial" w:hAnsi="Arial" w:cs="Arial"/>
          <w:color w:val="000000" w:themeColor="text1"/>
        </w:rPr>
      </w:pPr>
      <w:r w:rsidRPr="003D0368">
        <w:rPr>
          <w:rFonts w:ascii="Arial" w:hAnsi="Arial" w:cs="Arial"/>
          <w:color w:val="000000" w:themeColor="text1"/>
        </w:rPr>
        <w:t>Department of Health and Social Care (2020) NHS COVID-19 app privacy notice. London: DHSC. Available at: https://www.gov.uk/government/publications/nhs-covid-19-app-privacy-notice</w:t>
      </w:r>
      <w:r w:rsidR="003D0368">
        <w:rPr>
          <w:rFonts w:ascii="Arial" w:hAnsi="Arial" w:cs="Arial"/>
          <w:color w:val="000000" w:themeColor="text1"/>
        </w:rPr>
        <w:t xml:space="preserve"> </w:t>
      </w:r>
      <w:r w:rsidRPr="003D0368">
        <w:rPr>
          <w:rFonts w:ascii="Arial" w:hAnsi="Arial" w:cs="Arial"/>
          <w:color w:val="000000" w:themeColor="text1"/>
        </w:rPr>
        <w:t xml:space="preserve"> (Accessed: 2</w:t>
      </w:r>
      <w:r w:rsidR="003D0368">
        <w:rPr>
          <w:rFonts w:ascii="Arial" w:hAnsi="Arial" w:cs="Arial"/>
          <w:color w:val="000000" w:themeColor="text1"/>
        </w:rPr>
        <w:t>4</w:t>
      </w:r>
      <w:r w:rsidRPr="003D0368">
        <w:rPr>
          <w:rFonts w:ascii="Arial" w:hAnsi="Arial" w:cs="Arial"/>
          <w:color w:val="000000" w:themeColor="text1"/>
        </w:rPr>
        <w:t xml:space="preserve"> February 2026).</w:t>
      </w:r>
    </w:p>
    <w:p w14:paraId="13AEA05B" w14:textId="4B8B859E" w:rsidR="004E40F3" w:rsidRPr="003D0368" w:rsidRDefault="004E40F3" w:rsidP="003D0368">
      <w:pPr>
        <w:spacing w:line="360" w:lineRule="auto"/>
        <w:rPr>
          <w:rFonts w:ascii="Arial" w:hAnsi="Arial" w:cs="Arial"/>
          <w:color w:val="000000" w:themeColor="text1"/>
        </w:rPr>
      </w:pPr>
      <w:r w:rsidRPr="003D0368">
        <w:rPr>
          <w:rFonts w:ascii="Arial" w:hAnsi="Arial" w:cs="Arial"/>
          <w:color w:val="000000" w:themeColor="text1"/>
        </w:rPr>
        <w:t xml:space="preserve">Dowthwaite, L., Fischer, J.E., Perez Vallejos, E., Portillo, V., Nichele, E., Goulden, M. and McAuley, D. (2021) ‘Public adoption and trust in the NHS COVID-19 contact tracing app in the UK’, Journal of Medical Internet Research, 23(9), e29085. doi: 10.2196/29085. Available at: </w:t>
      </w:r>
      <w:hyperlink r:id="rId6" w:history="1">
        <w:r w:rsidR="003D0368" w:rsidRPr="003648A5">
          <w:rPr>
            <w:rStyle w:val="Hyperlink"/>
            <w:rFonts w:ascii="Arial" w:hAnsi="Arial" w:cs="Arial"/>
          </w:rPr>
          <w:t>https://www.jmir.org/2021/9/e29085</w:t>
        </w:r>
      </w:hyperlink>
      <w:r w:rsidR="003D0368">
        <w:rPr>
          <w:rFonts w:ascii="Arial" w:hAnsi="Arial" w:cs="Arial"/>
          <w:color w:val="000000" w:themeColor="text1"/>
        </w:rPr>
        <w:t xml:space="preserve"> </w:t>
      </w:r>
      <w:r w:rsidRPr="003D0368">
        <w:rPr>
          <w:rFonts w:ascii="Arial" w:hAnsi="Arial" w:cs="Arial"/>
          <w:color w:val="000000" w:themeColor="text1"/>
        </w:rPr>
        <w:t xml:space="preserve"> (Accessed: 2</w:t>
      </w:r>
      <w:r w:rsidR="003D0368">
        <w:rPr>
          <w:rFonts w:ascii="Arial" w:hAnsi="Arial" w:cs="Arial"/>
          <w:color w:val="000000" w:themeColor="text1"/>
        </w:rPr>
        <w:t>5</w:t>
      </w:r>
      <w:r w:rsidRPr="003D0368">
        <w:rPr>
          <w:rFonts w:ascii="Arial" w:hAnsi="Arial" w:cs="Arial"/>
          <w:color w:val="000000" w:themeColor="text1"/>
        </w:rPr>
        <w:t xml:space="preserve"> February 2026).</w:t>
      </w:r>
    </w:p>
    <w:p w14:paraId="2D4A6D78" w14:textId="7D7C8952" w:rsidR="004E40F3" w:rsidRPr="003D0368" w:rsidRDefault="004E40F3" w:rsidP="003D0368">
      <w:pPr>
        <w:spacing w:line="360" w:lineRule="auto"/>
        <w:rPr>
          <w:rFonts w:ascii="Arial" w:hAnsi="Arial" w:cs="Arial"/>
          <w:color w:val="000000" w:themeColor="text1"/>
        </w:rPr>
      </w:pPr>
      <w:r w:rsidRPr="003D0368">
        <w:rPr>
          <w:rFonts w:ascii="Arial" w:hAnsi="Arial" w:cs="Arial"/>
          <w:color w:val="000000" w:themeColor="text1"/>
        </w:rPr>
        <w:t xml:space="preserve">Fraser, C., Kendall, M., Bonsall, D., et al. (2023) ‘Epidemiological impacts of the NHS COVID-19 app in England and Wales’, Nature Communications, 14, 1650. doi: 10.1038/s41467-023-36495-z. Available at: </w:t>
      </w:r>
      <w:hyperlink r:id="rId7" w:history="1">
        <w:r w:rsidR="003D0368" w:rsidRPr="003648A5">
          <w:rPr>
            <w:rStyle w:val="Hyperlink"/>
            <w:rFonts w:ascii="Arial" w:hAnsi="Arial" w:cs="Arial"/>
          </w:rPr>
          <w:t>https://www.nature.com/articles/s41467-023-36495-z</w:t>
        </w:r>
      </w:hyperlink>
      <w:r w:rsidR="003D0368">
        <w:rPr>
          <w:rFonts w:ascii="Arial" w:hAnsi="Arial" w:cs="Arial"/>
          <w:color w:val="000000" w:themeColor="text1"/>
        </w:rPr>
        <w:t xml:space="preserve"> </w:t>
      </w:r>
      <w:r w:rsidRPr="003D0368">
        <w:rPr>
          <w:rFonts w:ascii="Arial" w:hAnsi="Arial" w:cs="Arial"/>
          <w:color w:val="000000" w:themeColor="text1"/>
        </w:rPr>
        <w:t xml:space="preserve"> (Accessed: 2</w:t>
      </w:r>
      <w:r w:rsidR="003D0368">
        <w:rPr>
          <w:rFonts w:ascii="Arial" w:hAnsi="Arial" w:cs="Arial"/>
          <w:color w:val="000000" w:themeColor="text1"/>
        </w:rPr>
        <w:t>6</w:t>
      </w:r>
      <w:r w:rsidRPr="003D0368">
        <w:rPr>
          <w:rFonts w:ascii="Arial" w:hAnsi="Arial" w:cs="Arial"/>
          <w:color w:val="000000" w:themeColor="text1"/>
        </w:rPr>
        <w:t xml:space="preserve"> February 2026).</w:t>
      </w:r>
    </w:p>
    <w:p w14:paraId="1B566718" w14:textId="22E1B1ED" w:rsidR="004E40F3" w:rsidRPr="003D0368" w:rsidRDefault="004E40F3" w:rsidP="003D0368">
      <w:pPr>
        <w:spacing w:line="360" w:lineRule="auto"/>
        <w:rPr>
          <w:rFonts w:ascii="Arial" w:hAnsi="Arial" w:cs="Arial"/>
          <w:color w:val="000000" w:themeColor="text1"/>
        </w:rPr>
      </w:pPr>
      <w:r w:rsidRPr="003D0368">
        <w:rPr>
          <w:rFonts w:ascii="Arial" w:hAnsi="Arial" w:cs="Arial"/>
          <w:color w:val="000000" w:themeColor="text1"/>
        </w:rPr>
        <w:t xml:space="preserve">Greenhalgh, T., Wherton, J., Papoutsi, C., Lynch, J., Hughes, G., A’Court, C., Hinder, S., Fahy, N., Procter, R. and Shaw, S. (2017) ‘Beyond adoption: a new framework for theorizing and evaluating nonadoption, abandonment, scale-up, spread, and sustainability of health and care technologies’, Journal of Medical Internet Research, 19(11), e367. doi: 10.2196/jmir.8775. Available at: </w:t>
      </w:r>
      <w:hyperlink r:id="rId8" w:history="1">
        <w:r w:rsidR="003D0368" w:rsidRPr="003648A5">
          <w:rPr>
            <w:rStyle w:val="Hyperlink"/>
            <w:rFonts w:ascii="Arial" w:hAnsi="Arial" w:cs="Arial"/>
          </w:rPr>
          <w:t>https://www.jmir.org/2017/11/e367/</w:t>
        </w:r>
      </w:hyperlink>
      <w:r w:rsidR="003D0368">
        <w:rPr>
          <w:rFonts w:ascii="Arial" w:hAnsi="Arial" w:cs="Arial"/>
          <w:color w:val="000000" w:themeColor="text1"/>
        </w:rPr>
        <w:t xml:space="preserve"> </w:t>
      </w:r>
      <w:r w:rsidRPr="003D0368">
        <w:rPr>
          <w:rFonts w:ascii="Arial" w:hAnsi="Arial" w:cs="Arial"/>
          <w:color w:val="000000" w:themeColor="text1"/>
        </w:rPr>
        <w:t xml:space="preserve"> (Accessed: 28 February 2026).</w:t>
      </w:r>
    </w:p>
    <w:p w14:paraId="5CBDB6AB" w14:textId="2337722A" w:rsidR="004E40F3" w:rsidRPr="003D0368" w:rsidRDefault="004E40F3" w:rsidP="003D0368">
      <w:pPr>
        <w:spacing w:line="360" w:lineRule="auto"/>
        <w:rPr>
          <w:rFonts w:ascii="Arial" w:hAnsi="Arial" w:cs="Arial"/>
          <w:color w:val="000000" w:themeColor="text1"/>
        </w:rPr>
      </w:pPr>
      <w:r w:rsidRPr="003D0368">
        <w:rPr>
          <w:rFonts w:ascii="Arial" w:hAnsi="Arial" w:cs="Arial"/>
          <w:color w:val="000000" w:themeColor="text1"/>
        </w:rPr>
        <w:lastRenderedPageBreak/>
        <w:t xml:space="preserve">NHSX (2020) NHS COVID-19 app: Explainer. London: NHSX. Available at: </w:t>
      </w:r>
      <w:hyperlink r:id="rId9" w:history="1">
        <w:r w:rsidR="003D0368" w:rsidRPr="003648A5">
          <w:rPr>
            <w:rStyle w:val="Hyperlink"/>
            <w:rFonts w:ascii="Arial" w:hAnsi="Arial" w:cs="Arial"/>
          </w:rPr>
          <w:t>https://www.nhsx.nhs.uk/covid-19-response/nhs-covid-19-app/</w:t>
        </w:r>
      </w:hyperlink>
      <w:r w:rsidR="003D0368">
        <w:rPr>
          <w:rFonts w:ascii="Arial" w:hAnsi="Arial" w:cs="Arial"/>
          <w:color w:val="000000" w:themeColor="text1"/>
        </w:rPr>
        <w:t xml:space="preserve"> </w:t>
      </w:r>
      <w:r w:rsidRPr="003D0368">
        <w:rPr>
          <w:rFonts w:ascii="Arial" w:hAnsi="Arial" w:cs="Arial"/>
          <w:color w:val="000000" w:themeColor="text1"/>
        </w:rPr>
        <w:t>(Accessed: 2</w:t>
      </w:r>
      <w:r w:rsidR="003D0368">
        <w:rPr>
          <w:rFonts w:ascii="Arial" w:hAnsi="Arial" w:cs="Arial"/>
          <w:color w:val="000000" w:themeColor="text1"/>
        </w:rPr>
        <w:t>7</w:t>
      </w:r>
      <w:r w:rsidRPr="003D0368">
        <w:rPr>
          <w:rFonts w:ascii="Arial" w:hAnsi="Arial" w:cs="Arial"/>
          <w:color w:val="000000" w:themeColor="text1"/>
        </w:rPr>
        <w:t xml:space="preserve"> February 2026).</w:t>
      </w:r>
    </w:p>
    <w:p w14:paraId="7515ABBD" w14:textId="44797FA2" w:rsidR="004E40F3" w:rsidRPr="003D0368" w:rsidRDefault="004E40F3" w:rsidP="003D0368">
      <w:pPr>
        <w:spacing w:line="360" w:lineRule="auto"/>
        <w:rPr>
          <w:rFonts w:ascii="Arial" w:hAnsi="Arial" w:cs="Arial"/>
          <w:color w:val="000000" w:themeColor="text1"/>
        </w:rPr>
      </w:pPr>
      <w:r w:rsidRPr="003D0368">
        <w:rPr>
          <w:rFonts w:ascii="Arial" w:hAnsi="Arial" w:cs="Arial"/>
          <w:color w:val="000000" w:themeColor="text1"/>
        </w:rPr>
        <w:t xml:space="preserve">Rowe, F., Ngwenyama, O. and Richet, J.-L. (2020) ‘Contact-tracing apps and alienation in the age of COVID-19’, European Journal of Information Systems, 29(5), pp. 545–562. doi: 10.1080/0960085X.2020.1803155. Available at: </w:t>
      </w:r>
      <w:hyperlink r:id="rId10" w:history="1">
        <w:r w:rsidR="003D0368" w:rsidRPr="003648A5">
          <w:rPr>
            <w:rStyle w:val="Hyperlink"/>
            <w:rFonts w:ascii="Arial" w:hAnsi="Arial" w:cs="Arial"/>
          </w:rPr>
          <w:t>https://www.tandfonline.com/doi/full/10.1080/0960085X.2020.1803155</w:t>
        </w:r>
      </w:hyperlink>
      <w:r w:rsidR="003D0368">
        <w:rPr>
          <w:rFonts w:ascii="Arial" w:hAnsi="Arial" w:cs="Arial"/>
          <w:color w:val="000000" w:themeColor="text1"/>
        </w:rPr>
        <w:t xml:space="preserve"> </w:t>
      </w:r>
      <w:r w:rsidRPr="003D0368">
        <w:rPr>
          <w:rFonts w:ascii="Arial" w:hAnsi="Arial" w:cs="Arial"/>
          <w:color w:val="000000" w:themeColor="text1"/>
        </w:rPr>
        <w:t xml:space="preserve"> (Accessed: 28 February 2026).</w:t>
      </w:r>
    </w:p>
    <w:p w14:paraId="5B6A67E5" w14:textId="24961B9C" w:rsidR="004E40F3" w:rsidRPr="003D0368" w:rsidRDefault="004E40F3" w:rsidP="003D0368">
      <w:pPr>
        <w:spacing w:line="360" w:lineRule="auto"/>
        <w:rPr>
          <w:rFonts w:ascii="Arial" w:hAnsi="Arial" w:cs="Arial"/>
          <w:color w:val="000000" w:themeColor="text1"/>
        </w:rPr>
      </w:pPr>
      <w:r w:rsidRPr="003D0368">
        <w:rPr>
          <w:rFonts w:ascii="Arial" w:hAnsi="Arial" w:cs="Arial"/>
          <w:color w:val="000000" w:themeColor="text1"/>
        </w:rPr>
        <w:t xml:space="preserve">UK Government (2023) Technical report on the COVID-19 pandemic in the UK: Chapter 7 – Contact tracing and isolation. London: GOV.UK. Available at: </w:t>
      </w:r>
      <w:hyperlink r:id="rId11" w:history="1">
        <w:r w:rsidR="003D0368" w:rsidRPr="003648A5">
          <w:rPr>
            <w:rStyle w:val="Hyperlink"/>
            <w:rFonts w:ascii="Arial" w:hAnsi="Arial" w:cs="Arial"/>
          </w:rPr>
          <w:t>https://www.gov.uk/government/publications/technical-report-on-the-covid-19-pandemic-in-the-uk/chapter-7-contact-tracing-and-isolation</w:t>
        </w:r>
      </w:hyperlink>
      <w:r w:rsidR="003D0368">
        <w:rPr>
          <w:rFonts w:ascii="Arial" w:hAnsi="Arial" w:cs="Arial"/>
          <w:color w:val="000000" w:themeColor="text1"/>
        </w:rPr>
        <w:t xml:space="preserve"> </w:t>
      </w:r>
      <w:r w:rsidRPr="003D0368">
        <w:rPr>
          <w:rFonts w:ascii="Arial" w:hAnsi="Arial" w:cs="Arial"/>
          <w:color w:val="000000" w:themeColor="text1"/>
        </w:rPr>
        <w:t>(Accessed: 28 February 2026).</w:t>
      </w:r>
    </w:p>
    <w:p w14:paraId="1C20AE29" w14:textId="1D474806" w:rsidR="004E40F3" w:rsidRPr="003D0368" w:rsidRDefault="004E40F3" w:rsidP="003D0368">
      <w:pPr>
        <w:spacing w:line="360" w:lineRule="auto"/>
        <w:rPr>
          <w:rFonts w:ascii="Arial" w:hAnsi="Arial" w:cs="Arial"/>
          <w:color w:val="000000" w:themeColor="text1"/>
        </w:rPr>
      </w:pPr>
      <w:r w:rsidRPr="003D0368">
        <w:rPr>
          <w:rFonts w:ascii="Arial" w:hAnsi="Arial" w:cs="Arial"/>
          <w:color w:val="000000" w:themeColor="text1"/>
        </w:rPr>
        <w:t xml:space="preserve">World Health Organization (2020) Ethical considerations to guide the use of digital proximity tracking technologies for COVID-19 contact tracing. Geneva: WHO. Available at: </w:t>
      </w:r>
      <w:hyperlink r:id="rId12" w:history="1">
        <w:r w:rsidR="003D0368" w:rsidRPr="003648A5">
          <w:rPr>
            <w:rStyle w:val="Hyperlink"/>
            <w:rFonts w:ascii="Arial" w:hAnsi="Arial" w:cs="Arial"/>
          </w:rPr>
          <w:t>https://www.who.int/publications/i/item/WHO-2019-nCoV-Ethics_Contact_tracing_apps-2020.1</w:t>
        </w:r>
      </w:hyperlink>
      <w:r w:rsidR="003D0368">
        <w:rPr>
          <w:rFonts w:ascii="Arial" w:hAnsi="Arial" w:cs="Arial"/>
          <w:color w:val="000000" w:themeColor="text1"/>
        </w:rPr>
        <w:t xml:space="preserve"> </w:t>
      </w:r>
      <w:r w:rsidRPr="003D0368">
        <w:rPr>
          <w:rFonts w:ascii="Arial" w:hAnsi="Arial" w:cs="Arial"/>
          <w:color w:val="000000" w:themeColor="text1"/>
        </w:rPr>
        <w:t xml:space="preserve"> (Accessed: 2</w:t>
      </w:r>
      <w:r w:rsidR="003D0368">
        <w:rPr>
          <w:rFonts w:ascii="Arial" w:hAnsi="Arial" w:cs="Arial"/>
          <w:color w:val="000000" w:themeColor="text1"/>
        </w:rPr>
        <w:t>2</w:t>
      </w:r>
      <w:r w:rsidRPr="003D0368">
        <w:rPr>
          <w:rFonts w:ascii="Arial" w:hAnsi="Arial" w:cs="Arial"/>
          <w:color w:val="000000" w:themeColor="text1"/>
        </w:rPr>
        <w:t xml:space="preserve"> February 2026).</w:t>
      </w:r>
    </w:p>
    <w:p w14:paraId="2123C7E7" w14:textId="0BA64915" w:rsidR="002C3816" w:rsidRPr="003D0368" w:rsidRDefault="004E40F3" w:rsidP="003D0368">
      <w:pPr>
        <w:spacing w:line="360" w:lineRule="auto"/>
        <w:rPr>
          <w:rFonts w:ascii="Arial" w:hAnsi="Arial" w:cs="Arial"/>
          <w:color w:val="000000" w:themeColor="text1"/>
        </w:rPr>
      </w:pPr>
      <w:r w:rsidRPr="003D0368">
        <w:rPr>
          <w:rFonts w:ascii="Arial" w:hAnsi="Arial" w:cs="Arial"/>
          <w:color w:val="000000" w:themeColor="text1"/>
        </w:rPr>
        <w:t xml:space="preserve">Wymant, C., Ferretti, L., Tsallis, D., Charalambides, M., Abeler-Dörner, L., Bonsall, D., Hinch, R., Kendall, M., Milsom, L., Ayres, M. and Fraser, C. (2021) ‘The epidemiological impact of the NHS COVID-19 app’, Nature, 594(7863), pp. 408–412. doi: 10.1038/s41586-021-03606-z. Available at: </w:t>
      </w:r>
      <w:hyperlink r:id="rId13" w:history="1">
        <w:r w:rsidR="003D0368" w:rsidRPr="003648A5">
          <w:rPr>
            <w:rStyle w:val="Hyperlink"/>
            <w:rFonts w:ascii="Arial" w:hAnsi="Arial" w:cs="Arial"/>
          </w:rPr>
          <w:t>https://www.nature.com/articles/s41586-021-03606-z</w:t>
        </w:r>
      </w:hyperlink>
      <w:r w:rsidR="003D0368">
        <w:rPr>
          <w:rFonts w:ascii="Arial" w:hAnsi="Arial" w:cs="Arial"/>
          <w:color w:val="000000" w:themeColor="text1"/>
        </w:rPr>
        <w:t xml:space="preserve"> </w:t>
      </w:r>
      <w:r w:rsidRPr="003D0368">
        <w:rPr>
          <w:rFonts w:ascii="Arial" w:hAnsi="Arial" w:cs="Arial"/>
          <w:color w:val="000000" w:themeColor="text1"/>
        </w:rPr>
        <w:t xml:space="preserve"> (Accessed: 2</w:t>
      </w:r>
      <w:r w:rsidR="003D0368">
        <w:rPr>
          <w:rFonts w:ascii="Arial" w:hAnsi="Arial" w:cs="Arial"/>
          <w:color w:val="000000" w:themeColor="text1"/>
        </w:rPr>
        <w:t>2</w:t>
      </w:r>
      <w:r w:rsidRPr="003D0368">
        <w:rPr>
          <w:rFonts w:ascii="Arial" w:hAnsi="Arial" w:cs="Arial"/>
          <w:color w:val="000000" w:themeColor="text1"/>
        </w:rPr>
        <w:t xml:space="preserve"> February 2026).</w:t>
      </w:r>
    </w:p>
    <w:sectPr w:rsidR="002C3816" w:rsidRPr="003D03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pleSystemUIFont">
    <w:altName w:val="Cambria"/>
    <w:charset w:val="00"/>
    <w:family w:val="roman"/>
    <w:pitch w:val="default"/>
  </w:font>
  <w:font w:name="UICTFontTextStyleEmphasizedBody">
    <w:altName w:val="Cambria"/>
    <w:charset w:val="00"/>
    <w:family w:val="roman"/>
    <w:pitch w:val="default"/>
  </w:font>
  <w:font w:name="UICTFontTextStyleBody">
    <w:altName w:val="Cambri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A6801"/>
    <w:multiLevelType w:val="hybridMultilevel"/>
    <w:tmpl w:val="AB0C5E9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CC8429A"/>
    <w:multiLevelType w:val="hybridMultilevel"/>
    <w:tmpl w:val="C300862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43EA1D3D"/>
    <w:multiLevelType w:val="hybridMultilevel"/>
    <w:tmpl w:val="B80E687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7A4C189D"/>
    <w:multiLevelType w:val="hybridMultilevel"/>
    <w:tmpl w:val="A7FCE20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715204276">
    <w:abstractNumId w:val="3"/>
  </w:num>
  <w:num w:numId="2" w16cid:durableId="450167230">
    <w:abstractNumId w:val="0"/>
  </w:num>
  <w:num w:numId="3" w16cid:durableId="1408721810">
    <w:abstractNumId w:val="1"/>
  </w:num>
  <w:num w:numId="4" w16cid:durableId="15768202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B8D"/>
    <w:rsid w:val="0023257E"/>
    <w:rsid w:val="002C3816"/>
    <w:rsid w:val="003D0368"/>
    <w:rsid w:val="004905B0"/>
    <w:rsid w:val="004C0310"/>
    <w:rsid w:val="004E40F3"/>
    <w:rsid w:val="00542893"/>
    <w:rsid w:val="00641B8D"/>
    <w:rsid w:val="00686BA6"/>
    <w:rsid w:val="006D000A"/>
    <w:rsid w:val="007C1E4F"/>
    <w:rsid w:val="009C7DD0"/>
    <w:rsid w:val="00BC4752"/>
    <w:rsid w:val="00E54CE6"/>
    <w:rsid w:val="00F446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61104"/>
  <w15:chartTrackingRefBased/>
  <w15:docId w15:val="{C828A54B-E57A-B84C-8795-16C1254FD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36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86BA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86BA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641B8D"/>
    <w:rPr>
      <w:rFonts w:ascii=".AppleSystemUIFont" w:hAnsi=".AppleSystemUIFont" w:cs="Times New Roman"/>
      <w:kern w:val="0"/>
      <w:sz w:val="26"/>
      <w:szCs w:val="26"/>
      <w14:ligatures w14:val="none"/>
    </w:rPr>
  </w:style>
  <w:style w:type="paragraph" w:customStyle="1" w:styleId="p2">
    <w:name w:val="p2"/>
    <w:basedOn w:val="Normal"/>
    <w:rsid w:val="00641B8D"/>
    <w:rPr>
      <w:rFonts w:ascii=".AppleSystemUIFont" w:hAnsi=".AppleSystemUIFont" w:cs="Times New Roman"/>
      <w:kern w:val="0"/>
      <w:sz w:val="26"/>
      <w:szCs w:val="26"/>
      <w14:ligatures w14:val="none"/>
    </w:rPr>
  </w:style>
  <w:style w:type="character" w:customStyle="1" w:styleId="s1">
    <w:name w:val="s1"/>
    <w:basedOn w:val="DefaultParagraphFont"/>
    <w:rsid w:val="00641B8D"/>
    <w:rPr>
      <w:rFonts w:ascii="UICTFontTextStyleEmphasizedBody" w:hAnsi="UICTFontTextStyleEmphasizedBody" w:hint="default"/>
      <w:b/>
      <w:bCs/>
      <w:i w:val="0"/>
      <w:iCs w:val="0"/>
      <w:sz w:val="26"/>
      <w:szCs w:val="26"/>
    </w:rPr>
  </w:style>
  <w:style w:type="character" w:customStyle="1" w:styleId="s2">
    <w:name w:val="s2"/>
    <w:basedOn w:val="DefaultParagraphFont"/>
    <w:rsid w:val="00641B8D"/>
    <w:rPr>
      <w:rFonts w:ascii="UICTFontTextStyleBody" w:hAnsi="UICTFontTextStyleBody" w:hint="default"/>
      <w:b w:val="0"/>
      <w:bCs w:val="0"/>
      <w:i w:val="0"/>
      <w:iCs w:val="0"/>
      <w:sz w:val="26"/>
      <w:szCs w:val="26"/>
    </w:rPr>
  </w:style>
  <w:style w:type="character" w:customStyle="1" w:styleId="Heading2Char">
    <w:name w:val="Heading 2 Char"/>
    <w:basedOn w:val="DefaultParagraphFont"/>
    <w:link w:val="Heading2"/>
    <w:uiPriority w:val="9"/>
    <w:semiHidden/>
    <w:rsid w:val="00686BA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86BA6"/>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3D036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D0368"/>
    <w:rPr>
      <w:color w:val="0563C1" w:themeColor="hyperlink"/>
      <w:u w:val="single"/>
    </w:rPr>
  </w:style>
  <w:style w:type="character" w:styleId="UnresolvedMention">
    <w:name w:val="Unresolved Mention"/>
    <w:basedOn w:val="DefaultParagraphFont"/>
    <w:uiPriority w:val="99"/>
    <w:semiHidden/>
    <w:unhideWhenUsed/>
    <w:rsid w:val="003D03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173966">
      <w:marLeft w:val="0"/>
      <w:marRight w:val="0"/>
      <w:marTop w:val="0"/>
      <w:marBottom w:val="0"/>
      <w:divBdr>
        <w:top w:val="none" w:sz="0" w:space="0" w:color="auto"/>
        <w:left w:val="none" w:sz="0" w:space="0" w:color="auto"/>
        <w:bottom w:val="none" w:sz="0" w:space="0" w:color="auto"/>
        <w:right w:val="none" w:sz="0" w:space="0" w:color="auto"/>
      </w:divBdr>
    </w:div>
    <w:div w:id="695935275">
      <w:bodyDiv w:val="1"/>
      <w:marLeft w:val="0"/>
      <w:marRight w:val="0"/>
      <w:marTop w:val="0"/>
      <w:marBottom w:val="0"/>
      <w:divBdr>
        <w:top w:val="none" w:sz="0" w:space="0" w:color="auto"/>
        <w:left w:val="none" w:sz="0" w:space="0" w:color="auto"/>
        <w:bottom w:val="none" w:sz="0" w:space="0" w:color="auto"/>
        <w:right w:val="none" w:sz="0" w:space="0" w:color="auto"/>
      </w:divBdr>
    </w:div>
    <w:div w:id="880552320">
      <w:marLeft w:val="0"/>
      <w:marRight w:val="0"/>
      <w:marTop w:val="0"/>
      <w:marBottom w:val="0"/>
      <w:divBdr>
        <w:top w:val="none" w:sz="0" w:space="0" w:color="auto"/>
        <w:left w:val="none" w:sz="0" w:space="0" w:color="auto"/>
        <w:bottom w:val="none" w:sz="0" w:space="0" w:color="auto"/>
        <w:right w:val="none" w:sz="0" w:space="0" w:color="auto"/>
      </w:divBdr>
    </w:div>
    <w:div w:id="972908170">
      <w:bodyDiv w:val="1"/>
      <w:marLeft w:val="0"/>
      <w:marRight w:val="0"/>
      <w:marTop w:val="0"/>
      <w:marBottom w:val="0"/>
      <w:divBdr>
        <w:top w:val="none" w:sz="0" w:space="0" w:color="auto"/>
        <w:left w:val="none" w:sz="0" w:space="0" w:color="auto"/>
        <w:bottom w:val="none" w:sz="0" w:space="0" w:color="auto"/>
        <w:right w:val="none" w:sz="0" w:space="0" w:color="auto"/>
      </w:divBdr>
    </w:div>
    <w:div w:id="1225606244">
      <w:bodyDiv w:val="1"/>
      <w:marLeft w:val="0"/>
      <w:marRight w:val="0"/>
      <w:marTop w:val="0"/>
      <w:marBottom w:val="0"/>
      <w:divBdr>
        <w:top w:val="none" w:sz="0" w:space="0" w:color="auto"/>
        <w:left w:val="none" w:sz="0" w:space="0" w:color="auto"/>
        <w:bottom w:val="none" w:sz="0" w:space="0" w:color="auto"/>
        <w:right w:val="none" w:sz="0" w:space="0" w:color="auto"/>
      </w:divBdr>
    </w:div>
    <w:div w:id="1798336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mir.org/2017/11/e367/" TargetMode="External"/><Relationship Id="rId13" Type="http://schemas.openxmlformats.org/officeDocument/2006/relationships/hyperlink" Target="https://www.nature.com/articles/s41586-021-03606-z" TargetMode="External"/><Relationship Id="rId3" Type="http://schemas.openxmlformats.org/officeDocument/2006/relationships/settings" Target="settings.xml"/><Relationship Id="rId7" Type="http://schemas.openxmlformats.org/officeDocument/2006/relationships/hyperlink" Target="https://www.nature.com/articles/s41467-023-36495-z" TargetMode="External"/><Relationship Id="rId12" Type="http://schemas.openxmlformats.org/officeDocument/2006/relationships/hyperlink" Target="https://www.who.int/publications/i/item/WHO-2019-nCoV-Ethics_Contact_tracing_apps-2020.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mir.org/2021/9/e29085" TargetMode="External"/><Relationship Id="rId11" Type="http://schemas.openxmlformats.org/officeDocument/2006/relationships/hyperlink" Target="https://www.gov.uk/government/publications/technical-report-on-the-covid-19-pandemic-in-the-uk/chapter-7-contact-tracing-and-isolation" TargetMode="External"/><Relationship Id="rId5" Type="http://schemas.openxmlformats.org/officeDocument/2006/relationships/hyperlink" Target="https://www.adalovelaceinstitute.org/report/exit-through-the-app-store/" TargetMode="External"/><Relationship Id="rId15" Type="http://schemas.openxmlformats.org/officeDocument/2006/relationships/theme" Target="theme/theme1.xml"/><Relationship Id="rId10" Type="http://schemas.openxmlformats.org/officeDocument/2006/relationships/hyperlink" Target="https://www.tandfonline.com/doi/full/10.1080/0960085X.2020.1803155" TargetMode="External"/><Relationship Id="rId4" Type="http://schemas.openxmlformats.org/officeDocument/2006/relationships/webSettings" Target="webSettings.xml"/><Relationship Id="rId9" Type="http://schemas.openxmlformats.org/officeDocument/2006/relationships/hyperlink" Target="https://www.nhsx.nhs.uk/covid-19-response/nhs-covid-19-ap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2794</Words>
  <Characters>15931</Characters>
  <Application>Microsoft Office Word</Application>
  <DocSecurity>4</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begum</dc:creator>
  <cp:keywords/>
  <dc:description/>
  <cp:lastModifiedBy>aisha begum</cp:lastModifiedBy>
  <cp:revision>2</cp:revision>
  <dcterms:created xsi:type="dcterms:W3CDTF">2026-02-28T20:08:00Z</dcterms:created>
  <dcterms:modified xsi:type="dcterms:W3CDTF">2026-02-28T20:08:00Z</dcterms:modified>
</cp:coreProperties>
</file>