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A4CD71" w14:textId="77777777" w:rsidR="00B375B6" w:rsidRPr="004C3C00" w:rsidRDefault="00B375B6" w:rsidP="004C3C00">
      <w:pPr>
        <w:spacing w:line="360" w:lineRule="auto"/>
        <w:jc w:val="both"/>
        <w:rPr>
          <w:rFonts w:ascii="Arial" w:hAnsi="Arial" w:cs="Arial"/>
          <w:color w:val="000000" w:themeColor="text1"/>
        </w:rPr>
      </w:pPr>
    </w:p>
    <w:p w14:paraId="31C90DE0" w14:textId="77777777" w:rsidR="004C3C00" w:rsidRDefault="004C3C00" w:rsidP="004C3C00">
      <w:pPr>
        <w:spacing w:line="360" w:lineRule="auto"/>
        <w:jc w:val="center"/>
        <w:rPr>
          <w:rFonts w:ascii="Arial" w:hAnsi="Arial" w:cs="Arial"/>
          <w:b/>
          <w:bCs/>
          <w:color w:val="000000" w:themeColor="text1"/>
        </w:rPr>
      </w:pPr>
    </w:p>
    <w:p w14:paraId="155F8524" w14:textId="77777777" w:rsidR="004C3C00" w:rsidRDefault="004C3C00" w:rsidP="004C3C00">
      <w:pPr>
        <w:spacing w:line="360" w:lineRule="auto"/>
        <w:jc w:val="center"/>
        <w:rPr>
          <w:rFonts w:ascii="Arial" w:hAnsi="Arial" w:cs="Arial"/>
          <w:b/>
          <w:bCs/>
          <w:color w:val="000000" w:themeColor="text1"/>
        </w:rPr>
      </w:pPr>
    </w:p>
    <w:p w14:paraId="2C17246C" w14:textId="77777777" w:rsidR="004C3C00" w:rsidRDefault="004C3C00" w:rsidP="004C3C00">
      <w:pPr>
        <w:spacing w:line="360" w:lineRule="auto"/>
        <w:jc w:val="center"/>
        <w:rPr>
          <w:rFonts w:ascii="Arial" w:hAnsi="Arial" w:cs="Arial"/>
          <w:b/>
          <w:bCs/>
          <w:color w:val="000000" w:themeColor="text1"/>
        </w:rPr>
      </w:pPr>
    </w:p>
    <w:p w14:paraId="522E94F8" w14:textId="77777777" w:rsidR="004C3C00" w:rsidRDefault="004C3C00" w:rsidP="004C3C00">
      <w:pPr>
        <w:spacing w:line="360" w:lineRule="auto"/>
        <w:jc w:val="center"/>
        <w:rPr>
          <w:rFonts w:ascii="Arial" w:hAnsi="Arial" w:cs="Arial"/>
          <w:b/>
          <w:bCs/>
          <w:color w:val="000000" w:themeColor="text1"/>
        </w:rPr>
      </w:pPr>
    </w:p>
    <w:p w14:paraId="76E59850" w14:textId="0EDD1300" w:rsidR="00B375B6" w:rsidRPr="004C3C00" w:rsidRDefault="00B375B6" w:rsidP="004C3C00">
      <w:pPr>
        <w:spacing w:line="360" w:lineRule="auto"/>
        <w:jc w:val="center"/>
        <w:rPr>
          <w:rFonts w:ascii="Arial" w:hAnsi="Arial" w:cs="Arial"/>
          <w:b/>
          <w:bCs/>
          <w:color w:val="000000" w:themeColor="text1"/>
        </w:rPr>
      </w:pPr>
      <w:r w:rsidRPr="004C3C00">
        <w:rPr>
          <w:rFonts w:ascii="Arial" w:hAnsi="Arial" w:cs="Arial"/>
          <w:b/>
          <w:bCs/>
          <w:color w:val="000000" w:themeColor="text1"/>
        </w:rPr>
        <w:t>Module code and title: Introduction to Health and Social Care LCHS4003</w:t>
      </w:r>
    </w:p>
    <w:p w14:paraId="6111235B" w14:textId="36FC9C3E" w:rsidR="00B375B6" w:rsidRPr="004C3C00" w:rsidRDefault="00B375B6" w:rsidP="004C3C00">
      <w:pPr>
        <w:spacing w:line="360" w:lineRule="auto"/>
        <w:jc w:val="center"/>
        <w:rPr>
          <w:rFonts w:ascii="Arial" w:hAnsi="Arial" w:cs="Arial"/>
          <w:b/>
          <w:bCs/>
          <w:color w:val="000000" w:themeColor="text1"/>
        </w:rPr>
      </w:pPr>
      <w:r w:rsidRPr="004C3C00">
        <w:rPr>
          <w:rFonts w:ascii="Arial" w:hAnsi="Arial" w:cs="Arial"/>
          <w:b/>
          <w:bCs/>
          <w:color w:val="000000" w:themeColor="text1"/>
        </w:rPr>
        <w:t xml:space="preserve">Lecturer: </w:t>
      </w:r>
      <w:proofErr w:type="spellStart"/>
      <w:r w:rsidR="00560011">
        <w:rPr>
          <w:rFonts w:ascii="Arial" w:hAnsi="Arial" w:cs="Arial"/>
          <w:b/>
          <w:bCs/>
          <w:color w:val="000000" w:themeColor="text1"/>
        </w:rPr>
        <w:t>Tsi</w:t>
      </w:r>
      <w:r w:rsidR="004372D5">
        <w:rPr>
          <w:rFonts w:ascii="Arial" w:hAnsi="Arial" w:cs="Arial"/>
          <w:b/>
          <w:bCs/>
          <w:color w:val="000000" w:themeColor="text1"/>
        </w:rPr>
        <w:t>wani</w:t>
      </w:r>
      <w:proofErr w:type="spellEnd"/>
      <w:r w:rsidR="004372D5">
        <w:rPr>
          <w:rFonts w:ascii="Arial" w:hAnsi="Arial" w:cs="Arial"/>
          <w:b/>
          <w:bCs/>
          <w:color w:val="000000" w:themeColor="text1"/>
        </w:rPr>
        <w:t xml:space="preserve"> </w:t>
      </w:r>
      <w:proofErr w:type="spellStart"/>
      <w:r w:rsidR="00003B90">
        <w:rPr>
          <w:rFonts w:ascii="Arial" w:hAnsi="Arial" w:cs="Arial"/>
          <w:b/>
          <w:bCs/>
          <w:color w:val="000000" w:themeColor="text1"/>
        </w:rPr>
        <w:t>K</w:t>
      </w:r>
      <w:r w:rsidR="00FA6519">
        <w:rPr>
          <w:rFonts w:ascii="Arial" w:hAnsi="Arial" w:cs="Arial"/>
          <w:b/>
          <w:bCs/>
          <w:color w:val="000000" w:themeColor="text1"/>
        </w:rPr>
        <w:t>h</w:t>
      </w:r>
      <w:r w:rsidR="00003B90">
        <w:rPr>
          <w:rFonts w:ascii="Arial" w:hAnsi="Arial" w:cs="Arial"/>
          <w:b/>
          <w:bCs/>
          <w:color w:val="000000" w:themeColor="text1"/>
        </w:rPr>
        <w:t>umalo</w:t>
      </w:r>
      <w:proofErr w:type="spellEnd"/>
    </w:p>
    <w:p w14:paraId="3E27BE52" w14:textId="0C8A6678" w:rsidR="00B375B6" w:rsidRPr="004C3C00" w:rsidRDefault="00B375B6" w:rsidP="004C3C00">
      <w:pPr>
        <w:spacing w:line="360" w:lineRule="auto"/>
        <w:jc w:val="center"/>
        <w:rPr>
          <w:rFonts w:ascii="Arial" w:hAnsi="Arial" w:cs="Arial"/>
          <w:b/>
          <w:bCs/>
          <w:color w:val="000000" w:themeColor="text1"/>
        </w:rPr>
      </w:pPr>
      <w:r w:rsidRPr="004C3C00">
        <w:rPr>
          <w:rFonts w:ascii="Arial" w:hAnsi="Arial" w:cs="Arial"/>
          <w:b/>
          <w:bCs/>
          <w:color w:val="000000" w:themeColor="text1"/>
        </w:rPr>
        <w:t xml:space="preserve">Effective Communication, Administrative Practice and Collaborative Working in </w:t>
      </w:r>
      <w:proofErr w:type="spellStart"/>
      <w:r w:rsidRPr="004C3C00">
        <w:rPr>
          <w:rFonts w:ascii="Arial" w:hAnsi="Arial" w:cs="Arial"/>
          <w:b/>
          <w:bCs/>
          <w:color w:val="000000" w:themeColor="text1"/>
        </w:rPr>
        <w:t>Mrs</w:t>
      </w:r>
      <w:proofErr w:type="spellEnd"/>
      <w:r w:rsidRPr="004C3C00">
        <w:rPr>
          <w:rFonts w:ascii="Arial" w:hAnsi="Arial" w:cs="Arial"/>
          <w:b/>
          <w:bCs/>
          <w:color w:val="000000" w:themeColor="text1"/>
        </w:rPr>
        <w:t xml:space="preserve"> Thompson’s Care</w:t>
      </w:r>
    </w:p>
    <w:p w14:paraId="4073F720" w14:textId="2694A1BC" w:rsidR="00B375B6" w:rsidRPr="004C3C00" w:rsidRDefault="00B375B6" w:rsidP="004C3C00">
      <w:pPr>
        <w:spacing w:line="360" w:lineRule="auto"/>
        <w:jc w:val="center"/>
        <w:rPr>
          <w:rFonts w:ascii="Arial" w:hAnsi="Arial" w:cs="Arial"/>
          <w:b/>
          <w:bCs/>
          <w:color w:val="000000" w:themeColor="text1"/>
        </w:rPr>
      </w:pPr>
      <w:r w:rsidRPr="004C3C00">
        <w:rPr>
          <w:rFonts w:ascii="Arial" w:hAnsi="Arial" w:cs="Arial"/>
          <w:b/>
          <w:bCs/>
          <w:color w:val="000000" w:themeColor="text1"/>
        </w:rPr>
        <w:t xml:space="preserve">Student </w:t>
      </w:r>
      <w:proofErr w:type="spellStart"/>
      <w:r w:rsidRPr="004C3C00">
        <w:rPr>
          <w:rFonts w:ascii="Arial" w:hAnsi="Arial" w:cs="Arial"/>
          <w:b/>
          <w:bCs/>
          <w:color w:val="000000" w:themeColor="text1"/>
        </w:rPr>
        <w:t>name:</w:t>
      </w:r>
      <w:r w:rsidR="00C360C4">
        <w:rPr>
          <w:rFonts w:ascii="Arial" w:hAnsi="Arial" w:cs="Arial"/>
          <w:b/>
          <w:bCs/>
          <w:color w:val="000000" w:themeColor="text1"/>
        </w:rPr>
        <w:t>Cristina</w:t>
      </w:r>
      <w:proofErr w:type="spellEnd"/>
      <w:r w:rsidR="00C360C4">
        <w:rPr>
          <w:rFonts w:ascii="Arial" w:hAnsi="Arial" w:cs="Arial"/>
          <w:b/>
          <w:bCs/>
          <w:color w:val="000000" w:themeColor="text1"/>
        </w:rPr>
        <w:t xml:space="preserve"> </w:t>
      </w:r>
      <w:proofErr w:type="spellStart"/>
      <w:r w:rsidR="00C360C4">
        <w:rPr>
          <w:rFonts w:ascii="Arial" w:hAnsi="Arial" w:cs="Arial"/>
          <w:b/>
          <w:bCs/>
          <w:color w:val="000000" w:themeColor="text1"/>
        </w:rPr>
        <w:t>Nicoleta</w:t>
      </w:r>
      <w:proofErr w:type="spellEnd"/>
      <w:r w:rsidR="00C360C4">
        <w:rPr>
          <w:rFonts w:ascii="Arial" w:hAnsi="Arial" w:cs="Arial"/>
          <w:b/>
          <w:bCs/>
          <w:color w:val="000000" w:themeColor="text1"/>
        </w:rPr>
        <w:t xml:space="preserve"> </w:t>
      </w:r>
      <w:proofErr w:type="spellStart"/>
      <w:r w:rsidR="00C360C4">
        <w:rPr>
          <w:rFonts w:ascii="Arial" w:hAnsi="Arial" w:cs="Arial"/>
          <w:b/>
          <w:bCs/>
          <w:color w:val="000000" w:themeColor="text1"/>
        </w:rPr>
        <w:t>Stoiculescu</w:t>
      </w:r>
      <w:proofErr w:type="spellEnd"/>
      <w:r w:rsidR="00C360C4">
        <w:rPr>
          <w:rFonts w:ascii="Arial" w:hAnsi="Arial" w:cs="Arial"/>
          <w:b/>
          <w:bCs/>
          <w:color w:val="000000" w:themeColor="text1"/>
        </w:rPr>
        <w:t xml:space="preserve"> </w:t>
      </w:r>
    </w:p>
    <w:p w14:paraId="3489C59D" w14:textId="317EB17C" w:rsidR="00B375B6" w:rsidRPr="004C3C00" w:rsidRDefault="00B375B6" w:rsidP="004C3C00">
      <w:pPr>
        <w:spacing w:line="360" w:lineRule="auto"/>
        <w:jc w:val="center"/>
        <w:rPr>
          <w:rFonts w:ascii="Arial" w:hAnsi="Arial" w:cs="Arial"/>
          <w:b/>
          <w:bCs/>
          <w:color w:val="000000" w:themeColor="text1"/>
        </w:rPr>
      </w:pPr>
      <w:r w:rsidRPr="004C3C00">
        <w:rPr>
          <w:rFonts w:ascii="Arial" w:hAnsi="Arial" w:cs="Arial"/>
          <w:b/>
          <w:bCs/>
          <w:color w:val="000000" w:themeColor="text1"/>
        </w:rPr>
        <w:t>Student number:</w:t>
      </w:r>
      <w:r w:rsidR="00E55340">
        <w:rPr>
          <w:rFonts w:ascii="Arial" w:hAnsi="Arial" w:cs="Arial"/>
          <w:b/>
          <w:bCs/>
          <w:color w:val="000000" w:themeColor="text1"/>
        </w:rPr>
        <w:t>251</w:t>
      </w:r>
      <w:r w:rsidR="00B20F51">
        <w:rPr>
          <w:rFonts w:ascii="Arial" w:hAnsi="Arial" w:cs="Arial"/>
          <w:b/>
          <w:bCs/>
          <w:color w:val="000000" w:themeColor="text1"/>
        </w:rPr>
        <w:t>9903</w:t>
      </w:r>
    </w:p>
    <w:p w14:paraId="672428F5" w14:textId="77777777" w:rsidR="00B375B6" w:rsidRPr="004C3C00" w:rsidRDefault="00B375B6" w:rsidP="004C3C00">
      <w:pPr>
        <w:spacing w:line="360" w:lineRule="auto"/>
        <w:jc w:val="both"/>
        <w:rPr>
          <w:rFonts w:ascii="Arial" w:hAnsi="Arial" w:cs="Arial"/>
          <w:color w:val="000000" w:themeColor="text1"/>
        </w:rPr>
      </w:pPr>
      <w:r w:rsidRPr="004C3C00">
        <w:rPr>
          <w:rFonts w:ascii="Arial" w:hAnsi="Arial" w:cs="Arial"/>
          <w:color w:val="000000" w:themeColor="text1"/>
        </w:rPr>
        <w:br w:type="page"/>
      </w:r>
    </w:p>
    <w:p w14:paraId="6D338029" w14:textId="5C9A8D36" w:rsidR="00B375B6" w:rsidRPr="004C3C00" w:rsidRDefault="00925260" w:rsidP="004C3C00">
      <w:pPr>
        <w:pStyle w:val="Heading1"/>
        <w:spacing w:line="360" w:lineRule="auto"/>
        <w:jc w:val="both"/>
        <w:rPr>
          <w:rFonts w:ascii="Arial" w:hAnsi="Arial" w:cs="Arial"/>
          <w:b/>
          <w:bCs/>
          <w:color w:val="000000" w:themeColor="text1"/>
          <w:sz w:val="22"/>
          <w:szCs w:val="22"/>
        </w:rPr>
      </w:pPr>
      <w:r w:rsidRPr="004C3C00">
        <w:rPr>
          <w:rFonts w:ascii="Arial" w:hAnsi="Arial" w:cs="Arial"/>
          <w:b/>
          <w:bCs/>
          <w:color w:val="000000" w:themeColor="text1"/>
          <w:sz w:val="22"/>
          <w:szCs w:val="22"/>
        </w:rPr>
        <w:t xml:space="preserve">1. </w:t>
      </w:r>
      <w:r w:rsidR="00B375B6" w:rsidRPr="004C3C00">
        <w:rPr>
          <w:rFonts w:ascii="Arial" w:hAnsi="Arial" w:cs="Arial"/>
          <w:b/>
          <w:bCs/>
          <w:color w:val="000000" w:themeColor="text1"/>
          <w:sz w:val="22"/>
          <w:szCs w:val="22"/>
        </w:rPr>
        <w:t>Introduction</w:t>
      </w:r>
    </w:p>
    <w:p w14:paraId="637EA000" w14:textId="77777777" w:rsidR="00A75DAF" w:rsidRPr="004C3C00" w:rsidRDefault="00A75DAF" w:rsidP="004C3C00">
      <w:pPr>
        <w:spacing w:line="360" w:lineRule="auto"/>
        <w:jc w:val="both"/>
        <w:rPr>
          <w:rFonts w:ascii="Arial" w:hAnsi="Arial" w:cs="Arial"/>
          <w:color w:val="000000" w:themeColor="text1"/>
        </w:rPr>
      </w:pPr>
      <w:r w:rsidRPr="004C3C00">
        <w:rPr>
          <w:rFonts w:ascii="Arial" w:hAnsi="Arial" w:cs="Arial"/>
          <w:color w:val="000000" w:themeColor="text1"/>
        </w:rPr>
        <w:t xml:space="preserve">Mrs. Thompson, 84, has mild dementia and recently entered sheltered living after being </w:t>
      </w:r>
      <w:proofErr w:type="spellStart"/>
      <w:r w:rsidRPr="004C3C00">
        <w:rPr>
          <w:rFonts w:ascii="Arial" w:hAnsi="Arial" w:cs="Arial"/>
          <w:color w:val="000000" w:themeColor="text1"/>
        </w:rPr>
        <w:t>hospitalised</w:t>
      </w:r>
      <w:proofErr w:type="spellEnd"/>
      <w:r w:rsidRPr="004C3C00">
        <w:rPr>
          <w:rFonts w:ascii="Arial" w:hAnsi="Arial" w:cs="Arial"/>
          <w:color w:val="000000" w:themeColor="text1"/>
        </w:rPr>
        <w:t xml:space="preserve"> with pneumonia. She becomes more disoriented after two days without medication, while having twice-daily domiciliary care. She was found clothed inappropriately outside in the cold. These instances are not isolated and may indicate group communication, medication, risk assessment, and service coordination issues. To protect her safety without compromising her independence, a person-centered approach is needed. This report examines three practice issues: effective communication with Mrs. Thompson and her family, accurate administration or record keeping, and collaboration between the GP, community nurse, other domiciliary care workers, the pharmacist, and the local authority. It </w:t>
      </w:r>
      <w:proofErr w:type="spellStart"/>
      <w:r w:rsidRPr="004C3C00">
        <w:rPr>
          <w:rFonts w:ascii="Arial" w:hAnsi="Arial" w:cs="Arial"/>
          <w:color w:val="000000" w:themeColor="text1"/>
        </w:rPr>
        <w:t>emphasises</w:t>
      </w:r>
      <w:proofErr w:type="spellEnd"/>
      <w:r w:rsidRPr="004C3C00">
        <w:rPr>
          <w:rFonts w:ascii="Arial" w:hAnsi="Arial" w:cs="Arial"/>
          <w:color w:val="000000" w:themeColor="text1"/>
        </w:rPr>
        <w:t xml:space="preserve"> understanding, documenting, legally sharing, and agreeing on safe care actions, not only experts doing their jobs.</w:t>
      </w:r>
    </w:p>
    <w:p w14:paraId="09B21602" w14:textId="1ABCE9B0" w:rsidR="00B375B6" w:rsidRPr="004C3C00" w:rsidRDefault="00925260" w:rsidP="004C3C00">
      <w:pPr>
        <w:pStyle w:val="Heading1"/>
        <w:spacing w:line="360" w:lineRule="auto"/>
        <w:jc w:val="both"/>
        <w:rPr>
          <w:rFonts w:ascii="Arial" w:hAnsi="Arial" w:cs="Arial"/>
          <w:b/>
          <w:bCs/>
          <w:color w:val="000000" w:themeColor="text1"/>
          <w:sz w:val="22"/>
          <w:szCs w:val="22"/>
        </w:rPr>
      </w:pPr>
      <w:r w:rsidRPr="004C3C00">
        <w:rPr>
          <w:rFonts w:ascii="Arial" w:hAnsi="Arial" w:cs="Arial"/>
          <w:b/>
          <w:bCs/>
          <w:color w:val="000000" w:themeColor="text1"/>
          <w:sz w:val="22"/>
          <w:szCs w:val="22"/>
        </w:rPr>
        <w:t>2</w:t>
      </w:r>
      <w:r w:rsidR="00B375B6" w:rsidRPr="004C3C00">
        <w:rPr>
          <w:rFonts w:ascii="Arial" w:hAnsi="Arial" w:cs="Arial"/>
          <w:b/>
          <w:bCs/>
          <w:color w:val="000000" w:themeColor="text1"/>
          <w:sz w:val="22"/>
          <w:szCs w:val="22"/>
        </w:rPr>
        <w:t>. The importance of effective communication</w:t>
      </w:r>
    </w:p>
    <w:p w14:paraId="53716C3B" w14:textId="77777777" w:rsidR="00A75DAF" w:rsidRPr="004C3C00" w:rsidRDefault="00A75DAF" w:rsidP="004C3C00">
      <w:pPr>
        <w:spacing w:line="360" w:lineRule="auto"/>
        <w:jc w:val="both"/>
        <w:rPr>
          <w:rFonts w:ascii="Arial" w:hAnsi="Arial" w:cs="Arial"/>
          <w:color w:val="000000" w:themeColor="text1"/>
        </w:rPr>
      </w:pPr>
      <w:r w:rsidRPr="004C3C00">
        <w:rPr>
          <w:rFonts w:ascii="Arial" w:hAnsi="Arial" w:cs="Arial"/>
          <w:color w:val="000000" w:themeColor="text1"/>
        </w:rPr>
        <w:t xml:space="preserve">Communication is key as the memory, concentration, understanding and retention of information, are all affected by mild dementia. Dementia does not preclude Mrs. Thompson from making decisions. NICE recommends supporting dementia patients to express their opinions and </w:t>
      </w:r>
      <w:proofErr w:type="spellStart"/>
      <w:r w:rsidRPr="004C3C00">
        <w:rPr>
          <w:rFonts w:ascii="Arial" w:hAnsi="Arial" w:cs="Arial"/>
          <w:color w:val="000000" w:themeColor="text1"/>
        </w:rPr>
        <w:t>utilising</w:t>
      </w:r>
      <w:proofErr w:type="spellEnd"/>
      <w:r w:rsidRPr="004C3C00">
        <w:rPr>
          <w:rFonts w:ascii="Arial" w:hAnsi="Arial" w:cs="Arial"/>
          <w:color w:val="000000" w:themeColor="text1"/>
        </w:rPr>
        <w:t xml:space="preserve"> plain English and other visual aids if needed (NICE, 2018). Therefore, staff should communicate directly to Mrs. Thompson in short sentences with one subject and give her time to respond. Reduce the background noise and encourage her to explain the strategy in her own words with respectful eye contact and empathy. Person-centered communication focuses on what the person can do, their preferences, and their circumstances rather than their condition (Pepper and Harrison </w:t>
      </w:r>
      <w:proofErr w:type="spellStart"/>
      <w:r w:rsidRPr="004C3C00">
        <w:rPr>
          <w:rFonts w:ascii="Arial" w:hAnsi="Arial" w:cs="Arial"/>
          <w:color w:val="000000" w:themeColor="text1"/>
        </w:rPr>
        <w:t>Dening</w:t>
      </w:r>
      <w:proofErr w:type="spellEnd"/>
      <w:r w:rsidRPr="004C3C00">
        <w:rPr>
          <w:rFonts w:ascii="Arial" w:hAnsi="Arial" w:cs="Arial"/>
          <w:color w:val="000000" w:themeColor="text1"/>
        </w:rPr>
        <w:t xml:space="preserve">, 2023). Constantly delivering commands is not helpful. </w:t>
      </w:r>
    </w:p>
    <w:p w14:paraId="415200D4" w14:textId="19C441BA" w:rsidR="00A75DAF" w:rsidRPr="004C3C00" w:rsidRDefault="00A75DAF" w:rsidP="004C3C00">
      <w:pPr>
        <w:spacing w:line="360" w:lineRule="auto"/>
        <w:jc w:val="both"/>
        <w:rPr>
          <w:rFonts w:ascii="Arial" w:hAnsi="Arial" w:cs="Arial"/>
          <w:color w:val="000000" w:themeColor="text1"/>
        </w:rPr>
      </w:pPr>
      <w:proofErr w:type="spellStart"/>
      <w:r w:rsidRPr="004C3C00">
        <w:rPr>
          <w:rFonts w:ascii="Arial" w:hAnsi="Arial" w:cs="Arial"/>
          <w:color w:val="000000" w:themeColor="text1"/>
        </w:rPr>
        <w:t>Berlo's</w:t>
      </w:r>
      <w:proofErr w:type="spellEnd"/>
      <w:r w:rsidRPr="004C3C00">
        <w:rPr>
          <w:rFonts w:ascii="Arial" w:hAnsi="Arial" w:cs="Arial"/>
          <w:color w:val="000000" w:themeColor="text1"/>
        </w:rPr>
        <w:t xml:space="preserve"> 1960 Source-Message-Channel-Receiver model can explain this communication mechanism. A domiciliary care worker or community nurse could tell Mrs. Thompson when and how to take her medication by verbal explanation, a medication chart, a visual reminder, or a demonstration. The model shows how communication might fail due to jargon, a complex message, the inappropriate medium, or a fatigued, worried, or unsure listener. However, telling Mrs. Thompson to remember her drugs will suffice this time. Professional message consistency requires an accessible reminder or controlled medication system</w:t>
      </w:r>
      <w:r w:rsidR="004C3C00" w:rsidRPr="004C3C00">
        <w:rPr>
          <w:rFonts w:ascii="Arial" w:hAnsi="Arial" w:cs="Arial"/>
          <w:color w:val="000000" w:themeColor="text1"/>
        </w:rPr>
        <w:t xml:space="preserve"> (</w:t>
      </w:r>
      <w:r w:rsidR="004C3C00" w:rsidRPr="004C3C00">
        <w:rPr>
          <w:rFonts w:ascii="Arial" w:hAnsi="Arial" w:cs="Arial"/>
          <w:color w:val="000000" w:themeColor="text1"/>
          <w:shd w:val="clear" w:color="auto" w:fill="FFFFFF"/>
        </w:rPr>
        <w:t>Omojuwa, 2025)</w:t>
      </w:r>
      <w:r w:rsidRPr="004C3C00">
        <w:rPr>
          <w:rFonts w:ascii="Arial" w:hAnsi="Arial" w:cs="Arial"/>
          <w:color w:val="000000" w:themeColor="text1"/>
        </w:rPr>
        <w:t xml:space="preserve">. </w:t>
      </w:r>
    </w:p>
    <w:p w14:paraId="53A552E4" w14:textId="3C7F4C75" w:rsidR="00A75DAF" w:rsidRPr="004C3C00" w:rsidRDefault="00A75DAF" w:rsidP="004C3C00">
      <w:pPr>
        <w:spacing w:line="360" w:lineRule="auto"/>
        <w:jc w:val="both"/>
        <w:rPr>
          <w:rFonts w:ascii="Arial" w:hAnsi="Arial" w:cs="Arial"/>
          <w:color w:val="000000" w:themeColor="text1"/>
        </w:rPr>
      </w:pPr>
      <w:proofErr w:type="spellStart"/>
      <w:r w:rsidRPr="004C3C00">
        <w:rPr>
          <w:rFonts w:ascii="Arial" w:hAnsi="Arial" w:cs="Arial"/>
          <w:color w:val="000000" w:themeColor="text1"/>
        </w:rPr>
        <w:t>Berlo's</w:t>
      </w:r>
      <w:proofErr w:type="spellEnd"/>
      <w:r w:rsidRPr="004C3C00">
        <w:rPr>
          <w:rFonts w:ascii="Arial" w:hAnsi="Arial" w:cs="Arial"/>
          <w:color w:val="000000" w:themeColor="text1"/>
        </w:rPr>
        <w:t xml:space="preserve"> linear approach ignores input and changes in conditions or relationships. When caring for a dementia patient, these constraints are crucial because successful communication does not guarantee understanding or memory. Then, staff should take notes on Mrs. Thompson's response, ask questions to assess her knowledge, and adjust the approach if necessary. Thus, </w:t>
      </w:r>
      <w:proofErr w:type="spellStart"/>
      <w:r w:rsidRPr="004C3C00">
        <w:rPr>
          <w:rFonts w:ascii="Arial" w:hAnsi="Arial" w:cs="Arial"/>
          <w:color w:val="000000" w:themeColor="text1"/>
        </w:rPr>
        <w:t>Berlo's</w:t>
      </w:r>
      <w:proofErr w:type="spellEnd"/>
      <w:r w:rsidRPr="004C3C00">
        <w:rPr>
          <w:rFonts w:ascii="Arial" w:hAnsi="Arial" w:cs="Arial"/>
          <w:color w:val="000000" w:themeColor="text1"/>
        </w:rPr>
        <w:t xml:space="preserve"> model can help identify communication issues but cannot fully describe a complicated, interactive relationship</w:t>
      </w:r>
      <w:r w:rsidR="004C3C00" w:rsidRPr="004C3C00">
        <w:rPr>
          <w:rFonts w:ascii="Arial" w:hAnsi="Arial" w:cs="Arial"/>
          <w:color w:val="000000" w:themeColor="text1"/>
        </w:rPr>
        <w:t xml:space="preserve"> (</w:t>
      </w:r>
      <w:r w:rsidR="004C3C00" w:rsidRPr="004C3C00">
        <w:rPr>
          <w:rFonts w:ascii="Arial" w:hAnsi="Arial" w:cs="Arial"/>
          <w:color w:val="000000" w:themeColor="text1"/>
          <w:shd w:val="clear" w:color="auto" w:fill="FFFFFF"/>
        </w:rPr>
        <w:t>Kusumalatha, 2023)</w:t>
      </w:r>
      <w:r w:rsidRPr="004C3C00">
        <w:rPr>
          <w:rFonts w:ascii="Arial" w:hAnsi="Arial" w:cs="Arial"/>
          <w:color w:val="000000" w:themeColor="text1"/>
        </w:rPr>
        <w:t>.</w:t>
      </w:r>
    </w:p>
    <w:p w14:paraId="0A0F4DB2" w14:textId="131D5EEE" w:rsidR="00A75DAF" w:rsidRPr="004C3C00" w:rsidRDefault="00A75DAF" w:rsidP="004C3C00">
      <w:pPr>
        <w:spacing w:line="360" w:lineRule="auto"/>
        <w:jc w:val="both"/>
        <w:rPr>
          <w:rFonts w:ascii="Arial" w:hAnsi="Arial" w:cs="Arial"/>
          <w:color w:val="000000" w:themeColor="text1"/>
        </w:rPr>
      </w:pPr>
      <w:r w:rsidRPr="004C3C00">
        <w:rPr>
          <w:rFonts w:ascii="Arial" w:hAnsi="Arial" w:cs="Arial"/>
          <w:color w:val="000000" w:themeColor="text1"/>
        </w:rPr>
        <w:t xml:space="preserve">There is a law to adapt communication processes – Equality Act 2010. Age and disability are protected characteristics and service providers have a duty to make reasonable adjustments for disabled persons (Equality Act 2010) and not to discriminate. Picture derived cues, additional explanation, timely appointments and large print instructions might be considered reasonable adjustments if </w:t>
      </w:r>
      <w:proofErr w:type="spellStart"/>
      <w:r w:rsidRPr="004C3C00">
        <w:rPr>
          <w:rFonts w:ascii="Arial" w:hAnsi="Arial" w:cs="Arial"/>
          <w:color w:val="000000" w:themeColor="text1"/>
        </w:rPr>
        <w:t>Mrs</w:t>
      </w:r>
      <w:proofErr w:type="spellEnd"/>
      <w:r w:rsidRPr="004C3C00">
        <w:rPr>
          <w:rFonts w:ascii="Arial" w:hAnsi="Arial" w:cs="Arial"/>
          <w:color w:val="000000" w:themeColor="text1"/>
        </w:rPr>
        <w:t xml:space="preserve"> Thompson's dementia has a significant impact on her life. An interpreter should also be made available in the event that she has a language barrier as family members may unwittingly change, simplify, or miss out on information. These modifications are in no way special treatment for </w:t>
      </w:r>
      <w:proofErr w:type="spellStart"/>
      <w:r w:rsidRPr="004C3C00">
        <w:rPr>
          <w:rFonts w:ascii="Arial" w:hAnsi="Arial" w:cs="Arial"/>
          <w:color w:val="000000" w:themeColor="text1"/>
        </w:rPr>
        <w:t>Mrs</w:t>
      </w:r>
      <w:proofErr w:type="spellEnd"/>
      <w:r w:rsidRPr="004C3C00">
        <w:rPr>
          <w:rFonts w:ascii="Arial" w:hAnsi="Arial" w:cs="Arial"/>
          <w:color w:val="000000" w:themeColor="text1"/>
        </w:rPr>
        <w:t xml:space="preserve"> Thompson, but are to try to </w:t>
      </w:r>
      <w:proofErr w:type="spellStart"/>
      <w:r w:rsidRPr="004C3C00">
        <w:rPr>
          <w:rFonts w:ascii="Arial" w:hAnsi="Arial" w:cs="Arial"/>
          <w:color w:val="000000" w:themeColor="text1"/>
        </w:rPr>
        <w:t>minimise</w:t>
      </w:r>
      <w:proofErr w:type="spellEnd"/>
      <w:r w:rsidRPr="004C3C00">
        <w:rPr>
          <w:rFonts w:ascii="Arial" w:hAnsi="Arial" w:cs="Arial"/>
          <w:color w:val="000000" w:themeColor="text1"/>
        </w:rPr>
        <w:t xml:space="preserve"> any potential disadvantages from which she may be suffering, which could be prohibiting her access and understanding of care</w:t>
      </w:r>
      <w:r w:rsidR="004C3C00" w:rsidRPr="004C3C00">
        <w:rPr>
          <w:rFonts w:ascii="Arial" w:hAnsi="Arial" w:cs="Arial"/>
          <w:color w:val="000000" w:themeColor="text1"/>
        </w:rPr>
        <w:t xml:space="preserve"> (</w:t>
      </w:r>
      <w:r w:rsidR="004C3C00" w:rsidRPr="004C3C00">
        <w:rPr>
          <w:rFonts w:ascii="Arial" w:hAnsi="Arial" w:cs="Arial"/>
          <w:color w:val="000000" w:themeColor="text1"/>
          <w:shd w:val="clear" w:color="auto" w:fill="FFFFFF"/>
        </w:rPr>
        <w:t>Obbia 2020)</w:t>
      </w:r>
      <w:r w:rsidRPr="004C3C00">
        <w:rPr>
          <w:rFonts w:ascii="Arial" w:hAnsi="Arial" w:cs="Arial"/>
          <w:color w:val="000000" w:themeColor="text1"/>
        </w:rPr>
        <w:t xml:space="preserve">. </w:t>
      </w:r>
    </w:p>
    <w:p w14:paraId="508A70B2" w14:textId="67987386" w:rsidR="00925260" w:rsidRPr="004C3C00" w:rsidRDefault="00925260" w:rsidP="004C3C00">
      <w:pPr>
        <w:spacing w:line="360" w:lineRule="auto"/>
        <w:jc w:val="both"/>
        <w:rPr>
          <w:rFonts w:ascii="Arial" w:hAnsi="Arial" w:cs="Arial"/>
          <w:color w:val="000000" w:themeColor="text1"/>
        </w:rPr>
      </w:pPr>
      <w:r w:rsidRPr="004C3C00">
        <w:rPr>
          <w:rFonts w:ascii="Arial" w:hAnsi="Arial" w:cs="Arial"/>
          <w:color w:val="000000" w:themeColor="text1"/>
        </w:rPr>
        <w:t xml:space="preserve">Professionals must consider Mrs. Thompson's language, values, daily habits, and family expectations for culturally appropriate communication. This can lead to indirect prejudice and unindividualized care that implies a person should be treated a certain way because of their age, ethnicity, or dementia. Her prescription regimen, </w:t>
      </w:r>
      <w:proofErr w:type="spellStart"/>
      <w:r w:rsidRPr="004C3C00">
        <w:rPr>
          <w:rFonts w:ascii="Arial" w:hAnsi="Arial" w:cs="Arial"/>
          <w:color w:val="000000" w:themeColor="text1"/>
        </w:rPr>
        <w:t>behaviour</w:t>
      </w:r>
      <w:proofErr w:type="spellEnd"/>
      <w:r w:rsidRPr="004C3C00">
        <w:rPr>
          <w:rFonts w:ascii="Arial" w:hAnsi="Arial" w:cs="Arial"/>
          <w:color w:val="000000" w:themeColor="text1"/>
        </w:rPr>
        <w:t>, and changes may be valuable to family members. They should not talk to relatives as if Mrs. Thompson is absent or unable</w:t>
      </w:r>
      <w:r w:rsidR="004C3C00" w:rsidRPr="004C3C00">
        <w:rPr>
          <w:rFonts w:ascii="Arial" w:hAnsi="Arial" w:cs="Arial"/>
          <w:color w:val="000000" w:themeColor="text1"/>
        </w:rPr>
        <w:t xml:space="preserve"> (</w:t>
      </w:r>
      <w:r w:rsidR="004C3C00" w:rsidRPr="004C3C00">
        <w:rPr>
          <w:rFonts w:ascii="Arial" w:hAnsi="Arial" w:cs="Arial"/>
          <w:color w:val="000000" w:themeColor="text1"/>
          <w:shd w:val="clear" w:color="auto" w:fill="FFFFFF"/>
        </w:rPr>
        <w:t>Karam et al., 2021)</w:t>
      </w:r>
      <w:r w:rsidRPr="004C3C00">
        <w:rPr>
          <w:rFonts w:ascii="Arial" w:hAnsi="Arial" w:cs="Arial"/>
          <w:color w:val="000000" w:themeColor="text1"/>
        </w:rPr>
        <w:t>.</w:t>
      </w:r>
    </w:p>
    <w:p w14:paraId="60EBA319" w14:textId="77777777" w:rsidR="00925260" w:rsidRPr="004C3C00" w:rsidRDefault="00925260" w:rsidP="004C3C00">
      <w:pPr>
        <w:spacing w:line="360" w:lineRule="auto"/>
        <w:jc w:val="both"/>
        <w:rPr>
          <w:rFonts w:ascii="Arial" w:hAnsi="Arial" w:cs="Arial"/>
          <w:color w:val="000000" w:themeColor="text1"/>
        </w:rPr>
      </w:pPr>
      <w:r w:rsidRPr="004C3C00">
        <w:rPr>
          <w:rFonts w:ascii="Arial" w:hAnsi="Arial" w:cs="Arial"/>
          <w:color w:val="000000" w:themeColor="text1"/>
        </w:rPr>
        <w:t xml:space="preserve">The Mental Capacity Act 2005 presumes capacity to make a decision unless there is proof otherwise. Because capacity is decision-specific and can change (Mental Capacity Act 2005), confusion about medication or pneumonia do not make someone permanently incapable. Staff should provide Mrs. Thompson with accessible information and time to decide. Information can be shared with family if she desires or if she can't make decisions, if necessary and reasonable for her best interests or safety. This relationship doesn't take away too much liberty or cause family involvement to invade privacy or control. </w:t>
      </w:r>
    </w:p>
    <w:p w14:paraId="5CC3F5A2" w14:textId="134799E0" w:rsidR="00B375B6" w:rsidRPr="004C3C00" w:rsidRDefault="00925260" w:rsidP="004C3C00">
      <w:pPr>
        <w:pStyle w:val="Heading1"/>
        <w:spacing w:line="360" w:lineRule="auto"/>
        <w:jc w:val="both"/>
        <w:rPr>
          <w:rFonts w:ascii="Arial" w:hAnsi="Arial" w:cs="Arial"/>
          <w:b/>
          <w:bCs/>
          <w:color w:val="000000" w:themeColor="text1"/>
          <w:sz w:val="22"/>
          <w:szCs w:val="22"/>
        </w:rPr>
      </w:pPr>
      <w:r w:rsidRPr="004C3C00">
        <w:rPr>
          <w:rFonts w:ascii="Arial" w:hAnsi="Arial" w:cs="Arial"/>
          <w:b/>
          <w:bCs/>
          <w:color w:val="000000" w:themeColor="text1"/>
          <w:sz w:val="22"/>
          <w:szCs w:val="22"/>
        </w:rPr>
        <w:t>3</w:t>
      </w:r>
      <w:r w:rsidR="00B375B6" w:rsidRPr="004C3C00">
        <w:rPr>
          <w:rFonts w:ascii="Arial" w:hAnsi="Arial" w:cs="Arial"/>
          <w:b/>
          <w:bCs/>
          <w:color w:val="000000" w:themeColor="text1"/>
          <w:sz w:val="22"/>
          <w:szCs w:val="22"/>
        </w:rPr>
        <w:t>. Administrative skills, record keeping and data protection</w:t>
      </w:r>
    </w:p>
    <w:p w14:paraId="493BAB0B" w14:textId="3742C375" w:rsidR="00A75DAF" w:rsidRPr="004C3C00" w:rsidRDefault="00A75DAF" w:rsidP="004C3C00">
      <w:pPr>
        <w:spacing w:line="360" w:lineRule="auto"/>
        <w:jc w:val="both"/>
        <w:rPr>
          <w:rFonts w:ascii="Arial" w:hAnsi="Arial" w:cs="Arial"/>
          <w:color w:val="000000" w:themeColor="text1"/>
        </w:rPr>
      </w:pPr>
      <w:r w:rsidRPr="004C3C00">
        <w:rPr>
          <w:rFonts w:ascii="Arial" w:hAnsi="Arial" w:cs="Arial"/>
          <w:color w:val="000000" w:themeColor="text1"/>
        </w:rPr>
        <w:t>Administrative practice is much more than paperwork—it protects patients. MAR for Mrs. Thompson should include medicine, dose, time, if it was offered and taken (or not), reason, action taken, worker name. Document the perplexity, missing medicine, medication-review request, and cold weather occurrence promptly and accurately. Instead of "Mrs. Thompson was “wandering irresponsibly”," it would be more beneficial to note she was seen outside at 7.30</w:t>
      </w:r>
      <w:r w:rsidR="004C3C00" w:rsidRPr="004C3C00">
        <w:rPr>
          <w:rFonts w:ascii="Arial" w:hAnsi="Arial" w:cs="Arial"/>
          <w:color w:val="000000" w:themeColor="text1"/>
        </w:rPr>
        <w:t xml:space="preserve"> </w:t>
      </w:r>
      <w:r w:rsidRPr="004C3C00">
        <w:rPr>
          <w:rFonts w:ascii="Arial" w:hAnsi="Arial" w:cs="Arial"/>
          <w:color w:val="000000" w:themeColor="text1"/>
        </w:rPr>
        <w:t xml:space="preserve">am in night clothing in a cold weather. Professional assessments employ objective language, but </w:t>
      </w:r>
      <w:proofErr w:type="spellStart"/>
      <w:r w:rsidRPr="004C3C00">
        <w:rPr>
          <w:rFonts w:ascii="Arial" w:hAnsi="Arial" w:cs="Arial"/>
          <w:color w:val="000000" w:themeColor="text1"/>
        </w:rPr>
        <w:t>judgemental</w:t>
      </w:r>
      <w:proofErr w:type="spellEnd"/>
      <w:r w:rsidRPr="004C3C00">
        <w:rPr>
          <w:rFonts w:ascii="Arial" w:hAnsi="Arial" w:cs="Arial"/>
          <w:color w:val="000000" w:themeColor="text1"/>
        </w:rPr>
        <w:t xml:space="preserve"> language may </w:t>
      </w:r>
      <w:proofErr w:type="spellStart"/>
      <w:r w:rsidRPr="004C3C00">
        <w:rPr>
          <w:rFonts w:ascii="Arial" w:hAnsi="Arial" w:cs="Arial"/>
          <w:color w:val="000000" w:themeColor="text1"/>
        </w:rPr>
        <w:t>stigmatise</w:t>
      </w:r>
      <w:proofErr w:type="spellEnd"/>
      <w:r w:rsidRPr="004C3C00">
        <w:rPr>
          <w:rFonts w:ascii="Arial" w:hAnsi="Arial" w:cs="Arial"/>
          <w:color w:val="000000" w:themeColor="text1"/>
        </w:rPr>
        <w:t xml:space="preserve"> her and obscure the risk.</w:t>
      </w:r>
    </w:p>
    <w:p w14:paraId="111D93D3" w14:textId="0632BCE7" w:rsidR="00A75DAF" w:rsidRPr="004C3C00" w:rsidRDefault="00A75DAF" w:rsidP="004C3C00">
      <w:pPr>
        <w:spacing w:line="360" w:lineRule="auto"/>
        <w:jc w:val="both"/>
        <w:rPr>
          <w:rFonts w:ascii="Arial" w:hAnsi="Arial" w:cs="Arial"/>
          <w:color w:val="000000" w:themeColor="text1"/>
        </w:rPr>
      </w:pPr>
      <w:r w:rsidRPr="004C3C00">
        <w:rPr>
          <w:rFonts w:ascii="Arial" w:hAnsi="Arial" w:cs="Arial"/>
          <w:color w:val="000000" w:themeColor="text1"/>
        </w:rPr>
        <w:t>CQC Regulation 17 requires providers to have procedures and systems to keep accurate, secure records and governance mechanisms to assess and manage risk. Thus, recording occurrences without analysis or care plan revisions is insufficient (CQC, n.d.). Events may indicate dementia deterioration, pneumonia-induced delirium, drug side effects, incorrect care visit times, environmental dangers, or inadequate support services. Administrative competence is how the professional ensures the medication review request is received, risk assessments are updated, and professional choices are recorded and actioned</w:t>
      </w:r>
      <w:r w:rsidR="004C3C00" w:rsidRPr="004C3C00">
        <w:rPr>
          <w:rFonts w:ascii="Arial" w:hAnsi="Arial" w:cs="Arial"/>
          <w:color w:val="000000" w:themeColor="text1"/>
        </w:rPr>
        <w:t xml:space="preserve"> (Demsash et al., 2023)</w:t>
      </w:r>
      <w:r w:rsidRPr="004C3C00">
        <w:rPr>
          <w:rFonts w:ascii="Arial" w:hAnsi="Arial" w:cs="Arial"/>
          <w:color w:val="000000" w:themeColor="text1"/>
        </w:rPr>
        <w:t xml:space="preserve">. </w:t>
      </w:r>
    </w:p>
    <w:p w14:paraId="5D6877F9" w14:textId="3EEB98A2" w:rsidR="00A75DAF" w:rsidRPr="004C3C00" w:rsidRDefault="00A75DAF" w:rsidP="004C3C00">
      <w:pPr>
        <w:spacing w:line="360" w:lineRule="auto"/>
        <w:jc w:val="both"/>
        <w:rPr>
          <w:rFonts w:ascii="Arial" w:hAnsi="Arial" w:cs="Arial"/>
          <w:color w:val="000000" w:themeColor="text1"/>
        </w:rPr>
      </w:pPr>
      <w:r w:rsidRPr="004C3C00">
        <w:rPr>
          <w:rFonts w:ascii="Arial" w:hAnsi="Arial" w:cs="Arial"/>
          <w:color w:val="000000" w:themeColor="text1"/>
        </w:rPr>
        <w:t>The next care worker may think the drug was provided and administer it again, or they may think the patient's cognitive function was improving and the patient didn't notice a trend. Since there is no data to base decisions on, professionals may differ. Due to regulatory and legal difficulties, the care provider cannot demonstrate what was examined, treated/comforted, or safeguarded. Not all of these are good documentation. Duplicate and irrelevant entries could hide substantial changes. Records should be brief but complete for continuity and professional judgement</w:t>
      </w:r>
      <w:r w:rsidR="004C3C00" w:rsidRPr="004C3C00">
        <w:rPr>
          <w:rFonts w:ascii="Arial" w:hAnsi="Arial" w:cs="Arial"/>
          <w:color w:val="000000" w:themeColor="text1"/>
        </w:rPr>
        <w:t xml:space="preserve"> (</w:t>
      </w:r>
      <w:r w:rsidR="004C3C00" w:rsidRPr="004C3C00">
        <w:rPr>
          <w:rFonts w:ascii="Arial" w:hAnsi="Arial" w:cs="Arial"/>
          <w:color w:val="000000" w:themeColor="text1"/>
          <w:shd w:val="clear" w:color="auto" w:fill="FFFFFF"/>
        </w:rPr>
        <w:t>Karam et al., 2021)</w:t>
      </w:r>
      <w:r w:rsidR="004C3C00" w:rsidRPr="004C3C00">
        <w:rPr>
          <w:rFonts w:ascii="Arial" w:hAnsi="Arial" w:cs="Arial"/>
          <w:color w:val="000000" w:themeColor="text1"/>
        </w:rPr>
        <w:t>.</w:t>
      </w:r>
    </w:p>
    <w:p w14:paraId="3627B4E5" w14:textId="47482C6C" w:rsidR="00A75DAF" w:rsidRPr="004C3C00" w:rsidRDefault="00A75DAF" w:rsidP="004C3C00">
      <w:pPr>
        <w:spacing w:line="360" w:lineRule="auto"/>
        <w:jc w:val="both"/>
        <w:rPr>
          <w:rFonts w:ascii="Arial" w:hAnsi="Arial" w:cs="Arial"/>
          <w:color w:val="000000" w:themeColor="text1"/>
        </w:rPr>
      </w:pPr>
      <w:r w:rsidRPr="004C3C00">
        <w:rPr>
          <w:rFonts w:ascii="Arial" w:hAnsi="Arial" w:cs="Arial"/>
          <w:color w:val="000000" w:themeColor="text1"/>
        </w:rPr>
        <w:t xml:space="preserve">The Data Protection Act 2018 and UK GDPR require that personal data be processed lawfully, fairly, transparently, collected for specific, explicit, and legitimate purposes, adequate, relevant, limited, accurate, kept for an appropriate time, and protected from </w:t>
      </w:r>
      <w:proofErr w:type="spellStart"/>
      <w:r w:rsidRPr="004C3C00">
        <w:rPr>
          <w:rFonts w:ascii="Arial" w:hAnsi="Arial" w:cs="Arial"/>
          <w:color w:val="000000" w:themeColor="text1"/>
        </w:rPr>
        <w:t>unauthorised</w:t>
      </w:r>
      <w:proofErr w:type="spellEnd"/>
      <w:r w:rsidRPr="004C3C00">
        <w:rPr>
          <w:rFonts w:ascii="Arial" w:hAnsi="Arial" w:cs="Arial"/>
          <w:color w:val="000000" w:themeColor="text1"/>
        </w:rPr>
        <w:t xml:space="preserve"> access. Mrs. Thompson gives the medical and social care service only sensitive health information. Staff should use approved systems, passwords, and secure transfers. They should</w:t>
      </w:r>
      <w:r w:rsidR="004C3C00" w:rsidRPr="004C3C00">
        <w:rPr>
          <w:rFonts w:ascii="Arial" w:hAnsi="Arial" w:cs="Arial"/>
          <w:color w:val="000000" w:themeColor="text1"/>
        </w:rPr>
        <w:t xml:space="preserve"> not</w:t>
      </w:r>
      <w:r w:rsidRPr="004C3C00">
        <w:rPr>
          <w:rFonts w:ascii="Arial" w:hAnsi="Arial" w:cs="Arial"/>
          <w:color w:val="000000" w:themeColor="text1"/>
        </w:rPr>
        <w:t xml:space="preserve"> discuss her predicament in public, put out paper records, or </w:t>
      </w:r>
      <w:proofErr w:type="spellStart"/>
      <w:r w:rsidRPr="004C3C00">
        <w:rPr>
          <w:rFonts w:ascii="Arial" w:hAnsi="Arial" w:cs="Arial"/>
          <w:color w:val="000000" w:themeColor="text1"/>
        </w:rPr>
        <w:t>utilise</w:t>
      </w:r>
      <w:proofErr w:type="spellEnd"/>
      <w:r w:rsidRPr="004C3C00">
        <w:rPr>
          <w:rFonts w:ascii="Arial" w:hAnsi="Arial" w:cs="Arial"/>
          <w:color w:val="000000" w:themeColor="text1"/>
        </w:rPr>
        <w:t xml:space="preserve"> personal chat accounts. If inaccurate, correct them immediately and explain privacy to Mrs. Thompson</w:t>
      </w:r>
      <w:r w:rsidR="004C3C00" w:rsidRPr="004C3C00">
        <w:rPr>
          <w:rFonts w:ascii="Arial" w:hAnsi="Arial" w:cs="Arial"/>
          <w:color w:val="000000" w:themeColor="text1"/>
        </w:rPr>
        <w:t xml:space="preserve"> (</w:t>
      </w:r>
      <w:r w:rsidR="004C3C00" w:rsidRPr="004C3C00">
        <w:rPr>
          <w:rFonts w:ascii="Arial" w:hAnsi="Arial" w:cs="Arial"/>
          <w:color w:val="000000" w:themeColor="text1"/>
          <w:shd w:val="clear" w:color="auto" w:fill="FFFFFF"/>
        </w:rPr>
        <w:t>Demsash et al., 2023)</w:t>
      </w:r>
      <w:r w:rsidRPr="004C3C00">
        <w:rPr>
          <w:rFonts w:ascii="Arial" w:hAnsi="Arial" w:cs="Arial"/>
          <w:color w:val="000000" w:themeColor="text1"/>
        </w:rPr>
        <w:t xml:space="preserve">. </w:t>
      </w:r>
    </w:p>
    <w:p w14:paraId="2C537E79" w14:textId="546EBC83" w:rsidR="00A75DAF" w:rsidRPr="004C3C00" w:rsidRDefault="00A75DAF" w:rsidP="004C3C00">
      <w:pPr>
        <w:spacing w:line="360" w:lineRule="auto"/>
        <w:jc w:val="both"/>
        <w:rPr>
          <w:rFonts w:ascii="Arial" w:hAnsi="Arial" w:cs="Arial"/>
          <w:color w:val="000000" w:themeColor="text1"/>
        </w:rPr>
      </w:pPr>
      <w:r w:rsidRPr="004C3C00">
        <w:rPr>
          <w:rFonts w:ascii="Arial" w:hAnsi="Arial" w:cs="Arial"/>
          <w:color w:val="000000" w:themeColor="text1"/>
        </w:rPr>
        <w:t xml:space="preserve">Confidentiality is not a justification to withhold safe care information. The </w:t>
      </w:r>
      <w:proofErr w:type="spellStart"/>
      <w:r w:rsidRPr="004C3C00">
        <w:rPr>
          <w:rFonts w:ascii="Arial" w:hAnsi="Arial" w:cs="Arial"/>
          <w:color w:val="000000" w:themeColor="text1"/>
        </w:rPr>
        <w:t>Caldicott</w:t>
      </w:r>
      <w:proofErr w:type="spellEnd"/>
      <w:r w:rsidRPr="004C3C00">
        <w:rPr>
          <w:rFonts w:ascii="Arial" w:hAnsi="Arial" w:cs="Arial"/>
          <w:color w:val="000000" w:themeColor="text1"/>
        </w:rPr>
        <w:t xml:space="preserve"> Principles </w:t>
      </w:r>
      <w:proofErr w:type="spellStart"/>
      <w:r w:rsidRPr="004C3C00">
        <w:rPr>
          <w:rFonts w:ascii="Arial" w:hAnsi="Arial" w:cs="Arial"/>
          <w:color w:val="000000" w:themeColor="text1"/>
        </w:rPr>
        <w:t>emphasise</w:t>
      </w:r>
      <w:proofErr w:type="spellEnd"/>
      <w:r w:rsidRPr="004C3C00">
        <w:rPr>
          <w:rFonts w:ascii="Arial" w:hAnsi="Arial" w:cs="Arial"/>
          <w:color w:val="000000" w:themeColor="text1"/>
        </w:rPr>
        <w:t xml:space="preserve"> confidentiality and information sharing in health and social care (National Data Guardian, 2020). For legitimate care or safeguarding, the GP, community nurse, pharmacist, and local authorities can be informed of missed medicine, confusion, cold exposure, and domiciliary care workers. Sharing, if necessary and proportional, is key. Medicines and symptoms must be mentioned to the GP, but Mrs. Thompson's background, finances, and relationships need not be</w:t>
      </w:r>
      <w:r w:rsidR="004C3C00" w:rsidRPr="004C3C00">
        <w:rPr>
          <w:rFonts w:ascii="Arial" w:hAnsi="Arial" w:cs="Arial"/>
          <w:color w:val="000000" w:themeColor="text1"/>
        </w:rPr>
        <w:t xml:space="preserve"> (</w:t>
      </w:r>
      <w:r w:rsidR="004C3C00" w:rsidRPr="004C3C00">
        <w:rPr>
          <w:rFonts w:ascii="Arial" w:hAnsi="Arial" w:cs="Arial"/>
          <w:color w:val="000000" w:themeColor="text1"/>
          <w:shd w:val="clear" w:color="auto" w:fill="FFFFFF"/>
        </w:rPr>
        <w:t>Obbia et al., 2020)</w:t>
      </w:r>
      <w:r w:rsidRPr="004C3C00">
        <w:rPr>
          <w:rFonts w:ascii="Arial" w:hAnsi="Arial" w:cs="Arial"/>
          <w:color w:val="000000" w:themeColor="text1"/>
        </w:rPr>
        <w:t xml:space="preserve">. </w:t>
      </w:r>
    </w:p>
    <w:p w14:paraId="1A27B429" w14:textId="65124156" w:rsidR="00A75DAF" w:rsidRPr="004C3C00" w:rsidRDefault="00A75DAF" w:rsidP="004C3C00">
      <w:pPr>
        <w:spacing w:line="360" w:lineRule="auto"/>
        <w:jc w:val="both"/>
        <w:rPr>
          <w:rFonts w:ascii="Arial" w:hAnsi="Arial" w:cs="Arial"/>
          <w:color w:val="000000" w:themeColor="text1"/>
        </w:rPr>
      </w:pPr>
      <w:r w:rsidRPr="004C3C00">
        <w:rPr>
          <w:rFonts w:ascii="Arial" w:hAnsi="Arial" w:cs="Arial"/>
          <w:color w:val="000000" w:themeColor="text1"/>
        </w:rPr>
        <w:t>The NMC Code for nurses requires nurses to communicate accurately and share information to decrease risk and maintain patient safety (NMC, 2018). The Code applies to all registered nurses, midwives, and nursing associates as a safe working standard, but not all domiciliary care workers. It should supplement the employer's policies and legal obligations to the care provider</w:t>
      </w:r>
      <w:r w:rsidR="004C3C00" w:rsidRPr="004C3C00">
        <w:rPr>
          <w:rFonts w:ascii="Arial" w:hAnsi="Arial" w:cs="Arial"/>
          <w:color w:val="000000" w:themeColor="text1"/>
        </w:rPr>
        <w:t xml:space="preserve"> (</w:t>
      </w:r>
      <w:r w:rsidR="004C3C00" w:rsidRPr="004C3C00">
        <w:rPr>
          <w:rFonts w:ascii="Arial" w:hAnsi="Arial" w:cs="Arial"/>
          <w:color w:val="000000" w:themeColor="text1"/>
          <w:shd w:val="clear" w:color="auto" w:fill="FFFFFF"/>
        </w:rPr>
        <w:t>Karam et al., 2021)</w:t>
      </w:r>
      <w:r w:rsidR="004C3C00" w:rsidRPr="004C3C00">
        <w:rPr>
          <w:rFonts w:ascii="Arial" w:hAnsi="Arial" w:cs="Arial"/>
          <w:color w:val="000000" w:themeColor="text1"/>
        </w:rPr>
        <w:t>.</w:t>
      </w:r>
      <w:r w:rsidRPr="004C3C00">
        <w:rPr>
          <w:rFonts w:ascii="Arial" w:hAnsi="Arial" w:cs="Arial"/>
          <w:color w:val="000000" w:themeColor="text1"/>
        </w:rPr>
        <w:t xml:space="preserve"> </w:t>
      </w:r>
    </w:p>
    <w:p w14:paraId="5B3E5FAE" w14:textId="397AB327" w:rsidR="00A75DAF" w:rsidRPr="004C3C00" w:rsidRDefault="00A75DAF" w:rsidP="004C3C00">
      <w:pPr>
        <w:spacing w:before="240" w:line="360" w:lineRule="auto"/>
        <w:jc w:val="both"/>
        <w:rPr>
          <w:rFonts w:ascii="Arial" w:hAnsi="Arial" w:cs="Arial"/>
          <w:color w:val="000000" w:themeColor="text1"/>
        </w:rPr>
      </w:pPr>
      <w:r w:rsidRPr="004C3C00">
        <w:rPr>
          <w:rFonts w:ascii="Arial" w:hAnsi="Arial" w:cs="Arial"/>
          <w:color w:val="000000" w:themeColor="text1"/>
        </w:rPr>
        <w:t xml:space="preserve">NICE recommends medications reconciliation by a competent professional, family involvement, and </w:t>
      </w:r>
      <w:proofErr w:type="spellStart"/>
      <w:r w:rsidRPr="004C3C00">
        <w:rPr>
          <w:rFonts w:ascii="Arial" w:hAnsi="Arial" w:cs="Arial"/>
          <w:color w:val="000000" w:themeColor="text1"/>
        </w:rPr>
        <w:t>organised</w:t>
      </w:r>
      <w:proofErr w:type="spellEnd"/>
      <w:r w:rsidRPr="004C3C00">
        <w:rPr>
          <w:rFonts w:ascii="Arial" w:hAnsi="Arial" w:cs="Arial"/>
          <w:color w:val="000000" w:themeColor="text1"/>
        </w:rPr>
        <w:t xml:space="preserve"> medicines review for older adults (NICE, 2015). It's not Mrs. Thompson's review to focus on "compliant". This rhetoric may </w:t>
      </w:r>
      <w:proofErr w:type="spellStart"/>
      <w:r w:rsidRPr="004C3C00">
        <w:rPr>
          <w:rFonts w:ascii="Arial" w:hAnsi="Arial" w:cs="Arial"/>
          <w:color w:val="000000" w:themeColor="text1"/>
        </w:rPr>
        <w:t>stigmatise</w:t>
      </w:r>
      <w:proofErr w:type="spellEnd"/>
      <w:r w:rsidRPr="004C3C00">
        <w:rPr>
          <w:rFonts w:ascii="Arial" w:hAnsi="Arial" w:cs="Arial"/>
          <w:color w:val="000000" w:themeColor="text1"/>
        </w:rPr>
        <w:t xml:space="preserve"> her for cognitive issues and doesn't take responsibility for care system failures. GP and pharmacist should assess if her meds are overly complicated, packaging/timing, reminder technology, providers, and side effects/confusion. Person-centered medicine plans are more defendable than forcing Mrs. Thompson to adjust to something she's had trouble with</w:t>
      </w:r>
      <w:r w:rsidR="00925260" w:rsidRPr="004C3C00">
        <w:rPr>
          <w:rFonts w:ascii="Arial" w:hAnsi="Arial" w:cs="Arial"/>
          <w:color w:val="000000" w:themeColor="text1"/>
        </w:rPr>
        <w:t xml:space="preserve"> (</w:t>
      </w:r>
      <w:r w:rsidR="00925260" w:rsidRPr="004C3C00">
        <w:rPr>
          <w:rFonts w:ascii="Arial" w:hAnsi="Arial" w:cs="Arial"/>
          <w:color w:val="000000" w:themeColor="text1"/>
          <w:shd w:val="clear" w:color="auto" w:fill="FFFFFF"/>
        </w:rPr>
        <w:t>Wager et al., 2021)</w:t>
      </w:r>
      <w:r w:rsidRPr="004C3C00">
        <w:rPr>
          <w:rFonts w:ascii="Arial" w:hAnsi="Arial" w:cs="Arial"/>
          <w:color w:val="000000" w:themeColor="text1"/>
        </w:rPr>
        <w:t>.</w:t>
      </w:r>
    </w:p>
    <w:p w14:paraId="38397B02" w14:textId="7F5A30B3" w:rsidR="00B375B6" w:rsidRPr="004C3C00" w:rsidRDefault="00925260" w:rsidP="004C3C00">
      <w:pPr>
        <w:pStyle w:val="Heading1"/>
        <w:spacing w:line="360" w:lineRule="auto"/>
        <w:jc w:val="both"/>
        <w:rPr>
          <w:rFonts w:ascii="Arial" w:hAnsi="Arial" w:cs="Arial"/>
          <w:b/>
          <w:bCs/>
          <w:color w:val="000000" w:themeColor="text1"/>
          <w:sz w:val="22"/>
          <w:szCs w:val="22"/>
        </w:rPr>
      </w:pPr>
      <w:r w:rsidRPr="004C3C00">
        <w:rPr>
          <w:rFonts w:ascii="Arial" w:hAnsi="Arial" w:cs="Arial"/>
          <w:b/>
          <w:bCs/>
          <w:color w:val="000000" w:themeColor="text1"/>
          <w:sz w:val="22"/>
          <w:szCs w:val="22"/>
        </w:rPr>
        <w:t>4</w:t>
      </w:r>
      <w:r w:rsidR="00B375B6" w:rsidRPr="004C3C00">
        <w:rPr>
          <w:rFonts w:ascii="Arial" w:hAnsi="Arial" w:cs="Arial"/>
          <w:b/>
          <w:bCs/>
          <w:color w:val="000000" w:themeColor="text1"/>
          <w:sz w:val="22"/>
          <w:szCs w:val="22"/>
        </w:rPr>
        <w:t>. Collaborative and multi-agency working</w:t>
      </w:r>
    </w:p>
    <w:p w14:paraId="775DF1DA" w14:textId="7F25AFD1" w:rsidR="00A75DAF" w:rsidRPr="004C3C00" w:rsidRDefault="00A75DAF" w:rsidP="004C3C00">
      <w:pPr>
        <w:spacing w:line="360" w:lineRule="auto"/>
        <w:jc w:val="both"/>
        <w:rPr>
          <w:rFonts w:ascii="Arial" w:hAnsi="Arial" w:cs="Arial"/>
          <w:color w:val="000000" w:themeColor="text1"/>
        </w:rPr>
      </w:pPr>
      <w:r w:rsidRPr="004C3C00">
        <w:rPr>
          <w:rFonts w:ascii="Arial" w:hAnsi="Arial" w:cs="Arial"/>
          <w:color w:val="000000" w:themeColor="text1"/>
        </w:rPr>
        <w:t xml:space="preserve">Multidisciplinary and interagency needs for Mrs. Thompson. GPs can monitor pneumonia recovery, cognitive impairment, and prescriptions. Community nurse can detect physical health and functioning changes. Domiciliary personnel observe </w:t>
      </w:r>
      <w:proofErr w:type="spellStart"/>
      <w:r w:rsidRPr="004C3C00">
        <w:rPr>
          <w:rFonts w:ascii="Arial" w:hAnsi="Arial" w:cs="Arial"/>
          <w:color w:val="000000" w:themeColor="text1"/>
        </w:rPr>
        <w:t>behaviour</w:t>
      </w:r>
      <w:proofErr w:type="spellEnd"/>
      <w:r w:rsidRPr="004C3C00">
        <w:rPr>
          <w:rFonts w:ascii="Arial" w:hAnsi="Arial" w:cs="Arial"/>
          <w:color w:val="000000" w:themeColor="text1"/>
        </w:rPr>
        <w:t xml:space="preserve">, medication use, and daily life. The pharmacist can do a structured medication review, and the local authority can examine safeguarding, housing, or care package satisfaction. Collaboration is needed since no single specialist has adequate knowledge to </w:t>
      </w:r>
      <w:proofErr w:type="spellStart"/>
      <w:r w:rsidRPr="004C3C00">
        <w:rPr>
          <w:rFonts w:ascii="Arial" w:hAnsi="Arial" w:cs="Arial"/>
          <w:color w:val="000000" w:themeColor="text1"/>
        </w:rPr>
        <w:t>recognise</w:t>
      </w:r>
      <w:proofErr w:type="spellEnd"/>
      <w:r w:rsidRPr="004C3C00">
        <w:rPr>
          <w:rFonts w:ascii="Arial" w:hAnsi="Arial" w:cs="Arial"/>
          <w:color w:val="000000" w:themeColor="text1"/>
        </w:rPr>
        <w:t xml:space="preserve"> a missing dosage or general decline/deterioration</w:t>
      </w:r>
      <w:r w:rsidR="00925260" w:rsidRPr="004C3C00">
        <w:rPr>
          <w:rFonts w:ascii="Arial" w:hAnsi="Arial" w:cs="Arial"/>
          <w:color w:val="000000" w:themeColor="text1"/>
        </w:rPr>
        <w:t xml:space="preserve"> (</w:t>
      </w:r>
      <w:r w:rsidR="00925260" w:rsidRPr="004C3C00">
        <w:rPr>
          <w:rFonts w:ascii="Arial" w:hAnsi="Arial" w:cs="Arial"/>
          <w:color w:val="000000" w:themeColor="text1"/>
          <w:shd w:val="clear" w:color="auto" w:fill="FFFFFF"/>
        </w:rPr>
        <w:t>Windle et al., 2020)</w:t>
      </w:r>
      <w:r w:rsidRPr="004C3C00">
        <w:rPr>
          <w:rFonts w:ascii="Arial" w:hAnsi="Arial" w:cs="Arial"/>
          <w:color w:val="000000" w:themeColor="text1"/>
        </w:rPr>
        <w:t>.</w:t>
      </w:r>
    </w:p>
    <w:p w14:paraId="6A143506" w14:textId="77777777" w:rsidR="00A75DAF" w:rsidRPr="004C3C00" w:rsidRDefault="00A75DAF" w:rsidP="004C3C00">
      <w:pPr>
        <w:spacing w:line="360" w:lineRule="auto"/>
        <w:jc w:val="both"/>
        <w:rPr>
          <w:rFonts w:ascii="Arial" w:hAnsi="Arial" w:cs="Arial"/>
          <w:color w:val="000000" w:themeColor="text1"/>
        </w:rPr>
      </w:pPr>
      <w:r w:rsidRPr="004C3C00">
        <w:rPr>
          <w:rFonts w:ascii="Arial" w:hAnsi="Arial" w:cs="Arial"/>
          <w:color w:val="000000" w:themeColor="text1"/>
        </w:rPr>
        <w:t xml:space="preserve">Share a person-centered care plan with the following information: Who administers medication, when to visit, indicators to look for, escalation strategy, and who to call for a response. Frequent case reviews with interdisciplinary colleagues or secure updates can confirm information. Smith and colleagues (2021) found that multidisciplinary teams, coordinated care, strong communication, and informal </w:t>
      </w:r>
      <w:proofErr w:type="spellStart"/>
      <w:r w:rsidRPr="004C3C00">
        <w:rPr>
          <w:rFonts w:ascii="Arial" w:hAnsi="Arial" w:cs="Arial"/>
          <w:color w:val="000000" w:themeColor="text1"/>
        </w:rPr>
        <w:t>carers</w:t>
      </w:r>
      <w:proofErr w:type="spellEnd"/>
      <w:r w:rsidRPr="004C3C00">
        <w:rPr>
          <w:rFonts w:ascii="Arial" w:hAnsi="Arial" w:cs="Arial"/>
          <w:color w:val="000000" w:themeColor="text1"/>
        </w:rPr>
        <w:t xml:space="preserve"> enable integrated dementia care. Poor interprofessional partnerships and information system non-sharing can fragment care, the review found. </w:t>
      </w:r>
    </w:p>
    <w:p w14:paraId="244318B3" w14:textId="77777777" w:rsidR="00A75DAF" w:rsidRPr="004C3C00" w:rsidRDefault="00A75DAF" w:rsidP="004C3C00">
      <w:pPr>
        <w:spacing w:line="360" w:lineRule="auto"/>
        <w:jc w:val="both"/>
        <w:rPr>
          <w:rFonts w:ascii="Arial" w:hAnsi="Arial" w:cs="Arial"/>
          <w:color w:val="000000" w:themeColor="text1"/>
        </w:rPr>
      </w:pPr>
      <w:proofErr w:type="spellStart"/>
      <w:r w:rsidRPr="004C3C00">
        <w:rPr>
          <w:rFonts w:ascii="Arial" w:hAnsi="Arial" w:cs="Arial"/>
          <w:color w:val="000000" w:themeColor="text1"/>
        </w:rPr>
        <w:t>Doornebosch</w:t>
      </w:r>
      <w:proofErr w:type="spellEnd"/>
      <w:r w:rsidRPr="004C3C00">
        <w:rPr>
          <w:rFonts w:ascii="Arial" w:hAnsi="Arial" w:cs="Arial"/>
          <w:color w:val="000000" w:themeColor="text1"/>
        </w:rPr>
        <w:t xml:space="preserve">, </w:t>
      </w:r>
      <w:proofErr w:type="spellStart"/>
      <w:r w:rsidRPr="004C3C00">
        <w:rPr>
          <w:rFonts w:ascii="Arial" w:hAnsi="Arial" w:cs="Arial"/>
          <w:color w:val="000000" w:themeColor="text1"/>
        </w:rPr>
        <w:t>Smaling</w:t>
      </w:r>
      <w:proofErr w:type="spellEnd"/>
      <w:r w:rsidRPr="004C3C00">
        <w:rPr>
          <w:rFonts w:ascii="Arial" w:hAnsi="Arial" w:cs="Arial"/>
          <w:color w:val="000000" w:themeColor="text1"/>
        </w:rPr>
        <w:t xml:space="preserve">, and </w:t>
      </w:r>
      <w:proofErr w:type="spellStart"/>
      <w:r w:rsidRPr="004C3C00">
        <w:rPr>
          <w:rFonts w:ascii="Arial" w:hAnsi="Arial" w:cs="Arial"/>
          <w:color w:val="000000" w:themeColor="text1"/>
        </w:rPr>
        <w:t>Achterberg</w:t>
      </w:r>
      <w:proofErr w:type="spellEnd"/>
      <w:r w:rsidRPr="004C3C00">
        <w:rPr>
          <w:rFonts w:ascii="Arial" w:hAnsi="Arial" w:cs="Arial"/>
          <w:color w:val="000000" w:themeColor="text1"/>
        </w:rPr>
        <w:t xml:space="preserve"> (2022) also identified communication skills, </w:t>
      </w:r>
      <w:proofErr w:type="spellStart"/>
      <w:r w:rsidRPr="004C3C00">
        <w:rPr>
          <w:rFonts w:ascii="Arial" w:hAnsi="Arial" w:cs="Arial"/>
          <w:color w:val="000000" w:themeColor="text1"/>
        </w:rPr>
        <w:t>organisation</w:t>
      </w:r>
      <w:proofErr w:type="spellEnd"/>
      <w:r w:rsidRPr="004C3C00">
        <w:rPr>
          <w:rFonts w:ascii="Arial" w:hAnsi="Arial" w:cs="Arial"/>
          <w:color w:val="000000" w:themeColor="text1"/>
        </w:rPr>
        <w:t xml:space="preserve"> support, and solid professional relationships important for interprofessional collaboration. Unfortunately, additional meetings do not improve care. Although meetings appear like a team effort, they don't necessarily result in a resolution, to-dos, or next steps, and risk can stay unmanaged. </w:t>
      </w:r>
    </w:p>
    <w:p w14:paraId="099A28C7" w14:textId="618ED07A" w:rsidR="00A75DAF" w:rsidRPr="004C3C00" w:rsidRDefault="00A75DAF" w:rsidP="004C3C00">
      <w:pPr>
        <w:spacing w:line="360" w:lineRule="auto"/>
        <w:jc w:val="both"/>
        <w:rPr>
          <w:rFonts w:ascii="Arial" w:hAnsi="Arial" w:cs="Arial"/>
          <w:color w:val="000000" w:themeColor="text1"/>
        </w:rPr>
      </w:pPr>
      <w:r w:rsidRPr="004C3C00">
        <w:rPr>
          <w:rFonts w:ascii="Arial" w:hAnsi="Arial" w:cs="Arial"/>
          <w:color w:val="000000" w:themeColor="text1"/>
        </w:rPr>
        <w:t>Lack of interfaced record systems, delayed referrals, profession hierarchy, personnel turnover, and conflicting professional risk assessments are impediments. To address the above barriers, employ a designated case coordinator, agreed handover mechanism, agreed response times, consent and information sharing agreements, and documented task allocation. If family participation is legal and effective, it should be done through accessible channels and Mrs. Thompson should be involved in reviews. Collaboration outcomes should include fewer doses skipped, reduced confusion, faster professional answers, enhanced safe independence, and fewer agencies contacted</w:t>
      </w:r>
      <w:r w:rsidR="00925260" w:rsidRPr="004C3C00">
        <w:rPr>
          <w:rFonts w:ascii="Arial" w:hAnsi="Arial" w:cs="Arial"/>
          <w:color w:val="000000" w:themeColor="text1"/>
        </w:rPr>
        <w:t xml:space="preserve"> (</w:t>
      </w:r>
      <w:r w:rsidR="00925260" w:rsidRPr="004C3C00">
        <w:rPr>
          <w:rFonts w:ascii="Arial" w:hAnsi="Arial" w:cs="Arial"/>
          <w:color w:val="000000" w:themeColor="text1"/>
          <w:shd w:val="clear" w:color="auto" w:fill="FFFFFF"/>
        </w:rPr>
        <w:t>Wray, 2020)</w:t>
      </w:r>
      <w:r w:rsidRPr="004C3C00">
        <w:rPr>
          <w:rFonts w:ascii="Arial" w:hAnsi="Arial" w:cs="Arial"/>
          <w:color w:val="000000" w:themeColor="text1"/>
        </w:rPr>
        <w:t>.</w:t>
      </w:r>
    </w:p>
    <w:p w14:paraId="2A4742B2" w14:textId="453E9ED5" w:rsidR="00A75DAF" w:rsidRPr="004C3C00" w:rsidRDefault="00925260" w:rsidP="004C3C00">
      <w:pPr>
        <w:pStyle w:val="Heading1"/>
        <w:spacing w:line="360" w:lineRule="auto"/>
        <w:jc w:val="both"/>
        <w:rPr>
          <w:rFonts w:ascii="Arial" w:hAnsi="Arial" w:cs="Arial"/>
          <w:b/>
          <w:bCs/>
          <w:color w:val="000000" w:themeColor="text1"/>
          <w:sz w:val="22"/>
          <w:szCs w:val="22"/>
        </w:rPr>
      </w:pPr>
      <w:r w:rsidRPr="004C3C00">
        <w:rPr>
          <w:rFonts w:ascii="Arial" w:hAnsi="Arial" w:cs="Arial"/>
          <w:b/>
          <w:bCs/>
          <w:color w:val="000000" w:themeColor="text1"/>
          <w:sz w:val="22"/>
          <w:szCs w:val="22"/>
        </w:rPr>
        <w:t xml:space="preserve">5. </w:t>
      </w:r>
      <w:r w:rsidR="00A75DAF" w:rsidRPr="004C3C00">
        <w:rPr>
          <w:rFonts w:ascii="Arial" w:hAnsi="Arial" w:cs="Arial"/>
          <w:b/>
          <w:bCs/>
          <w:color w:val="000000" w:themeColor="text1"/>
          <w:sz w:val="22"/>
          <w:szCs w:val="22"/>
        </w:rPr>
        <w:t>Conclusion</w:t>
      </w:r>
    </w:p>
    <w:p w14:paraId="40918B31" w14:textId="5DEC8247" w:rsidR="00925260" w:rsidRPr="004C3C00" w:rsidRDefault="00925260" w:rsidP="004C3C00">
      <w:pPr>
        <w:spacing w:line="360" w:lineRule="auto"/>
        <w:jc w:val="both"/>
        <w:rPr>
          <w:rFonts w:ascii="Arial" w:hAnsi="Arial" w:cs="Arial"/>
          <w:color w:val="000000" w:themeColor="text1"/>
        </w:rPr>
      </w:pPr>
      <w:r w:rsidRPr="004C3C00">
        <w:rPr>
          <w:rFonts w:ascii="Arial" w:hAnsi="Arial" w:cs="Arial"/>
          <w:color w:val="000000" w:themeColor="text1"/>
        </w:rPr>
        <w:t>Mrs. Thompson demonstrated the need of strong communication, administration, and collaboration in safe, person-centered care. She is involved through respectful communication and rights and secrecy protection. Access to reliable records ensures continuity, accountability, and prompt action. Effective multi-agency collaboration reduces pharmaceutical risks and prevents harm. A care plan that is periodically evaluated must balance care and what is beneficial for Mrs. Thompson's dignity, choice, and independence.</w:t>
      </w:r>
    </w:p>
    <w:p w14:paraId="554EBE4D" w14:textId="77777777" w:rsidR="00925260" w:rsidRPr="004C3C00" w:rsidRDefault="00925260" w:rsidP="004C3C00">
      <w:pPr>
        <w:spacing w:line="360" w:lineRule="auto"/>
        <w:jc w:val="both"/>
        <w:rPr>
          <w:rFonts w:ascii="Arial" w:hAnsi="Arial" w:cs="Arial"/>
          <w:color w:val="000000" w:themeColor="text1"/>
        </w:rPr>
      </w:pPr>
      <w:r w:rsidRPr="004C3C00">
        <w:rPr>
          <w:rFonts w:ascii="Arial" w:hAnsi="Arial" w:cs="Arial"/>
          <w:color w:val="000000" w:themeColor="text1"/>
        </w:rPr>
        <w:br w:type="page"/>
      </w:r>
    </w:p>
    <w:p w14:paraId="21553C06" w14:textId="6FF4D054" w:rsidR="00A75DAF" w:rsidRPr="004C3C00" w:rsidRDefault="00925260" w:rsidP="004C3C00">
      <w:pPr>
        <w:pStyle w:val="Heading1"/>
        <w:spacing w:line="360" w:lineRule="auto"/>
        <w:jc w:val="both"/>
        <w:rPr>
          <w:rFonts w:ascii="Arial" w:hAnsi="Arial" w:cs="Arial"/>
          <w:b/>
          <w:bCs/>
          <w:color w:val="000000" w:themeColor="text1"/>
          <w:sz w:val="22"/>
          <w:szCs w:val="22"/>
        </w:rPr>
      </w:pPr>
      <w:r w:rsidRPr="004C3C00">
        <w:rPr>
          <w:rFonts w:ascii="Arial" w:hAnsi="Arial" w:cs="Arial"/>
          <w:b/>
          <w:bCs/>
          <w:color w:val="000000" w:themeColor="text1"/>
          <w:sz w:val="22"/>
          <w:szCs w:val="22"/>
        </w:rPr>
        <w:t>6. References</w:t>
      </w:r>
    </w:p>
    <w:p w14:paraId="46B92671" w14:textId="77777777" w:rsidR="004C3C00" w:rsidRPr="00F21823" w:rsidRDefault="004C3C00" w:rsidP="004C3C00">
      <w:pPr>
        <w:spacing w:before="100" w:beforeAutospacing="1" w:after="100" w:afterAutospacing="1" w:line="360" w:lineRule="auto"/>
        <w:ind w:left="720" w:hanging="720"/>
        <w:jc w:val="both"/>
        <w:rPr>
          <w:rFonts w:ascii="Arial" w:eastAsia="Times New Roman" w:hAnsi="Arial" w:cs="Arial"/>
          <w:kern w:val="0"/>
          <w14:ligatures w14:val="none"/>
        </w:rPr>
      </w:pPr>
      <w:proofErr w:type="spellStart"/>
      <w:r w:rsidRPr="00F21823">
        <w:rPr>
          <w:rFonts w:ascii="Arial" w:eastAsia="Times New Roman" w:hAnsi="Arial" w:cs="Arial"/>
          <w:kern w:val="0"/>
          <w14:ligatures w14:val="none"/>
        </w:rPr>
        <w:t>Berlo</w:t>
      </w:r>
      <w:proofErr w:type="spellEnd"/>
      <w:r w:rsidRPr="00F21823">
        <w:rPr>
          <w:rFonts w:ascii="Arial" w:eastAsia="Times New Roman" w:hAnsi="Arial" w:cs="Arial"/>
          <w:kern w:val="0"/>
          <w14:ligatures w14:val="none"/>
        </w:rPr>
        <w:t xml:space="preserve">, D.K. (1960) </w:t>
      </w:r>
      <w:r w:rsidRPr="00F21823">
        <w:rPr>
          <w:rFonts w:ascii="Arial" w:eastAsia="Times New Roman" w:hAnsi="Arial" w:cs="Arial"/>
          <w:i/>
          <w:iCs/>
          <w:kern w:val="0"/>
          <w14:ligatures w14:val="none"/>
        </w:rPr>
        <w:t>The process of communication: An introduction to theory and practice</w:t>
      </w:r>
      <w:r w:rsidRPr="00F21823">
        <w:rPr>
          <w:rFonts w:ascii="Arial" w:eastAsia="Times New Roman" w:hAnsi="Arial" w:cs="Arial"/>
          <w:kern w:val="0"/>
          <w14:ligatures w14:val="none"/>
        </w:rPr>
        <w:t>. New York: Holt, Rinehart and Winston. Available at:</w:t>
      </w:r>
      <w:r w:rsidRPr="00F21823">
        <w:rPr>
          <w:rFonts w:ascii="Arial" w:eastAsia="Times New Roman" w:hAnsi="Arial" w:cs="Arial"/>
          <w:kern w:val="0"/>
          <w14:ligatures w14:val="none"/>
        </w:rPr>
        <w:br/>
      </w:r>
      <w:hyperlink r:id="rId6" w:tgtFrame="_new" w:history="1">
        <w:r w:rsidRPr="00F21823">
          <w:rPr>
            <w:rFonts w:ascii="Arial" w:eastAsia="Times New Roman" w:hAnsi="Arial" w:cs="Arial"/>
            <w:color w:val="0000FF"/>
            <w:kern w:val="0"/>
            <w:u w:val="single"/>
            <w14:ligatures w14:val="none"/>
          </w:rPr>
          <w:t>https://books.google.com/books?id=0k9IAAAAMAAJ</w:t>
        </w:r>
      </w:hyperlink>
      <w:r w:rsidRPr="00F21823">
        <w:rPr>
          <w:rFonts w:ascii="Arial" w:eastAsia="Times New Roman" w:hAnsi="Arial" w:cs="Arial"/>
          <w:kern w:val="0"/>
          <w14:ligatures w14:val="none"/>
        </w:rPr>
        <w:br/>
        <w:t>(Accessed: 18 July 2026).</w:t>
      </w:r>
    </w:p>
    <w:p w14:paraId="480489EE" w14:textId="77777777" w:rsidR="004C3C00" w:rsidRPr="00F21823" w:rsidRDefault="004C3C00" w:rsidP="004C3C00">
      <w:pPr>
        <w:spacing w:before="100" w:beforeAutospacing="1" w:after="100" w:afterAutospacing="1" w:line="360" w:lineRule="auto"/>
        <w:ind w:left="720" w:hanging="720"/>
        <w:jc w:val="both"/>
        <w:rPr>
          <w:rFonts w:ascii="Arial" w:eastAsia="Times New Roman" w:hAnsi="Arial" w:cs="Arial"/>
          <w:kern w:val="0"/>
          <w14:ligatures w14:val="none"/>
        </w:rPr>
      </w:pPr>
      <w:r w:rsidRPr="00F21823">
        <w:rPr>
          <w:rFonts w:ascii="Arial" w:eastAsia="Times New Roman" w:hAnsi="Arial" w:cs="Arial"/>
          <w:kern w:val="0"/>
          <w14:ligatures w14:val="none"/>
        </w:rPr>
        <w:t xml:space="preserve">Care Quality Commission (CQC) (2025) </w:t>
      </w:r>
      <w:r w:rsidRPr="00F21823">
        <w:rPr>
          <w:rFonts w:ascii="Arial" w:eastAsia="Times New Roman" w:hAnsi="Arial" w:cs="Arial"/>
          <w:i/>
          <w:iCs/>
          <w:kern w:val="0"/>
          <w14:ligatures w14:val="none"/>
        </w:rPr>
        <w:t>Regulation 17: Good governance</w:t>
      </w:r>
      <w:r w:rsidRPr="00F21823">
        <w:rPr>
          <w:rFonts w:ascii="Arial" w:eastAsia="Times New Roman" w:hAnsi="Arial" w:cs="Arial"/>
          <w:kern w:val="0"/>
          <w14:ligatures w14:val="none"/>
        </w:rPr>
        <w:t>. Available at:</w:t>
      </w:r>
      <w:r w:rsidRPr="00F21823">
        <w:rPr>
          <w:rFonts w:ascii="Arial" w:eastAsia="Times New Roman" w:hAnsi="Arial" w:cs="Arial"/>
          <w:kern w:val="0"/>
          <w14:ligatures w14:val="none"/>
        </w:rPr>
        <w:br/>
      </w:r>
      <w:hyperlink r:id="rId7" w:tgtFrame="_new" w:history="1">
        <w:r w:rsidRPr="00F21823">
          <w:rPr>
            <w:rFonts w:ascii="Arial" w:eastAsia="Times New Roman" w:hAnsi="Arial" w:cs="Arial"/>
            <w:color w:val="0000FF"/>
            <w:kern w:val="0"/>
            <w:u w:val="single"/>
            <w14:ligatures w14:val="none"/>
          </w:rPr>
          <w:t>https://www.cqc.org.uk/guidance-regulation/providers/regulations-service-providers-and-managers/health-social-care-act/regulation-17</w:t>
        </w:r>
      </w:hyperlink>
      <w:r w:rsidRPr="00F21823">
        <w:rPr>
          <w:rFonts w:ascii="Arial" w:eastAsia="Times New Roman" w:hAnsi="Arial" w:cs="Arial"/>
          <w:kern w:val="0"/>
          <w14:ligatures w14:val="none"/>
        </w:rPr>
        <w:br/>
        <w:t xml:space="preserve">(Accessed: 18 July 2026). </w:t>
      </w:r>
    </w:p>
    <w:p w14:paraId="712C3C56" w14:textId="77777777" w:rsidR="004C3C00" w:rsidRPr="004C3C00" w:rsidRDefault="004C3C00" w:rsidP="004C3C00">
      <w:pPr>
        <w:spacing w:before="100" w:beforeAutospacing="1" w:after="100" w:afterAutospacing="1" w:line="360" w:lineRule="auto"/>
        <w:ind w:left="720" w:hanging="720"/>
        <w:jc w:val="both"/>
        <w:rPr>
          <w:rFonts w:ascii="Arial" w:hAnsi="Arial" w:cs="Arial"/>
        </w:rPr>
      </w:pPr>
      <w:r w:rsidRPr="004C3C00">
        <w:rPr>
          <w:rFonts w:ascii="Arial" w:hAnsi="Arial" w:cs="Arial"/>
        </w:rPr>
        <w:t>Data Protection Act 2018, c.12. Available at:</w:t>
      </w:r>
      <w:hyperlink r:id="rId8" w:history="1">
        <w:r w:rsidRPr="004C3C00">
          <w:rPr>
            <w:rStyle w:val="Hyperlink"/>
            <w:rFonts w:ascii="Arial" w:eastAsia="Times New Roman" w:hAnsi="Arial" w:cs="Arial"/>
            <w:kern w:val="0"/>
            <w14:ligatures w14:val="none"/>
          </w:rPr>
          <w:t>https://www.legislation.gov.uk/ukpga/2018/12/enacted/data.xht?view=snippet&amp;wrap=true</w:t>
        </w:r>
      </w:hyperlink>
      <w:r w:rsidRPr="004C3C00">
        <w:rPr>
          <w:rFonts w:ascii="Arial" w:eastAsia="Times New Roman" w:hAnsi="Arial" w:cs="Arial"/>
          <w:kern w:val="0"/>
          <w14:ligatures w14:val="none"/>
        </w:rPr>
        <w:t xml:space="preserve"> </w:t>
      </w:r>
      <w:r w:rsidRPr="004C3C00">
        <w:rPr>
          <w:rFonts w:ascii="Arial" w:hAnsi="Arial" w:cs="Arial"/>
        </w:rPr>
        <w:t>(Accessed: 18 July 2026).</w:t>
      </w:r>
    </w:p>
    <w:p w14:paraId="49139705" w14:textId="77777777" w:rsidR="004C3C00" w:rsidRPr="004C3C00" w:rsidRDefault="004C3C00" w:rsidP="004C3C00">
      <w:pPr>
        <w:spacing w:before="100" w:beforeAutospacing="1" w:after="100" w:afterAutospacing="1" w:line="360" w:lineRule="auto"/>
        <w:ind w:left="720" w:hanging="720"/>
        <w:jc w:val="both"/>
        <w:rPr>
          <w:rFonts w:ascii="Arial" w:hAnsi="Arial" w:cs="Arial"/>
          <w:color w:val="222222"/>
          <w:shd w:val="clear" w:color="auto" w:fill="FFFFFF"/>
        </w:rPr>
      </w:pPr>
      <w:bookmarkStart w:id="0" w:name="_Hlk235265641"/>
      <w:r w:rsidRPr="004C3C00">
        <w:rPr>
          <w:rFonts w:ascii="Arial" w:hAnsi="Arial" w:cs="Arial"/>
          <w:color w:val="222222"/>
          <w:shd w:val="clear" w:color="auto" w:fill="FFFFFF"/>
        </w:rPr>
        <w:t>Demsash</w:t>
      </w:r>
      <w:bookmarkEnd w:id="0"/>
      <w:r w:rsidRPr="004C3C00">
        <w:rPr>
          <w:rFonts w:ascii="Arial" w:hAnsi="Arial" w:cs="Arial"/>
          <w:color w:val="222222"/>
          <w:shd w:val="clear" w:color="auto" w:fill="FFFFFF"/>
        </w:rPr>
        <w:t xml:space="preserve">, A.W., Kassie, S.Y., </w:t>
      </w:r>
      <w:proofErr w:type="spellStart"/>
      <w:r w:rsidRPr="004C3C00">
        <w:rPr>
          <w:rFonts w:ascii="Arial" w:hAnsi="Arial" w:cs="Arial"/>
          <w:color w:val="222222"/>
          <w:shd w:val="clear" w:color="auto" w:fill="FFFFFF"/>
        </w:rPr>
        <w:t>Dubale</w:t>
      </w:r>
      <w:proofErr w:type="spellEnd"/>
      <w:r w:rsidRPr="004C3C00">
        <w:rPr>
          <w:rFonts w:ascii="Arial" w:hAnsi="Arial" w:cs="Arial"/>
          <w:color w:val="222222"/>
          <w:shd w:val="clear" w:color="auto" w:fill="FFFFFF"/>
        </w:rPr>
        <w:t xml:space="preserve">, A.T., </w:t>
      </w:r>
      <w:proofErr w:type="spellStart"/>
      <w:r w:rsidRPr="004C3C00">
        <w:rPr>
          <w:rFonts w:ascii="Arial" w:hAnsi="Arial" w:cs="Arial"/>
          <w:color w:val="222222"/>
          <w:shd w:val="clear" w:color="auto" w:fill="FFFFFF"/>
        </w:rPr>
        <w:t>Chereka</w:t>
      </w:r>
      <w:proofErr w:type="spellEnd"/>
      <w:r w:rsidRPr="004C3C00">
        <w:rPr>
          <w:rFonts w:ascii="Arial" w:hAnsi="Arial" w:cs="Arial"/>
          <w:color w:val="222222"/>
          <w:shd w:val="clear" w:color="auto" w:fill="FFFFFF"/>
        </w:rPr>
        <w:t xml:space="preserve">, A.A., </w:t>
      </w:r>
      <w:proofErr w:type="spellStart"/>
      <w:r w:rsidRPr="004C3C00">
        <w:rPr>
          <w:rFonts w:ascii="Arial" w:hAnsi="Arial" w:cs="Arial"/>
          <w:color w:val="222222"/>
          <w:shd w:val="clear" w:color="auto" w:fill="FFFFFF"/>
        </w:rPr>
        <w:t>Ngusie</w:t>
      </w:r>
      <w:proofErr w:type="spellEnd"/>
      <w:r w:rsidRPr="004C3C00">
        <w:rPr>
          <w:rFonts w:ascii="Arial" w:hAnsi="Arial" w:cs="Arial"/>
          <w:color w:val="222222"/>
          <w:shd w:val="clear" w:color="auto" w:fill="FFFFFF"/>
        </w:rPr>
        <w:t xml:space="preserve">, H.S., </w:t>
      </w:r>
      <w:proofErr w:type="spellStart"/>
      <w:r w:rsidRPr="004C3C00">
        <w:rPr>
          <w:rFonts w:ascii="Arial" w:hAnsi="Arial" w:cs="Arial"/>
          <w:color w:val="222222"/>
          <w:shd w:val="clear" w:color="auto" w:fill="FFFFFF"/>
        </w:rPr>
        <w:t>Hunde</w:t>
      </w:r>
      <w:proofErr w:type="spellEnd"/>
      <w:r w:rsidRPr="004C3C00">
        <w:rPr>
          <w:rFonts w:ascii="Arial" w:hAnsi="Arial" w:cs="Arial"/>
          <w:color w:val="222222"/>
          <w:shd w:val="clear" w:color="auto" w:fill="FFFFFF"/>
        </w:rPr>
        <w:t xml:space="preserve">, M.K., </w:t>
      </w:r>
      <w:proofErr w:type="spellStart"/>
      <w:r w:rsidRPr="004C3C00">
        <w:rPr>
          <w:rFonts w:ascii="Arial" w:hAnsi="Arial" w:cs="Arial"/>
          <w:color w:val="222222"/>
          <w:shd w:val="clear" w:color="auto" w:fill="FFFFFF"/>
        </w:rPr>
        <w:t>Emanu</w:t>
      </w:r>
      <w:proofErr w:type="spellEnd"/>
      <w:r w:rsidRPr="004C3C00">
        <w:rPr>
          <w:rFonts w:ascii="Arial" w:hAnsi="Arial" w:cs="Arial"/>
          <w:color w:val="222222"/>
          <w:shd w:val="clear" w:color="auto" w:fill="FFFFFF"/>
        </w:rPr>
        <w:t xml:space="preserve">, M.D., </w:t>
      </w:r>
      <w:proofErr w:type="spellStart"/>
      <w:r w:rsidRPr="004C3C00">
        <w:rPr>
          <w:rFonts w:ascii="Arial" w:hAnsi="Arial" w:cs="Arial"/>
          <w:color w:val="222222"/>
          <w:shd w:val="clear" w:color="auto" w:fill="FFFFFF"/>
        </w:rPr>
        <w:t>Shibabaw</w:t>
      </w:r>
      <w:proofErr w:type="spellEnd"/>
      <w:r w:rsidRPr="004C3C00">
        <w:rPr>
          <w:rFonts w:ascii="Arial" w:hAnsi="Arial" w:cs="Arial"/>
          <w:color w:val="222222"/>
          <w:shd w:val="clear" w:color="auto" w:fill="FFFFFF"/>
        </w:rPr>
        <w:t xml:space="preserve">, A.A. and </w:t>
      </w:r>
      <w:proofErr w:type="spellStart"/>
      <w:r w:rsidRPr="004C3C00">
        <w:rPr>
          <w:rFonts w:ascii="Arial" w:hAnsi="Arial" w:cs="Arial"/>
          <w:color w:val="222222"/>
          <w:shd w:val="clear" w:color="auto" w:fill="FFFFFF"/>
        </w:rPr>
        <w:t>Walle</w:t>
      </w:r>
      <w:proofErr w:type="spellEnd"/>
      <w:r w:rsidRPr="004C3C00">
        <w:rPr>
          <w:rFonts w:ascii="Arial" w:hAnsi="Arial" w:cs="Arial"/>
          <w:color w:val="222222"/>
          <w:shd w:val="clear" w:color="auto" w:fill="FFFFFF"/>
        </w:rPr>
        <w:t>, A.D. (2023) Health professionals’ routine practice documentation and its associated factors in a resource-limited setting: a cross-sectional study. </w:t>
      </w:r>
      <w:r w:rsidRPr="004C3C00">
        <w:rPr>
          <w:rFonts w:ascii="Arial" w:hAnsi="Arial" w:cs="Arial"/>
          <w:i/>
          <w:iCs/>
          <w:color w:val="222222"/>
          <w:shd w:val="clear" w:color="auto" w:fill="FFFFFF"/>
        </w:rPr>
        <w:t>BMJ health &amp; care informatics</w:t>
      </w:r>
      <w:r w:rsidRPr="004C3C00">
        <w:rPr>
          <w:rFonts w:ascii="Arial" w:hAnsi="Arial" w:cs="Arial"/>
          <w:color w:val="222222"/>
          <w:shd w:val="clear" w:color="auto" w:fill="FFFFFF"/>
        </w:rPr>
        <w:t>, </w:t>
      </w:r>
      <w:r w:rsidRPr="004C3C00">
        <w:rPr>
          <w:rFonts w:ascii="Arial" w:hAnsi="Arial" w:cs="Arial"/>
          <w:i/>
          <w:iCs/>
          <w:color w:val="222222"/>
          <w:shd w:val="clear" w:color="auto" w:fill="FFFFFF"/>
        </w:rPr>
        <w:t>30</w:t>
      </w:r>
      <w:r w:rsidRPr="004C3C00">
        <w:rPr>
          <w:rFonts w:ascii="Arial" w:hAnsi="Arial" w:cs="Arial"/>
          <w:color w:val="222222"/>
          <w:shd w:val="clear" w:color="auto" w:fill="FFFFFF"/>
        </w:rPr>
        <w:t>(1), p.e100699.</w:t>
      </w:r>
      <w:r w:rsidRPr="004C3C00">
        <w:rPr>
          <w:rFonts w:ascii="Arial" w:hAnsi="Arial" w:cs="Arial"/>
        </w:rPr>
        <w:t xml:space="preserve"> </w:t>
      </w:r>
      <w:hyperlink r:id="rId9" w:history="1">
        <w:r w:rsidRPr="004C3C00">
          <w:rPr>
            <w:rStyle w:val="Hyperlink"/>
            <w:rFonts w:ascii="Arial" w:hAnsi="Arial" w:cs="Arial"/>
            <w:shd w:val="clear" w:color="auto" w:fill="FFFFFF"/>
          </w:rPr>
          <w:t>https://pmc.ncbi.nlm.nih.gov/articles/PMC9936289/</w:t>
        </w:r>
      </w:hyperlink>
    </w:p>
    <w:p w14:paraId="0F956453" w14:textId="77777777" w:rsidR="004C3C00" w:rsidRPr="004C3C00" w:rsidRDefault="004C3C00" w:rsidP="004C3C00">
      <w:pPr>
        <w:spacing w:before="100" w:beforeAutospacing="1" w:after="100" w:afterAutospacing="1" w:line="360" w:lineRule="auto"/>
        <w:ind w:left="720" w:hanging="720"/>
        <w:jc w:val="both"/>
        <w:rPr>
          <w:rFonts w:ascii="Arial" w:eastAsia="Times New Roman" w:hAnsi="Arial" w:cs="Arial"/>
          <w:kern w:val="0"/>
          <w14:ligatures w14:val="none"/>
        </w:rPr>
      </w:pPr>
      <w:proofErr w:type="spellStart"/>
      <w:r w:rsidRPr="00F21823">
        <w:rPr>
          <w:rFonts w:ascii="Arial" w:eastAsia="Times New Roman" w:hAnsi="Arial" w:cs="Arial"/>
          <w:kern w:val="0"/>
          <w14:ligatures w14:val="none"/>
        </w:rPr>
        <w:t>Doornebosch</w:t>
      </w:r>
      <w:proofErr w:type="spellEnd"/>
      <w:r w:rsidRPr="00F21823">
        <w:rPr>
          <w:rFonts w:ascii="Arial" w:eastAsia="Times New Roman" w:hAnsi="Arial" w:cs="Arial"/>
          <w:kern w:val="0"/>
          <w14:ligatures w14:val="none"/>
        </w:rPr>
        <w:t xml:space="preserve">, A.J., </w:t>
      </w:r>
      <w:proofErr w:type="spellStart"/>
      <w:r w:rsidRPr="00F21823">
        <w:rPr>
          <w:rFonts w:ascii="Arial" w:eastAsia="Times New Roman" w:hAnsi="Arial" w:cs="Arial"/>
          <w:kern w:val="0"/>
          <w14:ligatures w14:val="none"/>
        </w:rPr>
        <w:t>Smaling</w:t>
      </w:r>
      <w:proofErr w:type="spellEnd"/>
      <w:r w:rsidRPr="00F21823">
        <w:rPr>
          <w:rFonts w:ascii="Arial" w:eastAsia="Times New Roman" w:hAnsi="Arial" w:cs="Arial"/>
          <w:kern w:val="0"/>
          <w14:ligatures w14:val="none"/>
        </w:rPr>
        <w:t xml:space="preserve">, H.J.A. and </w:t>
      </w:r>
      <w:proofErr w:type="spellStart"/>
      <w:r w:rsidRPr="00F21823">
        <w:rPr>
          <w:rFonts w:ascii="Arial" w:eastAsia="Times New Roman" w:hAnsi="Arial" w:cs="Arial"/>
          <w:kern w:val="0"/>
          <w14:ligatures w14:val="none"/>
        </w:rPr>
        <w:t>Achterberg</w:t>
      </w:r>
      <w:proofErr w:type="spellEnd"/>
      <w:r w:rsidRPr="00F21823">
        <w:rPr>
          <w:rFonts w:ascii="Arial" w:eastAsia="Times New Roman" w:hAnsi="Arial" w:cs="Arial"/>
          <w:kern w:val="0"/>
          <w14:ligatures w14:val="none"/>
        </w:rPr>
        <w:t>, W.P. (2022) ‘</w:t>
      </w:r>
      <w:proofErr w:type="spellStart"/>
      <w:r w:rsidRPr="00F21823">
        <w:rPr>
          <w:rFonts w:ascii="Arial" w:eastAsia="Times New Roman" w:hAnsi="Arial" w:cs="Arial"/>
          <w:kern w:val="0"/>
          <w14:ligatures w14:val="none"/>
        </w:rPr>
        <w:t>Interprofessional</w:t>
      </w:r>
      <w:proofErr w:type="spellEnd"/>
      <w:r w:rsidRPr="00F21823">
        <w:rPr>
          <w:rFonts w:ascii="Arial" w:eastAsia="Times New Roman" w:hAnsi="Arial" w:cs="Arial"/>
          <w:kern w:val="0"/>
          <w14:ligatures w14:val="none"/>
        </w:rPr>
        <w:t xml:space="preserve"> collaboration in long-term care and rehabilitation: A systematic review’, </w:t>
      </w:r>
      <w:r w:rsidRPr="00F21823">
        <w:rPr>
          <w:rFonts w:ascii="Arial" w:eastAsia="Times New Roman" w:hAnsi="Arial" w:cs="Arial"/>
          <w:i/>
          <w:iCs/>
          <w:kern w:val="0"/>
          <w14:ligatures w14:val="none"/>
        </w:rPr>
        <w:t>Journal of the American Medical Directors Association</w:t>
      </w:r>
      <w:r w:rsidRPr="00F21823">
        <w:rPr>
          <w:rFonts w:ascii="Arial" w:eastAsia="Times New Roman" w:hAnsi="Arial" w:cs="Arial"/>
          <w:kern w:val="0"/>
          <w14:ligatures w14:val="none"/>
        </w:rPr>
        <w:t>, 23(5), pp. 764–777.e2. Available at:</w:t>
      </w:r>
      <w:r w:rsidRPr="00F21823">
        <w:rPr>
          <w:rFonts w:ascii="Arial" w:eastAsia="Times New Roman" w:hAnsi="Arial" w:cs="Arial"/>
          <w:kern w:val="0"/>
          <w14:ligatures w14:val="none"/>
        </w:rPr>
        <w:br/>
      </w:r>
      <w:hyperlink r:id="rId10" w:tgtFrame="_new" w:history="1">
        <w:r w:rsidRPr="00F21823">
          <w:rPr>
            <w:rFonts w:ascii="Arial" w:eastAsia="Times New Roman" w:hAnsi="Arial" w:cs="Arial"/>
            <w:color w:val="0000FF"/>
            <w:kern w:val="0"/>
            <w:u w:val="single"/>
            <w14:ligatures w14:val="none"/>
          </w:rPr>
          <w:t>https://doi.org/10.1016/j.jamda.2021.12.028</w:t>
        </w:r>
      </w:hyperlink>
    </w:p>
    <w:p w14:paraId="71367EE5" w14:textId="77777777" w:rsidR="004C3C00" w:rsidRPr="004C3C00" w:rsidRDefault="004C3C00" w:rsidP="004C3C00">
      <w:pPr>
        <w:spacing w:before="100" w:beforeAutospacing="1" w:after="100" w:afterAutospacing="1" w:line="360" w:lineRule="auto"/>
        <w:ind w:left="720" w:hanging="720"/>
        <w:jc w:val="both"/>
        <w:rPr>
          <w:rFonts w:ascii="Arial" w:eastAsia="Times New Roman" w:hAnsi="Arial" w:cs="Arial"/>
          <w:kern w:val="0"/>
          <w14:ligatures w14:val="none"/>
        </w:rPr>
      </w:pPr>
      <w:r w:rsidRPr="00F21823">
        <w:rPr>
          <w:rFonts w:ascii="Arial" w:eastAsia="Times New Roman" w:hAnsi="Arial" w:cs="Arial"/>
          <w:kern w:val="0"/>
          <w14:ligatures w14:val="none"/>
        </w:rPr>
        <w:t>Equality Act 2010, c.15. Available at:</w:t>
      </w:r>
      <w:r w:rsidRPr="00F21823">
        <w:rPr>
          <w:rFonts w:ascii="Arial" w:eastAsia="Times New Roman" w:hAnsi="Arial" w:cs="Arial"/>
          <w:kern w:val="0"/>
          <w14:ligatures w14:val="none"/>
        </w:rPr>
        <w:br/>
      </w:r>
      <w:hyperlink r:id="rId11" w:history="1">
        <w:r w:rsidRPr="004C3C00">
          <w:rPr>
            <w:rStyle w:val="Hyperlink"/>
            <w:rFonts w:ascii="Arial" w:eastAsia="Times New Roman" w:hAnsi="Arial" w:cs="Arial"/>
            <w:kern w:val="0"/>
            <w14:ligatures w14:val="none"/>
          </w:rPr>
          <w:t>https://www.legislation.gov.uk/ukpga/2010/15/section/15</w:t>
        </w:r>
      </w:hyperlink>
      <w:r w:rsidRPr="004C3C00">
        <w:rPr>
          <w:rFonts w:ascii="Arial" w:eastAsia="Times New Roman" w:hAnsi="Arial" w:cs="Arial"/>
          <w:kern w:val="0"/>
          <w14:ligatures w14:val="none"/>
        </w:rPr>
        <w:t xml:space="preserve"> </w:t>
      </w:r>
      <w:r w:rsidRPr="00F21823">
        <w:rPr>
          <w:rFonts w:ascii="Arial" w:eastAsia="Times New Roman" w:hAnsi="Arial" w:cs="Arial"/>
          <w:kern w:val="0"/>
          <w14:ligatures w14:val="none"/>
        </w:rPr>
        <w:t xml:space="preserve">(Accessed: 18 July 2026). </w:t>
      </w:r>
    </w:p>
    <w:p w14:paraId="52AF009D" w14:textId="77777777" w:rsidR="004C3C00" w:rsidRPr="004C3C00" w:rsidRDefault="004C3C00" w:rsidP="004C3C00">
      <w:pPr>
        <w:spacing w:before="100" w:beforeAutospacing="1" w:after="100" w:afterAutospacing="1" w:line="360" w:lineRule="auto"/>
        <w:ind w:left="720" w:hanging="720"/>
        <w:jc w:val="both"/>
        <w:rPr>
          <w:rFonts w:ascii="Arial" w:eastAsia="Times New Roman" w:hAnsi="Arial" w:cs="Arial"/>
          <w:kern w:val="0"/>
          <w14:ligatures w14:val="none"/>
        </w:rPr>
      </w:pPr>
      <w:r w:rsidRPr="004C3C00">
        <w:rPr>
          <w:rFonts w:ascii="Arial" w:hAnsi="Arial" w:cs="Arial"/>
        </w:rPr>
        <w:t xml:space="preserve">Information Commissioner’s Office (ICO) (2026) </w:t>
      </w:r>
      <w:r w:rsidRPr="004C3C00">
        <w:rPr>
          <w:rFonts w:ascii="Arial" w:hAnsi="Arial" w:cs="Arial"/>
          <w:i/>
          <w:iCs/>
        </w:rPr>
        <w:t>A guide to the data protection principles</w:t>
      </w:r>
      <w:r w:rsidRPr="004C3C00">
        <w:rPr>
          <w:rFonts w:ascii="Arial" w:hAnsi="Arial" w:cs="Arial"/>
        </w:rPr>
        <w:t>. Available at:</w:t>
      </w:r>
      <w:r w:rsidRPr="004C3C00">
        <w:rPr>
          <w:rFonts w:ascii="Arial" w:hAnsi="Arial" w:cs="Arial"/>
        </w:rPr>
        <w:br/>
      </w:r>
      <w:hyperlink r:id="rId12" w:history="1">
        <w:r w:rsidRPr="004C3C00">
          <w:rPr>
            <w:rStyle w:val="Hyperlink"/>
            <w:rFonts w:ascii="Arial" w:hAnsi="Arial" w:cs="Arial"/>
          </w:rPr>
          <w:t>https://ico.org.uk/for-organisations/uk-gdpr-guidance-and-resources/data-protection-principles/a-guide-to-the-data-protection-principles/</w:t>
        </w:r>
      </w:hyperlink>
      <w:r w:rsidRPr="004C3C00">
        <w:rPr>
          <w:rFonts w:ascii="Arial" w:hAnsi="Arial" w:cs="Arial"/>
        </w:rPr>
        <w:t xml:space="preserve"> </w:t>
      </w:r>
      <w:r w:rsidRPr="004C3C00">
        <w:rPr>
          <w:rFonts w:ascii="Arial" w:hAnsi="Arial" w:cs="Arial"/>
        </w:rPr>
        <w:br/>
      </w:r>
      <w:bookmarkStart w:id="1" w:name="_Hlk235264350"/>
      <w:r w:rsidRPr="004C3C00">
        <w:rPr>
          <w:rFonts w:ascii="Arial" w:hAnsi="Arial" w:cs="Arial"/>
        </w:rPr>
        <w:t>(Accessed: 18 July 2026).</w:t>
      </w:r>
      <w:bookmarkEnd w:id="1"/>
    </w:p>
    <w:p w14:paraId="1EB776C1" w14:textId="77777777" w:rsidR="004C3C00" w:rsidRPr="004C3C00" w:rsidRDefault="004C3C00" w:rsidP="004C3C00">
      <w:pPr>
        <w:spacing w:before="100" w:beforeAutospacing="1" w:after="100" w:afterAutospacing="1" w:line="360" w:lineRule="auto"/>
        <w:ind w:left="720" w:hanging="720"/>
        <w:jc w:val="both"/>
        <w:rPr>
          <w:rFonts w:ascii="Arial" w:hAnsi="Arial" w:cs="Arial"/>
          <w:color w:val="222222"/>
          <w:shd w:val="clear" w:color="auto" w:fill="FFFFFF"/>
        </w:rPr>
      </w:pPr>
      <w:bookmarkStart w:id="2" w:name="_Hlk235265527"/>
      <w:r w:rsidRPr="004C3C00">
        <w:rPr>
          <w:rFonts w:ascii="Arial" w:hAnsi="Arial" w:cs="Arial"/>
          <w:color w:val="222222"/>
          <w:shd w:val="clear" w:color="auto" w:fill="FFFFFF"/>
        </w:rPr>
        <w:t>Karam</w:t>
      </w:r>
      <w:bookmarkEnd w:id="2"/>
      <w:r w:rsidRPr="004C3C00">
        <w:rPr>
          <w:rFonts w:ascii="Arial" w:hAnsi="Arial" w:cs="Arial"/>
          <w:color w:val="222222"/>
          <w:shd w:val="clear" w:color="auto" w:fill="FFFFFF"/>
        </w:rPr>
        <w:t xml:space="preserve">, M., Chouinard, M.C., Poitras, M.E., Couturier, Y., </w:t>
      </w:r>
      <w:proofErr w:type="spellStart"/>
      <w:r w:rsidRPr="004C3C00">
        <w:rPr>
          <w:rFonts w:ascii="Arial" w:hAnsi="Arial" w:cs="Arial"/>
          <w:color w:val="222222"/>
          <w:shd w:val="clear" w:color="auto" w:fill="FFFFFF"/>
        </w:rPr>
        <w:t>Vedel</w:t>
      </w:r>
      <w:proofErr w:type="spellEnd"/>
      <w:r w:rsidRPr="004C3C00">
        <w:rPr>
          <w:rFonts w:ascii="Arial" w:hAnsi="Arial" w:cs="Arial"/>
          <w:color w:val="222222"/>
          <w:shd w:val="clear" w:color="auto" w:fill="FFFFFF"/>
        </w:rPr>
        <w:t xml:space="preserve">, I., </w:t>
      </w:r>
      <w:proofErr w:type="spellStart"/>
      <w:r w:rsidRPr="004C3C00">
        <w:rPr>
          <w:rFonts w:ascii="Arial" w:hAnsi="Arial" w:cs="Arial"/>
          <w:color w:val="222222"/>
          <w:shd w:val="clear" w:color="auto" w:fill="FFFFFF"/>
        </w:rPr>
        <w:t>Grgurevic</w:t>
      </w:r>
      <w:proofErr w:type="spellEnd"/>
      <w:r w:rsidRPr="004C3C00">
        <w:rPr>
          <w:rFonts w:ascii="Arial" w:hAnsi="Arial" w:cs="Arial"/>
          <w:color w:val="222222"/>
          <w:shd w:val="clear" w:color="auto" w:fill="FFFFFF"/>
        </w:rPr>
        <w:t xml:space="preserve">, N. and </w:t>
      </w:r>
      <w:proofErr w:type="spellStart"/>
      <w:r w:rsidRPr="004C3C00">
        <w:rPr>
          <w:rFonts w:ascii="Arial" w:hAnsi="Arial" w:cs="Arial"/>
          <w:color w:val="222222"/>
          <w:shd w:val="clear" w:color="auto" w:fill="FFFFFF"/>
        </w:rPr>
        <w:t>Hudon</w:t>
      </w:r>
      <w:proofErr w:type="spellEnd"/>
      <w:r w:rsidRPr="004C3C00">
        <w:rPr>
          <w:rFonts w:ascii="Arial" w:hAnsi="Arial" w:cs="Arial"/>
          <w:color w:val="222222"/>
          <w:shd w:val="clear" w:color="auto" w:fill="FFFFFF"/>
        </w:rPr>
        <w:t>, C. (2021) Nursing care coordination for patients with complex needs in primary healthcare: a scoping review. </w:t>
      </w:r>
      <w:r w:rsidRPr="004C3C00">
        <w:rPr>
          <w:rFonts w:ascii="Arial" w:hAnsi="Arial" w:cs="Arial"/>
          <w:i/>
          <w:iCs/>
          <w:color w:val="222222"/>
          <w:shd w:val="clear" w:color="auto" w:fill="FFFFFF"/>
        </w:rPr>
        <w:t>International journal of integrated care</w:t>
      </w:r>
      <w:r w:rsidRPr="004C3C00">
        <w:rPr>
          <w:rFonts w:ascii="Arial" w:hAnsi="Arial" w:cs="Arial"/>
          <w:color w:val="222222"/>
          <w:shd w:val="clear" w:color="auto" w:fill="FFFFFF"/>
        </w:rPr>
        <w:t>, </w:t>
      </w:r>
      <w:r w:rsidRPr="004C3C00">
        <w:rPr>
          <w:rFonts w:ascii="Arial" w:hAnsi="Arial" w:cs="Arial"/>
          <w:i/>
          <w:iCs/>
          <w:color w:val="222222"/>
          <w:shd w:val="clear" w:color="auto" w:fill="FFFFFF"/>
        </w:rPr>
        <w:t>21</w:t>
      </w:r>
      <w:r w:rsidRPr="004C3C00">
        <w:rPr>
          <w:rFonts w:ascii="Arial" w:hAnsi="Arial" w:cs="Arial"/>
          <w:color w:val="222222"/>
          <w:shd w:val="clear" w:color="auto" w:fill="FFFFFF"/>
        </w:rPr>
        <w:t>(1), p.16.</w:t>
      </w:r>
      <w:r w:rsidRPr="004C3C00">
        <w:rPr>
          <w:rFonts w:ascii="Arial" w:hAnsi="Arial" w:cs="Arial"/>
        </w:rPr>
        <w:t xml:space="preserve"> </w:t>
      </w:r>
      <w:hyperlink r:id="rId13" w:history="1">
        <w:r w:rsidRPr="004C3C00">
          <w:rPr>
            <w:rStyle w:val="Hyperlink"/>
            <w:rFonts w:ascii="Arial" w:hAnsi="Arial" w:cs="Arial"/>
            <w:shd w:val="clear" w:color="auto" w:fill="FFFFFF"/>
          </w:rPr>
          <w:t>https://pmc.ncbi.nlm.nih.gov/articles/PMC7977020/</w:t>
        </w:r>
      </w:hyperlink>
    </w:p>
    <w:p w14:paraId="7F539D48" w14:textId="77777777" w:rsidR="004C3C00" w:rsidRPr="004C3C00" w:rsidRDefault="004C3C00" w:rsidP="004C3C00">
      <w:pPr>
        <w:spacing w:line="360" w:lineRule="auto"/>
        <w:ind w:left="720" w:hanging="720"/>
        <w:jc w:val="both"/>
        <w:rPr>
          <w:rFonts w:ascii="Arial" w:hAnsi="Arial" w:cs="Arial"/>
          <w:color w:val="000000" w:themeColor="text1"/>
        </w:rPr>
      </w:pPr>
      <w:bookmarkStart w:id="3" w:name="_Hlk235265764"/>
      <w:r w:rsidRPr="004C3C00">
        <w:rPr>
          <w:rFonts w:ascii="Arial" w:hAnsi="Arial" w:cs="Arial"/>
          <w:color w:val="222222"/>
          <w:shd w:val="clear" w:color="auto" w:fill="FFFFFF"/>
        </w:rPr>
        <w:t>Kusumalatha</w:t>
      </w:r>
      <w:bookmarkEnd w:id="3"/>
      <w:r w:rsidRPr="004C3C00">
        <w:rPr>
          <w:rFonts w:ascii="Arial" w:hAnsi="Arial" w:cs="Arial"/>
          <w:color w:val="222222"/>
          <w:shd w:val="clear" w:color="auto" w:fill="FFFFFF"/>
        </w:rPr>
        <w:t>, D.V. (2023) Extension Communication Models and Strategies. </w:t>
      </w:r>
      <w:r w:rsidRPr="004C3C00">
        <w:rPr>
          <w:rFonts w:ascii="Arial" w:hAnsi="Arial" w:cs="Arial"/>
          <w:i/>
          <w:iCs/>
          <w:color w:val="222222"/>
          <w:shd w:val="clear" w:color="auto" w:fill="FFFFFF"/>
        </w:rPr>
        <w:t>Chief Editor</w:t>
      </w:r>
      <w:r w:rsidRPr="004C3C00">
        <w:rPr>
          <w:rFonts w:ascii="Arial" w:hAnsi="Arial" w:cs="Arial"/>
          <w:color w:val="222222"/>
          <w:shd w:val="clear" w:color="auto" w:fill="FFFFFF"/>
        </w:rPr>
        <w:t>, </w:t>
      </w:r>
      <w:r w:rsidRPr="004C3C00">
        <w:rPr>
          <w:rFonts w:ascii="Arial" w:hAnsi="Arial" w:cs="Arial"/>
          <w:i/>
          <w:iCs/>
          <w:color w:val="222222"/>
          <w:shd w:val="clear" w:color="auto" w:fill="FFFFFF"/>
        </w:rPr>
        <w:t>41</w:t>
      </w:r>
      <w:r w:rsidRPr="004C3C00">
        <w:rPr>
          <w:rFonts w:ascii="Arial" w:hAnsi="Arial" w:cs="Arial"/>
          <w:color w:val="222222"/>
          <w:shd w:val="clear" w:color="auto" w:fill="FFFFFF"/>
        </w:rPr>
        <w:t>.</w:t>
      </w:r>
      <w:r w:rsidRPr="004C3C00">
        <w:rPr>
          <w:rFonts w:ascii="Arial" w:hAnsi="Arial" w:cs="Arial"/>
        </w:rPr>
        <w:t xml:space="preserve"> </w:t>
      </w:r>
      <w:hyperlink r:id="rId14" w:anchor="page=47" w:history="1">
        <w:r w:rsidRPr="004C3C00">
          <w:rPr>
            <w:rStyle w:val="Hyperlink"/>
            <w:rFonts w:ascii="Arial" w:hAnsi="Arial" w:cs="Arial"/>
            <w:shd w:val="clear" w:color="auto" w:fill="FFFFFF"/>
          </w:rPr>
          <w:t>https://www.researchgate.net/profile/Tanvi-Sharma-29/publication/378067789_Economic_Problems_and_Financial_Support_to_Elderly_Women_in_Rural_and_Urban_Areas_of_Haryana/links/65c4e7661bed776ae3379b8b/Economic-Problems-and-Financial-Support-to-Elderly-Women-in-Rural-and-Urban-Areas-of-Haryana.pdf#page=47</w:t>
        </w:r>
      </w:hyperlink>
    </w:p>
    <w:p w14:paraId="45C5C4D3" w14:textId="77777777" w:rsidR="004C3C00" w:rsidRPr="004C3C00" w:rsidRDefault="004C3C00" w:rsidP="004C3C00">
      <w:pPr>
        <w:spacing w:before="100" w:beforeAutospacing="1" w:after="100" w:afterAutospacing="1" w:line="360" w:lineRule="auto"/>
        <w:ind w:left="720" w:hanging="720"/>
        <w:jc w:val="both"/>
        <w:rPr>
          <w:rFonts w:ascii="Arial" w:hAnsi="Arial" w:cs="Arial"/>
        </w:rPr>
      </w:pPr>
      <w:r w:rsidRPr="004C3C00">
        <w:rPr>
          <w:rFonts w:ascii="Arial" w:hAnsi="Arial" w:cs="Arial"/>
        </w:rPr>
        <w:t xml:space="preserve">Mental Capacity Act 2005, c.9. Available at: </w:t>
      </w:r>
      <w:hyperlink r:id="rId15" w:history="1">
        <w:r w:rsidRPr="004C3C00">
          <w:rPr>
            <w:rStyle w:val="Hyperlink"/>
            <w:rFonts w:ascii="Arial" w:hAnsi="Arial" w:cs="Arial"/>
          </w:rPr>
          <w:t>https://www.legislation.gov.uk/ukpga/2005/9/body/enacted/data.xht?wrap=true</w:t>
        </w:r>
      </w:hyperlink>
      <w:r w:rsidRPr="004C3C00">
        <w:rPr>
          <w:rFonts w:ascii="Arial" w:hAnsi="Arial" w:cs="Arial"/>
        </w:rPr>
        <w:t>(Accessed: 18 July 2026).</w:t>
      </w:r>
    </w:p>
    <w:p w14:paraId="4F1C9B42" w14:textId="77777777" w:rsidR="004C3C00" w:rsidRPr="004C3C00" w:rsidRDefault="004C3C00" w:rsidP="004C3C00">
      <w:pPr>
        <w:spacing w:before="100" w:beforeAutospacing="1" w:after="100" w:afterAutospacing="1" w:line="360" w:lineRule="auto"/>
        <w:ind w:left="720" w:hanging="720"/>
        <w:jc w:val="both"/>
        <w:rPr>
          <w:rFonts w:ascii="Arial" w:hAnsi="Arial" w:cs="Arial"/>
        </w:rPr>
      </w:pPr>
      <w:r w:rsidRPr="004C3C00">
        <w:rPr>
          <w:rFonts w:ascii="Arial" w:hAnsi="Arial" w:cs="Arial"/>
        </w:rPr>
        <w:t xml:space="preserve">National Data Guardian (2020) </w:t>
      </w:r>
      <w:r w:rsidRPr="004C3C00">
        <w:rPr>
          <w:rStyle w:val="Emphasis"/>
          <w:rFonts w:ascii="Arial" w:hAnsi="Arial" w:cs="Arial"/>
        </w:rPr>
        <w:t>The Caldicott Principles</w:t>
      </w:r>
      <w:r w:rsidRPr="004C3C00">
        <w:rPr>
          <w:rFonts w:ascii="Arial" w:hAnsi="Arial" w:cs="Arial"/>
        </w:rPr>
        <w:t xml:space="preserve">. </w:t>
      </w:r>
      <w:hyperlink r:id="rId16" w:history="1">
        <w:r w:rsidRPr="004C3C00">
          <w:rPr>
            <w:rStyle w:val="Hyperlink"/>
            <w:rFonts w:ascii="Arial" w:hAnsi="Arial" w:cs="Arial"/>
          </w:rPr>
          <w:t>https://www.gov.uk/government/publications/the-caldicott-principles</w:t>
        </w:r>
      </w:hyperlink>
      <w:r w:rsidRPr="004C3C00">
        <w:rPr>
          <w:rFonts w:ascii="Arial" w:hAnsi="Arial" w:cs="Arial"/>
        </w:rPr>
        <w:t xml:space="preserve"> </w:t>
      </w:r>
    </w:p>
    <w:p w14:paraId="177D0D31" w14:textId="77777777" w:rsidR="004C3C00" w:rsidRPr="004C3C00" w:rsidRDefault="004C3C00" w:rsidP="004C3C00">
      <w:pPr>
        <w:spacing w:before="100" w:beforeAutospacing="1" w:after="100" w:afterAutospacing="1" w:line="360" w:lineRule="auto"/>
        <w:ind w:left="720" w:hanging="720"/>
        <w:jc w:val="both"/>
        <w:rPr>
          <w:rFonts w:ascii="Arial" w:hAnsi="Arial" w:cs="Arial"/>
        </w:rPr>
      </w:pPr>
      <w:r w:rsidRPr="004C3C00">
        <w:rPr>
          <w:rFonts w:ascii="Arial" w:hAnsi="Arial" w:cs="Arial"/>
        </w:rPr>
        <w:t xml:space="preserve">National Institute for Health and Care Excellence (NICE) (2015) </w:t>
      </w:r>
      <w:r w:rsidRPr="004C3C00">
        <w:rPr>
          <w:rStyle w:val="Emphasis"/>
          <w:rFonts w:ascii="Arial" w:hAnsi="Arial" w:cs="Arial"/>
        </w:rPr>
        <w:t xml:space="preserve">Medicines </w:t>
      </w:r>
      <w:proofErr w:type="spellStart"/>
      <w:r w:rsidRPr="004C3C00">
        <w:rPr>
          <w:rStyle w:val="Emphasis"/>
          <w:rFonts w:ascii="Arial" w:hAnsi="Arial" w:cs="Arial"/>
        </w:rPr>
        <w:t>optimisation</w:t>
      </w:r>
      <w:proofErr w:type="spellEnd"/>
      <w:r w:rsidRPr="004C3C00">
        <w:rPr>
          <w:rStyle w:val="Emphasis"/>
          <w:rFonts w:ascii="Arial" w:hAnsi="Arial" w:cs="Arial"/>
        </w:rPr>
        <w:t>: The safe and effective use of medicines to enable the best possible outcomes</w:t>
      </w:r>
      <w:r w:rsidRPr="004C3C00">
        <w:rPr>
          <w:rFonts w:ascii="Arial" w:hAnsi="Arial" w:cs="Arial"/>
        </w:rPr>
        <w:t xml:space="preserve">. NICE guideline NG5. </w:t>
      </w:r>
      <w:hyperlink r:id="rId17" w:history="1">
        <w:r w:rsidRPr="004C3C00">
          <w:rPr>
            <w:rStyle w:val="Hyperlink"/>
            <w:rFonts w:ascii="Arial" w:hAnsi="Arial" w:cs="Arial"/>
          </w:rPr>
          <w:t>https://www.nice.org.uk/guidance/ng5</w:t>
        </w:r>
      </w:hyperlink>
    </w:p>
    <w:p w14:paraId="336FDEF4" w14:textId="77777777" w:rsidR="004C3C00" w:rsidRPr="004C3C00" w:rsidRDefault="004C3C00" w:rsidP="004C3C00">
      <w:pPr>
        <w:spacing w:before="100" w:beforeAutospacing="1" w:after="100" w:afterAutospacing="1" w:line="360" w:lineRule="auto"/>
        <w:ind w:left="720" w:hanging="720"/>
        <w:jc w:val="both"/>
        <w:rPr>
          <w:rFonts w:ascii="Arial" w:hAnsi="Arial" w:cs="Arial"/>
        </w:rPr>
      </w:pPr>
      <w:r w:rsidRPr="004C3C00">
        <w:rPr>
          <w:rFonts w:ascii="Arial" w:hAnsi="Arial" w:cs="Arial"/>
        </w:rPr>
        <w:t xml:space="preserve">National Institute for Health and Care Excellence (NICE) (2018) </w:t>
      </w:r>
      <w:r w:rsidRPr="004C3C00">
        <w:rPr>
          <w:rStyle w:val="Emphasis"/>
          <w:rFonts w:ascii="Arial" w:hAnsi="Arial" w:cs="Arial"/>
        </w:rPr>
        <w:t xml:space="preserve">Dementia: Assessment, management and support for people living with dementia and their </w:t>
      </w:r>
      <w:proofErr w:type="spellStart"/>
      <w:r w:rsidRPr="004C3C00">
        <w:rPr>
          <w:rStyle w:val="Emphasis"/>
          <w:rFonts w:ascii="Arial" w:hAnsi="Arial" w:cs="Arial"/>
        </w:rPr>
        <w:t>carers</w:t>
      </w:r>
      <w:proofErr w:type="spellEnd"/>
      <w:r w:rsidRPr="004C3C00">
        <w:rPr>
          <w:rFonts w:ascii="Arial" w:hAnsi="Arial" w:cs="Arial"/>
        </w:rPr>
        <w:t xml:space="preserve">. NICE guideline NG97. </w:t>
      </w:r>
      <w:hyperlink r:id="rId18" w:history="1">
        <w:r w:rsidRPr="004C3C00">
          <w:rPr>
            <w:rStyle w:val="Hyperlink"/>
            <w:rFonts w:ascii="Arial" w:hAnsi="Arial" w:cs="Arial"/>
          </w:rPr>
          <w:t>https://www.nice.org.uk/guidance/ng97</w:t>
        </w:r>
      </w:hyperlink>
    </w:p>
    <w:p w14:paraId="65C8FB6C" w14:textId="77777777" w:rsidR="004C3C00" w:rsidRPr="004C3C00" w:rsidRDefault="004C3C00" w:rsidP="004C3C00">
      <w:pPr>
        <w:spacing w:before="100" w:beforeAutospacing="1" w:after="100" w:afterAutospacing="1" w:line="360" w:lineRule="auto"/>
        <w:ind w:left="720" w:hanging="720"/>
        <w:jc w:val="both"/>
        <w:rPr>
          <w:rFonts w:ascii="Arial" w:hAnsi="Arial" w:cs="Arial"/>
        </w:rPr>
      </w:pPr>
      <w:r w:rsidRPr="004C3C00">
        <w:rPr>
          <w:rFonts w:ascii="Arial" w:hAnsi="Arial" w:cs="Arial"/>
        </w:rPr>
        <w:t xml:space="preserve">Nursing and Midwifery Council (NMC) (2018) </w:t>
      </w:r>
      <w:r w:rsidRPr="004C3C00">
        <w:rPr>
          <w:rStyle w:val="Emphasis"/>
          <w:rFonts w:ascii="Arial" w:hAnsi="Arial" w:cs="Arial"/>
        </w:rPr>
        <w:t xml:space="preserve">The Code: Professional standards of practice and </w:t>
      </w:r>
      <w:proofErr w:type="spellStart"/>
      <w:r w:rsidRPr="004C3C00">
        <w:rPr>
          <w:rStyle w:val="Emphasis"/>
          <w:rFonts w:ascii="Arial" w:hAnsi="Arial" w:cs="Arial"/>
        </w:rPr>
        <w:t>behaviour</w:t>
      </w:r>
      <w:proofErr w:type="spellEnd"/>
      <w:r w:rsidRPr="004C3C00">
        <w:rPr>
          <w:rStyle w:val="Emphasis"/>
          <w:rFonts w:ascii="Arial" w:hAnsi="Arial" w:cs="Arial"/>
        </w:rPr>
        <w:t xml:space="preserve"> for nurses, midwives and nursing associates</w:t>
      </w:r>
      <w:r w:rsidRPr="004C3C00">
        <w:rPr>
          <w:rFonts w:ascii="Arial" w:hAnsi="Arial" w:cs="Arial"/>
        </w:rPr>
        <w:t xml:space="preserve">. London: NMC. </w:t>
      </w:r>
      <w:hyperlink r:id="rId19" w:history="1">
        <w:r w:rsidRPr="004C3C00">
          <w:rPr>
            <w:rStyle w:val="Hyperlink"/>
            <w:rFonts w:ascii="Arial" w:hAnsi="Arial" w:cs="Arial"/>
          </w:rPr>
          <w:t>https://www.nmc.org.uk/standards/code/</w:t>
        </w:r>
      </w:hyperlink>
    </w:p>
    <w:p w14:paraId="6A6254B2" w14:textId="77777777" w:rsidR="004C3C00" w:rsidRPr="004C3C00" w:rsidRDefault="004C3C00" w:rsidP="004C3C00">
      <w:pPr>
        <w:spacing w:before="100" w:beforeAutospacing="1" w:after="100" w:afterAutospacing="1" w:line="360" w:lineRule="auto"/>
        <w:ind w:left="720" w:hanging="720"/>
        <w:jc w:val="both"/>
        <w:rPr>
          <w:rFonts w:ascii="Arial" w:hAnsi="Arial" w:cs="Arial"/>
        </w:rPr>
      </w:pPr>
      <w:r w:rsidRPr="004C3C00">
        <w:rPr>
          <w:rFonts w:ascii="Arial" w:hAnsi="Arial" w:cs="Arial"/>
        </w:rPr>
        <w:t xml:space="preserve">Nursing and Midwifery Council (NMC) (2018) </w:t>
      </w:r>
      <w:r w:rsidRPr="004C3C00">
        <w:rPr>
          <w:rStyle w:val="Emphasis"/>
          <w:rFonts w:ascii="Arial" w:hAnsi="Arial" w:cs="Arial"/>
        </w:rPr>
        <w:t xml:space="preserve">The Code: Professional standards of practice and </w:t>
      </w:r>
      <w:proofErr w:type="spellStart"/>
      <w:r w:rsidRPr="004C3C00">
        <w:rPr>
          <w:rStyle w:val="Emphasis"/>
          <w:rFonts w:ascii="Arial" w:hAnsi="Arial" w:cs="Arial"/>
        </w:rPr>
        <w:t>behaviour</w:t>
      </w:r>
      <w:proofErr w:type="spellEnd"/>
      <w:r w:rsidRPr="004C3C00">
        <w:rPr>
          <w:rStyle w:val="Emphasis"/>
          <w:rFonts w:ascii="Arial" w:hAnsi="Arial" w:cs="Arial"/>
        </w:rPr>
        <w:t xml:space="preserve"> for nurses, midwives and nursing associates</w:t>
      </w:r>
      <w:r w:rsidRPr="004C3C00">
        <w:rPr>
          <w:rFonts w:ascii="Arial" w:hAnsi="Arial" w:cs="Arial"/>
        </w:rPr>
        <w:t xml:space="preserve">. London: NMC. </w:t>
      </w:r>
      <w:hyperlink r:id="rId20" w:history="1">
        <w:r w:rsidRPr="004C3C00">
          <w:rPr>
            <w:rStyle w:val="Hyperlink"/>
            <w:rFonts w:ascii="Arial" w:hAnsi="Arial" w:cs="Arial"/>
          </w:rPr>
          <w:t>https://www.nmc.org.uk/standards/code/</w:t>
        </w:r>
      </w:hyperlink>
    </w:p>
    <w:p w14:paraId="5958112C" w14:textId="77777777" w:rsidR="004C3C00" w:rsidRPr="004C3C00" w:rsidRDefault="004C3C00" w:rsidP="004C3C00">
      <w:pPr>
        <w:spacing w:before="100" w:beforeAutospacing="1" w:after="100" w:afterAutospacing="1" w:line="360" w:lineRule="auto"/>
        <w:ind w:left="720" w:hanging="720"/>
        <w:jc w:val="both"/>
        <w:rPr>
          <w:rFonts w:ascii="Arial" w:hAnsi="Arial" w:cs="Arial"/>
          <w:color w:val="222222"/>
          <w:shd w:val="clear" w:color="auto" w:fill="FFFFFF"/>
        </w:rPr>
      </w:pPr>
      <w:bookmarkStart w:id="4" w:name="_Hlk235265439"/>
      <w:r w:rsidRPr="004C3C00">
        <w:rPr>
          <w:rFonts w:ascii="Arial" w:hAnsi="Arial" w:cs="Arial"/>
          <w:color w:val="222222"/>
          <w:shd w:val="clear" w:color="auto" w:fill="FFFFFF"/>
        </w:rPr>
        <w:t>Obbia</w:t>
      </w:r>
      <w:bookmarkEnd w:id="4"/>
      <w:r w:rsidRPr="004C3C00">
        <w:rPr>
          <w:rFonts w:ascii="Arial" w:hAnsi="Arial" w:cs="Arial"/>
          <w:color w:val="222222"/>
          <w:shd w:val="clear" w:color="auto" w:fill="FFFFFF"/>
        </w:rPr>
        <w:t xml:space="preserve">, P., Graham, C., Duffy, F.R. and </w:t>
      </w:r>
      <w:proofErr w:type="spellStart"/>
      <w:r w:rsidRPr="004C3C00">
        <w:rPr>
          <w:rFonts w:ascii="Arial" w:hAnsi="Arial" w:cs="Arial"/>
          <w:color w:val="222222"/>
          <w:shd w:val="clear" w:color="auto" w:fill="FFFFFF"/>
        </w:rPr>
        <w:t>Gobbens</w:t>
      </w:r>
      <w:proofErr w:type="spellEnd"/>
      <w:r w:rsidRPr="004C3C00">
        <w:rPr>
          <w:rFonts w:ascii="Arial" w:hAnsi="Arial" w:cs="Arial"/>
          <w:color w:val="222222"/>
          <w:shd w:val="clear" w:color="auto" w:fill="FFFFFF"/>
        </w:rPr>
        <w:t>, R.J. (2020) Preventing frailty in older people: An exploration of primary care professionals' experiences. </w:t>
      </w:r>
      <w:r w:rsidRPr="004C3C00">
        <w:rPr>
          <w:rFonts w:ascii="Arial" w:hAnsi="Arial" w:cs="Arial"/>
          <w:i/>
          <w:iCs/>
          <w:color w:val="222222"/>
          <w:shd w:val="clear" w:color="auto" w:fill="FFFFFF"/>
        </w:rPr>
        <w:t>International journal of older people nursing</w:t>
      </w:r>
      <w:r w:rsidRPr="004C3C00">
        <w:rPr>
          <w:rFonts w:ascii="Arial" w:hAnsi="Arial" w:cs="Arial"/>
          <w:color w:val="222222"/>
          <w:shd w:val="clear" w:color="auto" w:fill="FFFFFF"/>
        </w:rPr>
        <w:t>, </w:t>
      </w:r>
      <w:r w:rsidRPr="004C3C00">
        <w:rPr>
          <w:rFonts w:ascii="Arial" w:hAnsi="Arial" w:cs="Arial"/>
          <w:i/>
          <w:iCs/>
          <w:color w:val="222222"/>
          <w:shd w:val="clear" w:color="auto" w:fill="FFFFFF"/>
        </w:rPr>
        <w:t>15</w:t>
      </w:r>
      <w:r w:rsidRPr="004C3C00">
        <w:rPr>
          <w:rFonts w:ascii="Arial" w:hAnsi="Arial" w:cs="Arial"/>
          <w:color w:val="222222"/>
          <w:shd w:val="clear" w:color="auto" w:fill="FFFFFF"/>
        </w:rPr>
        <w:t>(2), p.e12297.</w:t>
      </w:r>
      <w:r w:rsidRPr="004C3C00">
        <w:rPr>
          <w:rFonts w:ascii="Arial" w:hAnsi="Arial" w:cs="Arial"/>
        </w:rPr>
        <w:t xml:space="preserve"> </w:t>
      </w:r>
      <w:hyperlink r:id="rId21" w:history="1">
        <w:r w:rsidRPr="004C3C00">
          <w:rPr>
            <w:rStyle w:val="Hyperlink"/>
            <w:rFonts w:ascii="Arial" w:hAnsi="Arial" w:cs="Arial"/>
            <w:shd w:val="clear" w:color="auto" w:fill="FFFFFF"/>
          </w:rPr>
          <w:t>https://onlinelibrary.wiley.com/doi/abs/10.1111/opn.12297</w:t>
        </w:r>
      </w:hyperlink>
    </w:p>
    <w:p w14:paraId="22979D07" w14:textId="77777777" w:rsidR="004C3C00" w:rsidRPr="004C3C00" w:rsidRDefault="004C3C00" w:rsidP="004C3C00">
      <w:pPr>
        <w:spacing w:before="100" w:beforeAutospacing="1" w:after="100" w:afterAutospacing="1" w:line="360" w:lineRule="auto"/>
        <w:ind w:left="720" w:hanging="720"/>
        <w:jc w:val="both"/>
        <w:rPr>
          <w:rFonts w:ascii="Arial" w:hAnsi="Arial" w:cs="Arial"/>
          <w:color w:val="222222"/>
          <w:shd w:val="clear" w:color="auto" w:fill="FFFFFF"/>
        </w:rPr>
      </w:pPr>
      <w:bookmarkStart w:id="5" w:name="_Hlk235265728"/>
      <w:r w:rsidRPr="004C3C00">
        <w:rPr>
          <w:rFonts w:ascii="Arial" w:hAnsi="Arial" w:cs="Arial"/>
          <w:color w:val="222222"/>
          <w:shd w:val="clear" w:color="auto" w:fill="FFFFFF"/>
        </w:rPr>
        <w:t>Omojuwa</w:t>
      </w:r>
      <w:bookmarkEnd w:id="5"/>
      <w:r w:rsidRPr="004C3C00">
        <w:rPr>
          <w:rFonts w:ascii="Arial" w:hAnsi="Arial" w:cs="Arial"/>
          <w:color w:val="222222"/>
          <w:shd w:val="clear" w:color="auto" w:fill="FFFFFF"/>
        </w:rPr>
        <w:t>, B.A. (2025) Exploring the Communication Process Model. </w:t>
      </w:r>
      <w:r w:rsidRPr="004C3C00">
        <w:rPr>
          <w:rFonts w:ascii="Arial" w:hAnsi="Arial" w:cs="Arial"/>
          <w:i/>
          <w:iCs/>
          <w:color w:val="222222"/>
          <w:shd w:val="clear" w:color="auto" w:fill="FFFFFF"/>
        </w:rPr>
        <w:t>Mount Saint Vincent University</w:t>
      </w:r>
      <w:r w:rsidRPr="004C3C00">
        <w:rPr>
          <w:rFonts w:ascii="Arial" w:hAnsi="Arial" w:cs="Arial"/>
          <w:color w:val="222222"/>
          <w:shd w:val="clear" w:color="auto" w:fill="FFFFFF"/>
        </w:rPr>
        <w:t>.</w:t>
      </w:r>
      <w:r w:rsidRPr="004C3C00">
        <w:rPr>
          <w:rFonts w:ascii="Arial" w:hAnsi="Arial" w:cs="Arial"/>
        </w:rPr>
        <w:t xml:space="preserve"> </w:t>
      </w:r>
      <w:hyperlink r:id="rId22" w:history="1">
        <w:r w:rsidRPr="004C3C00">
          <w:rPr>
            <w:rStyle w:val="Hyperlink"/>
            <w:rFonts w:ascii="Arial" w:hAnsi="Arial" w:cs="Arial"/>
            <w:shd w:val="clear" w:color="auto" w:fill="FFFFFF"/>
          </w:rPr>
          <w:t>https://ec.msvu.ca/bitstreams/a5a735ce-680e-4ac3-bb5a-af0196780dba/download</w:t>
        </w:r>
      </w:hyperlink>
    </w:p>
    <w:p w14:paraId="2D6FD96E" w14:textId="77777777" w:rsidR="004C3C00" w:rsidRPr="004C3C00" w:rsidRDefault="004C3C00" w:rsidP="004C3C00">
      <w:pPr>
        <w:pStyle w:val="pdq2pgselectionanchorcontainer"/>
        <w:spacing w:line="360" w:lineRule="auto"/>
        <w:ind w:left="720" w:hanging="720"/>
        <w:jc w:val="both"/>
        <w:rPr>
          <w:rFonts w:ascii="Arial" w:hAnsi="Arial" w:cs="Arial"/>
          <w:sz w:val="22"/>
          <w:szCs w:val="22"/>
        </w:rPr>
      </w:pPr>
      <w:r w:rsidRPr="004C3C00">
        <w:rPr>
          <w:rFonts w:ascii="Arial" w:hAnsi="Arial" w:cs="Arial"/>
          <w:sz w:val="22"/>
          <w:szCs w:val="22"/>
        </w:rPr>
        <w:t xml:space="preserve">Pepper, A. and Harrison </w:t>
      </w:r>
      <w:proofErr w:type="spellStart"/>
      <w:r w:rsidRPr="004C3C00">
        <w:rPr>
          <w:rFonts w:ascii="Arial" w:hAnsi="Arial" w:cs="Arial"/>
          <w:sz w:val="22"/>
          <w:szCs w:val="22"/>
        </w:rPr>
        <w:t>Dening</w:t>
      </w:r>
      <w:proofErr w:type="spellEnd"/>
      <w:r w:rsidRPr="004C3C00">
        <w:rPr>
          <w:rFonts w:ascii="Arial" w:hAnsi="Arial" w:cs="Arial"/>
          <w:sz w:val="22"/>
          <w:szCs w:val="22"/>
        </w:rPr>
        <w:t>, K. (2023) ‘Person-</w:t>
      </w:r>
      <w:proofErr w:type="spellStart"/>
      <w:r w:rsidRPr="004C3C00">
        <w:rPr>
          <w:rFonts w:ascii="Arial" w:hAnsi="Arial" w:cs="Arial"/>
          <w:sz w:val="22"/>
          <w:szCs w:val="22"/>
        </w:rPr>
        <w:t>centred</w:t>
      </w:r>
      <w:proofErr w:type="spellEnd"/>
      <w:r w:rsidRPr="004C3C00">
        <w:rPr>
          <w:rFonts w:ascii="Arial" w:hAnsi="Arial" w:cs="Arial"/>
          <w:sz w:val="22"/>
          <w:szCs w:val="22"/>
        </w:rPr>
        <w:t xml:space="preserve"> communication with people with dementia’, </w:t>
      </w:r>
      <w:r w:rsidRPr="004C3C00">
        <w:rPr>
          <w:rStyle w:val="Emphasis"/>
          <w:rFonts w:ascii="Arial" w:hAnsi="Arial" w:cs="Arial"/>
          <w:sz w:val="22"/>
          <w:szCs w:val="22"/>
        </w:rPr>
        <w:t>Nursing Older People</w:t>
      </w:r>
      <w:r w:rsidRPr="004C3C00">
        <w:rPr>
          <w:rFonts w:ascii="Arial" w:hAnsi="Arial" w:cs="Arial"/>
          <w:sz w:val="22"/>
          <w:szCs w:val="22"/>
        </w:rPr>
        <w:t>, 35(2), pp. 28–33. Available at: https://doi.org/10.7748/nop.2023.e1430</w:t>
      </w:r>
    </w:p>
    <w:p w14:paraId="36F51A2B" w14:textId="77777777" w:rsidR="004C3C00" w:rsidRPr="004C3C00" w:rsidRDefault="004C3C00" w:rsidP="004C3C00">
      <w:pPr>
        <w:pStyle w:val="NormalWeb"/>
        <w:spacing w:line="360" w:lineRule="auto"/>
        <w:ind w:left="720" w:hanging="720"/>
        <w:jc w:val="both"/>
        <w:rPr>
          <w:rFonts w:ascii="Arial" w:hAnsi="Arial" w:cs="Arial"/>
          <w:sz w:val="22"/>
          <w:szCs w:val="22"/>
        </w:rPr>
      </w:pPr>
      <w:r w:rsidRPr="004C3C00">
        <w:rPr>
          <w:rFonts w:ascii="Arial" w:hAnsi="Arial" w:cs="Arial"/>
          <w:sz w:val="22"/>
          <w:szCs w:val="22"/>
        </w:rPr>
        <w:t xml:space="preserve">Smith, R., Martin, A., Wright, T., Hulbert, S. and </w:t>
      </w:r>
      <w:proofErr w:type="spellStart"/>
      <w:r w:rsidRPr="004C3C00">
        <w:rPr>
          <w:rFonts w:ascii="Arial" w:hAnsi="Arial" w:cs="Arial"/>
          <w:sz w:val="22"/>
          <w:szCs w:val="22"/>
        </w:rPr>
        <w:t>Hatziminaoglou</w:t>
      </w:r>
      <w:proofErr w:type="spellEnd"/>
      <w:r w:rsidRPr="004C3C00">
        <w:rPr>
          <w:rFonts w:ascii="Arial" w:hAnsi="Arial" w:cs="Arial"/>
          <w:sz w:val="22"/>
          <w:szCs w:val="22"/>
        </w:rPr>
        <w:t xml:space="preserve">, E. (2021) ‘Integrated dementia care: A qualitative evidence synthesis of the experiences of people living with dementia, informal </w:t>
      </w:r>
      <w:proofErr w:type="spellStart"/>
      <w:r w:rsidRPr="004C3C00">
        <w:rPr>
          <w:rFonts w:ascii="Arial" w:hAnsi="Arial" w:cs="Arial"/>
          <w:sz w:val="22"/>
          <w:szCs w:val="22"/>
        </w:rPr>
        <w:t>carers</w:t>
      </w:r>
      <w:proofErr w:type="spellEnd"/>
      <w:r w:rsidRPr="004C3C00">
        <w:rPr>
          <w:rFonts w:ascii="Arial" w:hAnsi="Arial" w:cs="Arial"/>
          <w:sz w:val="22"/>
          <w:szCs w:val="22"/>
        </w:rPr>
        <w:t xml:space="preserve"> and healthcare professionals’, </w:t>
      </w:r>
      <w:r w:rsidRPr="004C3C00">
        <w:rPr>
          <w:rStyle w:val="Emphasis"/>
          <w:rFonts w:ascii="Arial" w:hAnsi="Arial" w:cs="Arial"/>
          <w:sz w:val="22"/>
          <w:szCs w:val="22"/>
        </w:rPr>
        <w:t>Archives of Gerontology and Geriatrics</w:t>
      </w:r>
      <w:r w:rsidRPr="004C3C00">
        <w:rPr>
          <w:rFonts w:ascii="Arial" w:hAnsi="Arial" w:cs="Arial"/>
          <w:sz w:val="22"/>
          <w:szCs w:val="22"/>
        </w:rPr>
        <w:t>, 97, article 104471. Available at: https://doi.org/10.1016/j.archger.2021.104471</w:t>
      </w:r>
    </w:p>
    <w:p w14:paraId="73F9A8DA" w14:textId="77777777" w:rsidR="004C3C00" w:rsidRPr="004C3C00" w:rsidRDefault="004C3C00" w:rsidP="004C3C00">
      <w:pPr>
        <w:spacing w:before="100" w:beforeAutospacing="1" w:after="100" w:afterAutospacing="1" w:line="360" w:lineRule="auto"/>
        <w:ind w:left="720" w:hanging="720"/>
        <w:jc w:val="both"/>
        <w:rPr>
          <w:rFonts w:ascii="Arial" w:hAnsi="Arial" w:cs="Arial"/>
          <w:color w:val="222222"/>
          <w:shd w:val="clear" w:color="auto" w:fill="FFFFFF"/>
        </w:rPr>
      </w:pPr>
      <w:bookmarkStart w:id="6" w:name="_Hlk235265326"/>
      <w:r w:rsidRPr="004C3C00">
        <w:rPr>
          <w:rFonts w:ascii="Arial" w:hAnsi="Arial" w:cs="Arial"/>
          <w:color w:val="222222"/>
          <w:shd w:val="clear" w:color="auto" w:fill="FFFFFF"/>
        </w:rPr>
        <w:t>Wager</w:t>
      </w:r>
      <w:bookmarkEnd w:id="6"/>
      <w:r w:rsidRPr="004C3C00">
        <w:rPr>
          <w:rFonts w:ascii="Arial" w:hAnsi="Arial" w:cs="Arial"/>
          <w:color w:val="222222"/>
          <w:shd w:val="clear" w:color="auto" w:fill="FFFFFF"/>
        </w:rPr>
        <w:t>, K.A., Lee, F.W. and Glaser, J.P. (2021) </w:t>
      </w:r>
      <w:r w:rsidRPr="004C3C00">
        <w:rPr>
          <w:rFonts w:ascii="Arial" w:hAnsi="Arial" w:cs="Arial"/>
          <w:i/>
          <w:iCs/>
          <w:color w:val="222222"/>
          <w:shd w:val="clear" w:color="auto" w:fill="FFFFFF"/>
        </w:rPr>
        <w:t>Health care information systems: a practical approach for health care management</w:t>
      </w:r>
      <w:r w:rsidRPr="004C3C00">
        <w:rPr>
          <w:rFonts w:ascii="Arial" w:hAnsi="Arial" w:cs="Arial"/>
          <w:color w:val="222222"/>
          <w:shd w:val="clear" w:color="auto" w:fill="FFFFFF"/>
        </w:rPr>
        <w:t>. John Wiley &amp; Sons.</w:t>
      </w:r>
      <w:r w:rsidRPr="004C3C00">
        <w:rPr>
          <w:rFonts w:ascii="Arial" w:hAnsi="Arial" w:cs="Arial"/>
        </w:rPr>
        <w:t xml:space="preserve"> </w:t>
      </w:r>
      <w:hyperlink r:id="rId23" w:history="1">
        <w:r w:rsidRPr="004C3C00">
          <w:rPr>
            <w:rStyle w:val="Hyperlink"/>
            <w:rFonts w:ascii="Arial" w:hAnsi="Arial" w:cs="Arial"/>
            <w:shd w:val="clear" w:color="auto" w:fill="FFFFFF"/>
          </w:rPr>
          <w:t>https://books.google.com/books?hl=en&amp;lr=&amp;id=io1SEAAAQBAJ&amp;oi=fnd&amp;pg=PR15&amp;dq=record+keeping+in+health+and+social+care&amp;ots=X6Njop98e8&amp;sig=qr-zq21zqOtjqFU9Kb-XTljcN5Y</w:t>
        </w:r>
      </w:hyperlink>
    </w:p>
    <w:p w14:paraId="4BCFAD1A" w14:textId="77777777" w:rsidR="004C3C00" w:rsidRPr="004C3C00" w:rsidRDefault="004C3C00" w:rsidP="004C3C00">
      <w:pPr>
        <w:spacing w:before="100" w:beforeAutospacing="1" w:after="100" w:afterAutospacing="1" w:line="360" w:lineRule="auto"/>
        <w:ind w:left="720" w:hanging="720"/>
        <w:jc w:val="both"/>
        <w:rPr>
          <w:rFonts w:ascii="Arial" w:hAnsi="Arial" w:cs="Arial"/>
          <w:color w:val="222222"/>
          <w:shd w:val="clear" w:color="auto" w:fill="FFFFFF"/>
        </w:rPr>
      </w:pPr>
      <w:bookmarkStart w:id="7" w:name="_Hlk235265273"/>
      <w:r w:rsidRPr="004C3C00">
        <w:rPr>
          <w:rFonts w:ascii="Arial" w:hAnsi="Arial" w:cs="Arial"/>
          <w:color w:val="222222"/>
          <w:shd w:val="clear" w:color="auto" w:fill="FFFFFF"/>
        </w:rPr>
        <w:t>Windle</w:t>
      </w:r>
      <w:bookmarkEnd w:id="7"/>
      <w:r w:rsidRPr="004C3C00">
        <w:rPr>
          <w:rFonts w:ascii="Arial" w:hAnsi="Arial" w:cs="Arial"/>
          <w:color w:val="222222"/>
          <w:shd w:val="clear" w:color="auto" w:fill="FFFFFF"/>
        </w:rPr>
        <w:t xml:space="preserve">, G., </w:t>
      </w:r>
      <w:proofErr w:type="spellStart"/>
      <w:r w:rsidRPr="004C3C00">
        <w:rPr>
          <w:rFonts w:ascii="Arial" w:hAnsi="Arial" w:cs="Arial"/>
          <w:color w:val="222222"/>
          <w:shd w:val="clear" w:color="auto" w:fill="FFFFFF"/>
        </w:rPr>
        <w:t>Algar-Skaife</w:t>
      </w:r>
      <w:proofErr w:type="spellEnd"/>
      <w:r w:rsidRPr="004C3C00">
        <w:rPr>
          <w:rFonts w:ascii="Arial" w:hAnsi="Arial" w:cs="Arial"/>
          <w:color w:val="222222"/>
          <w:shd w:val="clear" w:color="auto" w:fill="FFFFFF"/>
        </w:rPr>
        <w:t xml:space="preserve">, K., Caulfield, M., Pickering-Jones, L., Killick, J., </w:t>
      </w:r>
      <w:proofErr w:type="spellStart"/>
      <w:r w:rsidRPr="004C3C00">
        <w:rPr>
          <w:rFonts w:ascii="Arial" w:hAnsi="Arial" w:cs="Arial"/>
          <w:color w:val="222222"/>
          <w:shd w:val="clear" w:color="auto" w:fill="FFFFFF"/>
        </w:rPr>
        <w:t>Zeilig</w:t>
      </w:r>
      <w:proofErr w:type="spellEnd"/>
      <w:r w:rsidRPr="004C3C00">
        <w:rPr>
          <w:rFonts w:ascii="Arial" w:hAnsi="Arial" w:cs="Arial"/>
          <w:color w:val="222222"/>
          <w:shd w:val="clear" w:color="auto" w:fill="FFFFFF"/>
        </w:rPr>
        <w:t>, H. and Tischler, V. (2020) Enhancing communication between dementia care staff and their residents: an arts-inspired intervention. </w:t>
      </w:r>
      <w:r w:rsidRPr="004C3C00">
        <w:rPr>
          <w:rFonts w:ascii="Arial" w:hAnsi="Arial" w:cs="Arial"/>
          <w:i/>
          <w:iCs/>
          <w:color w:val="222222"/>
          <w:shd w:val="clear" w:color="auto" w:fill="FFFFFF"/>
        </w:rPr>
        <w:t>Aging &amp; mental health</w:t>
      </w:r>
      <w:r w:rsidRPr="004C3C00">
        <w:rPr>
          <w:rFonts w:ascii="Arial" w:hAnsi="Arial" w:cs="Arial"/>
          <w:color w:val="222222"/>
          <w:shd w:val="clear" w:color="auto" w:fill="FFFFFF"/>
        </w:rPr>
        <w:t>, </w:t>
      </w:r>
      <w:r w:rsidRPr="004C3C00">
        <w:rPr>
          <w:rFonts w:ascii="Arial" w:hAnsi="Arial" w:cs="Arial"/>
          <w:i/>
          <w:iCs/>
          <w:color w:val="222222"/>
          <w:shd w:val="clear" w:color="auto" w:fill="FFFFFF"/>
        </w:rPr>
        <w:t>24</w:t>
      </w:r>
      <w:r w:rsidRPr="004C3C00">
        <w:rPr>
          <w:rFonts w:ascii="Arial" w:hAnsi="Arial" w:cs="Arial"/>
          <w:color w:val="222222"/>
          <w:shd w:val="clear" w:color="auto" w:fill="FFFFFF"/>
        </w:rPr>
        <w:t>(8), pp.1306-1315.</w:t>
      </w:r>
      <w:r w:rsidRPr="004C3C00">
        <w:rPr>
          <w:rFonts w:ascii="Arial" w:hAnsi="Arial" w:cs="Arial"/>
        </w:rPr>
        <w:t xml:space="preserve"> </w:t>
      </w:r>
      <w:hyperlink r:id="rId24" w:history="1">
        <w:r w:rsidRPr="004C3C00">
          <w:rPr>
            <w:rStyle w:val="Hyperlink"/>
            <w:rFonts w:ascii="Arial" w:hAnsi="Arial" w:cs="Arial"/>
            <w:shd w:val="clear" w:color="auto" w:fill="FFFFFF"/>
          </w:rPr>
          <w:t>https://www.tandfonline.com/doi/abs/10.1080/13607863.2019.1590310</w:t>
        </w:r>
      </w:hyperlink>
    </w:p>
    <w:p w14:paraId="7930ACA9" w14:textId="77777777" w:rsidR="004C3C00" w:rsidRPr="004C3C00" w:rsidRDefault="004C3C00" w:rsidP="004C3C00">
      <w:pPr>
        <w:spacing w:before="100" w:beforeAutospacing="1" w:after="100" w:afterAutospacing="1" w:line="360" w:lineRule="auto"/>
        <w:ind w:left="720" w:hanging="720"/>
        <w:jc w:val="both"/>
        <w:rPr>
          <w:rFonts w:ascii="Arial" w:hAnsi="Arial" w:cs="Arial"/>
          <w:color w:val="222222"/>
          <w:shd w:val="clear" w:color="auto" w:fill="FFFFFF"/>
        </w:rPr>
      </w:pPr>
      <w:bookmarkStart w:id="8" w:name="_Hlk235265228"/>
      <w:r w:rsidRPr="004C3C00">
        <w:rPr>
          <w:rFonts w:ascii="Arial" w:hAnsi="Arial" w:cs="Arial"/>
          <w:color w:val="222222"/>
          <w:shd w:val="clear" w:color="auto" w:fill="FFFFFF"/>
        </w:rPr>
        <w:t>Wray</w:t>
      </w:r>
      <w:bookmarkEnd w:id="8"/>
      <w:r w:rsidRPr="004C3C00">
        <w:rPr>
          <w:rFonts w:ascii="Arial" w:hAnsi="Arial" w:cs="Arial"/>
          <w:color w:val="222222"/>
          <w:shd w:val="clear" w:color="auto" w:fill="FFFFFF"/>
        </w:rPr>
        <w:t>, A. (2020) </w:t>
      </w:r>
      <w:r w:rsidRPr="004C3C00">
        <w:rPr>
          <w:rFonts w:ascii="Arial" w:hAnsi="Arial" w:cs="Arial"/>
          <w:i/>
          <w:iCs/>
          <w:color w:val="222222"/>
          <w:shd w:val="clear" w:color="auto" w:fill="FFFFFF"/>
        </w:rPr>
        <w:t>The dynamics of dementia communication</w:t>
      </w:r>
      <w:r w:rsidRPr="004C3C00">
        <w:rPr>
          <w:rFonts w:ascii="Arial" w:hAnsi="Arial" w:cs="Arial"/>
          <w:color w:val="222222"/>
          <w:shd w:val="clear" w:color="auto" w:fill="FFFFFF"/>
        </w:rPr>
        <w:t>. Oxford University Press.</w:t>
      </w:r>
      <w:r w:rsidRPr="004C3C00">
        <w:rPr>
          <w:rFonts w:ascii="Arial" w:hAnsi="Arial" w:cs="Arial"/>
        </w:rPr>
        <w:t xml:space="preserve"> </w:t>
      </w:r>
      <w:hyperlink r:id="rId25" w:history="1">
        <w:r w:rsidRPr="004C3C00">
          <w:rPr>
            <w:rStyle w:val="Hyperlink"/>
            <w:rFonts w:ascii="Arial" w:hAnsi="Arial" w:cs="Arial"/>
            <w:shd w:val="clear" w:color="auto" w:fill="FFFFFF"/>
          </w:rPr>
          <w:t>https://books.google.com/books?hl=en&amp;lr=&amp;id=eyXTDwAAQBAJ&amp;oi=fnd&amp;pg=PP1&amp;dq=dementia+communication+in+health+and+social+care&amp;ots=DWM3vuEueE&amp;sig=zRqrUBaBF0UMoPIiIo5NxZe5Y7E</w:t>
        </w:r>
      </w:hyperlink>
    </w:p>
    <w:sectPr w:rsidR="004C3C00" w:rsidRPr="004C3C00">
      <w:footerReference w:type="default" r:id="rId2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703A4C" w14:textId="77777777" w:rsidR="007362CD" w:rsidRDefault="007362CD" w:rsidP="004C3C00">
      <w:pPr>
        <w:spacing w:after="0" w:line="240" w:lineRule="auto"/>
      </w:pPr>
      <w:r>
        <w:separator/>
      </w:r>
    </w:p>
  </w:endnote>
  <w:endnote w:type="continuationSeparator" w:id="0">
    <w:p w14:paraId="43BB147A" w14:textId="77777777" w:rsidR="007362CD" w:rsidRDefault="007362CD" w:rsidP="004C3C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16627792"/>
      <w:docPartObj>
        <w:docPartGallery w:val="Page Numbers (Bottom of Page)"/>
        <w:docPartUnique/>
      </w:docPartObj>
    </w:sdtPr>
    <w:sdtEndPr>
      <w:rPr>
        <w:noProof/>
      </w:rPr>
    </w:sdtEndPr>
    <w:sdtContent>
      <w:p w14:paraId="212C559D" w14:textId="098C413B" w:rsidR="004C3C00" w:rsidRDefault="004C3C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A732381" w14:textId="77777777" w:rsidR="004C3C00" w:rsidRDefault="004C3C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38680A" w14:textId="77777777" w:rsidR="007362CD" w:rsidRDefault="007362CD" w:rsidP="004C3C00">
      <w:pPr>
        <w:spacing w:after="0" w:line="240" w:lineRule="auto"/>
      </w:pPr>
      <w:r>
        <w:separator/>
      </w:r>
    </w:p>
  </w:footnote>
  <w:footnote w:type="continuationSeparator" w:id="0">
    <w:p w14:paraId="2BEB0FAB" w14:textId="77777777" w:rsidR="007362CD" w:rsidRDefault="007362CD" w:rsidP="004C3C0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6D7D"/>
    <w:rsid w:val="00003B90"/>
    <w:rsid w:val="001B7C2D"/>
    <w:rsid w:val="002129CE"/>
    <w:rsid w:val="00236D7D"/>
    <w:rsid w:val="00283620"/>
    <w:rsid w:val="004372D5"/>
    <w:rsid w:val="004C3C00"/>
    <w:rsid w:val="00560011"/>
    <w:rsid w:val="006255CA"/>
    <w:rsid w:val="007362CD"/>
    <w:rsid w:val="007D38D4"/>
    <w:rsid w:val="008C5EBB"/>
    <w:rsid w:val="00925260"/>
    <w:rsid w:val="009E055B"/>
    <w:rsid w:val="00A75DAF"/>
    <w:rsid w:val="00AD5FEA"/>
    <w:rsid w:val="00B20F51"/>
    <w:rsid w:val="00B375B6"/>
    <w:rsid w:val="00B472BE"/>
    <w:rsid w:val="00C360C4"/>
    <w:rsid w:val="00D03A91"/>
    <w:rsid w:val="00E26C73"/>
    <w:rsid w:val="00E55044"/>
    <w:rsid w:val="00E55340"/>
    <w:rsid w:val="00FA651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ED8578"/>
  <w15:chartTrackingRefBased/>
  <w15:docId w15:val="{CBE16813-CFB7-4882-BB38-2C72417C5C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526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2526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526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25260"/>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4C3C00"/>
    <w:rPr>
      <w:color w:val="0563C1" w:themeColor="hyperlink"/>
      <w:u w:val="single"/>
    </w:rPr>
  </w:style>
  <w:style w:type="character" w:styleId="Emphasis">
    <w:name w:val="Emphasis"/>
    <w:basedOn w:val="DefaultParagraphFont"/>
    <w:uiPriority w:val="20"/>
    <w:qFormat/>
    <w:rsid w:val="004C3C00"/>
    <w:rPr>
      <w:i/>
      <w:iCs/>
    </w:rPr>
  </w:style>
  <w:style w:type="paragraph" w:customStyle="1" w:styleId="pdq2pgselectionanchorcontainer">
    <w:name w:val="pdq2pg_selectionanchorcontainer"/>
    <w:basedOn w:val="Normal"/>
    <w:rsid w:val="004C3C00"/>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NormalWeb">
    <w:name w:val="Normal (Web)"/>
    <w:basedOn w:val="Normal"/>
    <w:uiPriority w:val="99"/>
    <w:semiHidden/>
    <w:unhideWhenUsed/>
    <w:rsid w:val="004C3C00"/>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FollowedHyperlink">
    <w:name w:val="FollowedHyperlink"/>
    <w:basedOn w:val="DefaultParagraphFont"/>
    <w:uiPriority w:val="99"/>
    <w:semiHidden/>
    <w:unhideWhenUsed/>
    <w:rsid w:val="004C3C00"/>
    <w:rPr>
      <w:color w:val="954F72" w:themeColor="followedHyperlink"/>
      <w:u w:val="single"/>
    </w:rPr>
  </w:style>
  <w:style w:type="paragraph" w:styleId="Header">
    <w:name w:val="header"/>
    <w:basedOn w:val="Normal"/>
    <w:link w:val="HeaderChar"/>
    <w:uiPriority w:val="99"/>
    <w:unhideWhenUsed/>
    <w:rsid w:val="004C3C00"/>
    <w:pPr>
      <w:tabs>
        <w:tab w:val="center" w:pos="4680"/>
        <w:tab w:val="right" w:pos="9360"/>
      </w:tabs>
      <w:spacing w:after="0" w:line="240" w:lineRule="auto"/>
    </w:pPr>
  </w:style>
  <w:style w:type="character" w:customStyle="1" w:styleId="HeaderChar">
    <w:name w:val="Header Char"/>
    <w:basedOn w:val="DefaultParagraphFont"/>
    <w:link w:val="Header"/>
    <w:uiPriority w:val="99"/>
    <w:rsid w:val="004C3C00"/>
  </w:style>
  <w:style w:type="paragraph" w:styleId="Footer">
    <w:name w:val="footer"/>
    <w:basedOn w:val="Normal"/>
    <w:link w:val="FooterChar"/>
    <w:uiPriority w:val="99"/>
    <w:unhideWhenUsed/>
    <w:rsid w:val="004C3C00"/>
    <w:pPr>
      <w:tabs>
        <w:tab w:val="center" w:pos="4680"/>
        <w:tab w:val="right" w:pos="9360"/>
      </w:tabs>
      <w:spacing w:after="0" w:line="240" w:lineRule="auto"/>
    </w:pPr>
  </w:style>
  <w:style w:type="character" w:customStyle="1" w:styleId="FooterChar">
    <w:name w:val="Footer Char"/>
    <w:basedOn w:val="DefaultParagraphFont"/>
    <w:link w:val="Footer"/>
    <w:uiPriority w:val="99"/>
    <w:rsid w:val="004C3C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004178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18/12/enacted/data.xht?view=snippet&amp;wrap=true" TargetMode="External" /><Relationship Id="rId13" Type="http://schemas.openxmlformats.org/officeDocument/2006/relationships/hyperlink" Target="https://pmc.ncbi.nlm.nih.gov/articles/PMC7977020/" TargetMode="External" /><Relationship Id="rId18" Type="http://schemas.openxmlformats.org/officeDocument/2006/relationships/hyperlink" Target="https://www.nice.org.uk/guidance/ng97" TargetMode="External" /><Relationship Id="rId26" Type="http://schemas.openxmlformats.org/officeDocument/2006/relationships/footer" Target="footer1.xml" /><Relationship Id="rId3" Type="http://schemas.openxmlformats.org/officeDocument/2006/relationships/webSettings" Target="webSettings.xml" /><Relationship Id="rId21" Type="http://schemas.openxmlformats.org/officeDocument/2006/relationships/hyperlink" Target="https://onlinelibrary.wiley.com/doi/abs/10.1111/opn.12297" TargetMode="External" /><Relationship Id="rId7" Type="http://schemas.openxmlformats.org/officeDocument/2006/relationships/hyperlink" Target="https://www.cqc.org.uk/guidance-regulation/providers/regulations-service-providers-and-managers/health-social-care-act/regulation-17" TargetMode="External" /><Relationship Id="rId12" Type="http://schemas.openxmlformats.org/officeDocument/2006/relationships/hyperlink" Target="https://ico.org.uk/for-organisations/uk-gdpr-guidance-and-resources/data-protection-principles/a-guide-to-the-data-protection-principles/" TargetMode="External" /><Relationship Id="rId17" Type="http://schemas.openxmlformats.org/officeDocument/2006/relationships/hyperlink" Target="https://www.nice.org.uk/guidance/ng5" TargetMode="External" /><Relationship Id="rId25" Type="http://schemas.openxmlformats.org/officeDocument/2006/relationships/hyperlink" Target="https://books.google.com/books?hl=en&amp;lr=&amp;id=eyXTDwAAQBAJ&amp;oi=fnd&amp;pg=PP1&amp;dq=dementia+communication+in+health+and+social+care&amp;ots=DWM3vuEueE&amp;sig=zRqrUBaBF0UMoPIiIo5NxZe5Y7E" TargetMode="External" /><Relationship Id="rId2" Type="http://schemas.openxmlformats.org/officeDocument/2006/relationships/settings" Target="settings.xml" /><Relationship Id="rId16" Type="http://schemas.openxmlformats.org/officeDocument/2006/relationships/hyperlink" Target="https://www.gov.uk/government/publications/the-caldicott-principles" TargetMode="External" /><Relationship Id="rId20" Type="http://schemas.openxmlformats.org/officeDocument/2006/relationships/hyperlink" Target="https://www.nmc.org.uk/standards/code/" TargetMode="External" /><Relationship Id="rId1" Type="http://schemas.openxmlformats.org/officeDocument/2006/relationships/styles" Target="styles.xml" /><Relationship Id="rId6" Type="http://schemas.openxmlformats.org/officeDocument/2006/relationships/hyperlink" Target="https://books.google.com/books?id=0k9IAAAAMAAJ" TargetMode="External" /><Relationship Id="rId11" Type="http://schemas.openxmlformats.org/officeDocument/2006/relationships/hyperlink" Target="https://www.legislation.gov.uk/ukpga/2010/15/section/15" TargetMode="External" /><Relationship Id="rId24" Type="http://schemas.openxmlformats.org/officeDocument/2006/relationships/hyperlink" Target="https://www.tandfonline.com/doi/abs/10.1080/13607863.2019.1590310" TargetMode="External" /><Relationship Id="rId5" Type="http://schemas.openxmlformats.org/officeDocument/2006/relationships/endnotes" Target="endnotes.xml" /><Relationship Id="rId15" Type="http://schemas.openxmlformats.org/officeDocument/2006/relationships/hyperlink" Target="https://www.legislation.gov.uk/ukpga/2005/9/body/enacted/data.xht?wrap=true" TargetMode="External" /><Relationship Id="rId23" Type="http://schemas.openxmlformats.org/officeDocument/2006/relationships/hyperlink" Target="https://books.google.com/books?hl=en&amp;lr=&amp;id=io1SEAAAQBAJ&amp;oi=fnd&amp;pg=PR15&amp;dq=record+keeping+in+health+and+social+care&amp;ots=X6Njop98e8&amp;sig=qr-zq21zqOtjqFU9Kb-XTljcN5Y" TargetMode="External" /><Relationship Id="rId28" Type="http://schemas.openxmlformats.org/officeDocument/2006/relationships/theme" Target="theme/theme1.xml" /><Relationship Id="rId10" Type="http://schemas.openxmlformats.org/officeDocument/2006/relationships/hyperlink" Target="https://doi.org/10.1016/j.jamda.2021.12.028" TargetMode="External" /><Relationship Id="rId19" Type="http://schemas.openxmlformats.org/officeDocument/2006/relationships/hyperlink" Target="https://www.nmc.org.uk/standards/code/" TargetMode="External" /><Relationship Id="rId4" Type="http://schemas.openxmlformats.org/officeDocument/2006/relationships/footnotes" Target="footnotes.xml" /><Relationship Id="rId9" Type="http://schemas.openxmlformats.org/officeDocument/2006/relationships/hyperlink" Target="https://pmc.ncbi.nlm.nih.gov/articles/PMC9936289/" TargetMode="External" /><Relationship Id="rId14" Type="http://schemas.openxmlformats.org/officeDocument/2006/relationships/hyperlink" Target="https://www.researchgate.net/profile/Tanvi-Sharma-29/publication/378067789_Economic_Problems_and_Financial_Support_to_Elderly_Women_in_Rural_and_Urban_Areas_of_Haryana/links/65c4e7661bed776ae3379b8b/Economic-Problems-and-Financial-Support-to-Elderly-Women-in-Rural-and-Urban-Areas-of-Haryana.pdf" TargetMode="External" /><Relationship Id="rId22" Type="http://schemas.openxmlformats.org/officeDocument/2006/relationships/hyperlink" Target="https://ec.msvu.ca/bitstreams/a5a735ce-680e-4ac3-bb5a-af0196780dba/download" TargetMode="External" /><Relationship Id="rId27"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2911</Words>
  <Characters>16597</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dc:creator>
  <cp:keywords/>
  <dc:description/>
  <cp:lastModifiedBy>cristina stoiculescu</cp:lastModifiedBy>
  <cp:revision>3</cp:revision>
  <dcterms:created xsi:type="dcterms:W3CDTF">2026-07-20T08:47:00Z</dcterms:created>
  <dcterms:modified xsi:type="dcterms:W3CDTF">2026-07-20T08:49:00Z</dcterms:modified>
</cp:coreProperties>
</file>