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EACAA" w14:textId="0A07BD3D" w:rsidR="00C72C72" w:rsidRPr="00C72C72" w:rsidRDefault="00C72C72" w:rsidP="00C72C72">
      <w:pPr>
        <w:spacing w:after="120"/>
        <w:rPr>
          <w:rFonts w:ascii="Times New Roman" w:eastAsia="Times New Roman" w:hAnsi="Times New Roman" w:cs="Times New Roman"/>
          <w:b/>
          <w:bCs/>
          <w:kern w:val="36"/>
          <w:sz w:val="48"/>
          <w:szCs w:val="48"/>
          <w14:ligatures w14:val="none"/>
        </w:rPr>
      </w:pPr>
      <w:r>
        <w:rPr>
          <w:rFonts w:ascii="Arial" w:hAnsi="Arial" w:cs="Arial"/>
          <w:b/>
          <w:bCs/>
          <w:color w:val="000000"/>
          <w:kern w:val="0"/>
          <w:sz w:val="26"/>
          <w:szCs w:val="26"/>
          <w14:ligatures w14:val="none"/>
        </w:rPr>
        <w:t xml:space="preserve">                                          </w:t>
      </w:r>
      <w:r w:rsidRPr="00C72C72">
        <w:rPr>
          <w:rFonts w:ascii="Arial" w:hAnsi="Arial" w:cs="Arial"/>
          <w:b/>
          <w:bCs/>
          <w:color w:val="000000"/>
          <w:kern w:val="0"/>
          <w:sz w:val="26"/>
          <w:szCs w:val="26"/>
          <w14:ligatures w14:val="none"/>
        </w:rPr>
        <w:t xml:space="preserve">Name: Mohammad </w:t>
      </w:r>
      <w:proofErr w:type="spellStart"/>
      <w:r w:rsidRPr="00C72C72">
        <w:rPr>
          <w:rFonts w:ascii="Arial" w:hAnsi="Arial" w:cs="Arial"/>
          <w:b/>
          <w:bCs/>
          <w:color w:val="000000"/>
          <w:kern w:val="0"/>
          <w:sz w:val="26"/>
          <w:szCs w:val="26"/>
          <w14:ligatures w14:val="none"/>
        </w:rPr>
        <w:t>Ilyas</w:t>
      </w:r>
      <w:proofErr w:type="spellEnd"/>
    </w:p>
    <w:p w14:paraId="2392B7D9" w14:textId="77777777" w:rsidR="00C72C72" w:rsidRPr="00C72C72" w:rsidRDefault="00C72C72" w:rsidP="00C72C72">
      <w:pPr>
        <w:spacing w:after="120" w:line="240" w:lineRule="auto"/>
        <w:jc w:val="center"/>
        <w:rPr>
          <w:rFonts w:ascii="Arial" w:hAnsi="Arial" w:cs="Arial"/>
          <w:b/>
          <w:bCs/>
          <w:color w:val="000000"/>
          <w:kern w:val="0"/>
          <w:sz w:val="17"/>
          <w:szCs w:val="17"/>
          <w14:ligatures w14:val="none"/>
        </w:rPr>
      </w:pPr>
      <w:r w:rsidRPr="00C72C72">
        <w:rPr>
          <w:rFonts w:ascii="Arial" w:hAnsi="Arial" w:cs="Arial"/>
          <w:b/>
          <w:bCs/>
          <w:color w:val="000000"/>
          <w:kern w:val="0"/>
          <w:sz w:val="26"/>
          <w:szCs w:val="26"/>
          <w14:ligatures w14:val="none"/>
        </w:rPr>
        <w:t>Student Number: 2029045</w:t>
      </w:r>
    </w:p>
    <w:p w14:paraId="4EA3BB40" w14:textId="011542FD" w:rsidR="00C72C72" w:rsidRPr="00C72C72" w:rsidRDefault="00C72C72" w:rsidP="00C72C72">
      <w:pPr>
        <w:spacing w:after="120" w:line="240" w:lineRule="auto"/>
        <w:jc w:val="center"/>
        <w:rPr>
          <w:rFonts w:ascii="Arial" w:hAnsi="Arial" w:cs="Arial"/>
          <w:b/>
          <w:bCs/>
          <w:color w:val="000000"/>
          <w:kern w:val="0"/>
          <w:sz w:val="17"/>
          <w:szCs w:val="17"/>
          <w14:ligatures w14:val="none"/>
        </w:rPr>
      </w:pPr>
      <w:r w:rsidRPr="00C72C72">
        <w:rPr>
          <w:rFonts w:ascii="Arial" w:hAnsi="Arial" w:cs="Arial"/>
          <w:b/>
          <w:bCs/>
          <w:color w:val="000000"/>
          <w:kern w:val="0"/>
          <w:sz w:val="26"/>
          <w:szCs w:val="26"/>
          <w14:ligatures w14:val="none"/>
        </w:rPr>
        <w:t xml:space="preserve">Lecturer Name: Dr </w:t>
      </w:r>
      <w:r w:rsidR="007F6A92">
        <w:rPr>
          <w:rFonts w:ascii="Arial" w:hAnsi="Arial" w:cs="Arial"/>
          <w:b/>
          <w:bCs/>
          <w:color w:val="000000"/>
          <w:kern w:val="0"/>
          <w:sz w:val="26"/>
          <w:szCs w:val="26"/>
          <w14:ligatures w14:val="none"/>
        </w:rPr>
        <w:t>Fahad Khan</w:t>
      </w:r>
    </w:p>
    <w:p w14:paraId="7A5361A9" w14:textId="3B2F2530" w:rsidR="00C72C72" w:rsidRPr="00C72C72" w:rsidRDefault="00C72C72" w:rsidP="00C72C72">
      <w:pPr>
        <w:spacing w:after="120" w:line="240" w:lineRule="auto"/>
        <w:jc w:val="center"/>
        <w:rPr>
          <w:rFonts w:ascii="Arial" w:hAnsi="Arial" w:cs="Arial"/>
          <w:b/>
          <w:bCs/>
          <w:color w:val="000000"/>
          <w:kern w:val="0"/>
          <w:sz w:val="17"/>
          <w:szCs w:val="17"/>
          <w14:ligatures w14:val="none"/>
        </w:rPr>
      </w:pPr>
      <w:r w:rsidRPr="00C72C72">
        <w:rPr>
          <w:rFonts w:ascii="Arial" w:hAnsi="Arial" w:cs="Arial"/>
          <w:b/>
          <w:bCs/>
          <w:color w:val="000000"/>
          <w:kern w:val="0"/>
          <w:sz w:val="26"/>
          <w:szCs w:val="26"/>
          <w14:ligatures w14:val="none"/>
        </w:rPr>
        <w:t>Module code: </w:t>
      </w:r>
      <w:r w:rsidRPr="00C72C72">
        <w:rPr>
          <w:rFonts w:ascii="Arial" w:hAnsi="Arial" w:cs="Arial"/>
          <w:b/>
          <w:bCs/>
          <w:color w:val="000000"/>
          <w:kern w:val="0"/>
          <w14:ligatures w14:val="none"/>
        </w:rPr>
        <w:t>LCHS700</w:t>
      </w:r>
      <w:r w:rsidR="00F81F9A" w:rsidRPr="004D38C4">
        <w:rPr>
          <w:rFonts w:ascii="Arial" w:hAnsi="Arial" w:cs="Arial"/>
          <w:b/>
          <w:bCs/>
          <w:color w:val="000000"/>
          <w:kern w:val="0"/>
          <w14:ligatures w14:val="none"/>
        </w:rPr>
        <w:t>2</w:t>
      </w:r>
    </w:p>
    <w:p w14:paraId="29A677B5" w14:textId="0732C334" w:rsidR="00C72C72" w:rsidRPr="004D38C4" w:rsidRDefault="004D38C4" w:rsidP="00C72C72">
      <w:pPr>
        <w:spacing w:after="120" w:line="240" w:lineRule="auto"/>
        <w:jc w:val="center"/>
        <w:rPr>
          <w:rFonts w:ascii="Arial" w:hAnsi="Arial" w:cs="Arial"/>
          <w:b/>
          <w:bCs/>
          <w:color w:val="000000"/>
          <w:kern w:val="0"/>
          <w:shd w:val="clear" w:color="auto" w:fill="FFFFFF"/>
          <w14:ligatures w14:val="none"/>
        </w:rPr>
      </w:pPr>
      <w:r w:rsidRPr="004D38C4">
        <w:rPr>
          <w:rStyle w:val="s12"/>
          <w:rFonts w:ascii="Arial" w:eastAsia="Times New Roman" w:hAnsi="Arial" w:cs="Arial"/>
          <w:b/>
          <w:bCs/>
          <w:color w:val="000000"/>
        </w:rPr>
        <w:t>Health Care System,</w:t>
      </w:r>
      <w:r w:rsidRPr="004D38C4">
        <w:rPr>
          <w:rStyle w:val="apple-converted-space"/>
          <w:rFonts w:ascii="Arial" w:eastAsia="Times New Roman" w:hAnsi="Arial" w:cs="Arial"/>
          <w:b/>
          <w:bCs/>
          <w:color w:val="000000"/>
        </w:rPr>
        <w:t> </w:t>
      </w:r>
      <w:r w:rsidRPr="004D38C4">
        <w:rPr>
          <w:rStyle w:val="s12"/>
          <w:rFonts w:ascii="Arial" w:eastAsia="Times New Roman" w:hAnsi="Arial" w:cs="Arial"/>
          <w:b/>
          <w:bCs/>
          <w:color w:val="000000"/>
        </w:rPr>
        <w:t>Organisation</w:t>
      </w:r>
      <w:r w:rsidRPr="004D38C4">
        <w:rPr>
          <w:rStyle w:val="apple-converted-space"/>
          <w:rFonts w:ascii="Arial" w:eastAsia="Times New Roman" w:hAnsi="Arial" w:cs="Arial"/>
          <w:b/>
          <w:bCs/>
          <w:color w:val="000000"/>
        </w:rPr>
        <w:t> </w:t>
      </w:r>
      <w:r w:rsidRPr="004D38C4">
        <w:rPr>
          <w:rStyle w:val="s12"/>
          <w:rFonts w:ascii="Arial" w:eastAsia="Times New Roman" w:hAnsi="Arial" w:cs="Arial"/>
          <w:b/>
          <w:bCs/>
          <w:color w:val="000000"/>
        </w:rPr>
        <w:t>and Leadership</w:t>
      </w:r>
    </w:p>
    <w:p w14:paraId="4656691F"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6410DD39"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064DE3B9"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4C65622C"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48F6184E"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77A712D0"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3CFE60C4"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0EC7E8EC"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669366B1"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4C3DCC79"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42423714"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3BB220B4"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245464CF"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6C7400B5"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3847AD9E"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0F179059"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7FD58B39"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5CA045A8"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25A96C2D"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1139CD01"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7F74F4FF"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0A706223"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62EB27AB"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123CED1D"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18F528D5"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0A45A0F0"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0F758F6E"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68F3AFF6" w14:textId="77777777" w:rsidR="00C72C72" w:rsidRDefault="00C72C72" w:rsidP="00C72C72">
      <w:pPr>
        <w:spacing w:after="120" w:line="240" w:lineRule="auto"/>
        <w:jc w:val="center"/>
        <w:rPr>
          <w:rFonts w:ascii="Arial" w:hAnsi="Arial" w:cs="Arial"/>
          <w:b/>
          <w:bCs/>
          <w:color w:val="000000"/>
          <w:kern w:val="0"/>
          <w:sz w:val="20"/>
          <w:szCs w:val="20"/>
          <w:shd w:val="clear" w:color="auto" w:fill="FFFFFF"/>
          <w14:ligatures w14:val="none"/>
        </w:rPr>
      </w:pPr>
    </w:p>
    <w:p w14:paraId="3FC40EAF" w14:textId="77777777" w:rsidR="00C72C72" w:rsidRPr="00C72C72" w:rsidRDefault="00C72C72" w:rsidP="00C72C72">
      <w:pPr>
        <w:spacing w:after="120" w:line="240" w:lineRule="auto"/>
        <w:jc w:val="center"/>
        <w:rPr>
          <w:rFonts w:ascii="Arial" w:hAnsi="Arial" w:cs="Arial"/>
          <w:b/>
          <w:bCs/>
          <w:color w:val="000000"/>
          <w:kern w:val="0"/>
          <w:sz w:val="17"/>
          <w:szCs w:val="17"/>
          <w14:ligatures w14:val="none"/>
        </w:rPr>
      </w:pPr>
    </w:p>
    <w:p w14:paraId="5A6EF64A" w14:textId="1F2BA9B7" w:rsidR="00C72C72" w:rsidRDefault="00C72C72">
      <w:pPr>
        <w:rPr>
          <w:rFonts w:ascii="Times New Roman" w:eastAsia="Times New Roman" w:hAnsi="Times New Roman" w:cs="Times New Roman"/>
          <w:b/>
          <w:bCs/>
          <w:kern w:val="36"/>
          <w:sz w:val="48"/>
          <w:szCs w:val="48"/>
          <w14:ligatures w14:val="none"/>
        </w:rPr>
      </w:pPr>
    </w:p>
    <w:p w14:paraId="19DF0B27" w14:textId="77777777" w:rsidR="004D38C4" w:rsidRDefault="004D38C4">
      <w:pPr>
        <w:rPr>
          <w:rFonts w:ascii="Times New Roman" w:eastAsia="Times New Roman" w:hAnsi="Times New Roman" w:cs="Times New Roman"/>
          <w:b/>
          <w:bCs/>
          <w:kern w:val="36"/>
          <w:sz w:val="48"/>
          <w:szCs w:val="48"/>
          <w14:ligatures w14:val="none"/>
        </w:rPr>
      </w:pPr>
    </w:p>
    <w:p w14:paraId="7E24BD3D" w14:textId="2512B9CF" w:rsidR="00D51C99" w:rsidRPr="00150B10" w:rsidRDefault="00D51C99"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lastRenderedPageBreak/>
        <w:t>1. Introduction</w:t>
      </w:r>
    </w:p>
    <w:p w14:paraId="66165A9A" w14:textId="71AF6BCE" w:rsidR="00D51C99" w:rsidRPr="00150B10" w:rsidRDefault="00D51C99"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The COVID-19 pandemic presented an unprecedented global public health emergency that exposed vulnerabilities in health systems and challenged political leadership across jurisdictions. Although all countries confronted the same rapidly spreading virus, their responses varied significantly depending on their governance arrangements, health system structures, and styles of political leadership. Understanding these differences is essential for evaluating global preparedness and identifying the strengths and weaknesses of diverse organisational models. Spain, South Korea, and Canada provide three instructive case studies, each representing distinct political systems, levels of centralisation, and public health capacities. Their contrasting experiences during the COVID-19 crisis highlight how institutional design and leadership behaviours interact to shape national responses in times of crisis.</w:t>
      </w:r>
    </w:p>
    <w:p w14:paraId="1F0D9E06" w14:textId="0B2BE1D2" w:rsidR="00D51C99" w:rsidRPr="00150B10" w:rsidRDefault="00D51C99"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This report critically examines the organisation of the health care systems in Spain, South Korea, and Canada during the COVID-19 pandemic and assesses how these structural features influenced the timeliness, coordination, and effectiveness of their interventions. Spain represents a highly decentralised health system where autonomous communities hold substantial authority for service delivery and public health decisions. South Korea illustrates a centralised, technologically advanced public health infrastructure with strong national coordination. Canada, by contrast, operates within a federated structure where health governance is shared between federal and provincial governments, requiring extensive intergovernmental collaboration. These organisational differences played a key role in shaping each country’s pandemic strategy, including testing, surveillance, mobility restrictions, and vaccination rollout.</w:t>
      </w:r>
    </w:p>
    <w:p w14:paraId="477C7DAD" w14:textId="15AF475B" w:rsidR="00D51C99" w:rsidRPr="00150B10" w:rsidRDefault="00D51C99"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A second aim of this report is to analyse the leadership approaches demonstrated by three key figures: Spain’s Minister of Health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South Korea’s Prime Minister Chung </w:t>
      </w:r>
      <w:proofErr w:type="spellStart"/>
      <w:r w:rsidRPr="00150B10">
        <w:rPr>
          <w:rFonts w:ascii="Arial" w:hAnsi="Arial" w:cs="Arial"/>
          <w:kern w:val="0"/>
          <w:sz w:val="26"/>
          <w:szCs w:val="26"/>
          <w14:ligatures w14:val="none"/>
        </w:rPr>
        <w:t>Sye-kyun</w:t>
      </w:r>
      <w:proofErr w:type="spellEnd"/>
      <w:r w:rsidRPr="00150B10">
        <w:rPr>
          <w:rFonts w:ascii="Arial" w:hAnsi="Arial" w:cs="Arial"/>
          <w:kern w:val="0"/>
          <w:sz w:val="26"/>
          <w:szCs w:val="26"/>
          <w14:ligatures w14:val="none"/>
        </w:rPr>
        <w:t xml:space="preserve">, and Canada’s Prime Minister </w:t>
      </w:r>
      <w:r w:rsidRPr="00150B10">
        <w:rPr>
          <w:rFonts w:ascii="Arial" w:hAnsi="Arial" w:cs="Arial"/>
          <w:kern w:val="0"/>
          <w:sz w:val="26"/>
          <w:szCs w:val="26"/>
          <w14:ligatures w14:val="none"/>
        </w:rPr>
        <w:lastRenderedPageBreak/>
        <w:t>Justin Trudeau. Drawing on leadership theories such as transformational, situational, distributed, and crisis leadership, the report explores how each leader navigated the political, social, and structural constraints of their respective systems. The analysis considers the extent to which leadership style influenced public trust, policy acceptance, national unity, and overall effectiveness.</w:t>
      </w:r>
    </w:p>
    <w:p w14:paraId="0DEE3B3B" w14:textId="77777777" w:rsidR="00D51C99" w:rsidRPr="00150B10" w:rsidRDefault="00D51C99"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By comparing these three jurisdictions, this report provides a comprehensive examination of how structural organisation and leadership interact to shape pandemic outcomes. The findings contribute to broader discussions on crisis governance, health system resilience, and the importance of adaptive, transparent, and coordinated leadership during global health emergencies.</w:t>
      </w:r>
    </w:p>
    <w:p w14:paraId="4ADAA79A" w14:textId="77777777" w:rsidR="00227854" w:rsidRPr="00150B10" w:rsidRDefault="00227854" w:rsidP="001E5816">
      <w:pPr>
        <w:spacing w:before="100" w:beforeAutospacing="1" w:after="100" w:afterAutospacing="1" w:line="360" w:lineRule="auto"/>
        <w:outlineLvl w:val="0"/>
        <w:rPr>
          <w:rFonts w:ascii="Arial" w:eastAsia="Times New Roman" w:hAnsi="Arial" w:cs="Arial"/>
          <w:b/>
          <w:bCs/>
          <w:kern w:val="36"/>
          <w:sz w:val="26"/>
          <w:szCs w:val="26"/>
          <w14:ligatures w14:val="none"/>
        </w:rPr>
      </w:pPr>
      <w:r w:rsidRPr="00150B10">
        <w:rPr>
          <w:rFonts w:ascii="Arial" w:eastAsia="Times New Roman" w:hAnsi="Arial" w:cs="Arial"/>
          <w:b/>
          <w:bCs/>
          <w:kern w:val="36"/>
          <w:sz w:val="26"/>
          <w:szCs w:val="26"/>
          <w14:ligatures w14:val="none"/>
        </w:rPr>
        <w:t>2. Health System Organisation </w:t>
      </w:r>
    </w:p>
    <w:p w14:paraId="055EC30D" w14:textId="026E842D" w:rsidR="00987F9C" w:rsidRPr="00150B10" w:rsidRDefault="00987F9C" w:rsidP="001E5816">
      <w:pPr>
        <w:spacing w:before="100" w:beforeAutospacing="1" w:after="100" w:afterAutospacing="1" w:line="360" w:lineRule="auto"/>
        <w:outlineLvl w:val="0"/>
        <w:rPr>
          <w:rFonts w:ascii="Arial" w:eastAsia="Times New Roman" w:hAnsi="Arial" w:cs="Arial"/>
          <w:b/>
          <w:bCs/>
          <w:kern w:val="36"/>
          <w:sz w:val="26"/>
          <w:szCs w:val="26"/>
          <w14:ligatures w14:val="none"/>
        </w:rPr>
      </w:pPr>
      <w:r w:rsidRPr="00150B10">
        <w:rPr>
          <w:rFonts w:ascii="Arial" w:eastAsia="Times New Roman" w:hAnsi="Arial" w:cs="Arial"/>
          <w:b/>
          <w:bCs/>
          <w:kern w:val="36"/>
          <w:sz w:val="26"/>
          <w:szCs w:val="26"/>
          <w14:ligatures w14:val="none"/>
        </w:rPr>
        <w:t>2.1 Spain</w:t>
      </w:r>
    </w:p>
    <w:p w14:paraId="47EFCD9C" w14:textId="7E5F4768" w:rsidR="00987F9C" w:rsidRPr="00150B10" w:rsidRDefault="00987F9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Spain entered the COVID-19 pandemic with a highly decentralised health care system that significantly shaped its early response and exposed existing structural weaknesses. Since the 1978 Constitution and the subsequent 1986 General Health Law, responsibility for planning, managing, and delivering health services has been largely devolved to Spain’s 17 autonomous communities (</w:t>
      </w:r>
      <w:proofErr w:type="spellStart"/>
      <w:r w:rsidRPr="00150B10">
        <w:rPr>
          <w:rFonts w:ascii="Arial" w:hAnsi="Arial" w:cs="Arial"/>
          <w:kern w:val="0"/>
          <w:sz w:val="26"/>
          <w:szCs w:val="26"/>
          <w14:ligatures w14:val="none"/>
        </w:rPr>
        <w:t>Legido-Quigley</w:t>
      </w:r>
      <w:proofErr w:type="spellEnd"/>
      <w:r w:rsidRPr="00150B10">
        <w:rPr>
          <w:rFonts w:ascii="Arial" w:hAnsi="Arial" w:cs="Arial"/>
          <w:kern w:val="0"/>
          <w:sz w:val="26"/>
          <w:szCs w:val="26"/>
          <w14:ligatures w14:val="none"/>
        </w:rPr>
        <w:t xml:space="preserve"> et al., 2020). While the Ministry of Health retains overarching regulatory and coordination roles, regional governments possess substantial authority over public health surveillance, hospital management, and health workforce allocation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2021). This governance model supports local responsiveness but also creates fragmentation that can undermine unified national action during rapidly evolving emergencies.</w:t>
      </w:r>
    </w:p>
    <w:p w14:paraId="52B4212C" w14:textId="1B435E36" w:rsidR="00987F9C" w:rsidRPr="00150B10" w:rsidRDefault="00987F9C"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Early Response and Governance Challenges</w:t>
      </w:r>
    </w:p>
    <w:p w14:paraId="5FA7DC7E" w14:textId="212AE91B" w:rsidR="00987F9C" w:rsidRPr="00150B10" w:rsidRDefault="00987F9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At the onset of the pandemic, Spain’s decentralised governance limited the ability to implement a coherent national strategy. Coordination between the </w:t>
      </w:r>
      <w:r w:rsidRPr="00150B10">
        <w:rPr>
          <w:rFonts w:ascii="Arial" w:hAnsi="Arial" w:cs="Arial"/>
          <w:kern w:val="0"/>
          <w:sz w:val="26"/>
          <w:szCs w:val="26"/>
          <w14:ligatures w14:val="none"/>
        </w:rPr>
        <w:lastRenderedPageBreak/>
        <w:t xml:space="preserve">Ministry of Health and regional authorities was inconsistent, resulting in conflicting messages, delays in implementing restrictions, and uneven preparedness across regions (Greer et al., 2020). Despite rising case numbers in Italy, Spain did not adopt early border controls or mobility restrictions, and testing capacity remained limited in February and early March 2020. Minister of Health Salvador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public statements in late January, asserting that the system was prepared and that risks were under control, illustrate a broader underestimation of the threat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This mismatch between communication and epidemiological reality reflected both political caution and structural constraints that slowed early decision-making.</w:t>
      </w:r>
    </w:p>
    <w:p w14:paraId="5C620D21" w14:textId="67BF3872" w:rsidR="00987F9C" w:rsidRPr="00150B10" w:rsidRDefault="00987F9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When infections surged in March 2020, the Spanish government declared a state of alarm, temporarily centralising authority under national control. This move, though necessary, was reactive rather than preventive and led to tensions with regional governments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2021). The re-centralisation highlighted the difficulty of managing a pandemic within a system designed primarily for devolved governance. Structural fragmentation contributed to shortages of protective equipment, inconsistencies in data reporting, and divergent regional containment strategies during the first wave (</w:t>
      </w:r>
      <w:proofErr w:type="spellStart"/>
      <w:r w:rsidRPr="00150B10">
        <w:rPr>
          <w:rFonts w:ascii="Arial" w:hAnsi="Arial" w:cs="Arial"/>
          <w:kern w:val="0"/>
          <w:sz w:val="26"/>
          <w:szCs w:val="26"/>
          <w14:ligatures w14:val="none"/>
        </w:rPr>
        <w:t>Legido-Quigley</w:t>
      </w:r>
      <w:proofErr w:type="spellEnd"/>
      <w:r w:rsidRPr="00150B10">
        <w:rPr>
          <w:rFonts w:ascii="Arial" w:hAnsi="Arial" w:cs="Arial"/>
          <w:kern w:val="0"/>
          <w:sz w:val="26"/>
          <w:szCs w:val="26"/>
          <w14:ligatures w14:val="none"/>
        </w:rPr>
        <w:t xml:space="preserve"> et al., 2020).</w:t>
      </w:r>
    </w:p>
    <w:p w14:paraId="38205F3C" w14:textId="2DD22F05" w:rsidR="00987F9C" w:rsidRPr="00150B10" w:rsidRDefault="00987F9C"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Strengths in Primary Care and Vaccination</w:t>
      </w:r>
    </w:p>
    <w:p w14:paraId="07F0B7E0" w14:textId="6F866743" w:rsidR="00987F9C" w:rsidRPr="00150B10" w:rsidRDefault="00987F9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Despite early challenges, Spain later demonstrated strong health system capacity, particularly through its robust primary care network. Primary care professionals played a crucial role in community surveillance, managing non-hospitalised cases, and supporting vulnerable populations (</w:t>
      </w:r>
      <w:proofErr w:type="spellStart"/>
      <w:r w:rsidRPr="00150B10">
        <w:rPr>
          <w:rFonts w:ascii="Arial" w:hAnsi="Arial" w:cs="Arial"/>
          <w:kern w:val="0"/>
          <w:sz w:val="26"/>
          <w:szCs w:val="26"/>
          <w14:ligatures w14:val="none"/>
        </w:rPr>
        <w:t>Calleja</w:t>
      </w:r>
      <w:proofErr w:type="spellEnd"/>
      <w:r w:rsidRPr="00150B10">
        <w:rPr>
          <w:rFonts w:ascii="Arial" w:hAnsi="Arial" w:cs="Arial"/>
          <w:kern w:val="0"/>
          <w:sz w:val="26"/>
          <w:szCs w:val="26"/>
          <w14:ligatures w14:val="none"/>
        </w:rPr>
        <w:t>, 2021). These strengths became especially evident during the vaccine rollout.</w:t>
      </w:r>
    </w:p>
    <w:p w14:paraId="53F86DD5" w14:textId="2FDA5CD4" w:rsidR="00987F9C" w:rsidRPr="00150B10" w:rsidRDefault="00987F9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Spain ultimately emerged as one of Europe’s “vaccination champions,” achieving high coverage levels and strong public acceptance (</w:t>
      </w:r>
      <w:proofErr w:type="spellStart"/>
      <w:r w:rsidRPr="00150B10">
        <w:rPr>
          <w:rFonts w:ascii="Arial" w:hAnsi="Arial" w:cs="Arial"/>
          <w:kern w:val="0"/>
          <w:sz w:val="26"/>
          <w:szCs w:val="26"/>
          <w14:ligatures w14:val="none"/>
        </w:rPr>
        <w:t>Royo-</w:t>
      </w:r>
      <w:r w:rsidRPr="00150B10">
        <w:rPr>
          <w:rFonts w:ascii="Arial" w:hAnsi="Arial" w:cs="Arial"/>
          <w:kern w:val="0"/>
          <w:sz w:val="26"/>
          <w:szCs w:val="26"/>
          <w14:ligatures w14:val="none"/>
        </w:rPr>
        <w:lastRenderedPageBreak/>
        <w:t>Bordonada</w:t>
      </w:r>
      <w:proofErr w:type="spellEnd"/>
      <w:r w:rsidRPr="00150B10">
        <w:rPr>
          <w:rFonts w:ascii="Arial" w:hAnsi="Arial" w:cs="Arial"/>
          <w:kern w:val="0"/>
          <w:sz w:val="26"/>
          <w:szCs w:val="26"/>
          <w14:ligatures w14:val="none"/>
        </w:rPr>
        <w:t xml:space="preserve"> et al., 2021). The success of the vaccine rollout can be attributed to the efficiency of Spain’s public health workforce, strong logistical planning, and widespread trust in vaccination. Unlike the early containment phase, vaccination benefitted from clearer national coordination, consistent messaging, and well-established primary care infrastructure.</w:t>
      </w:r>
    </w:p>
    <w:p w14:paraId="7C9A74D8" w14:textId="77777777" w:rsidR="00987F9C" w:rsidRPr="00150B10" w:rsidRDefault="00987F9C"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Assessment</w:t>
      </w:r>
    </w:p>
    <w:p w14:paraId="4C8174F5" w14:textId="77777777" w:rsidR="00987F9C" w:rsidRPr="00150B10" w:rsidRDefault="00987F9C" w:rsidP="001E5816">
      <w:pPr>
        <w:spacing w:before="100" w:beforeAutospacing="1" w:after="100" w:afterAutospacing="1" w:line="360" w:lineRule="auto"/>
        <w:rPr>
          <w:rFonts w:ascii="Arial" w:hAnsi="Arial" w:cs="Arial"/>
          <w:kern w:val="0"/>
          <w:sz w:val="26"/>
          <w:szCs w:val="26"/>
          <w14:ligatures w14:val="none"/>
        </w:rPr>
      </w:pPr>
    </w:p>
    <w:p w14:paraId="0B7345F1" w14:textId="0BEF6037" w:rsidR="0009632E" w:rsidRPr="00150B10" w:rsidRDefault="00987F9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Spain’s pandemic experience illustrates the complexities of balancing decentralisation with crisis coordination. While its decentralised model allows flexible local delivery, it hindered early rapid action and contributed to fragmented responses. However, once national strategy improved and stronger coordination mechanisms were implemented, Spain’s universal health care system and experienced workforce demonstrated considerable resilience</w:t>
      </w:r>
    </w:p>
    <w:p w14:paraId="4E8C8957" w14:textId="5C4590B8" w:rsidR="0009632E" w:rsidRPr="00150B10" w:rsidRDefault="0009632E" w:rsidP="001E5816">
      <w:pPr>
        <w:spacing w:before="100" w:beforeAutospacing="1" w:after="100" w:afterAutospacing="1" w:line="360" w:lineRule="auto"/>
        <w:outlineLvl w:val="0"/>
        <w:rPr>
          <w:rFonts w:ascii="Arial" w:hAnsi="Arial" w:cs="Arial"/>
          <w:kern w:val="0"/>
          <w:sz w:val="26"/>
          <w:szCs w:val="26"/>
          <w14:ligatures w14:val="none"/>
        </w:rPr>
      </w:pPr>
      <w:r w:rsidRPr="00150B10">
        <w:rPr>
          <w:rFonts w:ascii="Arial" w:eastAsia="Times New Roman" w:hAnsi="Arial" w:cs="Arial"/>
          <w:b/>
          <w:bCs/>
          <w:kern w:val="36"/>
          <w:sz w:val="26"/>
          <w:szCs w:val="26"/>
          <w14:ligatures w14:val="none"/>
        </w:rPr>
        <w:t>2.2 South Korea</w:t>
      </w:r>
    </w:p>
    <w:p w14:paraId="735A250D" w14:textId="3DA521E6"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South Korea’s health system organisation played a decisive role in shaping its highly effective early response to the COVID-19 pandemic. Unlike many other high-income nations, South Korea operates a centralised public health governance structure in which national authorities—particularly the Korea Disease Control and Prevention Agency (KDCA)—hold strong legal and operational powers (You, 2020). Although health care delivery itself is provided through a mixture of public and private facilities, public health surveillance, infectious disease control, and emergency preparedness are firmly under central government control. This structure enabled rapid coordination, standardised protocols, and consistent messaging during the crisis.</w:t>
      </w:r>
    </w:p>
    <w:p w14:paraId="62127343" w14:textId="0C1CB352" w:rsidR="0009632E" w:rsidRPr="00150B10" w:rsidRDefault="0009632E"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Post-MERS Reforms and Preparedness</w:t>
      </w:r>
    </w:p>
    <w:p w14:paraId="490F424D" w14:textId="337BB876"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lastRenderedPageBreak/>
        <w:t>South Korea’s pandemic readiness was largely shaped by its experience during the 2015 Middle East Respiratory Syndrome (MERS) outbreak. The failures of MERS exposed weaknesses in surveillance, transparency, and interagency coordination, prompting comprehensive reforms to the Infectious Disease Control and Prevention Act (IDCPA) (Kim, 2021). These reforms strengthened the KDCA’s authority, expanded digital contact-tracing capabilities, and established legal frameworks enabling the government to access telecommunications data, credit card transactions, and CCTV footage for epidemiological investigations (Park et al., 2021). As a result, South Korea entered the COVID-19 pandemic with enhanced preparedness, sophisticated digital tools, and a public increasingly aware of infectious disease risks.</w:t>
      </w:r>
    </w:p>
    <w:p w14:paraId="6DE52376" w14:textId="617DEFC4" w:rsidR="0009632E" w:rsidRPr="00150B10" w:rsidRDefault="0009632E"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Rapid Intervention and Centralised Coordination</w:t>
      </w:r>
    </w:p>
    <w:p w14:paraId="0FB5C2EA" w14:textId="7A6CEE61"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South Korea’s early intervention strategy during COVID-19 was characterised by speed, technological innovation, and strong central leadership. The government implemented mass testing within weeks of detecting its first case, </w:t>
      </w:r>
      <w:proofErr w:type="spellStart"/>
      <w:r w:rsidRPr="00150B10">
        <w:rPr>
          <w:rFonts w:ascii="Arial" w:hAnsi="Arial" w:cs="Arial"/>
          <w:kern w:val="0"/>
          <w:sz w:val="26"/>
          <w:szCs w:val="26"/>
          <w14:ligatures w14:val="none"/>
        </w:rPr>
        <w:t>utilizing</w:t>
      </w:r>
      <w:proofErr w:type="spellEnd"/>
      <w:r w:rsidRPr="00150B10">
        <w:rPr>
          <w:rFonts w:ascii="Arial" w:hAnsi="Arial" w:cs="Arial"/>
          <w:kern w:val="0"/>
          <w:sz w:val="26"/>
          <w:szCs w:val="26"/>
          <w14:ligatures w14:val="none"/>
        </w:rPr>
        <w:t xml:space="preserve"> drive-through and walk-through testing sites to increase efficiency and minimise infection risk (</w:t>
      </w:r>
      <w:proofErr w:type="spellStart"/>
      <w:r w:rsidRPr="00150B10">
        <w:rPr>
          <w:rFonts w:ascii="Arial" w:hAnsi="Arial" w:cs="Arial"/>
          <w:kern w:val="0"/>
          <w:sz w:val="26"/>
          <w:szCs w:val="26"/>
          <w14:ligatures w14:val="none"/>
        </w:rPr>
        <w:t>Majeed</w:t>
      </w:r>
      <w:proofErr w:type="spellEnd"/>
      <w:r w:rsidRPr="00150B10">
        <w:rPr>
          <w:rFonts w:ascii="Arial" w:hAnsi="Arial" w:cs="Arial"/>
          <w:kern w:val="0"/>
          <w:sz w:val="26"/>
          <w:szCs w:val="26"/>
          <w14:ligatures w14:val="none"/>
        </w:rPr>
        <w:t xml:space="preserve"> et al., 2020). The KDCA coordinated real-time data-sharing between national and local authorities, allowing swift identification of clusters and rapid deployment of resources.</w:t>
      </w:r>
    </w:p>
    <w:p w14:paraId="4B0353FD" w14:textId="77777777"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Border controls were introduced early, and quarantine monitoring was enforced through mobile applications and GPS tracking. Transparent communication—including twice-daily briefings—built public trust and reinforced behavioural compliance, reducing the need for strict nationwide lockdowns (You, 2020). The collaborative approach between the Ministry of Health and Welfare, the Ministry of Education, local governments, and private laboratories created an integrated national response that was both coordinated and flexible.</w:t>
      </w:r>
    </w:p>
    <w:p w14:paraId="59B9E79A" w14:textId="77777777"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p>
    <w:p w14:paraId="58D03E37" w14:textId="62E9F9B9" w:rsidR="0009632E" w:rsidRPr="00150B10" w:rsidRDefault="0009632E"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lastRenderedPageBreak/>
        <w:t>Digital Surveillance and Public Cooperation</w:t>
      </w:r>
    </w:p>
    <w:p w14:paraId="502CDFF3" w14:textId="26C0E684"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South Korea’s use of digital surveillance tools became a defining feature of its pandemic response. While controversial in some countries, the integration of mobile tracking, automated alerts, and data-driven contact tracing was largely accepted by the Korean public due to strong trust in government institutions and memories of the MERS crisis (Park et al., 2021). Public cooperation was further strengthened by transparent communication and the emphasis placed on civic responsibility by national leaders, including Prime Minister Chung </w:t>
      </w:r>
      <w:proofErr w:type="spellStart"/>
      <w:r w:rsidRPr="00150B10">
        <w:rPr>
          <w:rFonts w:ascii="Arial" w:hAnsi="Arial" w:cs="Arial"/>
          <w:kern w:val="0"/>
          <w:sz w:val="26"/>
          <w:szCs w:val="26"/>
          <w14:ligatures w14:val="none"/>
        </w:rPr>
        <w:t>Sye-kyun</w:t>
      </w:r>
      <w:proofErr w:type="spellEnd"/>
      <w:r w:rsidRPr="00150B10">
        <w:rPr>
          <w:rFonts w:ascii="Arial" w:hAnsi="Arial" w:cs="Arial"/>
          <w:kern w:val="0"/>
          <w:sz w:val="26"/>
          <w:szCs w:val="26"/>
          <w14:ligatures w14:val="none"/>
        </w:rPr>
        <w:t>, who framed compliance as a collective social duty.</w:t>
      </w:r>
    </w:p>
    <w:p w14:paraId="420F6E82" w14:textId="5B6DB24D" w:rsidR="0009632E" w:rsidRPr="00150B10" w:rsidRDefault="0009632E"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Outcomes and Global Recognition</w:t>
      </w:r>
    </w:p>
    <w:p w14:paraId="178BB3AB" w14:textId="4C2A2860" w:rsidR="0009632E"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South Korea managed to suppress transmission effectively during the early phases of the pandemic without imposing national lockdowns, earning widespread international recognition (</w:t>
      </w:r>
      <w:proofErr w:type="spellStart"/>
      <w:r w:rsidRPr="00150B10">
        <w:rPr>
          <w:rFonts w:ascii="Arial" w:hAnsi="Arial" w:cs="Arial"/>
          <w:kern w:val="0"/>
          <w:sz w:val="26"/>
          <w:szCs w:val="26"/>
          <w14:ligatures w14:val="none"/>
        </w:rPr>
        <w:t>Majeed</w:t>
      </w:r>
      <w:proofErr w:type="spellEnd"/>
      <w:r w:rsidRPr="00150B10">
        <w:rPr>
          <w:rFonts w:ascii="Arial" w:hAnsi="Arial" w:cs="Arial"/>
          <w:kern w:val="0"/>
          <w:sz w:val="26"/>
          <w:szCs w:val="26"/>
          <w14:ligatures w14:val="none"/>
        </w:rPr>
        <w:t xml:space="preserve"> et al., 2020). The country maintained relatively low mortality rates compared with other OECD nations and demonstrated the benefits of combining centralisation, technology, and transparent leadership.</w:t>
      </w:r>
    </w:p>
    <w:p w14:paraId="574C3954" w14:textId="7D86FE72" w:rsidR="0009632E" w:rsidRPr="00150B10" w:rsidRDefault="0009632E"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Assessment</w:t>
      </w:r>
    </w:p>
    <w:p w14:paraId="47116106" w14:textId="0A178CC8" w:rsidR="00812761" w:rsidRPr="00150B10" w:rsidRDefault="0009632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South Korea’s experience illustrates how strong centralised public health authority, technological readiness, and coordinated leadership can enable rapid and efficient pandemic management. The case highlights the importance of preparedness, legal frameworks, and public trust in shaping successful national responses.</w:t>
      </w:r>
    </w:p>
    <w:p w14:paraId="7CAE5961" w14:textId="6E95A3BE" w:rsidR="00812761" w:rsidRPr="00150B10" w:rsidRDefault="00812761"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t>2.3 Canada</w:t>
      </w:r>
    </w:p>
    <w:p w14:paraId="0B1C5413" w14:textId="1EAD1C71"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Canada’s response to the COVID-19 pandemic was shaped profoundly by its federal health governance structure, which divides responsibilities between the federal government and the provinces and territories. Under the Canadian Constitution, provinces hold primary authority over health service delivery, </w:t>
      </w:r>
      <w:r w:rsidRPr="00150B10">
        <w:rPr>
          <w:rFonts w:ascii="Arial" w:hAnsi="Arial" w:cs="Arial"/>
          <w:kern w:val="0"/>
          <w:sz w:val="26"/>
          <w:szCs w:val="26"/>
          <w14:ligatures w14:val="none"/>
        </w:rPr>
        <w:lastRenderedPageBreak/>
        <w:t>hospitals, long-term care facilities, and public health operations, while the federal government oversees border control, national guidance, pharmaceutical regulation, and emergency procurement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2021). This decentralised model provides flexibility for regional adaptation but also requires strong intergovernmental coordination to ensure coherent national action. During COVID-19, these structural characteristics contributed to both policy innovation and significant coordination challenges.</w:t>
      </w:r>
    </w:p>
    <w:p w14:paraId="0D5B0FF5" w14:textId="44807985" w:rsidR="00812761" w:rsidRPr="00150B10" w:rsidRDefault="00812761"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Governance Structure and Early Response Challenges</w:t>
      </w:r>
    </w:p>
    <w:p w14:paraId="3A661D96" w14:textId="5D5B9B38"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In the early months of the pandemic, Canada faced difficulties in rapidly scaling up nationwide testing, surveillance, and border restrictions. The Public Health Agency of Canada (PHAC), established after the 2003 SARS outbreak, lacked the authority and resourcing to enforce strict national standards, resulting in considerable variation across provincial public health units (Wilson, 2021). Provincial autonomy meant that responses to school closures, mask mandates, gathering limits, and lockdowns differed widely across the country. For example, British Columbia implemented early and consistent public health communication, while Ontario and Quebec experienced fragmented messaging and high mortality rates in long-term care facilities (</w:t>
      </w:r>
      <w:proofErr w:type="spellStart"/>
      <w:r w:rsidRPr="00150B10">
        <w:rPr>
          <w:rFonts w:ascii="Arial" w:hAnsi="Arial" w:cs="Arial"/>
          <w:kern w:val="0"/>
          <w:sz w:val="26"/>
          <w:szCs w:val="26"/>
          <w14:ligatures w14:val="none"/>
        </w:rPr>
        <w:t>Attaran</w:t>
      </w:r>
      <w:proofErr w:type="spellEnd"/>
      <w:r w:rsidRPr="00150B10">
        <w:rPr>
          <w:rFonts w:ascii="Arial" w:hAnsi="Arial" w:cs="Arial"/>
          <w:kern w:val="0"/>
          <w:sz w:val="26"/>
          <w:szCs w:val="26"/>
          <w14:ligatures w14:val="none"/>
        </w:rPr>
        <w:t xml:space="preserve"> &amp; Houston, 2022). These discrepancies reflected differences in provincial capacity, leadership, and political priorities.</w:t>
      </w:r>
    </w:p>
    <w:p w14:paraId="17390954" w14:textId="271C0CE6"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Testing capacity and contact tracing efforts were also uneven. Some provinces mobilised robust laboratory networks, while others struggled to scale up systems. National data-sharing mechanisms were limited, making it difficult to produce a unified epidemiological picture during the first wave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2021). These early coordination issues contributed to delayed national responses and inconsistent public messaging.</w:t>
      </w:r>
    </w:p>
    <w:p w14:paraId="43A26C91" w14:textId="06F28CAD" w:rsidR="00812761" w:rsidRPr="00150B10" w:rsidRDefault="00812761"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Federal–Provincial Collaboration and Leadership Dynamics</w:t>
      </w:r>
    </w:p>
    <w:p w14:paraId="2E3F1F69" w14:textId="70BA907D"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lastRenderedPageBreak/>
        <w:t>Prime Minister Justin Trudeau’s federal leadership emphasised collaboration and unity, reflecting the limitations of federal power within a highly decentralised system. Trudeau’s government coordinated national procurement of personal protective equipment and vaccines, provided financial support to households and businesses, and held daily press briefings to maintain public trust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 However, without constitutional authority to impose national lockdowns or override provincial health policies, the federal government relied on cooperative federalism—encouraging, rather than mandating, provincial action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2021).</w:t>
      </w:r>
    </w:p>
    <w:p w14:paraId="3939DA5B" w14:textId="1B95BC3A"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While collaboration was often effective, tensions emerged when provincial decisions diverged from federal recommendations. These dynamics illustrate the challenge of practising crisis leadership in a federated system where political authority is dispersed.</w:t>
      </w:r>
    </w:p>
    <w:p w14:paraId="299501C2" w14:textId="20036ADD" w:rsidR="00812761" w:rsidRPr="00150B10" w:rsidRDefault="00812761"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Vaccination Rollout: Slow Start, Strong Finish</w:t>
      </w:r>
    </w:p>
    <w:p w14:paraId="17338FD4" w14:textId="7B260C33"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Canada’s vaccination campaign initially lagged behind other high-income countries due to limited domestic vaccine manufacturing capacity and strong reliance on global supply chains (</w:t>
      </w:r>
      <w:proofErr w:type="spellStart"/>
      <w:r w:rsidRPr="00150B10">
        <w:rPr>
          <w:rFonts w:ascii="Arial" w:hAnsi="Arial" w:cs="Arial"/>
          <w:kern w:val="0"/>
          <w:sz w:val="26"/>
          <w:szCs w:val="26"/>
          <w14:ligatures w14:val="none"/>
        </w:rPr>
        <w:t>Attaran</w:t>
      </w:r>
      <w:proofErr w:type="spellEnd"/>
      <w:r w:rsidRPr="00150B10">
        <w:rPr>
          <w:rFonts w:ascii="Arial" w:hAnsi="Arial" w:cs="Arial"/>
          <w:kern w:val="0"/>
          <w:sz w:val="26"/>
          <w:szCs w:val="26"/>
          <w14:ligatures w14:val="none"/>
        </w:rPr>
        <w:t xml:space="preserve"> &amp; Houston, 2022). Provinces varied widely in their distribution strategies, causing early confusion. However, once supply stabilised, Canada quickly became one of the most vaccinated populations globally. The unified federal procurement strategy, combined with provincial mass-vaccination clinics, community health centres, and public trust in vaccines, contributed to this success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w:t>
      </w:r>
    </w:p>
    <w:p w14:paraId="0D59501F" w14:textId="16A1BD6D" w:rsidR="00812761" w:rsidRPr="00150B10" w:rsidRDefault="00812761"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Assessment</w:t>
      </w:r>
    </w:p>
    <w:p w14:paraId="1F0668B7" w14:textId="3A36EC98" w:rsidR="00812761" w:rsidRPr="00150B10" w:rsidRDefault="00812761"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Canada’s pandemic response illustrates both the strengths and weaknesses of decentralised health governance. While provincial autonomy supports local responsiveness, it complicates coordinated national action during fast-moving crises. Despite early inconsistencies, Canada ultimately achieved strong vaccination outcomes, demonstrating the capacity of collaborative federal </w:t>
      </w:r>
      <w:r w:rsidRPr="00150B10">
        <w:rPr>
          <w:rFonts w:ascii="Arial" w:hAnsi="Arial" w:cs="Arial"/>
          <w:kern w:val="0"/>
          <w:sz w:val="26"/>
          <w:szCs w:val="26"/>
          <w14:ligatures w14:val="none"/>
        </w:rPr>
        <w:lastRenderedPageBreak/>
        <w:t>leadership when supported by adequate supply, public trust, and intergovernmental cooperation.</w:t>
      </w:r>
    </w:p>
    <w:p w14:paraId="63ADDC7B" w14:textId="04CE66B8" w:rsidR="00CD1F0E" w:rsidRPr="00150B10" w:rsidRDefault="00CD1F0E" w:rsidP="001E5816">
      <w:pPr>
        <w:spacing w:before="100" w:beforeAutospacing="1" w:after="100" w:afterAutospacing="1" w:line="360" w:lineRule="auto"/>
        <w:outlineLvl w:val="0"/>
        <w:rPr>
          <w:rFonts w:ascii="Arial" w:eastAsia="Times New Roman" w:hAnsi="Arial" w:cs="Arial"/>
          <w:b/>
          <w:bCs/>
          <w:kern w:val="36"/>
          <w:sz w:val="26"/>
          <w:szCs w:val="26"/>
          <w14:ligatures w14:val="none"/>
        </w:rPr>
      </w:pPr>
      <w:r w:rsidRPr="00150B10">
        <w:rPr>
          <w:rFonts w:ascii="Arial" w:eastAsia="Times New Roman" w:hAnsi="Arial" w:cs="Arial"/>
          <w:b/>
          <w:bCs/>
          <w:kern w:val="36"/>
          <w:sz w:val="26"/>
          <w:szCs w:val="26"/>
          <w14:ligatures w14:val="none"/>
        </w:rPr>
        <w:t xml:space="preserve">Comparative Summary </w:t>
      </w:r>
    </w:p>
    <w:p w14:paraId="61A2363B" w14:textId="075E505C" w:rsidR="00CD1F0E" w:rsidRPr="00150B10" w:rsidRDefault="00CD1F0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A comparison of Spain, South Korea, and Canada reveals how fundamentally different health system structures shaped the pace, coherence, and effectiveness of their COVID-19 responses. Spain’s highly decentralised model created early fragmentation, inconsistent regional responses, and delayed national action, despite the presence of a strong universal health system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Legido-Quigley</w:t>
      </w:r>
      <w:proofErr w:type="spellEnd"/>
      <w:r w:rsidRPr="00150B10">
        <w:rPr>
          <w:rFonts w:ascii="Arial" w:hAnsi="Arial" w:cs="Arial"/>
          <w:kern w:val="0"/>
          <w:sz w:val="26"/>
          <w:szCs w:val="26"/>
          <w14:ligatures w14:val="none"/>
        </w:rPr>
        <w:t xml:space="preserve"> et al., 2020). In contrast, South Korea’s centralised public health infrastructure, reinforced by legal reforms after the MERS outbreak, enabled rapid decision-making, nationwide coordination, and highly effective digital surveillance (Kim, 2021; You, 2020). Canada’s federated system fell between these two extremes: provinces led health service delivery and public health interventions, while the federal government played a coordinating and supportive role. This often resulted in slower, uneven early responses but ultimately delivered strong vaccination outcomes once intergovernmental coordination improved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w:t>
      </w:r>
    </w:p>
    <w:p w14:paraId="1AB30660" w14:textId="29765332" w:rsidR="0003783A" w:rsidRPr="00150B10" w:rsidRDefault="00CD1F0E"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South Korea stands out for its technological readiness, centralised governance, and rapid intervention. Spain demonstrates the limitations of decentralisation during crisis onset but shows the potential of strong primary care systems during vaccination. Canada highlights the complexities of shared authority, where collaboration rather than command drives crisis response. Overall, the comparison indicates that centralised structures facilitated faster initial control, whereas decentralised systems required more time to align but could still produce effective outcomes when coordination improved.</w:t>
      </w:r>
    </w:p>
    <w:p w14:paraId="18355FB6" w14:textId="218DACBA" w:rsidR="0003783A" w:rsidRPr="00150B10" w:rsidRDefault="0003783A"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t xml:space="preserve">3.1 Salvador </w:t>
      </w:r>
      <w:proofErr w:type="spellStart"/>
      <w:r w:rsidRPr="00150B10">
        <w:rPr>
          <w:rFonts w:ascii="Arial" w:eastAsia="Times New Roman" w:hAnsi="Arial" w:cs="Arial"/>
          <w:b/>
          <w:bCs/>
          <w:kern w:val="36"/>
          <w:sz w:val="26"/>
          <w:szCs w:val="26"/>
          <w14:ligatures w14:val="none"/>
        </w:rPr>
        <w:t>Illa</w:t>
      </w:r>
      <w:proofErr w:type="spellEnd"/>
      <w:r w:rsidRPr="00150B10">
        <w:rPr>
          <w:rFonts w:ascii="Arial" w:eastAsia="Times New Roman" w:hAnsi="Arial" w:cs="Arial"/>
          <w:b/>
          <w:bCs/>
          <w:kern w:val="36"/>
          <w:sz w:val="26"/>
          <w:szCs w:val="26"/>
          <w14:ligatures w14:val="none"/>
        </w:rPr>
        <w:t xml:space="preserve"> (Spain)</w:t>
      </w:r>
    </w:p>
    <w:p w14:paraId="32CED7B3" w14:textId="7F75B23E" w:rsidR="0003783A" w:rsidRPr="00150B10" w:rsidRDefault="0003783A"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lastRenderedPageBreak/>
        <w:t xml:space="preserve">Spain’s leadership during the early stages of the COVID-19 pandemic was strongly influenced by the actions and communication style of its Minister of Health,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His approach must be understood within the constraints of Spain’s highly decentralised health governance system, which limited his authority to impose swift and uniform national measures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illustrates the complexity of crisis decision-making in systems where political power is dispersed across regional governments.</w:t>
      </w:r>
    </w:p>
    <w:p w14:paraId="5E6F5F40" w14:textId="5C18EC8B" w:rsidR="0003783A" w:rsidRPr="00150B10" w:rsidRDefault="0003783A"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Early Leadership and Crisis Misjudgement</w:t>
      </w:r>
    </w:p>
    <w:p w14:paraId="081E962F" w14:textId="0FC2CB3F" w:rsidR="0003783A" w:rsidRPr="00150B10" w:rsidRDefault="0003783A"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During January and February 2020,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publicly communicated that Spain was prepared to manage the emerging threat. His widely cited statement on 30 January—“we do not minimise anything… the system is prepared”—reflected confidence in institutional capacity despite growing international alarm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From a leadership theory perspective, this demonstrates characteristics of situational leadership, where leaders assess the context and respond based on perceived readiness (</w:t>
      </w:r>
      <w:proofErr w:type="spellStart"/>
      <w:r w:rsidRPr="00150B10">
        <w:rPr>
          <w:rFonts w:ascii="Arial" w:hAnsi="Arial" w:cs="Arial"/>
          <w:kern w:val="0"/>
          <w:sz w:val="26"/>
          <w:szCs w:val="26"/>
          <w14:ligatures w14:val="none"/>
        </w:rPr>
        <w:t>Northouse</w:t>
      </w:r>
      <w:proofErr w:type="spellEnd"/>
      <w:r w:rsidRPr="00150B10">
        <w:rPr>
          <w:rFonts w:ascii="Arial" w:hAnsi="Arial" w:cs="Arial"/>
          <w:kern w:val="0"/>
          <w:sz w:val="26"/>
          <w:szCs w:val="26"/>
          <w14:ligatures w14:val="none"/>
        </w:rPr>
        <w:t xml:space="preserve">, 2021). However,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assessment underestimated the speed and severity of viral transmission, leading to delayed implementation of preventive measures.</w:t>
      </w:r>
    </w:p>
    <w:p w14:paraId="4041F38D" w14:textId="725FBD5B" w:rsidR="00393EC1" w:rsidRPr="00150B10" w:rsidRDefault="0003783A"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Research on crisis leadership stresses the importance of early anticipation, rapid mobilisation, and decisive communication (</w:t>
      </w:r>
      <w:proofErr w:type="spellStart"/>
      <w:r w:rsidRPr="00150B10">
        <w:rPr>
          <w:rFonts w:ascii="Arial" w:hAnsi="Arial" w:cs="Arial"/>
          <w:kern w:val="0"/>
          <w:sz w:val="26"/>
          <w:szCs w:val="26"/>
          <w14:ligatures w14:val="none"/>
        </w:rPr>
        <w:t>Boin</w:t>
      </w:r>
      <w:proofErr w:type="spellEnd"/>
      <w:r w:rsidRPr="00150B10">
        <w:rPr>
          <w:rFonts w:ascii="Arial" w:hAnsi="Arial" w:cs="Arial"/>
          <w:kern w:val="0"/>
          <w:sz w:val="26"/>
          <w:szCs w:val="26"/>
          <w14:ligatures w14:val="none"/>
        </w:rPr>
        <w:t xml:space="preserve"> et al., 2016).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initial approach lacked these elements, contributing to Spain’s rapid escalation of cases during March 2020. Structural constraints further complicated matters: regional </w:t>
      </w:r>
      <w:r w:rsidR="00393EC1" w:rsidRPr="00150B10">
        <w:rPr>
          <w:rFonts w:ascii="Arial" w:hAnsi="Arial" w:cs="Arial"/>
          <w:kern w:val="0"/>
          <w:sz w:val="26"/>
          <w:szCs w:val="26"/>
          <w14:ligatures w14:val="none"/>
        </w:rPr>
        <w:t>governments-controlled</w:t>
      </w:r>
      <w:r w:rsidRPr="00150B10">
        <w:rPr>
          <w:rFonts w:ascii="Arial" w:hAnsi="Arial" w:cs="Arial"/>
          <w:kern w:val="0"/>
          <w:sz w:val="26"/>
          <w:szCs w:val="26"/>
          <w14:ligatures w14:val="none"/>
        </w:rPr>
        <w:t xml:space="preserve"> hospitals, testing capacity, and local public health actions, resulting in inconsistent regional responses and fragmented messaging (</w:t>
      </w:r>
      <w:proofErr w:type="spellStart"/>
      <w:r w:rsidRPr="00150B10">
        <w:rPr>
          <w:rFonts w:ascii="Arial" w:hAnsi="Arial" w:cs="Arial"/>
          <w:kern w:val="0"/>
          <w:sz w:val="26"/>
          <w:szCs w:val="26"/>
          <w14:ligatures w14:val="none"/>
        </w:rPr>
        <w:t>Legido-Quigley</w:t>
      </w:r>
      <w:proofErr w:type="spellEnd"/>
      <w:r w:rsidRPr="00150B10">
        <w:rPr>
          <w:rFonts w:ascii="Arial" w:hAnsi="Arial" w:cs="Arial"/>
          <w:kern w:val="0"/>
          <w:sz w:val="26"/>
          <w:szCs w:val="26"/>
          <w14:ligatures w14:val="none"/>
        </w:rPr>
        <w:t xml:space="preserve"> et al., 2020). These limitations highlight the difficulty of exercising strong leadership in decentralised systems, where authority is shared and sometimes contested.</w:t>
      </w:r>
    </w:p>
    <w:p w14:paraId="42854559" w14:textId="51F49D5A" w:rsidR="00393EC1" w:rsidRPr="00150B10" w:rsidRDefault="0003783A"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Leadership During the State of Alarm</w:t>
      </w:r>
    </w:p>
    <w:p w14:paraId="13D383AF" w14:textId="7DF069FF" w:rsidR="0003783A" w:rsidRPr="00150B10" w:rsidRDefault="0003783A"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lastRenderedPageBreak/>
        <w:t xml:space="preserve">When infections surged, the Spanish government declared a national state of alarm, temporarily centralising authority in Madrid. For the first time in decades,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assumed direct control of regional health systems, enabling more coherent national coordination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xml:space="preserve">, 2021). This shift allowed Spain to implement nationwide lockdowns, strengthen surveillance, and standardise hospital protocols.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during this period demonstrated elements of adaptive leadership, as he adjusted strategies in response to rapidly changing circumstances and institutional weaknesses exposed by the crisis.</w:t>
      </w:r>
    </w:p>
    <w:p w14:paraId="36CD6584" w14:textId="1BF1AFC1" w:rsidR="0003783A" w:rsidRPr="00150B10" w:rsidRDefault="0003783A" w:rsidP="001E5816">
      <w:pPr>
        <w:spacing w:before="100" w:beforeAutospacing="1" w:after="100" w:afterAutospacing="1" w:line="360" w:lineRule="auto"/>
        <w:rPr>
          <w:rFonts w:ascii="Arial" w:hAnsi="Arial" w:cs="Arial"/>
          <w:kern w:val="0"/>
          <w:sz w:val="26"/>
          <w:szCs w:val="26"/>
          <w14:ligatures w14:val="none"/>
        </w:rPr>
      </w:pP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communication style during this phase was more frequent and transparent, aligning with crisis-leadership principles that emphasise clarity, unity, and public reassurance (</w:t>
      </w:r>
      <w:proofErr w:type="spellStart"/>
      <w:r w:rsidRPr="00150B10">
        <w:rPr>
          <w:rFonts w:ascii="Arial" w:hAnsi="Arial" w:cs="Arial"/>
          <w:kern w:val="0"/>
          <w:sz w:val="26"/>
          <w:szCs w:val="26"/>
          <w14:ligatures w14:val="none"/>
        </w:rPr>
        <w:t>Boin</w:t>
      </w:r>
      <w:proofErr w:type="spellEnd"/>
      <w:r w:rsidRPr="00150B10">
        <w:rPr>
          <w:rFonts w:ascii="Arial" w:hAnsi="Arial" w:cs="Arial"/>
          <w:kern w:val="0"/>
          <w:sz w:val="26"/>
          <w:szCs w:val="26"/>
          <w14:ligatures w14:val="none"/>
        </w:rPr>
        <w:t xml:space="preserve"> et al., 2016). However, earlier delays continued to shape public perceptions, leading to criticisms that the government had responded “too little, too late”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w:t>
      </w:r>
      <w:r w:rsidR="00393EC1" w:rsidRPr="00150B10">
        <w:rPr>
          <w:rFonts w:ascii="Arial" w:hAnsi="Arial" w:cs="Arial"/>
          <w:kern w:val="0"/>
          <w:sz w:val="26"/>
          <w:szCs w:val="26"/>
          <w14:ligatures w14:val="none"/>
        </w:rPr>
        <w:t>.</w:t>
      </w:r>
    </w:p>
    <w:p w14:paraId="185E4AAF" w14:textId="1B053E4F" w:rsidR="00393EC1" w:rsidRPr="00150B10" w:rsidRDefault="0003783A"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Leadership in Vaccination</w:t>
      </w:r>
    </w:p>
    <w:p w14:paraId="25BAF4D9" w14:textId="1AC5DC57" w:rsidR="0003783A" w:rsidRPr="00150B10" w:rsidRDefault="0003783A"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Although criticised for early missteps,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contributed indirectly to Spain’s later success as one of Europe’s “vaccination champions.” By late 2020, coordination between national and regional authorities improved, and Spain’s strong primary care infrastructure supported efficient vaccine distribution (</w:t>
      </w:r>
      <w:proofErr w:type="spellStart"/>
      <w:r w:rsidRPr="00150B10">
        <w:rPr>
          <w:rFonts w:ascii="Arial" w:hAnsi="Arial" w:cs="Arial"/>
          <w:kern w:val="0"/>
          <w:sz w:val="26"/>
          <w:szCs w:val="26"/>
          <w14:ligatures w14:val="none"/>
        </w:rPr>
        <w:t>Calleja</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promoted a nationally unified vaccination strategy before leaving office in January 2021, ensuring continuity and public confidence during rollout.</w:t>
      </w:r>
    </w:p>
    <w:p w14:paraId="635BED84" w14:textId="3ECD2150" w:rsidR="0003783A" w:rsidRPr="00150B10" w:rsidRDefault="0003783A"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Evaluation</w:t>
      </w:r>
    </w:p>
    <w:p w14:paraId="4D6D45FC" w14:textId="3EFBE0E4" w:rsidR="008E0E3F" w:rsidRPr="00150B10" w:rsidRDefault="0003783A"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Salvador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illustrates the challenges of crisis governance within a decentralised health system. While his early situational assessments were overly optimistic and contributed to delayed action, his later leadership during the centralised state of alarm demonstrated adaptability and improved coordination. Spain’s experience shows that leadership effectiveness is </w:t>
      </w:r>
      <w:r w:rsidRPr="00150B10">
        <w:rPr>
          <w:rFonts w:ascii="Arial" w:hAnsi="Arial" w:cs="Arial"/>
          <w:kern w:val="0"/>
          <w:sz w:val="26"/>
          <w:szCs w:val="26"/>
          <w14:ligatures w14:val="none"/>
        </w:rPr>
        <w:lastRenderedPageBreak/>
        <w:t>deeply intertwined with governance structures, communication clarity, and institutional capacity.</w:t>
      </w:r>
    </w:p>
    <w:p w14:paraId="74DBB75A" w14:textId="6BE0EDE4" w:rsidR="008E0E3F" w:rsidRPr="00150B10" w:rsidRDefault="008E0E3F"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t xml:space="preserve">3.1 Salvador </w:t>
      </w:r>
      <w:proofErr w:type="spellStart"/>
      <w:r w:rsidRPr="00150B10">
        <w:rPr>
          <w:rFonts w:ascii="Arial" w:eastAsia="Times New Roman" w:hAnsi="Arial" w:cs="Arial"/>
          <w:b/>
          <w:bCs/>
          <w:kern w:val="36"/>
          <w:sz w:val="26"/>
          <w:szCs w:val="26"/>
          <w14:ligatures w14:val="none"/>
        </w:rPr>
        <w:t>Illa</w:t>
      </w:r>
      <w:proofErr w:type="spellEnd"/>
      <w:r w:rsidRPr="00150B10">
        <w:rPr>
          <w:rFonts w:ascii="Arial" w:eastAsia="Times New Roman" w:hAnsi="Arial" w:cs="Arial"/>
          <w:b/>
          <w:bCs/>
          <w:kern w:val="36"/>
          <w:sz w:val="26"/>
          <w:szCs w:val="26"/>
          <w14:ligatures w14:val="none"/>
        </w:rPr>
        <w:t xml:space="preserve"> (Spain)</w:t>
      </w:r>
    </w:p>
    <w:p w14:paraId="62EDB7A0" w14:textId="291A5278" w:rsidR="008E0E3F" w:rsidRPr="00150B10" w:rsidRDefault="008E0E3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Spain’s leadership during the early stages of the COVID-19 pandemic was strongly influenced by the actions and communication style of its Minister of Health,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His approach must be understood within the constraints of Spain’s highly decentralised health governance system, which limited his authority to impose swift and uniform national measures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illustrates the complexity of crisis decision-making in systems where political power is dispersed across regional governments.</w:t>
      </w:r>
    </w:p>
    <w:p w14:paraId="2855E0DB" w14:textId="516FF19B" w:rsidR="008E0E3F" w:rsidRPr="00150B10" w:rsidRDefault="008E0E3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Early Leadership and Crisis Misjudgement</w:t>
      </w:r>
    </w:p>
    <w:p w14:paraId="71D9D122" w14:textId="2F89FDBA" w:rsidR="008E0E3F" w:rsidRPr="00150B10" w:rsidRDefault="008E0E3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During January and February 2020,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publicly communicated that Spain was prepared to manage the emerging threat. His widely cited statement on 30 January</w:t>
      </w:r>
      <w:r w:rsidR="004C644E" w:rsidRPr="00150B10">
        <w:rPr>
          <w:rFonts w:ascii="Arial" w:hAnsi="Arial" w:cs="Arial"/>
          <w:kern w:val="0"/>
          <w:sz w:val="26"/>
          <w:szCs w:val="26"/>
          <w14:ligatures w14:val="none"/>
        </w:rPr>
        <w:t>— “</w:t>
      </w:r>
      <w:r w:rsidRPr="00150B10">
        <w:rPr>
          <w:rFonts w:ascii="Arial" w:hAnsi="Arial" w:cs="Arial"/>
          <w:kern w:val="0"/>
          <w:sz w:val="26"/>
          <w:szCs w:val="26"/>
          <w14:ligatures w14:val="none"/>
        </w:rPr>
        <w:t>we do not minimise anything… the system is prepared”—reflected confidence in institutional capacity despite growing international alarm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From a leadership theory perspective, this demonstrates characteristics of situational leadership, where leaders assess the context and respond based on perceived readiness (</w:t>
      </w:r>
      <w:proofErr w:type="spellStart"/>
      <w:r w:rsidRPr="00150B10">
        <w:rPr>
          <w:rFonts w:ascii="Arial" w:hAnsi="Arial" w:cs="Arial"/>
          <w:kern w:val="0"/>
          <w:sz w:val="26"/>
          <w:szCs w:val="26"/>
          <w14:ligatures w14:val="none"/>
        </w:rPr>
        <w:t>Northouse</w:t>
      </w:r>
      <w:proofErr w:type="spellEnd"/>
      <w:r w:rsidRPr="00150B10">
        <w:rPr>
          <w:rFonts w:ascii="Arial" w:hAnsi="Arial" w:cs="Arial"/>
          <w:kern w:val="0"/>
          <w:sz w:val="26"/>
          <w:szCs w:val="26"/>
          <w14:ligatures w14:val="none"/>
        </w:rPr>
        <w:t xml:space="preserve">, 2021). However,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assessment underestimated the speed and severity of viral transmission, leading to delayed implementation of preventive measures.</w:t>
      </w:r>
    </w:p>
    <w:p w14:paraId="3F527B6E" w14:textId="6A4B9E4A" w:rsidR="008E0E3F" w:rsidRPr="00150B10" w:rsidRDefault="008E0E3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Research on crisis leadership stresses the importance of early anticipation, rapid mobilisation, and decisive communication (</w:t>
      </w:r>
      <w:proofErr w:type="spellStart"/>
      <w:r w:rsidRPr="00150B10">
        <w:rPr>
          <w:rFonts w:ascii="Arial" w:hAnsi="Arial" w:cs="Arial"/>
          <w:kern w:val="0"/>
          <w:sz w:val="26"/>
          <w:szCs w:val="26"/>
          <w14:ligatures w14:val="none"/>
        </w:rPr>
        <w:t>Boin</w:t>
      </w:r>
      <w:proofErr w:type="spellEnd"/>
      <w:r w:rsidRPr="00150B10">
        <w:rPr>
          <w:rFonts w:ascii="Arial" w:hAnsi="Arial" w:cs="Arial"/>
          <w:kern w:val="0"/>
          <w:sz w:val="26"/>
          <w:szCs w:val="26"/>
          <w14:ligatures w14:val="none"/>
        </w:rPr>
        <w:t xml:space="preserve"> et al., 2016).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initial approach lacked these elements, contributing to Spain’s rapid escalation of cases during March 2020. Structural constraints further complicated matters: regional governments controlled hospitals, testing capacity, and local public health actions, resulting in inconsistent regional responses and fragmented messaging (</w:t>
      </w:r>
      <w:proofErr w:type="spellStart"/>
      <w:r w:rsidRPr="00150B10">
        <w:rPr>
          <w:rFonts w:ascii="Arial" w:hAnsi="Arial" w:cs="Arial"/>
          <w:kern w:val="0"/>
          <w:sz w:val="26"/>
          <w:szCs w:val="26"/>
          <w14:ligatures w14:val="none"/>
        </w:rPr>
        <w:t>Legido-Quigley</w:t>
      </w:r>
      <w:proofErr w:type="spellEnd"/>
      <w:r w:rsidRPr="00150B10">
        <w:rPr>
          <w:rFonts w:ascii="Arial" w:hAnsi="Arial" w:cs="Arial"/>
          <w:kern w:val="0"/>
          <w:sz w:val="26"/>
          <w:szCs w:val="26"/>
          <w14:ligatures w14:val="none"/>
        </w:rPr>
        <w:t xml:space="preserve"> et al., 2020). These limitations highlight the </w:t>
      </w:r>
      <w:r w:rsidRPr="00150B10">
        <w:rPr>
          <w:rFonts w:ascii="Arial" w:hAnsi="Arial" w:cs="Arial"/>
          <w:kern w:val="0"/>
          <w:sz w:val="26"/>
          <w:szCs w:val="26"/>
          <w14:ligatures w14:val="none"/>
        </w:rPr>
        <w:lastRenderedPageBreak/>
        <w:t>difficulty of exercising strong leadership in decentralised systems, where authority is shared and sometimes contested.</w:t>
      </w:r>
    </w:p>
    <w:p w14:paraId="3247CF88" w14:textId="51E3FE48" w:rsidR="008E0E3F" w:rsidRPr="00150B10" w:rsidRDefault="008E0E3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Leadership During the State of Alarm</w:t>
      </w:r>
    </w:p>
    <w:p w14:paraId="5341E284" w14:textId="2659F096" w:rsidR="008E0E3F" w:rsidRPr="00150B10" w:rsidRDefault="008E0E3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When infections surged, the Spanish government declared a national state of alarm, temporarily centralising authority in Madrid. For the first time in decades,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assumed direct control of regional health systems, enabling more coherent national coordination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xml:space="preserve">, 2021). This shift allowed Spain to implement nationwide lockdowns, strengthen surveillance, and standardise hospital protocols.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during this period demonstrated elements of adaptive leadership, as he adjusted strategies in response to rapidly changing circumstances and institutional weaknesses exposed by the crisis.</w:t>
      </w:r>
    </w:p>
    <w:p w14:paraId="6FFE7B37" w14:textId="2016C4FA" w:rsidR="008E0E3F" w:rsidRPr="00150B10" w:rsidRDefault="008E0E3F" w:rsidP="001E5816">
      <w:pPr>
        <w:spacing w:before="100" w:beforeAutospacing="1" w:after="100" w:afterAutospacing="1" w:line="360" w:lineRule="auto"/>
        <w:rPr>
          <w:rFonts w:ascii="Arial" w:hAnsi="Arial" w:cs="Arial"/>
          <w:kern w:val="0"/>
          <w:sz w:val="26"/>
          <w:szCs w:val="26"/>
          <w14:ligatures w14:val="none"/>
        </w:rPr>
      </w:pP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communication style during this phase was more frequent and transparent, aligning with crisis-leadership principles that emphasise clarity, unity, and public reassurance (</w:t>
      </w:r>
      <w:proofErr w:type="spellStart"/>
      <w:r w:rsidRPr="00150B10">
        <w:rPr>
          <w:rFonts w:ascii="Arial" w:hAnsi="Arial" w:cs="Arial"/>
          <w:kern w:val="0"/>
          <w:sz w:val="26"/>
          <w:szCs w:val="26"/>
          <w14:ligatures w14:val="none"/>
        </w:rPr>
        <w:t>Boin</w:t>
      </w:r>
      <w:proofErr w:type="spellEnd"/>
      <w:r w:rsidRPr="00150B10">
        <w:rPr>
          <w:rFonts w:ascii="Arial" w:hAnsi="Arial" w:cs="Arial"/>
          <w:kern w:val="0"/>
          <w:sz w:val="26"/>
          <w:szCs w:val="26"/>
          <w14:ligatures w14:val="none"/>
        </w:rPr>
        <w:t xml:space="preserve"> et al., 2016). However, earlier delays continued to shape public perceptions, leading to criticisms that the government had responded “too little, too late”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w:t>
      </w:r>
    </w:p>
    <w:p w14:paraId="2BE52989" w14:textId="21508764" w:rsidR="008E0E3F" w:rsidRPr="00150B10" w:rsidRDefault="008E0E3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Leadership in Vaccination</w:t>
      </w:r>
    </w:p>
    <w:p w14:paraId="248CA67F" w14:textId="2FF801BA" w:rsidR="008E0E3F" w:rsidRPr="00150B10" w:rsidRDefault="008E0E3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Although criticised for early missteps,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contributed indirectly to Spain’s later success as one of Europe’s “vaccination champions.” By late 2020, coordination between national and regional authorities improved, and Spain’s strong primary care infrastructure supported efficient vaccine distribution (</w:t>
      </w:r>
      <w:proofErr w:type="spellStart"/>
      <w:r w:rsidRPr="00150B10">
        <w:rPr>
          <w:rFonts w:ascii="Arial" w:hAnsi="Arial" w:cs="Arial"/>
          <w:kern w:val="0"/>
          <w:sz w:val="26"/>
          <w:szCs w:val="26"/>
          <w14:ligatures w14:val="none"/>
        </w:rPr>
        <w:t>Calleja</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promoted a nationally unified vaccination strategy before leaving office in January 2021, ensuring continuity and public confidence during rollout.</w:t>
      </w:r>
    </w:p>
    <w:p w14:paraId="124F10D6" w14:textId="2E0FECBA" w:rsidR="008E0E3F" w:rsidRPr="00150B10" w:rsidRDefault="008E0E3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Evaluation</w:t>
      </w:r>
    </w:p>
    <w:p w14:paraId="3C0FE739" w14:textId="3FA476A6" w:rsidR="00E34ED0" w:rsidRPr="00150B10" w:rsidRDefault="008E0E3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Salvador </w:t>
      </w:r>
      <w:proofErr w:type="spellStart"/>
      <w:r w:rsidRPr="00150B10">
        <w:rPr>
          <w:rFonts w:ascii="Arial" w:hAnsi="Arial" w:cs="Arial"/>
          <w:kern w:val="0"/>
          <w:sz w:val="26"/>
          <w:szCs w:val="26"/>
          <w14:ligatures w14:val="none"/>
        </w:rPr>
        <w:t>Illa’s</w:t>
      </w:r>
      <w:proofErr w:type="spellEnd"/>
      <w:r w:rsidRPr="00150B10">
        <w:rPr>
          <w:rFonts w:ascii="Arial" w:hAnsi="Arial" w:cs="Arial"/>
          <w:kern w:val="0"/>
          <w:sz w:val="26"/>
          <w:szCs w:val="26"/>
          <w14:ligatures w14:val="none"/>
        </w:rPr>
        <w:t xml:space="preserve"> leadership illustrates the challenges of crisis governance within a decentralised health system. While his early situational assessments were </w:t>
      </w:r>
      <w:r w:rsidRPr="00150B10">
        <w:rPr>
          <w:rFonts w:ascii="Arial" w:hAnsi="Arial" w:cs="Arial"/>
          <w:kern w:val="0"/>
          <w:sz w:val="26"/>
          <w:szCs w:val="26"/>
          <w14:ligatures w14:val="none"/>
        </w:rPr>
        <w:lastRenderedPageBreak/>
        <w:t>overly optimistic and contributed to delayed action, his later leadership during the centralised state of alarm demonstrated adaptability and improved coordination. Spain’s experience shows that leadership effectiveness is deeply intertwined with governance structures, communication clarity, and institutional capacity.</w:t>
      </w:r>
    </w:p>
    <w:p w14:paraId="5F6FEC64" w14:textId="21289BD6" w:rsidR="00E34ED0" w:rsidRPr="00150B10" w:rsidRDefault="00E34ED0"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t>3.3 Justin Trudeau (Canad</w:t>
      </w:r>
      <w:r w:rsidR="00ED785A" w:rsidRPr="00150B10">
        <w:rPr>
          <w:rFonts w:ascii="Arial" w:eastAsia="Times New Roman" w:hAnsi="Arial" w:cs="Arial"/>
          <w:b/>
          <w:bCs/>
          <w:kern w:val="36"/>
          <w:sz w:val="26"/>
          <w:szCs w:val="26"/>
          <w14:ligatures w14:val="none"/>
        </w:rPr>
        <w:t>a</w:t>
      </w:r>
      <w:r w:rsidRPr="00150B10">
        <w:rPr>
          <w:rFonts w:ascii="Arial" w:eastAsia="Times New Roman" w:hAnsi="Arial" w:cs="Arial"/>
          <w:b/>
          <w:bCs/>
          <w:kern w:val="36"/>
          <w:sz w:val="26"/>
          <w:szCs w:val="26"/>
          <w14:ligatures w14:val="none"/>
        </w:rPr>
        <w:t>)</w:t>
      </w:r>
    </w:p>
    <w:p w14:paraId="3A948758" w14:textId="15DF4940"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Prime Minister Justin Trudeau played a highly visible and influential leadership role during Canada’s COVID-19 response. His leadership approach was shaped by the country’s federal governance structure, in which health responsibilities are divided between federal and provincial governments. Unlike leaders operating within centralised systems, Trudeau’s role required consensus-building, negotiation, and supportive coordination rather than direct command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2021). His leadership style therefore reflects principles of collaborative, emotional, and distributed leadership, shaped as much by constitutional limits as by personal style.</w:t>
      </w:r>
    </w:p>
    <w:p w14:paraId="308517C5" w14:textId="7B8BDACD" w:rsidR="00E34ED0" w:rsidRPr="00150B10" w:rsidRDefault="00E34ED0"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Collaborative Leadership Within a Decentralised System</w:t>
      </w:r>
    </w:p>
    <w:p w14:paraId="43B0E082" w14:textId="3163B8FE"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Canada’s federal system places primary responsibility for public health, hospitals, and emergency management in the hands of provincial governments. This meant that Trudeau lacked the authority to impose national lockdowns, school closures, or mask mandates. Instead, his leadership required sustained intergovernmental collaboration, consistent with distributed leadership theory, where decision-making is shared across multiple actors and institutions (Spillane, 2005). Trudeau regularly convened meetings with provincial and territorial premiers to align national and regional strategies, although variations in provincial responses remained significant (Wilson, 2021).</w:t>
      </w:r>
    </w:p>
    <w:p w14:paraId="20248266" w14:textId="215C88A2"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Trudeau’s leadership emphasised unity, empathy, and national solidarity. These qualities align with emotional intelligence leadership theory, which </w:t>
      </w:r>
      <w:r w:rsidRPr="00150B10">
        <w:rPr>
          <w:rFonts w:ascii="Arial" w:hAnsi="Arial" w:cs="Arial"/>
          <w:kern w:val="0"/>
          <w:sz w:val="26"/>
          <w:szCs w:val="26"/>
          <w14:ligatures w14:val="none"/>
        </w:rPr>
        <w:lastRenderedPageBreak/>
        <w:t>highlights the importance of self-awareness, social awareness, and relationship management in building public trust (</w:t>
      </w:r>
      <w:proofErr w:type="spellStart"/>
      <w:r w:rsidRPr="00150B10">
        <w:rPr>
          <w:rFonts w:ascii="Arial" w:hAnsi="Arial" w:cs="Arial"/>
          <w:kern w:val="0"/>
          <w:sz w:val="26"/>
          <w:szCs w:val="26"/>
          <w14:ligatures w14:val="none"/>
        </w:rPr>
        <w:t>Goleman</w:t>
      </w:r>
      <w:proofErr w:type="spellEnd"/>
      <w:r w:rsidRPr="00150B10">
        <w:rPr>
          <w:rFonts w:ascii="Arial" w:hAnsi="Arial" w:cs="Arial"/>
          <w:kern w:val="0"/>
          <w:sz w:val="26"/>
          <w:szCs w:val="26"/>
          <w14:ligatures w14:val="none"/>
        </w:rPr>
        <w:t>, 1995). Trudeau’s frequent public addresses, including daily briefings in the early stages of the pandemic, focused on reassurance, compassion, and community responsibility.</w:t>
      </w:r>
    </w:p>
    <w:p w14:paraId="4C62F98A" w14:textId="68A87700" w:rsidR="00E34ED0" w:rsidRPr="00150B10" w:rsidRDefault="00E34ED0"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Crisis Communication and Public Engagement</w:t>
      </w:r>
    </w:p>
    <w:p w14:paraId="45789129" w14:textId="42FA99DB"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Trudeau’s communication strategy prioritised transparency and emotional connection. He addressed the nation from outside his residence while his family was in self-isolation, reinforcing shared vulnerability and social solidarity. According to crisis leadership theory, leaders who demonstrate empathy and provide clear, consistent communication foster higher levels of compliance and trust (</w:t>
      </w:r>
      <w:proofErr w:type="spellStart"/>
      <w:r w:rsidRPr="00150B10">
        <w:rPr>
          <w:rFonts w:ascii="Arial" w:hAnsi="Arial" w:cs="Arial"/>
          <w:kern w:val="0"/>
          <w:sz w:val="26"/>
          <w:szCs w:val="26"/>
          <w14:ligatures w14:val="none"/>
        </w:rPr>
        <w:t>Boin</w:t>
      </w:r>
      <w:proofErr w:type="spellEnd"/>
      <w:r w:rsidRPr="00150B10">
        <w:rPr>
          <w:rFonts w:ascii="Arial" w:hAnsi="Arial" w:cs="Arial"/>
          <w:kern w:val="0"/>
          <w:sz w:val="26"/>
          <w:szCs w:val="26"/>
          <w14:ligatures w14:val="none"/>
        </w:rPr>
        <w:t xml:space="preserve"> et al., 2016). Trudeau applied these principles by emphasising public health expertise, encouraging adherence to guidelines, and promoting national unity.</w:t>
      </w:r>
    </w:p>
    <w:p w14:paraId="000CE1E3" w14:textId="06D85865"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His government also implemented significant financial support programmes, including the Canada Emergency Response Benefit (CERB), wage subsidies, and business support grants. These interventions reflected elements of servant leadership, prioritising citizens’ welfare and mitigating socioeconomic harms (</w:t>
      </w:r>
      <w:proofErr w:type="spellStart"/>
      <w:r w:rsidRPr="00150B10">
        <w:rPr>
          <w:rFonts w:ascii="Arial" w:hAnsi="Arial" w:cs="Arial"/>
          <w:kern w:val="0"/>
          <w:sz w:val="26"/>
          <w:szCs w:val="26"/>
          <w14:ligatures w14:val="none"/>
        </w:rPr>
        <w:t>Greenleaf</w:t>
      </w:r>
      <w:proofErr w:type="spellEnd"/>
      <w:r w:rsidRPr="00150B10">
        <w:rPr>
          <w:rFonts w:ascii="Arial" w:hAnsi="Arial" w:cs="Arial"/>
          <w:kern w:val="0"/>
          <w:sz w:val="26"/>
          <w:szCs w:val="26"/>
          <w14:ligatures w14:val="none"/>
        </w:rPr>
        <w:t>, 1977).</w:t>
      </w:r>
    </w:p>
    <w:p w14:paraId="55F48E91" w14:textId="2D0D7DEC" w:rsidR="00E34ED0" w:rsidRPr="00150B10" w:rsidRDefault="00E34ED0"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Challenges in Early Response and Provincial Variability</w:t>
      </w:r>
    </w:p>
    <w:p w14:paraId="173FF405" w14:textId="5A80BC48"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Despite strong public communication, Trudeau’s leadership faced notable challenges. Early delays in closing borders, limited domestic vaccine manufacturing capacity, and uneven provincial responses led to criticism of Canada’s initial pandemic strategy (</w:t>
      </w:r>
      <w:proofErr w:type="spellStart"/>
      <w:r w:rsidRPr="00150B10">
        <w:rPr>
          <w:rFonts w:ascii="Arial" w:hAnsi="Arial" w:cs="Arial"/>
          <w:kern w:val="0"/>
          <w:sz w:val="26"/>
          <w:szCs w:val="26"/>
          <w14:ligatures w14:val="none"/>
        </w:rPr>
        <w:t>Attaran</w:t>
      </w:r>
      <w:proofErr w:type="spellEnd"/>
      <w:r w:rsidRPr="00150B10">
        <w:rPr>
          <w:rFonts w:ascii="Arial" w:hAnsi="Arial" w:cs="Arial"/>
          <w:kern w:val="0"/>
          <w:sz w:val="26"/>
          <w:szCs w:val="26"/>
          <w14:ligatures w14:val="none"/>
        </w:rPr>
        <w:t xml:space="preserve"> &amp; Houston, 2022). Provinces diverged widely in policy stringency, reflecting political differences and varying epidemiological contexts. This fragmentation demonstrated the structural limitations of federal leadership in a decentralised system.</w:t>
      </w:r>
    </w:p>
    <w:p w14:paraId="76751B3A" w14:textId="0AE86310"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lastRenderedPageBreak/>
        <w:t>Trudeau’s government attempted to harmonise responses through national guidance, but without constitutional authority to enforce uniform action, implementation depended on provincial alignment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2021). The result was a patchwork of policies, with some provinces reacting quickly and others experiencing severe outbreaks, particularly in long-term care settings.</w:t>
      </w:r>
    </w:p>
    <w:p w14:paraId="47536143" w14:textId="10DC8E55" w:rsidR="00E34ED0" w:rsidRPr="00150B10" w:rsidRDefault="00E34ED0"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Vaccination Leadership: Slow Start, Strong Finish</w:t>
      </w:r>
    </w:p>
    <w:p w14:paraId="4927F2AA" w14:textId="0C66B696"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Canada’s vaccination rollout began slowly due to reliance on international supply chains, but once procurement stabilised, the federal government delivered vaccines efficiently to provinces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 Trudeau’s clear messaging, unified national strategy, and coordination with provinces contributed to Canada achieving one of the highest vaccination rates globally. This success demonstrated the capacity of collaborative federal leadership to deliver strong outcomes once structural constraints were addressed.</w:t>
      </w:r>
    </w:p>
    <w:p w14:paraId="235214CD" w14:textId="0E05430C" w:rsidR="00E34ED0" w:rsidRPr="00150B10" w:rsidRDefault="00E34ED0"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Assessment</w:t>
      </w:r>
    </w:p>
    <w:p w14:paraId="2E6793EC" w14:textId="6D91436A" w:rsidR="00E34ED0" w:rsidRPr="00150B10" w:rsidRDefault="00E34ED0"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Justin Trudeau’s leadership during COVID-19 exemplifies the complexities of crisis governance in a highly decentralised federation. His approach—rooted in empathy, collaboration, and national unity—aligned with key leadership theories but was constrained by Canada’s constitutional division of powers. Ultimately, Trudeau’s leadership proved effective in vaccination and public communication, even as early containment efforts revealed structural limitations beyond federal control.</w:t>
      </w:r>
    </w:p>
    <w:p w14:paraId="4B65E24B" w14:textId="21EA2879" w:rsidR="002E31A8" w:rsidRPr="00150B10" w:rsidRDefault="002E31A8" w:rsidP="001E5816">
      <w:pPr>
        <w:spacing w:before="100" w:beforeAutospacing="1" w:after="100" w:afterAutospacing="1" w:line="360" w:lineRule="auto"/>
        <w:outlineLvl w:val="0"/>
        <w:rPr>
          <w:rFonts w:ascii="Arial" w:eastAsia="Times New Roman" w:hAnsi="Arial" w:cs="Arial"/>
          <w:b/>
          <w:bCs/>
          <w:kern w:val="36"/>
          <w:sz w:val="26"/>
          <w:szCs w:val="26"/>
          <w14:ligatures w14:val="none"/>
        </w:rPr>
      </w:pPr>
      <w:r w:rsidRPr="00150B10">
        <w:rPr>
          <w:rFonts w:ascii="Arial" w:eastAsia="Times New Roman" w:hAnsi="Arial" w:cs="Arial"/>
          <w:b/>
          <w:bCs/>
          <w:kern w:val="36"/>
          <w:sz w:val="26"/>
          <w:szCs w:val="26"/>
          <w14:ligatures w14:val="none"/>
        </w:rPr>
        <w:t>Comparative Leadership Analysis</w:t>
      </w:r>
    </w:p>
    <w:p w14:paraId="0CF682FB" w14:textId="063043BC" w:rsidR="002E31A8" w:rsidRPr="00150B10" w:rsidRDefault="002E31A8"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A comparative analysis of the leadership of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Chung </w:t>
      </w:r>
      <w:proofErr w:type="spellStart"/>
      <w:r w:rsidRPr="00150B10">
        <w:rPr>
          <w:rFonts w:ascii="Arial" w:hAnsi="Arial" w:cs="Arial"/>
          <w:kern w:val="0"/>
          <w:sz w:val="26"/>
          <w:szCs w:val="26"/>
          <w14:ligatures w14:val="none"/>
        </w:rPr>
        <w:t>Sye-kyun</w:t>
      </w:r>
      <w:proofErr w:type="spellEnd"/>
      <w:r w:rsidRPr="00150B10">
        <w:rPr>
          <w:rFonts w:ascii="Arial" w:hAnsi="Arial" w:cs="Arial"/>
          <w:kern w:val="0"/>
          <w:sz w:val="26"/>
          <w:szCs w:val="26"/>
          <w14:ligatures w14:val="none"/>
        </w:rPr>
        <w:t xml:space="preserve">, and Justin Trudeau reveals how governance structures and leadership styles jointly shaped national responses to COVID-19.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operating within Spain’s highly decentralised system, demonstrated elements of situational leadership, but his early underestimation of risk and fragmented authority constrained </w:t>
      </w:r>
      <w:r w:rsidRPr="00150B10">
        <w:rPr>
          <w:rFonts w:ascii="Arial" w:hAnsi="Arial" w:cs="Arial"/>
          <w:kern w:val="0"/>
          <w:sz w:val="26"/>
          <w:szCs w:val="26"/>
          <w14:ligatures w14:val="none"/>
        </w:rPr>
        <w:lastRenderedPageBreak/>
        <w:t>timely action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By contrast, Chung operated in a centralised public health environment that enabled transformational and crisis-oriented leadership, characterised by transparency, rapid decision-making, and strong inter-agency coordination (Kim, 2021; Park et al., 2021). His approach exemplified the advantages of clear institutional authority and high public trust.</w:t>
      </w:r>
    </w:p>
    <w:p w14:paraId="1EE17AE9" w14:textId="674A00AA" w:rsidR="002E31A8" w:rsidRPr="00150B10" w:rsidRDefault="002E31A8"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Trudeau faced structural challenges similar to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due to Canada’s decentralised federation, but his leadership relied on collaboration, emotional intelligence, and distributed decision-making (</w:t>
      </w:r>
      <w:proofErr w:type="spellStart"/>
      <w:r w:rsidRPr="00150B10">
        <w:rPr>
          <w:rFonts w:ascii="Arial" w:hAnsi="Arial" w:cs="Arial"/>
          <w:kern w:val="0"/>
          <w:sz w:val="26"/>
          <w:szCs w:val="26"/>
          <w14:ligatures w14:val="none"/>
        </w:rPr>
        <w:t>Goleman</w:t>
      </w:r>
      <w:proofErr w:type="spellEnd"/>
      <w:r w:rsidRPr="00150B10">
        <w:rPr>
          <w:rFonts w:ascii="Arial" w:hAnsi="Arial" w:cs="Arial"/>
          <w:kern w:val="0"/>
          <w:sz w:val="26"/>
          <w:szCs w:val="26"/>
          <w14:ligatures w14:val="none"/>
        </w:rPr>
        <w:t xml:space="preserve">, 1995;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2021). While lacking the power to mandate national measures, he effectively built unity and coordinated national vaccine procurement, though early variability across provinces limited immediate impact.</w:t>
      </w:r>
    </w:p>
    <w:p w14:paraId="6A3D8F5F" w14:textId="66C97852" w:rsidR="005D53D4" w:rsidRPr="00150B10" w:rsidRDefault="002E31A8"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Overall, Chung’s leadership was the most decisive due to strong structural support, whereas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and Trudeau demonstrated the constraints of decentralisation. This comparison highlights that effective crisis leadership depends not only on personal style but also on the degree of political centralisation and institutional capacity within each jurisdiction.</w:t>
      </w:r>
      <w:r w:rsidR="005D53D4" w:rsidRPr="00150B10">
        <w:rPr>
          <w:rFonts w:ascii="Arial" w:hAnsi="Arial" w:cs="Arial"/>
          <w:kern w:val="0"/>
          <w:sz w:val="26"/>
          <w:szCs w:val="26"/>
          <w14:ligatures w14:val="none"/>
        </w:rPr>
        <w:t xml:space="preserve"> </w:t>
      </w:r>
    </w:p>
    <w:p w14:paraId="0A706D17" w14:textId="7463AE9A" w:rsidR="005D53D4" w:rsidRPr="00150B10" w:rsidRDefault="005D53D4"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t>4. Centralisation vs Decentralisation</w:t>
      </w:r>
    </w:p>
    <w:p w14:paraId="5C607660" w14:textId="7CD7A7A9"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The contrasting experiences of Spain, South Korea, and Canada during the COVID-19 pandemic demonstrate the profound influence of centralisation and decentralisation on crisis governance, public health coordination, and political decision-making. The pandemic revealed that neither model is inherently superior; rather, the effectiveness of each depends on institutional preparedness, intergovernmental cooperation, and the leadership approaches operating within those structures.</w:t>
      </w:r>
    </w:p>
    <w:p w14:paraId="4A7611A2" w14:textId="72B853A7" w:rsidR="005D53D4" w:rsidRPr="00150B10" w:rsidRDefault="005D53D4"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Centralisation and Rapid Crisis Response</w:t>
      </w:r>
    </w:p>
    <w:p w14:paraId="488DA907" w14:textId="5E89AAF3"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lastRenderedPageBreak/>
        <w:t xml:space="preserve">South Korea represents a case were centralised public health authority significantly enhanced crisis responsiveness. The Korea Disease Control and Prevention Agency (KDCA) </w:t>
      </w:r>
      <w:r w:rsidR="009C4B41" w:rsidRPr="00150B10">
        <w:rPr>
          <w:rFonts w:ascii="Arial" w:hAnsi="Arial" w:cs="Arial"/>
          <w:kern w:val="0"/>
          <w:sz w:val="26"/>
          <w:szCs w:val="26"/>
          <w14:ligatures w14:val="none"/>
        </w:rPr>
        <w:t>possess</w:t>
      </w:r>
      <w:r w:rsidRPr="00150B10">
        <w:rPr>
          <w:rFonts w:ascii="Arial" w:hAnsi="Arial" w:cs="Arial"/>
          <w:kern w:val="0"/>
          <w:sz w:val="26"/>
          <w:szCs w:val="26"/>
          <w14:ligatures w14:val="none"/>
        </w:rPr>
        <w:t xml:space="preserve"> strong legal powers to coordinate surveillance, testing, and contact tracing across all regions, supported by digital infrastructure developed after the MERS outbreak (Kim, 2021). Centralisation enabled rapid nationwide interventions, consistent messaging, and the fast mobilisation of public and private resources. Because authority was concentrated, the government could quickly implement mass testing and technological surveillance without awaiting regional approval (You, 2020). Leadership, particularly from Prime Minister Chung </w:t>
      </w:r>
      <w:proofErr w:type="spellStart"/>
      <w:r w:rsidRPr="00150B10">
        <w:rPr>
          <w:rFonts w:ascii="Arial" w:hAnsi="Arial" w:cs="Arial"/>
          <w:kern w:val="0"/>
          <w:sz w:val="26"/>
          <w:szCs w:val="26"/>
          <w14:ligatures w14:val="none"/>
        </w:rPr>
        <w:t>Sye-kyun</w:t>
      </w:r>
      <w:proofErr w:type="spellEnd"/>
      <w:r w:rsidRPr="00150B10">
        <w:rPr>
          <w:rFonts w:ascii="Arial" w:hAnsi="Arial" w:cs="Arial"/>
          <w:kern w:val="0"/>
          <w:sz w:val="26"/>
          <w:szCs w:val="26"/>
          <w14:ligatures w14:val="none"/>
        </w:rPr>
        <w:t>, benefited from a governance environment that facilitated decisive action, thus illustrating how centralisation can strengthen crisis leadership and ensure policy coherence (Park et al., 2021).</w:t>
      </w:r>
    </w:p>
    <w:p w14:paraId="231CC258" w14:textId="6CBC9905" w:rsidR="005D53D4" w:rsidRPr="00150B10" w:rsidRDefault="005D53D4"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Decentralisation and Coordination Challenges</w:t>
      </w:r>
    </w:p>
    <w:p w14:paraId="5A164145" w14:textId="448F2BB5"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Spain and Canada provide contrasting examples of decentralised health systems, where political authority is shared across multiple jurisdictions. In Spain, autonomous communities hold primary responsibility for health governance, creating variation in resources, preparedness, and response strategies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2021). This decentralisation delayed early action during COVID-19, as the national government struggled to coordinate regions with differing epidemiological situations and political priorities. The temporary re-centralisation under the state of alarm improved coordination but highlighted longstanding structural fragmentation (</w:t>
      </w:r>
      <w:proofErr w:type="spellStart"/>
      <w:r w:rsidRPr="00150B10">
        <w:rPr>
          <w:rFonts w:ascii="Arial" w:hAnsi="Arial" w:cs="Arial"/>
          <w:kern w:val="0"/>
          <w:sz w:val="26"/>
          <w:szCs w:val="26"/>
          <w14:ligatures w14:val="none"/>
        </w:rPr>
        <w:t>Legido-Quigley</w:t>
      </w:r>
      <w:proofErr w:type="spellEnd"/>
      <w:r w:rsidRPr="00150B10">
        <w:rPr>
          <w:rFonts w:ascii="Arial" w:hAnsi="Arial" w:cs="Arial"/>
          <w:kern w:val="0"/>
          <w:sz w:val="26"/>
          <w:szCs w:val="26"/>
          <w14:ligatures w14:val="none"/>
        </w:rPr>
        <w:t xml:space="preserve"> et al., 2020).</w:t>
      </w:r>
    </w:p>
    <w:p w14:paraId="0CC7883B" w14:textId="00147CF5"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Canada likewise experienced coordination challenges. Provincial autonomy meant that responses varied widely across the country, creating a “patchwork” of interventions based on local political preferences, health system capacity, and public health advice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xml:space="preserve">, 2021). Because the federal government lacked constitutional authority to impose uniform national measures, Prime Minister Justin Trudeau depended on cooperative federalism, negotiations, </w:t>
      </w:r>
      <w:r w:rsidRPr="00150B10">
        <w:rPr>
          <w:rFonts w:ascii="Arial" w:hAnsi="Arial" w:cs="Arial"/>
          <w:kern w:val="0"/>
          <w:sz w:val="26"/>
          <w:szCs w:val="26"/>
          <w14:ligatures w14:val="none"/>
        </w:rPr>
        <w:lastRenderedPageBreak/>
        <w:t>and voluntary provincial alignment (Wilson, 2021). This slowed early containment efforts but allowed more tailored regional strategies.</w:t>
      </w:r>
    </w:p>
    <w:p w14:paraId="76E0CBAC" w14:textId="278FD9FA" w:rsidR="005D53D4" w:rsidRPr="00150B10" w:rsidRDefault="005D53D4"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Interplay Between Governance Structure and Leadership</w:t>
      </w:r>
    </w:p>
    <w:p w14:paraId="7A308BFE" w14:textId="224F40B0"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Centralisation and decentralisation shape not only the capacity of health systems but also the leadership strategies available. In South Korea, centralisation empowered leaders to act decisively, utilise technological tools swiftly, and communicate clear national directives (</w:t>
      </w:r>
      <w:proofErr w:type="spellStart"/>
      <w:r w:rsidRPr="00150B10">
        <w:rPr>
          <w:rFonts w:ascii="Arial" w:hAnsi="Arial" w:cs="Arial"/>
          <w:kern w:val="0"/>
          <w:sz w:val="26"/>
          <w:szCs w:val="26"/>
          <w14:ligatures w14:val="none"/>
        </w:rPr>
        <w:t>Majeed</w:t>
      </w:r>
      <w:proofErr w:type="spellEnd"/>
      <w:r w:rsidRPr="00150B10">
        <w:rPr>
          <w:rFonts w:ascii="Arial" w:hAnsi="Arial" w:cs="Arial"/>
          <w:kern w:val="0"/>
          <w:sz w:val="26"/>
          <w:szCs w:val="26"/>
          <w14:ligatures w14:val="none"/>
        </w:rPr>
        <w:t xml:space="preserve"> et al., 2020). In Spain and Canada, leaders such as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and Justin Trudeau faced structural limitations that reduced their ability to enforce rapid national interventions. Their leadership styles—situational in Spain and collaborative in Canada—reflected the need to manage multiple autonomous actors, negotiate policies, and balance political sensitivities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w:t>
      </w:r>
    </w:p>
    <w:p w14:paraId="0C3B3355" w14:textId="68A44A28" w:rsidR="005D53D4" w:rsidRPr="00150B10" w:rsidRDefault="005D53D4"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Strengths and Weaknesses of Each Model</w:t>
      </w:r>
    </w:p>
    <w:p w14:paraId="178CFF0D" w14:textId="5F238C25"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Centralised models provide speed, uniformity, and strong national coordination but risk infringing on privacy and require high public trust. Decentralised models allow flexibility and localised responses but struggle with timely decision-making and consistency (Greer et al., 2020). The pandemic demonstrated that the effectiveness of each structure depends on clear communication, institutional capacity, and cooperative leadership.</w:t>
      </w:r>
    </w:p>
    <w:p w14:paraId="73C29288" w14:textId="26F0C647" w:rsidR="005D53D4" w:rsidRPr="00150B10" w:rsidRDefault="005D53D4"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 Assessment</w:t>
      </w:r>
    </w:p>
    <w:p w14:paraId="0A7C6398" w14:textId="77777777" w:rsidR="005D53D4" w:rsidRPr="00150B10" w:rsidRDefault="005D53D4"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The comparative analysis indicates that centralised systems are better positioned for rapid early containment, while decentralised systems require stronger leadership coordination and communication to achieve coherent national responses. Ultimately, it is the combination of governance structure, preparedness, and leadership that determines success during pandemics.</w:t>
      </w:r>
    </w:p>
    <w:p w14:paraId="61057F2E" w14:textId="16BD14F1" w:rsidR="005D53D4" w:rsidRPr="00150B10" w:rsidRDefault="005D53D4" w:rsidP="001E5816">
      <w:pPr>
        <w:spacing w:after="0" w:line="360" w:lineRule="auto"/>
        <w:rPr>
          <w:rFonts w:ascii="Arial" w:eastAsia="Times New Roman" w:hAnsi="Arial" w:cs="Arial"/>
          <w:kern w:val="0"/>
          <w:sz w:val="26"/>
          <w:szCs w:val="26"/>
          <w14:ligatures w14:val="none"/>
        </w:rPr>
      </w:pPr>
    </w:p>
    <w:p w14:paraId="17889BD9" w14:textId="005C3399" w:rsidR="00332D7F" w:rsidRPr="00150B10" w:rsidRDefault="00332D7F" w:rsidP="001E5816">
      <w:pPr>
        <w:spacing w:before="100" w:beforeAutospacing="1" w:after="100" w:afterAutospacing="1" w:line="360" w:lineRule="auto"/>
        <w:outlineLvl w:val="0"/>
        <w:rPr>
          <w:rFonts w:ascii="Arial" w:hAnsi="Arial" w:cs="Arial"/>
          <w:kern w:val="0"/>
          <w:sz w:val="26"/>
          <w:szCs w:val="26"/>
          <w14:ligatures w14:val="none"/>
        </w:rPr>
      </w:pPr>
      <w:r w:rsidRPr="00150B10">
        <w:rPr>
          <w:rFonts w:ascii="Arial" w:eastAsia="Times New Roman" w:hAnsi="Arial" w:cs="Arial"/>
          <w:b/>
          <w:bCs/>
          <w:kern w:val="36"/>
          <w:sz w:val="26"/>
          <w:szCs w:val="26"/>
          <w14:ligatures w14:val="none"/>
        </w:rPr>
        <w:lastRenderedPageBreak/>
        <w:t xml:space="preserve">5. How Leadership Shaped Health Systems </w:t>
      </w:r>
    </w:p>
    <w:p w14:paraId="2BD4245F" w14:textId="3D283DEB" w:rsidR="00332D7F" w:rsidRPr="00150B10" w:rsidRDefault="00332D7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Leadership had a decisive influence on how each country’s health system functioned during the COVID-19 pandemic. While institutional structures determined the distribution of authority, it was leadership behaviours—communication, coordination, and decision-making—that shaped how effectively those systems were mobilised (Greer et al., 2020).</w:t>
      </w:r>
    </w:p>
    <w:p w14:paraId="5AA1EFAA" w14:textId="010A8F87" w:rsidR="00332D7F" w:rsidRPr="00150B10" w:rsidRDefault="00332D7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Spain: Leadership Within Fragmentation</w:t>
      </w:r>
    </w:p>
    <w:p w14:paraId="2FE28E4A" w14:textId="348A53CE" w:rsidR="00332D7F" w:rsidRPr="00150B10" w:rsidRDefault="00332D7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In Spain, Minister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faced the challenge of operating in a highly decentralised health system in which regional governments held primary public health authority. His early underestimation of the threat and slow coordination contributed to delays in implementing nationwide measures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However, once the state of alarm was declared,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xml:space="preserve"> adopted stronger central leadership, improving coordination and establishing clearer national strategies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2021). This demonstrates that leadership can partially compensate for structural fragmentation when authority is temporarily centralised.</w:t>
      </w:r>
    </w:p>
    <w:p w14:paraId="4D5202F7" w14:textId="5A733A4E" w:rsidR="00332D7F" w:rsidRPr="00150B10" w:rsidRDefault="00332D7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South Korea: Leadership Amplifying Centralised Strengths</w:t>
      </w:r>
    </w:p>
    <w:p w14:paraId="2407F566" w14:textId="32791512" w:rsidR="00332D7F" w:rsidRPr="00150B10" w:rsidRDefault="00332D7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South Korea’s governance structure—centralised and technologically advanced—was effectively leveraged by Prime Minister Chung </w:t>
      </w:r>
      <w:proofErr w:type="spellStart"/>
      <w:r w:rsidRPr="00150B10">
        <w:rPr>
          <w:rFonts w:ascii="Arial" w:hAnsi="Arial" w:cs="Arial"/>
          <w:kern w:val="0"/>
          <w:sz w:val="26"/>
          <w:szCs w:val="26"/>
          <w14:ligatures w14:val="none"/>
        </w:rPr>
        <w:t>Sye-kyun</w:t>
      </w:r>
      <w:proofErr w:type="spellEnd"/>
      <w:r w:rsidRPr="00150B10">
        <w:rPr>
          <w:rFonts w:ascii="Arial" w:hAnsi="Arial" w:cs="Arial"/>
          <w:kern w:val="0"/>
          <w:sz w:val="26"/>
          <w:szCs w:val="26"/>
          <w14:ligatures w14:val="none"/>
        </w:rPr>
        <w:t>. His transparent, rapid, and collaborative leadership strengthened the KDCA’s ability to implement mass testing, digital surveillance, and nationwide messaging (Park et al., 2021). Chung’s transformational approach enhanced public trust and helped maintain high compliance (You, 2020). Here, leadership amplified the strengths of an already centralised system.</w:t>
      </w:r>
    </w:p>
    <w:p w14:paraId="15632793" w14:textId="20795DA2" w:rsidR="00332D7F" w:rsidRPr="00150B10" w:rsidRDefault="00332D7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Canada: Leadership Navigating Federal Complexity</w:t>
      </w:r>
    </w:p>
    <w:p w14:paraId="3834A195" w14:textId="59D928D8" w:rsidR="00332D7F" w:rsidRPr="00150B10" w:rsidRDefault="00332D7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Prime Minister Justin Trudeau worked within a federal system requiring cooperation with provincial governments. His emotionally intelligent and </w:t>
      </w:r>
      <w:r w:rsidRPr="00150B10">
        <w:rPr>
          <w:rFonts w:ascii="Arial" w:hAnsi="Arial" w:cs="Arial"/>
          <w:kern w:val="0"/>
          <w:sz w:val="26"/>
          <w:szCs w:val="26"/>
          <w14:ligatures w14:val="none"/>
        </w:rPr>
        <w:lastRenderedPageBreak/>
        <w:t>unifying leadership style helped maintain intergovernmental collaboration and strengthened public trust, particularly during the vaccination campaign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 Trudeau’s approach illustrates how collaborative leadership can mitigate structural decentralisation.</w:t>
      </w:r>
    </w:p>
    <w:p w14:paraId="472DA7ED" w14:textId="588063D7" w:rsidR="00332D7F" w:rsidRPr="00150B10" w:rsidRDefault="00332D7F" w:rsidP="001E5816">
      <w:pPr>
        <w:spacing w:before="100" w:beforeAutospacing="1" w:after="100" w:afterAutospacing="1" w:line="360" w:lineRule="auto"/>
        <w:outlineLvl w:val="2"/>
        <w:rPr>
          <w:rFonts w:ascii="Arial" w:eastAsia="Times New Roman" w:hAnsi="Arial" w:cs="Arial"/>
          <w:b/>
          <w:bCs/>
          <w:kern w:val="0"/>
          <w:sz w:val="26"/>
          <w:szCs w:val="26"/>
          <w14:ligatures w14:val="none"/>
        </w:rPr>
      </w:pPr>
      <w:r w:rsidRPr="00150B10">
        <w:rPr>
          <w:rFonts w:ascii="Arial" w:eastAsia="Times New Roman" w:hAnsi="Arial" w:cs="Arial"/>
          <w:b/>
          <w:bCs/>
          <w:kern w:val="0"/>
          <w:sz w:val="26"/>
          <w:szCs w:val="26"/>
          <w14:ligatures w14:val="none"/>
        </w:rPr>
        <w:t>Overall</w:t>
      </w:r>
    </w:p>
    <w:p w14:paraId="373789B2" w14:textId="162CE221" w:rsidR="00ED68AC" w:rsidRPr="00150B10" w:rsidRDefault="00332D7F"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Leadership in all three countries shaped how health systems responded by influencing coordination, communication, and the ability to mobilise resources despite structural constraints.</w:t>
      </w:r>
    </w:p>
    <w:p w14:paraId="648D4EA9" w14:textId="647FDD14" w:rsidR="00ED68AC" w:rsidRPr="00150B10" w:rsidRDefault="00ED68AC" w:rsidP="001E5816">
      <w:pPr>
        <w:spacing w:before="100" w:beforeAutospacing="1" w:after="100" w:afterAutospacing="1" w:line="360" w:lineRule="auto"/>
        <w:outlineLvl w:val="0"/>
        <w:rPr>
          <w:rFonts w:ascii="Arial" w:hAnsi="Arial" w:cs="Arial"/>
          <w:b/>
          <w:bCs/>
          <w:kern w:val="36"/>
          <w:sz w:val="26"/>
          <w:szCs w:val="26"/>
          <w14:ligatures w14:val="none"/>
        </w:rPr>
      </w:pPr>
      <w:r w:rsidRPr="00150B10">
        <w:rPr>
          <w:rFonts w:ascii="Arial" w:eastAsia="Times New Roman" w:hAnsi="Arial" w:cs="Arial"/>
          <w:b/>
          <w:bCs/>
          <w:kern w:val="36"/>
          <w:sz w:val="26"/>
          <w:szCs w:val="26"/>
          <w14:ligatures w14:val="none"/>
        </w:rPr>
        <w:t>6. Discussion</w:t>
      </w:r>
    </w:p>
    <w:p w14:paraId="1B04DCA4" w14:textId="0F967C11" w:rsidR="00ED68AC" w:rsidRPr="00150B10" w:rsidRDefault="00ED68A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The comparative analysis of Spain, South Korea, and Canada demonstrates that the effectiveness of national COVID-19 responses depended on the interaction between health system structures and leadership approaches rather than either factor alone. While structural centralisation allowed for faster and more coherent national action, leadership behaviours such as transparency, collaboration, and crisis communication were equally critical for public trust and compliance (Greer et al., 2020).</w:t>
      </w:r>
    </w:p>
    <w:p w14:paraId="761D7B2E" w14:textId="266775DE" w:rsidR="00ED68AC" w:rsidRPr="00150B10" w:rsidRDefault="00ED68A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South Korea’s success highlights the advantages of a centralised public health authority supported by technological preparedness and strong legal frameworks. Prime Minister Chung </w:t>
      </w:r>
      <w:proofErr w:type="spellStart"/>
      <w:r w:rsidRPr="00150B10">
        <w:rPr>
          <w:rFonts w:ascii="Arial" w:hAnsi="Arial" w:cs="Arial"/>
          <w:kern w:val="0"/>
          <w:sz w:val="26"/>
          <w:szCs w:val="26"/>
          <w14:ligatures w14:val="none"/>
        </w:rPr>
        <w:t>Sye-kyun’s</w:t>
      </w:r>
      <w:proofErr w:type="spellEnd"/>
      <w:r w:rsidRPr="00150B10">
        <w:rPr>
          <w:rFonts w:ascii="Arial" w:hAnsi="Arial" w:cs="Arial"/>
          <w:kern w:val="0"/>
          <w:sz w:val="26"/>
          <w:szCs w:val="26"/>
          <w14:ligatures w14:val="none"/>
        </w:rPr>
        <w:t xml:space="preserve"> transformational and crisis-oriented leadership style reinforced institutional strengths and ensured rapid, coordinated action across ministries (Park et al., 2021). This case shows how centralisation and effective leadership can operate synergistically, enabling rapid scaling of testing, digital surveillance, and public engagement (You, 2020).</w:t>
      </w:r>
    </w:p>
    <w:p w14:paraId="293C6085" w14:textId="2169D159" w:rsidR="00ED68AC" w:rsidRPr="00150B10" w:rsidRDefault="00ED68A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In contrast, Spain and Canada illustrate the challenges of decentralised governance, where leadership must navigate fragmented authority. Spain’s early delays reflected both structural constraints and initial misjudgements by </w:t>
      </w:r>
      <w:r w:rsidRPr="00150B10">
        <w:rPr>
          <w:rFonts w:ascii="Arial" w:hAnsi="Arial" w:cs="Arial"/>
          <w:kern w:val="0"/>
          <w:sz w:val="26"/>
          <w:szCs w:val="26"/>
          <w14:ligatures w14:val="none"/>
        </w:rPr>
        <w:lastRenderedPageBreak/>
        <w:t xml:space="preserve">Minister Salvador </w:t>
      </w:r>
      <w:proofErr w:type="spellStart"/>
      <w:r w:rsidRPr="00150B10">
        <w:rPr>
          <w:rFonts w:ascii="Arial" w:hAnsi="Arial" w:cs="Arial"/>
          <w:kern w:val="0"/>
          <w:sz w:val="26"/>
          <w:szCs w:val="26"/>
          <w14:ligatures w14:val="none"/>
        </w:rPr>
        <w:t>Illa</w:t>
      </w:r>
      <w:proofErr w:type="spellEnd"/>
      <w:r w:rsidRPr="00150B10">
        <w:rPr>
          <w:rFonts w:ascii="Arial" w:hAnsi="Arial" w:cs="Arial"/>
          <w:kern w:val="0"/>
          <w:sz w:val="26"/>
          <w:szCs w:val="26"/>
          <w14:ligatures w14:val="none"/>
        </w:rPr>
        <w:t>, whose situational leadership struggled to mobilise rapid national coordination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However, once authority was temporarily centralised, leadership was able to improve strategic alignment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2021).</w:t>
      </w:r>
    </w:p>
    <w:p w14:paraId="61A3355F" w14:textId="1A5F9F03" w:rsidR="00ED68AC" w:rsidRPr="00150B10" w:rsidRDefault="00ED68A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Canada’s experience further demonstrates that federal systems require collaborative leadership, as shown by Prime Minister Justin Trudeau’s reliance on negotiation and unified messaging. Although early responses were inconsistent across provinces, Trudeau’s emotionally intelligent leadership helped strengthen intergovernmental cooperation and contributed to a highly successful vaccination phase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w:t>
      </w:r>
    </w:p>
    <w:p w14:paraId="0D27B71D" w14:textId="58C70749" w:rsidR="005D53D4" w:rsidRPr="00150B10" w:rsidRDefault="00ED68AC"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Overall, the discussion highlights that centralised systems tended to perform better in the initial stages of the pandemic, while decentralised systems required stronger leadership coordination and communication strategies to achieve coherence. The findings underscore the importance of crisis-ready institutions combined with adaptive, transparent, and cooperative leadership to manage future health emergencies effectively.</w:t>
      </w:r>
    </w:p>
    <w:p w14:paraId="0B51763E" w14:textId="43D4BDB2" w:rsidR="00A239A8" w:rsidRPr="00150B10" w:rsidRDefault="00A239A8" w:rsidP="001E5816">
      <w:pPr>
        <w:spacing w:before="100" w:beforeAutospacing="1" w:after="100" w:afterAutospacing="1" w:line="360" w:lineRule="auto"/>
        <w:outlineLvl w:val="0"/>
        <w:rPr>
          <w:rFonts w:ascii="Arial" w:eastAsia="Times New Roman" w:hAnsi="Arial" w:cs="Arial"/>
          <w:b/>
          <w:bCs/>
          <w:kern w:val="36"/>
          <w:sz w:val="26"/>
          <w:szCs w:val="26"/>
          <w14:ligatures w14:val="none"/>
        </w:rPr>
      </w:pPr>
      <w:r w:rsidRPr="00150B10">
        <w:rPr>
          <w:rFonts w:ascii="Arial" w:eastAsia="Times New Roman" w:hAnsi="Arial" w:cs="Arial"/>
          <w:b/>
          <w:bCs/>
          <w:kern w:val="36"/>
          <w:sz w:val="26"/>
          <w:szCs w:val="26"/>
          <w14:ligatures w14:val="none"/>
        </w:rPr>
        <w:t xml:space="preserve">7. Conclusion </w:t>
      </w:r>
    </w:p>
    <w:p w14:paraId="44EED366" w14:textId="03583345" w:rsidR="00A239A8" w:rsidRPr="00150B10" w:rsidRDefault="00A239A8"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This case study analysis demonstrates that the COVID-19 responses of Spain, South Korea, and Canada were shaped by the complex interplay between health system structures and leadership approaches. South Korea’s centralised public health authority, strengthened by post-MERS reforms, enabled rapid, coordinated, and technologically advanced interventions. Prime Minister Chung </w:t>
      </w:r>
      <w:proofErr w:type="spellStart"/>
      <w:r w:rsidRPr="00150B10">
        <w:rPr>
          <w:rFonts w:ascii="Arial" w:hAnsi="Arial" w:cs="Arial"/>
          <w:kern w:val="0"/>
          <w:sz w:val="26"/>
          <w:szCs w:val="26"/>
          <w14:ligatures w14:val="none"/>
        </w:rPr>
        <w:t>Sye-kyun’s</w:t>
      </w:r>
      <w:proofErr w:type="spellEnd"/>
      <w:r w:rsidRPr="00150B10">
        <w:rPr>
          <w:rFonts w:ascii="Arial" w:hAnsi="Arial" w:cs="Arial"/>
          <w:kern w:val="0"/>
          <w:sz w:val="26"/>
          <w:szCs w:val="26"/>
          <w14:ligatures w14:val="none"/>
        </w:rPr>
        <w:t xml:space="preserve"> transformational and transparent leadership further amplified these institutional strengths, resulting in effective early containment (Kim, 2021; Park et al., 2021).</w:t>
      </w:r>
    </w:p>
    <w:p w14:paraId="7FF1E588" w14:textId="62700A76" w:rsidR="00A239A8" w:rsidRPr="00150B10" w:rsidRDefault="00A239A8"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 xml:space="preserve">Spain and Canada, operating within decentralised governance systems, encountered challenges in achieving timely and unified national action. Spain’s early delays reflected both fragmented authority and Minister Salvador </w:t>
      </w:r>
      <w:proofErr w:type="spellStart"/>
      <w:r w:rsidRPr="00150B10">
        <w:rPr>
          <w:rFonts w:ascii="Arial" w:hAnsi="Arial" w:cs="Arial"/>
          <w:kern w:val="0"/>
          <w:sz w:val="26"/>
          <w:szCs w:val="26"/>
          <w14:ligatures w14:val="none"/>
        </w:rPr>
        <w:lastRenderedPageBreak/>
        <w:t>Illa’s</w:t>
      </w:r>
      <w:proofErr w:type="spellEnd"/>
      <w:r w:rsidRPr="00150B10">
        <w:rPr>
          <w:rFonts w:ascii="Arial" w:hAnsi="Arial" w:cs="Arial"/>
          <w:kern w:val="0"/>
          <w:sz w:val="26"/>
          <w:szCs w:val="26"/>
          <w14:ligatures w14:val="none"/>
        </w:rPr>
        <w:t xml:space="preserve"> initial underestimation of risk (</w:t>
      </w:r>
      <w:proofErr w:type="spellStart"/>
      <w:r w:rsidRPr="00150B10">
        <w:rPr>
          <w:rFonts w:ascii="Arial" w:hAnsi="Arial" w:cs="Arial"/>
          <w:kern w:val="0"/>
          <w:sz w:val="26"/>
          <w:szCs w:val="26"/>
          <w14:ligatures w14:val="none"/>
        </w:rPr>
        <w:t>Royo-Bordonada</w:t>
      </w:r>
      <w:proofErr w:type="spellEnd"/>
      <w:r w:rsidRPr="00150B10">
        <w:rPr>
          <w:rFonts w:ascii="Arial" w:hAnsi="Arial" w:cs="Arial"/>
          <w:kern w:val="0"/>
          <w:sz w:val="26"/>
          <w:szCs w:val="26"/>
          <w14:ligatures w14:val="none"/>
        </w:rPr>
        <w:t xml:space="preserve"> et al., 2021). However, temporary centralisation during the state of alarm demonstrated how structural adjustments and clearer leadership can enhance coordination (</w:t>
      </w:r>
      <w:proofErr w:type="spellStart"/>
      <w:r w:rsidRPr="00150B10">
        <w:rPr>
          <w:rFonts w:ascii="Arial" w:hAnsi="Arial" w:cs="Arial"/>
          <w:kern w:val="0"/>
          <w:sz w:val="26"/>
          <w:szCs w:val="26"/>
          <w14:ligatures w14:val="none"/>
        </w:rPr>
        <w:t>Candel</w:t>
      </w:r>
      <w:proofErr w:type="spellEnd"/>
      <w:r w:rsidRPr="00150B10">
        <w:rPr>
          <w:rFonts w:ascii="Arial" w:hAnsi="Arial" w:cs="Arial"/>
          <w:kern w:val="0"/>
          <w:sz w:val="26"/>
          <w:szCs w:val="26"/>
          <w14:ligatures w14:val="none"/>
        </w:rPr>
        <w:t>, 2021). Canada’s federal structure required Prime Minister Justin Trudeau to adopt collaborative and emotionally intelligent leadership strategies, promoting national unity and supporting provincial responses, particularly during vaccine rollout (</w:t>
      </w:r>
      <w:proofErr w:type="spellStart"/>
      <w:r w:rsidRPr="00150B10">
        <w:rPr>
          <w:rFonts w:ascii="Arial" w:hAnsi="Arial" w:cs="Arial"/>
          <w:kern w:val="0"/>
          <w:sz w:val="26"/>
          <w:szCs w:val="26"/>
          <w14:ligatures w14:val="none"/>
        </w:rPr>
        <w:t>Marchildon</w:t>
      </w:r>
      <w:proofErr w:type="spellEnd"/>
      <w:r w:rsidRPr="00150B10">
        <w:rPr>
          <w:rFonts w:ascii="Arial" w:hAnsi="Arial" w:cs="Arial"/>
          <w:kern w:val="0"/>
          <w:sz w:val="26"/>
          <w:szCs w:val="26"/>
          <w14:ligatures w14:val="none"/>
        </w:rPr>
        <w:t xml:space="preserve">, 2021; </w:t>
      </w:r>
      <w:proofErr w:type="spellStart"/>
      <w:r w:rsidRPr="00150B10">
        <w:rPr>
          <w:rFonts w:ascii="Arial" w:hAnsi="Arial" w:cs="Arial"/>
          <w:kern w:val="0"/>
          <w:sz w:val="26"/>
          <w:szCs w:val="26"/>
          <w14:ligatures w14:val="none"/>
        </w:rPr>
        <w:t>Mallinson</w:t>
      </w:r>
      <w:proofErr w:type="spellEnd"/>
      <w:r w:rsidRPr="00150B10">
        <w:rPr>
          <w:rFonts w:ascii="Arial" w:hAnsi="Arial" w:cs="Arial"/>
          <w:kern w:val="0"/>
          <w:sz w:val="26"/>
          <w:szCs w:val="26"/>
          <w14:ligatures w14:val="none"/>
        </w:rPr>
        <w:t xml:space="preserve"> et al., 2022).</w:t>
      </w:r>
    </w:p>
    <w:p w14:paraId="7DFF94B4" w14:textId="77777777" w:rsidR="00A239A8" w:rsidRPr="00150B10" w:rsidRDefault="00A239A8" w:rsidP="001E5816">
      <w:pPr>
        <w:spacing w:before="100" w:beforeAutospacing="1" w:after="100" w:afterAutospacing="1" w:line="360" w:lineRule="auto"/>
        <w:rPr>
          <w:rFonts w:ascii="Arial" w:hAnsi="Arial" w:cs="Arial"/>
          <w:kern w:val="0"/>
          <w:sz w:val="26"/>
          <w:szCs w:val="26"/>
          <w14:ligatures w14:val="none"/>
        </w:rPr>
      </w:pPr>
      <w:r w:rsidRPr="00150B10">
        <w:rPr>
          <w:rFonts w:ascii="Arial" w:hAnsi="Arial" w:cs="Arial"/>
          <w:kern w:val="0"/>
          <w:sz w:val="26"/>
          <w:szCs w:val="26"/>
          <w14:ligatures w14:val="none"/>
        </w:rPr>
        <w:t>Overall, the analysis highlights that centralisation facilitates speed and coherence, whereas decentralisation demands strong coordination and adaptive leadership. Successful pandemic management therefore relies on both robust institutional frameworks and leaders who communicate transparently, act decisively, and foster cooperation across jurisdictions. Integrating these lessons into future health system planning will be critical for strengthening resilience and preparedness for future global health emergencies.</w:t>
      </w:r>
    </w:p>
    <w:p w14:paraId="5FF0DFD0" w14:textId="77777777" w:rsidR="00A239A8" w:rsidRPr="00150B10" w:rsidRDefault="00A239A8" w:rsidP="001E5816">
      <w:pPr>
        <w:spacing w:before="100" w:beforeAutospacing="1" w:after="100" w:afterAutospacing="1" w:line="360" w:lineRule="auto"/>
        <w:rPr>
          <w:rFonts w:ascii="Arial" w:hAnsi="Arial" w:cs="Arial"/>
          <w:kern w:val="0"/>
          <w:sz w:val="26"/>
          <w:szCs w:val="26"/>
          <w14:ligatures w14:val="none"/>
        </w:rPr>
      </w:pPr>
    </w:p>
    <w:p w14:paraId="32F47E9F"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6D7AF41E"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4C75A1EC"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23D553E5"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05ABD8DF"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4E62A374"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6AB65001"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70417E34"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0793D312"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3E9AE1DB" w14:textId="77777777" w:rsidR="00E73B13" w:rsidRDefault="00E73B13" w:rsidP="00ED68AC">
      <w:pPr>
        <w:spacing w:before="100" w:beforeAutospacing="1" w:after="100" w:afterAutospacing="1" w:line="240" w:lineRule="auto"/>
        <w:rPr>
          <w:rFonts w:ascii="Times New Roman" w:hAnsi="Times New Roman" w:cs="Times New Roman"/>
          <w:kern w:val="0"/>
          <w14:ligatures w14:val="none"/>
        </w:rPr>
      </w:pPr>
    </w:p>
    <w:p w14:paraId="52F71D7B" w14:textId="76A37E15" w:rsidR="007C0D95" w:rsidRPr="007C0D95" w:rsidRDefault="007C0D95" w:rsidP="007C0D95">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7C0D95">
        <w:rPr>
          <w:rFonts w:ascii="Times New Roman" w:eastAsia="Times New Roman" w:hAnsi="Times New Roman" w:cs="Times New Roman"/>
          <w:b/>
          <w:bCs/>
          <w:kern w:val="36"/>
          <w:sz w:val="48"/>
          <w:szCs w:val="48"/>
          <w14:ligatures w14:val="none"/>
        </w:rPr>
        <w:lastRenderedPageBreak/>
        <w:t>Harvard Reference List</w:t>
      </w:r>
    </w:p>
    <w:p w14:paraId="513B17BF" w14:textId="62D8130E"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Attaran</w:t>
      </w:r>
      <w:proofErr w:type="spellEnd"/>
      <w:r w:rsidRPr="007C0D95">
        <w:rPr>
          <w:rFonts w:ascii="Times New Roman" w:hAnsi="Times New Roman" w:cs="Times New Roman"/>
          <w:kern w:val="0"/>
          <w14:ligatures w14:val="none"/>
        </w:rPr>
        <w:t xml:space="preserve">, A. &amp; Houston, A. (2022) ‘Canada’s vaccine rollout: policy failures and lessons learned’, </w:t>
      </w:r>
      <w:r w:rsidRPr="00150B10">
        <w:rPr>
          <w:rFonts w:ascii="Times New Roman" w:hAnsi="Times New Roman" w:cs="Times New Roman"/>
          <w:i/>
          <w:iCs/>
          <w:kern w:val="0"/>
          <w14:ligatures w14:val="none"/>
        </w:rPr>
        <w:t>Canadian Journal of Public Health</w:t>
      </w:r>
      <w:r w:rsidRPr="007C0D95">
        <w:rPr>
          <w:rFonts w:ascii="Times New Roman" w:hAnsi="Times New Roman" w:cs="Times New Roman"/>
          <w:kern w:val="0"/>
          <w14:ligatures w14:val="none"/>
        </w:rPr>
        <w:t>, 113(3), pp. 389–396.</w:t>
      </w:r>
    </w:p>
    <w:p w14:paraId="352B5C53" w14:textId="0299394D"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Bass, B.M. (1985) </w:t>
      </w:r>
      <w:r w:rsidRPr="00C62E86">
        <w:rPr>
          <w:rFonts w:ascii="Times New Roman" w:hAnsi="Times New Roman" w:cs="Times New Roman"/>
          <w:i/>
          <w:iCs/>
          <w:kern w:val="0"/>
          <w14:ligatures w14:val="none"/>
        </w:rPr>
        <w:t>Leadership and Performance Beyond Expectations</w:t>
      </w:r>
      <w:r w:rsidRPr="007C0D95">
        <w:rPr>
          <w:rFonts w:ascii="Times New Roman" w:hAnsi="Times New Roman" w:cs="Times New Roman"/>
          <w:kern w:val="0"/>
          <w14:ligatures w14:val="none"/>
        </w:rPr>
        <w:t>. New York: Free Press.</w:t>
      </w:r>
    </w:p>
    <w:p w14:paraId="18C5733E" w14:textId="046A6BC7"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Boin</w:t>
      </w:r>
      <w:proofErr w:type="spellEnd"/>
      <w:r w:rsidRPr="007C0D95">
        <w:rPr>
          <w:rFonts w:ascii="Times New Roman" w:hAnsi="Times New Roman" w:cs="Times New Roman"/>
          <w:kern w:val="0"/>
          <w14:ligatures w14:val="none"/>
        </w:rPr>
        <w:t xml:space="preserve">, A., ’t Hart, P., Stern, E. &amp; </w:t>
      </w:r>
      <w:proofErr w:type="spellStart"/>
      <w:r w:rsidRPr="007C0D95">
        <w:rPr>
          <w:rFonts w:ascii="Times New Roman" w:hAnsi="Times New Roman" w:cs="Times New Roman"/>
          <w:kern w:val="0"/>
          <w14:ligatures w14:val="none"/>
        </w:rPr>
        <w:t>Sundelius</w:t>
      </w:r>
      <w:proofErr w:type="spellEnd"/>
      <w:r w:rsidRPr="007C0D95">
        <w:rPr>
          <w:rFonts w:ascii="Times New Roman" w:hAnsi="Times New Roman" w:cs="Times New Roman"/>
          <w:kern w:val="0"/>
          <w14:ligatures w14:val="none"/>
        </w:rPr>
        <w:t xml:space="preserve">, B. (2016) </w:t>
      </w:r>
      <w:r w:rsidRPr="00BD6401">
        <w:rPr>
          <w:rFonts w:ascii="Times New Roman" w:hAnsi="Times New Roman" w:cs="Times New Roman"/>
          <w:i/>
          <w:iCs/>
          <w:kern w:val="0"/>
          <w14:ligatures w14:val="none"/>
        </w:rPr>
        <w:t xml:space="preserve">The Politics of Crisis Management. </w:t>
      </w:r>
      <w:r w:rsidRPr="007C0D95">
        <w:rPr>
          <w:rFonts w:ascii="Times New Roman" w:hAnsi="Times New Roman" w:cs="Times New Roman"/>
          <w:kern w:val="0"/>
          <w14:ligatures w14:val="none"/>
        </w:rPr>
        <w:t>Cambridge: Cambridge University Press.</w:t>
      </w:r>
    </w:p>
    <w:p w14:paraId="3EAEC003" w14:textId="0D5DF9B4"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Calleja</w:t>
      </w:r>
      <w:proofErr w:type="spellEnd"/>
      <w:r w:rsidRPr="007C0D95">
        <w:rPr>
          <w:rFonts w:ascii="Times New Roman" w:hAnsi="Times New Roman" w:cs="Times New Roman"/>
          <w:kern w:val="0"/>
          <w14:ligatures w14:val="none"/>
        </w:rPr>
        <w:t xml:space="preserve">, N. (2021) ‘Primary care and the Spanish COVID-19 response’, </w:t>
      </w:r>
      <w:r w:rsidRPr="00821181">
        <w:rPr>
          <w:rFonts w:ascii="Times New Roman" w:hAnsi="Times New Roman" w:cs="Times New Roman"/>
          <w:i/>
          <w:iCs/>
          <w:kern w:val="0"/>
          <w14:ligatures w14:val="none"/>
        </w:rPr>
        <w:t>Family Practice</w:t>
      </w:r>
      <w:r w:rsidRPr="007C0D95">
        <w:rPr>
          <w:rFonts w:ascii="Times New Roman" w:hAnsi="Times New Roman" w:cs="Times New Roman"/>
          <w:kern w:val="0"/>
          <w14:ligatures w14:val="none"/>
        </w:rPr>
        <w:t>, 38(4), pp. 465–471.</w:t>
      </w:r>
    </w:p>
    <w:p w14:paraId="64670AF1" w14:textId="5DC1CB56"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Candel</w:t>
      </w:r>
      <w:proofErr w:type="spellEnd"/>
      <w:r w:rsidRPr="007C0D95">
        <w:rPr>
          <w:rFonts w:ascii="Times New Roman" w:hAnsi="Times New Roman" w:cs="Times New Roman"/>
          <w:kern w:val="0"/>
          <w14:ligatures w14:val="none"/>
        </w:rPr>
        <w:t>, J. (2021) ‘The Spanish COVID-19 response: Federalism and fragmentation’, Health</w:t>
      </w:r>
      <w:r w:rsidRPr="005055C0">
        <w:rPr>
          <w:rFonts w:ascii="Times New Roman" w:hAnsi="Times New Roman" w:cs="Times New Roman"/>
          <w:i/>
          <w:iCs/>
          <w:kern w:val="0"/>
          <w14:ligatures w14:val="none"/>
        </w:rPr>
        <w:t xml:space="preserve"> Policy,</w:t>
      </w:r>
      <w:r w:rsidRPr="007C0D95">
        <w:rPr>
          <w:rFonts w:ascii="Times New Roman" w:hAnsi="Times New Roman" w:cs="Times New Roman"/>
          <w:kern w:val="0"/>
          <w14:ligatures w14:val="none"/>
        </w:rPr>
        <w:t xml:space="preserve"> 125(9), pp. 1024–1030.</w:t>
      </w:r>
    </w:p>
    <w:p w14:paraId="1E0660EF" w14:textId="64409B64"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Donaldson, L. (2001) </w:t>
      </w:r>
      <w:r w:rsidRPr="004E6E99">
        <w:rPr>
          <w:rFonts w:ascii="Times New Roman" w:hAnsi="Times New Roman" w:cs="Times New Roman"/>
          <w:i/>
          <w:iCs/>
          <w:kern w:val="0"/>
          <w14:ligatures w14:val="none"/>
        </w:rPr>
        <w:t xml:space="preserve">The Contingency Theory of </w:t>
      </w:r>
      <w:proofErr w:type="spellStart"/>
      <w:r w:rsidRPr="004E6E99">
        <w:rPr>
          <w:rFonts w:ascii="Times New Roman" w:hAnsi="Times New Roman" w:cs="Times New Roman"/>
          <w:i/>
          <w:iCs/>
          <w:kern w:val="0"/>
          <w14:ligatures w14:val="none"/>
        </w:rPr>
        <w:t>Organizations</w:t>
      </w:r>
      <w:proofErr w:type="spellEnd"/>
      <w:r w:rsidRPr="004E6E99">
        <w:rPr>
          <w:rFonts w:ascii="Times New Roman" w:hAnsi="Times New Roman" w:cs="Times New Roman"/>
          <w:i/>
          <w:iCs/>
          <w:kern w:val="0"/>
          <w14:ligatures w14:val="none"/>
        </w:rPr>
        <w:t>.</w:t>
      </w:r>
      <w:r w:rsidRPr="007C0D95">
        <w:rPr>
          <w:rFonts w:ascii="Times New Roman" w:hAnsi="Times New Roman" w:cs="Times New Roman"/>
          <w:kern w:val="0"/>
          <w14:ligatures w14:val="none"/>
        </w:rPr>
        <w:t xml:space="preserve"> Thousand Oaks: Sage.</w:t>
      </w:r>
    </w:p>
    <w:p w14:paraId="18BE5DCD" w14:textId="2913FE12"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Goleman</w:t>
      </w:r>
      <w:proofErr w:type="spellEnd"/>
      <w:r w:rsidRPr="007C0D95">
        <w:rPr>
          <w:rFonts w:ascii="Times New Roman" w:hAnsi="Times New Roman" w:cs="Times New Roman"/>
          <w:kern w:val="0"/>
          <w14:ligatures w14:val="none"/>
        </w:rPr>
        <w:t xml:space="preserve">, D. (1995) </w:t>
      </w:r>
      <w:r w:rsidRPr="002A7007">
        <w:rPr>
          <w:rFonts w:ascii="Times New Roman" w:hAnsi="Times New Roman" w:cs="Times New Roman"/>
          <w:i/>
          <w:iCs/>
          <w:kern w:val="0"/>
          <w14:ligatures w14:val="none"/>
        </w:rPr>
        <w:t>Emotional Intelligence.</w:t>
      </w:r>
      <w:r w:rsidRPr="007C0D95">
        <w:rPr>
          <w:rFonts w:ascii="Times New Roman" w:hAnsi="Times New Roman" w:cs="Times New Roman"/>
          <w:kern w:val="0"/>
          <w14:ligatures w14:val="none"/>
        </w:rPr>
        <w:t xml:space="preserve"> New York: Bantam Books.</w:t>
      </w:r>
    </w:p>
    <w:p w14:paraId="47EA9516" w14:textId="6BF37413"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Greer, S.L., King, E.J., </w:t>
      </w:r>
      <w:proofErr w:type="spellStart"/>
      <w:r w:rsidRPr="007C0D95">
        <w:rPr>
          <w:rFonts w:ascii="Times New Roman" w:hAnsi="Times New Roman" w:cs="Times New Roman"/>
          <w:kern w:val="0"/>
          <w14:ligatures w14:val="none"/>
        </w:rPr>
        <w:t>Massard</w:t>
      </w:r>
      <w:proofErr w:type="spellEnd"/>
      <w:r w:rsidRPr="007C0D95">
        <w:rPr>
          <w:rFonts w:ascii="Times New Roman" w:hAnsi="Times New Roman" w:cs="Times New Roman"/>
          <w:kern w:val="0"/>
          <w14:ligatures w14:val="none"/>
        </w:rPr>
        <w:t xml:space="preserve"> da Fonseca, E. &amp; </w:t>
      </w:r>
      <w:proofErr w:type="spellStart"/>
      <w:r w:rsidRPr="007C0D95">
        <w:rPr>
          <w:rFonts w:ascii="Times New Roman" w:hAnsi="Times New Roman" w:cs="Times New Roman"/>
          <w:kern w:val="0"/>
          <w14:ligatures w14:val="none"/>
        </w:rPr>
        <w:t>Peralta-Santos</w:t>
      </w:r>
      <w:proofErr w:type="spellEnd"/>
      <w:r w:rsidRPr="007C0D95">
        <w:rPr>
          <w:rFonts w:ascii="Times New Roman" w:hAnsi="Times New Roman" w:cs="Times New Roman"/>
          <w:kern w:val="0"/>
          <w14:ligatures w14:val="none"/>
        </w:rPr>
        <w:t>, A. (2020) ‘The comparative politics of COVID-19: The need to understand government responses’, Global</w:t>
      </w:r>
      <w:r w:rsidRPr="00776567">
        <w:rPr>
          <w:rFonts w:ascii="Times New Roman" w:hAnsi="Times New Roman" w:cs="Times New Roman"/>
          <w:i/>
          <w:iCs/>
          <w:kern w:val="0"/>
          <w14:ligatures w14:val="none"/>
        </w:rPr>
        <w:t xml:space="preserve"> Public Health,</w:t>
      </w:r>
      <w:r w:rsidRPr="007C0D95">
        <w:rPr>
          <w:rFonts w:ascii="Times New Roman" w:hAnsi="Times New Roman" w:cs="Times New Roman"/>
          <w:kern w:val="0"/>
          <w14:ligatures w14:val="none"/>
        </w:rPr>
        <w:t xml:space="preserve"> 15(9), pp. 1413–1416.</w:t>
      </w:r>
    </w:p>
    <w:p w14:paraId="27846D61" w14:textId="79F58D69"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Greenleaf</w:t>
      </w:r>
      <w:proofErr w:type="spellEnd"/>
      <w:r w:rsidRPr="007C0D95">
        <w:rPr>
          <w:rFonts w:ascii="Times New Roman" w:hAnsi="Times New Roman" w:cs="Times New Roman"/>
          <w:kern w:val="0"/>
          <w14:ligatures w14:val="none"/>
        </w:rPr>
        <w:t xml:space="preserve">, R. (1977) </w:t>
      </w:r>
      <w:r w:rsidRPr="0085081A">
        <w:rPr>
          <w:rFonts w:ascii="Times New Roman" w:hAnsi="Times New Roman" w:cs="Times New Roman"/>
          <w:i/>
          <w:iCs/>
          <w:kern w:val="0"/>
          <w14:ligatures w14:val="none"/>
        </w:rPr>
        <w:t>Servant Leadership: A Journey into the Nature of Legitimate Power and Greatness</w:t>
      </w:r>
      <w:r w:rsidRPr="007C0D95">
        <w:rPr>
          <w:rFonts w:ascii="Times New Roman" w:hAnsi="Times New Roman" w:cs="Times New Roman"/>
          <w:kern w:val="0"/>
          <w14:ligatures w14:val="none"/>
        </w:rPr>
        <w:t xml:space="preserve">. </w:t>
      </w:r>
      <w:proofErr w:type="spellStart"/>
      <w:r w:rsidRPr="007C0D95">
        <w:rPr>
          <w:rFonts w:ascii="Times New Roman" w:hAnsi="Times New Roman" w:cs="Times New Roman"/>
          <w:kern w:val="0"/>
          <w14:ligatures w14:val="none"/>
        </w:rPr>
        <w:t>Paulist</w:t>
      </w:r>
      <w:proofErr w:type="spellEnd"/>
      <w:r w:rsidRPr="007C0D95">
        <w:rPr>
          <w:rFonts w:ascii="Times New Roman" w:hAnsi="Times New Roman" w:cs="Times New Roman"/>
          <w:kern w:val="0"/>
          <w14:ligatures w14:val="none"/>
        </w:rPr>
        <w:t xml:space="preserve"> Press.</w:t>
      </w:r>
    </w:p>
    <w:p w14:paraId="22B4621D" w14:textId="2C20F3DE"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Jeong</w:t>
      </w:r>
      <w:proofErr w:type="spellEnd"/>
      <w:r w:rsidRPr="007C0D95">
        <w:rPr>
          <w:rFonts w:ascii="Times New Roman" w:hAnsi="Times New Roman" w:cs="Times New Roman"/>
          <w:kern w:val="0"/>
          <w14:ligatures w14:val="none"/>
        </w:rPr>
        <w:t xml:space="preserve">, E. &amp; Lee, N. (2021) ‘Digital contact tracing in South Korea during COVID-19’, </w:t>
      </w:r>
      <w:r w:rsidRPr="007A1C18">
        <w:rPr>
          <w:rFonts w:ascii="Times New Roman" w:hAnsi="Times New Roman" w:cs="Times New Roman"/>
          <w:i/>
          <w:iCs/>
          <w:kern w:val="0"/>
          <w14:ligatures w14:val="none"/>
        </w:rPr>
        <w:t>Journal of Medical Internet Research</w:t>
      </w:r>
      <w:r w:rsidRPr="007C0D95">
        <w:rPr>
          <w:rFonts w:ascii="Times New Roman" w:hAnsi="Times New Roman" w:cs="Times New Roman"/>
          <w:kern w:val="0"/>
          <w14:ligatures w14:val="none"/>
        </w:rPr>
        <w:t>, 23(2), e25799.</w:t>
      </w:r>
    </w:p>
    <w:p w14:paraId="03A53FE2" w14:textId="2C7AEB82"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Kang, K. &amp; Kim, H. (2020) ‘South Korea’s early COVID-19 control strategy’, </w:t>
      </w:r>
      <w:r w:rsidRPr="00102F53">
        <w:rPr>
          <w:rFonts w:ascii="Times New Roman" w:hAnsi="Times New Roman" w:cs="Times New Roman"/>
          <w:i/>
          <w:iCs/>
          <w:kern w:val="0"/>
          <w14:ligatures w14:val="none"/>
        </w:rPr>
        <w:t>Journal of Global Health,</w:t>
      </w:r>
      <w:r w:rsidRPr="007C0D95">
        <w:rPr>
          <w:rFonts w:ascii="Times New Roman" w:hAnsi="Times New Roman" w:cs="Times New Roman"/>
          <w:kern w:val="0"/>
          <w14:ligatures w14:val="none"/>
        </w:rPr>
        <w:t xml:space="preserve"> 10(2), 020379.</w:t>
      </w:r>
    </w:p>
    <w:p w14:paraId="43958F43" w14:textId="2273B6AA"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Kim, Y. (2021) ‘Post-MERS reforms and South Korea’s COVID-19 response’, Asian</w:t>
      </w:r>
      <w:r w:rsidRPr="00D853CE">
        <w:rPr>
          <w:rFonts w:ascii="Times New Roman" w:hAnsi="Times New Roman" w:cs="Times New Roman"/>
          <w:i/>
          <w:iCs/>
          <w:kern w:val="0"/>
          <w14:ligatures w14:val="none"/>
        </w:rPr>
        <w:t xml:space="preserve"> Perspective</w:t>
      </w:r>
      <w:r w:rsidRPr="007C0D95">
        <w:rPr>
          <w:rFonts w:ascii="Times New Roman" w:hAnsi="Times New Roman" w:cs="Times New Roman"/>
          <w:kern w:val="0"/>
          <w14:ligatures w14:val="none"/>
        </w:rPr>
        <w:t>, 45(2), pp. 205–231.</w:t>
      </w:r>
    </w:p>
    <w:p w14:paraId="05900220" w14:textId="384E13A3"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Kwon, S. (2020) ‘COVID-19: Lessons from South Korea’, </w:t>
      </w:r>
      <w:r w:rsidRPr="00D55B32">
        <w:rPr>
          <w:rFonts w:ascii="Times New Roman" w:hAnsi="Times New Roman" w:cs="Times New Roman"/>
          <w:i/>
          <w:iCs/>
          <w:kern w:val="0"/>
          <w14:ligatures w14:val="none"/>
        </w:rPr>
        <w:t>Health Systems &amp; Reform</w:t>
      </w:r>
      <w:r w:rsidRPr="007C0D95">
        <w:rPr>
          <w:rFonts w:ascii="Times New Roman" w:hAnsi="Times New Roman" w:cs="Times New Roman"/>
          <w:kern w:val="0"/>
          <w14:ligatures w14:val="none"/>
        </w:rPr>
        <w:t>, 6(1), e1753464.</w:t>
      </w:r>
    </w:p>
    <w:p w14:paraId="389D576D" w14:textId="34B66204"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Legido-Quigley</w:t>
      </w:r>
      <w:proofErr w:type="spellEnd"/>
      <w:r w:rsidRPr="007C0D95">
        <w:rPr>
          <w:rFonts w:ascii="Times New Roman" w:hAnsi="Times New Roman" w:cs="Times New Roman"/>
          <w:kern w:val="0"/>
          <w14:ligatures w14:val="none"/>
        </w:rPr>
        <w:t xml:space="preserve">, H. et al. (2020) ‘The resilience of the Spanish health system against COVID-19’, </w:t>
      </w:r>
      <w:r w:rsidRPr="004C0EA6">
        <w:rPr>
          <w:rFonts w:ascii="Times New Roman" w:hAnsi="Times New Roman" w:cs="Times New Roman"/>
          <w:i/>
          <w:iCs/>
          <w:kern w:val="0"/>
          <w14:ligatures w14:val="none"/>
        </w:rPr>
        <w:t>Lancet Public Health,</w:t>
      </w:r>
      <w:r w:rsidRPr="007C0D95">
        <w:rPr>
          <w:rFonts w:ascii="Times New Roman" w:hAnsi="Times New Roman" w:cs="Times New Roman"/>
          <w:kern w:val="0"/>
          <w14:ligatures w14:val="none"/>
        </w:rPr>
        <w:t xml:space="preserve"> 5(5), pp. e251–e252.</w:t>
      </w:r>
    </w:p>
    <w:p w14:paraId="4E50D504" w14:textId="14517D80"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Mallinson</w:t>
      </w:r>
      <w:proofErr w:type="spellEnd"/>
      <w:r w:rsidRPr="007C0D95">
        <w:rPr>
          <w:rFonts w:ascii="Times New Roman" w:hAnsi="Times New Roman" w:cs="Times New Roman"/>
          <w:kern w:val="0"/>
          <w14:ligatures w14:val="none"/>
        </w:rPr>
        <w:t xml:space="preserve">, D., </w:t>
      </w:r>
      <w:proofErr w:type="spellStart"/>
      <w:r w:rsidRPr="007C0D95">
        <w:rPr>
          <w:rFonts w:ascii="Times New Roman" w:hAnsi="Times New Roman" w:cs="Times New Roman"/>
          <w:kern w:val="0"/>
          <w14:ligatures w14:val="none"/>
        </w:rPr>
        <w:t>Axsen</w:t>
      </w:r>
      <w:proofErr w:type="spellEnd"/>
      <w:r w:rsidRPr="007C0D95">
        <w:rPr>
          <w:rFonts w:ascii="Times New Roman" w:hAnsi="Times New Roman" w:cs="Times New Roman"/>
          <w:kern w:val="0"/>
          <w14:ligatures w14:val="none"/>
        </w:rPr>
        <w:t xml:space="preserve">, J. &amp; Plamondon, A. (2022) ‘Canada’s vaccine rollout: Federalism and public health policy’, </w:t>
      </w:r>
      <w:r w:rsidRPr="00A272FC">
        <w:rPr>
          <w:rFonts w:ascii="Times New Roman" w:hAnsi="Times New Roman" w:cs="Times New Roman"/>
          <w:i/>
          <w:iCs/>
          <w:kern w:val="0"/>
          <w14:ligatures w14:val="none"/>
        </w:rPr>
        <w:t>Policy and Society</w:t>
      </w:r>
      <w:r w:rsidRPr="007C0D95">
        <w:rPr>
          <w:rFonts w:ascii="Times New Roman" w:hAnsi="Times New Roman" w:cs="Times New Roman"/>
          <w:kern w:val="0"/>
          <w14:ligatures w14:val="none"/>
        </w:rPr>
        <w:t>, 41(2), pp. 234–248.</w:t>
      </w:r>
    </w:p>
    <w:p w14:paraId="0E08CA2E" w14:textId="77777777"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Majeed</w:t>
      </w:r>
      <w:proofErr w:type="spellEnd"/>
      <w:r w:rsidRPr="007C0D95">
        <w:rPr>
          <w:rFonts w:ascii="Times New Roman" w:hAnsi="Times New Roman" w:cs="Times New Roman"/>
          <w:kern w:val="0"/>
          <w14:ligatures w14:val="none"/>
        </w:rPr>
        <w:t xml:space="preserve">, A., </w:t>
      </w:r>
      <w:proofErr w:type="spellStart"/>
      <w:r w:rsidRPr="007C0D95">
        <w:rPr>
          <w:rFonts w:ascii="Times New Roman" w:hAnsi="Times New Roman" w:cs="Times New Roman"/>
          <w:kern w:val="0"/>
          <w14:ligatures w14:val="none"/>
        </w:rPr>
        <w:t>Seoane</w:t>
      </w:r>
      <w:proofErr w:type="spellEnd"/>
      <w:r w:rsidRPr="007C0D95">
        <w:rPr>
          <w:rFonts w:ascii="Times New Roman" w:hAnsi="Times New Roman" w:cs="Times New Roman"/>
          <w:kern w:val="0"/>
          <w14:ligatures w14:val="none"/>
        </w:rPr>
        <w:t xml:space="preserve">, B. &amp; Corona, G. (2020) ‘South Korea’s COVID-19 strategy: A model of effective public health’, </w:t>
      </w:r>
      <w:r w:rsidRPr="00AF4DF6">
        <w:rPr>
          <w:rFonts w:ascii="Times New Roman" w:hAnsi="Times New Roman" w:cs="Times New Roman"/>
          <w:i/>
          <w:iCs/>
          <w:kern w:val="0"/>
          <w14:ligatures w14:val="none"/>
        </w:rPr>
        <w:t>Journal of Medical Systems</w:t>
      </w:r>
      <w:r w:rsidRPr="007C0D95">
        <w:rPr>
          <w:rFonts w:ascii="Times New Roman" w:hAnsi="Times New Roman" w:cs="Times New Roman"/>
          <w:kern w:val="0"/>
          <w14:ligatures w14:val="none"/>
        </w:rPr>
        <w:t>, 44(7), p. 111.</w:t>
      </w:r>
    </w:p>
    <w:p w14:paraId="02410462" w14:textId="77777777"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
    <w:p w14:paraId="42C6ADB2" w14:textId="66B20E8A"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lastRenderedPageBreak/>
        <w:t>Marchildon</w:t>
      </w:r>
      <w:proofErr w:type="spellEnd"/>
      <w:r w:rsidRPr="007C0D95">
        <w:rPr>
          <w:rFonts w:ascii="Times New Roman" w:hAnsi="Times New Roman" w:cs="Times New Roman"/>
          <w:kern w:val="0"/>
          <w14:ligatures w14:val="none"/>
        </w:rPr>
        <w:t xml:space="preserve">, G. (2021) ‘Federalism and pandemic response in Canada’, </w:t>
      </w:r>
      <w:r w:rsidRPr="00037E96">
        <w:rPr>
          <w:rFonts w:ascii="Times New Roman" w:hAnsi="Times New Roman" w:cs="Times New Roman"/>
          <w:i/>
          <w:iCs/>
          <w:kern w:val="0"/>
          <w14:ligatures w14:val="none"/>
        </w:rPr>
        <w:t>Canadian Public Administration,</w:t>
      </w:r>
      <w:r w:rsidRPr="007C0D95">
        <w:rPr>
          <w:rFonts w:ascii="Times New Roman" w:hAnsi="Times New Roman" w:cs="Times New Roman"/>
          <w:kern w:val="0"/>
          <w14:ligatures w14:val="none"/>
        </w:rPr>
        <w:t xml:space="preserve"> 64(2), pp. 175–180.</w:t>
      </w:r>
    </w:p>
    <w:p w14:paraId="02EEC25F" w14:textId="2F2329EF"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Marmot, M. &amp; Allen, J. (2020) ‘COVID-19: Exposing the inequalities in health systems’, </w:t>
      </w:r>
      <w:r w:rsidRPr="006C69C7">
        <w:rPr>
          <w:rFonts w:ascii="Times New Roman" w:hAnsi="Times New Roman" w:cs="Times New Roman"/>
          <w:i/>
          <w:iCs/>
          <w:kern w:val="0"/>
          <w14:ligatures w14:val="none"/>
        </w:rPr>
        <w:t>BMJ</w:t>
      </w:r>
      <w:r w:rsidRPr="007C0D95">
        <w:rPr>
          <w:rFonts w:ascii="Times New Roman" w:hAnsi="Times New Roman" w:cs="Times New Roman"/>
          <w:kern w:val="0"/>
          <w14:ligatures w14:val="none"/>
        </w:rPr>
        <w:t>, 369, m1641.</w:t>
      </w:r>
    </w:p>
    <w:p w14:paraId="41ECBA31" w14:textId="073C0BD0"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Ministry of Health and Welfare Korea (2020) COVID-19 </w:t>
      </w:r>
      <w:r w:rsidRPr="007C4F0B">
        <w:rPr>
          <w:rFonts w:ascii="Times New Roman" w:hAnsi="Times New Roman" w:cs="Times New Roman"/>
          <w:i/>
          <w:iCs/>
          <w:kern w:val="0"/>
          <w14:ligatures w14:val="none"/>
        </w:rPr>
        <w:t>Response Guidelines</w:t>
      </w:r>
      <w:r w:rsidRPr="007C0D95">
        <w:rPr>
          <w:rFonts w:ascii="Times New Roman" w:hAnsi="Times New Roman" w:cs="Times New Roman"/>
          <w:kern w:val="0"/>
          <w14:ligatures w14:val="none"/>
        </w:rPr>
        <w:t>. Seoul: Government of Korea.</w:t>
      </w:r>
    </w:p>
    <w:p w14:paraId="3E1F65B1" w14:textId="6D975466"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Northouse</w:t>
      </w:r>
      <w:proofErr w:type="spellEnd"/>
      <w:r w:rsidRPr="007C0D95">
        <w:rPr>
          <w:rFonts w:ascii="Times New Roman" w:hAnsi="Times New Roman" w:cs="Times New Roman"/>
          <w:kern w:val="0"/>
          <w14:ligatures w14:val="none"/>
        </w:rPr>
        <w:t>, P.G. (2021)</w:t>
      </w:r>
      <w:r w:rsidRPr="004076C7">
        <w:rPr>
          <w:rFonts w:ascii="Times New Roman" w:hAnsi="Times New Roman" w:cs="Times New Roman"/>
          <w:i/>
          <w:iCs/>
          <w:kern w:val="0"/>
          <w14:ligatures w14:val="none"/>
        </w:rPr>
        <w:t xml:space="preserve"> Leadership: Theory and Practice</w:t>
      </w:r>
      <w:r w:rsidRPr="007C0D95">
        <w:rPr>
          <w:rFonts w:ascii="Times New Roman" w:hAnsi="Times New Roman" w:cs="Times New Roman"/>
          <w:kern w:val="0"/>
          <w14:ligatures w14:val="none"/>
        </w:rPr>
        <w:t>. 9th ed. Los Angeles: Sage.</w:t>
      </w:r>
    </w:p>
    <w:p w14:paraId="1EDD4F01" w14:textId="10F61F4A"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OECD (2021) OECD </w:t>
      </w:r>
      <w:r w:rsidRPr="00C35DE3">
        <w:rPr>
          <w:rFonts w:ascii="Times New Roman" w:hAnsi="Times New Roman" w:cs="Times New Roman"/>
          <w:i/>
          <w:iCs/>
          <w:kern w:val="0"/>
          <w14:ligatures w14:val="none"/>
        </w:rPr>
        <w:t>Health Policy Review: COVID-19 and Health System Resilience</w:t>
      </w:r>
      <w:r w:rsidRPr="007C0D95">
        <w:rPr>
          <w:rFonts w:ascii="Times New Roman" w:hAnsi="Times New Roman" w:cs="Times New Roman"/>
          <w:kern w:val="0"/>
          <w14:ligatures w14:val="none"/>
        </w:rPr>
        <w:t>. Paris: OECD Publishing.</w:t>
      </w:r>
    </w:p>
    <w:p w14:paraId="690F6FA9" w14:textId="07A97A7C"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Park, S., Choi, G. &amp; Lee, H. (2021) ‘Leadership, trust, and compliance during COVID-19: A Korean case study’, </w:t>
      </w:r>
      <w:r w:rsidRPr="00816E70">
        <w:rPr>
          <w:rFonts w:ascii="Times New Roman" w:hAnsi="Times New Roman" w:cs="Times New Roman"/>
          <w:i/>
          <w:iCs/>
          <w:kern w:val="0"/>
          <w14:ligatures w14:val="none"/>
        </w:rPr>
        <w:t>Public Administration Review</w:t>
      </w:r>
      <w:r w:rsidRPr="007C0D95">
        <w:rPr>
          <w:rFonts w:ascii="Times New Roman" w:hAnsi="Times New Roman" w:cs="Times New Roman"/>
          <w:kern w:val="0"/>
          <w14:ligatures w14:val="none"/>
        </w:rPr>
        <w:t>, 81(6), pp. 1112–1123.</w:t>
      </w:r>
    </w:p>
    <w:p w14:paraId="59428679" w14:textId="7FD8817D"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Public Health Agency of Canada (2021) </w:t>
      </w:r>
      <w:r w:rsidRPr="00DF03A3">
        <w:rPr>
          <w:rFonts w:ascii="Times New Roman" w:hAnsi="Times New Roman" w:cs="Times New Roman"/>
          <w:i/>
          <w:iCs/>
          <w:kern w:val="0"/>
          <w14:ligatures w14:val="none"/>
        </w:rPr>
        <w:t>COVID-19 Epidemiology Update.</w:t>
      </w:r>
      <w:r w:rsidRPr="007C0D95">
        <w:rPr>
          <w:rFonts w:ascii="Times New Roman" w:hAnsi="Times New Roman" w:cs="Times New Roman"/>
          <w:kern w:val="0"/>
          <w14:ligatures w14:val="none"/>
        </w:rPr>
        <w:t xml:space="preserve"> Ottawa: Government of Canada.</w:t>
      </w:r>
    </w:p>
    <w:p w14:paraId="3A78ED0D" w14:textId="10EB41A0"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proofErr w:type="spellStart"/>
      <w:r w:rsidRPr="007C0D95">
        <w:rPr>
          <w:rFonts w:ascii="Times New Roman" w:hAnsi="Times New Roman" w:cs="Times New Roman"/>
          <w:kern w:val="0"/>
          <w14:ligatures w14:val="none"/>
        </w:rPr>
        <w:t>Royo-Bordonada</w:t>
      </w:r>
      <w:proofErr w:type="spellEnd"/>
      <w:r w:rsidRPr="007C0D95">
        <w:rPr>
          <w:rFonts w:ascii="Times New Roman" w:hAnsi="Times New Roman" w:cs="Times New Roman"/>
          <w:kern w:val="0"/>
          <w14:ligatures w14:val="none"/>
        </w:rPr>
        <w:t xml:space="preserve">, M., García-López, F. &amp; </w:t>
      </w:r>
      <w:proofErr w:type="spellStart"/>
      <w:r w:rsidRPr="007C0D95">
        <w:rPr>
          <w:rFonts w:ascii="Times New Roman" w:hAnsi="Times New Roman" w:cs="Times New Roman"/>
          <w:kern w:val="0"/>
          <w14:ligatures w14:val="none"/>
        </w:rPr>
        <w:t>Candel</w:t>
      </w:r>
      <w:proofErr w:type="spellEnd"/>
      <w:r w:rsidRPr="007C0D95">
        <w:rPr>
          <w:rFonts w:ascii="Times New Roman" w:hAnsi="Times New Roman" w:cs="Times New Roman"/>
          <w:kern w:val="0"/>
          <w14:ligatures w14:val="none"/>
        </w:rPr>
        <w:t xml:space="preserve">, F. (2021) ‘Spain’s COVID-19 vaccination campaign’, </w:t>
      </w:r>
      <w:r w:rsidRPr="00D27EFD">
        <w:rPr>
          <w:rFonts w:ascii="Times New Roman" w:hAnsi="Times New Roman" w:cs="Times New Roman"/>
          <w:i/>
          <w:iCs/>
          <w:kern w:val="0"/>
          <w14:ligatures w14:val="none"/>
        </w:rPr>
        <w:t>Vaccine</w:t>
      </w:r>
      <w:r w:rsidRPr="007C0D95">
        <w:rPr>
          <w:rFonts w:ascii="Times New Roman" w:hAnsi="Times New Roman" w:cs="Times New Roman"/>
          <w:kern w:val="0"/>
          <w14:ligatures w14:val="none"/>
        </w:rPr>
        <w:t>, 39(35), pp. 5084–5091.</w:t>
      </w:r>
    </w:p>
    <w:p w14:paraId="220695E5" w14:textId="29747ED7"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Spillane, J. (2005) ‘Distributed leadership’, </w:t>
      </w:r>
      <w:r w:rsidRPr="001E4869">
        <w:rPr>
          <w:rFonts w:ascii="Times New Roman" w:hAnsi="Times New Roman" w:cs="Times New Roman"/>
          <w:i/>
          <w:iCs/>
          <w:kern w:val="0"/>
          <w14:ligatures w14:val="none"/>
        </w:rPr>
        <w:t>The Educational Forum</w:t>
      </w:r>
      <w:r w:rsidRPr="007C0D95">
        <w:rPr>
          <w:rFonts w:ascii="Times New Roman" w:hAnsi="Times New Roman" w:cs="Times New Roman"/>
          <w:kern w:val="0"/>
          <w14:ligatures w14:val="none"/>
        </w:rPr>
        <w:t>, 69(2), pp. 143–150.</w:t>
      </w:r>
    </w:p>
    <w:p w14:paraId="37CD56F4" w14:textId="787888C9"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van </w:t>
      </w:r>
      <w:proofErr w:type="spellStart"/>
      <w:r w:rsidRPr="007C0D95">
        <w:rPr>
          <w:rFonts w:ascii="Times New Roman" w:hAnsi="Times New Roman" w:cs="Times New Roman"/>
          <w:kern w:val="0"/>
          <w14:ligatures w14:val="none"/>
        </w:rPr>
        <w:t>der</w:t>
      </w:r>
      <w:proofErr w:type="spellEnd"/>
      <w:r w:rsidRPr="007C0D95">
        <w:rPr>
          <w:rFonts w:ascii="Times New Roman" w:hAnsi="Times New Roman" w:cs="Times New Roman"/>
          <w:kern w:val="0"/>
          <w14:ligatures w14:val="none"/>
        </w:rPr>
        <w:t xml:space="preserve"> </w:t>
      </w:r>
      <w:proofErr w:type="spellStart"/>
      <w:r w:rsidRPr="007C0D95">
        <w:rPr>
          <w:rFonts w:ascii="Times New Roman" w:hAnsi="Times New Roman" w:cs="Times New Roman"/>
          <w:kern w:val="0"/>
          <w14:ligatures w14:val="none"/>
        </w:rPr>
        <w:t>Weerd</w:t>
      </w:r>
      <w:proofErr w:type="spellEnd"/>
      <w:r w:rsidRPr="007C0D95">
        <w:rPr>
          <w:rFonts w:ascii="Times New Roman" w:hAnsi="Times New Roman" w:cs="Times New Roman"/>
          <w:kern w:val="0"/>
          <w14:ligatures w14:val="none"/>
        </w:rPr>
        <w:t xml:space="preserve">, W. et al. (2011) ‘Public trust and behavioural responses to pandemic measures’, </w:t>
      </w:r>
      <w:r w:rsidRPr="006F5D7D">
        <w:rPr>
          <w:rFonts w:ascii="Times New Roman" w:hAnsi="Times New Roman" w:cs="Times New Roman"/>
          <w:i/>
          <w:iCs/>
          <w:kern w:val="0"/>
          <w14:ligatures w14:val="none"/>
        </w:rPr>
        <w:t>Emerging Infectious Diseases</w:t>
      </w:r>
      <w:r w:rsidRPr="007C0D95">
        <w:rPr>
          <w:rFonts w:ascii="Times New Roman" w:hAnsi="Times New Roman" w:cs="Times New Roman"/>
          <w:kern w:val="0"/>
          <w14:ligatures w14:val="none"/>
        </w:rPr>
        <w:t>, 17(4), pp. 569–575.</w:t>
      </w:r>
    </w:p>
    <w:p w14:paraId="6212A48C" w14:textId="54BEB8C8"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Wilson, K. (2021) ‘Canada’s early pandemic response: Lessons learned’, </w:t>
      </w:r>
      <w:r w:rsidRPr="00E41B8B">
        <w:rPr>
          <w:rFonts w:ascii="Times New Roman" w:hAnsi="Times New Roman" w:cs="Times New Roman"/>
          <w:i/>
          <w:iCs/>
          <w:kern w:val="0"/>
          <w14:ligatures w14:val="none"/>
        </w:rPr>
        <w:t xml:space="preserve">Healthcare Policy, </w:t>
      </w:r>
      <w:r w:rsidRPr="007C0D95">
        <w:rPr>
          <w:rFonts w:ascii="Times New Roman" w:hAnsi="Times New Roman" w:cs="Times New Roman"/>
          <w:kern w:val="0"/>
          <w14:ligatures w14:val="none"/>
        </w:rPr>
        <w:t>17(1), pp. 12–18.</w:t>
      </w:r>
    </w:p>
    <w:p w14:paraId="1DF651CD" w14:textId="315BE0E1"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World Health </w:t>
      </w:r>
      <w:proofErr w:type="spellStart"/>
      <w:r w:rsidRPr="007C0D95">
        <w:rPr>
          <w:rFonts w:ascii="Times New Roman" w:hAnsi="Times New Roman" w:cs="Times New Roman"/>
          <w:kern w:val="0"/>
          <w14:ligatures w14:val="none"/>
        </w:rPr>
        <w:t>Organization</w:t>
      </w:r>
      <w:proofErr w:type="spellEnd"/>
      <w:r w:rsidRPr="007C0D95">
        <w:rPr>
          <w:rFonts w:ascii="Times New Roman" w:hAnsi="Times New Roman" w:cs="Times New Roman"/>
          <w:kern w:val="0"/>
          <w14:ligatures w14:val="none"/>
        </w:rPr>
        <w:t xml:space="preserve"> (2020) </w:t>
      </w:r>
      <w:r w:rsidRPr="00402ABB">
        <w:rPr>
          <w:rFonts w:ascii="Times New Roman" w:hAnsi="Times New Roman" w:cs="Times New Roman"/>
          <w:i/>
          <w:iCs/>
          <w:kern w:val="0"/>
          <w14:ligatures w14:val="none"/>
        </w:rPr>
        <w:t xml:space="preserve">COVID-19 Strategic Preparedness and Response Plan. </w:t>
      </w:r>
      <w:r w:rsidRPr="007C0D95">
        <w:rPr>
          <w:rFonts w:ascii="Times New Roman" w:hAnsi="Times New Roman" w:cs="Times New Roman"/>
          <w:kern w:val="0"/>
          <w14:ligatures w14:val="none"/>
        </w:rPr>
        <w:t>Geneva: WHO.</w:t>
      </w:r>
    </w:p>
    <w:p w14:paraId="3EC057A9" w14:textId="0D4801FD"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World Health </w:t>
      </w:r>
      <w:proofErr w:type="spellStart"/>
      <w:r w:rsidRPr="007C0D95">
        <w:rPr>
          <w:rFonts w:ascii="Times New Roman" w:hAnsi="Times New Roman" w:cs="Times New Roman"/>
          <w:kern w:val="0"/>
          <w14:ligatures w14:val="none"/>
        </w:rPr>
        <w:t>Organization</w:t>
      </w:r>
      <w:proofErr w:type="spellEnd"/>
      <w:r w:rsidRPr="007C0D95">
        <w:rPr>
          <w:rFonts w:ascii="Times New Roman" w:hAnsi="Times New Roman" w:cs="Times New Roman"/>
          <w:kern w:val="0"/>
          <w14:ligatures w14:val="none"/>
        </w:rPr>
        <w:t xml:space="preserve"> (2021) </w:t>
      </w:r>
      <w:r w:rsidRPr="00A22141">
        <w:rPr>
          <w:rFonts w:ascii="Times New Roman" w:hAnsi="Times New Roman" w:cs="Times New Roman"/>
          <w:i/>
          <w:iCs/>
          <w:kern w:val="0"/>
          <w14:ligatures w14:val="none"/>
        </w:rPr>
        <w:t xml:space="preserve">Country Report: Republic of Korea COVID-19 Response. </w:t>
      </w:r>
      <w:r w:rsidRPr="007C0D95">
        <w:rPr>
          <w:rFonts w:ascii="Times New Roman" w:hAnsi="Times New Roman" w:cs="Times New Roman"/>
          <w:kern w:val="0"/>
          <w14:ligatures w14:val="none"/>
        </w:rPr>
        <w:t>Geneva: WHO.</w:t>
      </w:r>
    </w:p>
    <w:p w14:paraId="4D831E44" w14:textId="217CC617" w:rsidR="007C0D95" w:rsidRPr="00C96713" w:rsidRDefault="007C0D95" w:rsidP="007C0D95">
      <w:pPr>
        <w:spacing w:before="100" w:beforeAutospacing="1" w:after="100" w:afterAutospacing="1" w:line="240" w:lineRule="auto"/>
        <w:rPr>
          <w:rFonts w:ascii="Times New Roman" w:hAnsi="Times New Roman" w:cs="Times New Roman"/>
          <w:i/>
          <w:iCs/>
          <w:kern w:val="0"/>
          <w14:ligatures w14:val="none"/>
        </w:rPr>
      </w:pPr>
      <w:r w:rsidRPr="007C0D95">
        <w:rPr>
          <w:rFonts w:ascii="Times New Roman" w:hAnsi="Times New Roman" w:cs="Times New Roman"/>
          <w:kern w:val="0"/>
          <w14:ligatures w14:val="none"/>
        </w:rPr>
        <w:t xml:space="preserve">World Health </w:t>
      </w:r>
      <w:proofErr w:type="spellStart"/>
      <w:r w:rsidRPr="007C0D95">
        <w:rPr>
          <w:rFonts w:ascii="Times New Roman" w:hAnsi="Times New Roman" w:cs="Times New Roman"/>
          <w:kern w:val="0"/>
          <w14:ligatures w14:val="none"/>
        </w:rPr>
        <w:t>Organization</w:t>
      </w:r>
      <w:proofErr w:type="spellEnd"/>
      <w:r w:rsidRPr="007C0D95">
        <w:rPr>
          <w:rFonts w:ascii="Times New Roman" w:hAnsi="Times New Roman" w:cs="Times New Roman"/>
          <w:kern w:val="0"/>
          <w14:ligatures w14:val="none"/>
        </w:rPr>
        <w:t xml:space="preserve"> (2021) ‘Spain: COVID-19 country profile’, </w:t>
      </w:r>
      <w:r w:rsidRPr="00C96713">
        <w:rPr>
          <w:rFonts w:ascii="Times New Roman" w:hAnsi="Times New Roman" w:cs="Times New Roman"/>
          <w:i/>
          <w:iCs/>
          <w:kern w:val="0"/>
          <w14:ligatures w14:val="none"/>
        </w:rPr>
        <w:t>WHO Dashboard.</w:t>
      </w:r>
    </w:p>
    <w:p w14:paraId="6A5107F1" w14:textId="185BFE0D"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You, J. (2020) ‘Lessons from South Korea’s COVID-19 policy response’, </w:t>
      </w:r>
      <w:r w:rsidRPr="00507B70">
        <w:rPr>
          <w:rFonts w:ascii="Times New Roman" w:hAnsi="Times New Roman" w:cs="Times New Roman"/>
          <w:i/>
          <w:iCs/>
          <w:kern w:val="0"/>
          <w14:ligatures w14:val="none"/>
        </w:rPr>
        <w:t>American Review of Public Administration,</w:t>
      </w:r>
      <w:r w:rsidRPr="007C0D95">
        <w:rPr>
          <w:rFonts w:ascii="Times New Roman" w:hAnsi="Times New Roman" w:cs="Times New Roman"/>
          <w:kern w:val="0"/>
          <w14:ligatures w14:val="none"/>
        </w:rPr>
        <w:t xml:space="preserve"> 50(6–7), pp. 801–808.</w:t>
      </w:r>
    </w:p>
    <w:p w14:paraId="4655FC9F" w14:textId="51FB958B" w:rsidR="007C0D95" w:rsidRPr="007C0D95" w:rsidRDefault="007C0D95" w:rsidP="007C0D95">
      <w:pPr>
        <w:spacing w:before="100" w:beforeAutospacing="1" w:after="100" w:afterAutospacing="1" w:line="240" w:lineRule="auto"/>
        <w:rPr>
          <w:rFonts w:ascii="Times New Roman" w:hAnsi="Times New Roman" w:cs="Times New Roman"/>
          <w:kern w:val="0"/>
          <w14:ligatures w14:val="none"/>
        </w:rPr>
      </w:pPr>
      <w:r w:rsidRPr="007C0D95">
        <w:rPr>
          <w:rFonts w:ascii="Times New Roman" w:hAnsi="Times New Roman" w:cs="Times New Roman"/>
          <w:kern w:val="0"/>
          <w14:ligatures w14:val="none"/>
        </w:rPr>
        <w:t xml:space="preserve">Zhang, X. &amp; Warner, M. (2021) ‘Crisis leadership in pandemics: Comparative international perspectives’, </w:t>
      </w:r>
      <w:r w:rsidRPr="007B392A">
        <w:rPr>
          <w:rFonts w:ascii="Times New Roman" w:hAnsi="Times New Roman" w:cs="Times New Roman"/>
          <w:i/>
          <w:iCs/>
          <w:kern w:val="0"/>
          <w14:ligatures w14:val="none"/>
        </w:rPr>
        <w:t>International Journal of Public Leadership</w:t>
      </w:r>
      <w:r w:rsidRPr="007C0D95">
        <w:rPr>
          <w:rFonts w:ascii="Times New Roman" w:hAnsi="Times New Roman" w:cs="Times New Roman"/>
          <w:kern w:val="0"/>
          <w14:ligatures w14:val="none"/>
        </w:rPr>
        <w:t>, 17(2), pp. 123–139.</w:t>
      </w:r>
    </w:p>
    <w:p w14:paraId="1ED3D3C5" w14:textId="77777777" w:rsidR="00E73B13" w:rsidRPr="00ED68AC" w:rsidRDefault="00E73B13" w:rsidP="00ED68AC">
      <w:pPr>
        <w:spacing w:before="100" w:beforeAutospacing="1" w:after="100" w:afterAutospacing="1" w:line="240" w:lineRule="auto"/>
        <w:rPr>
          <w:rFonts w:ascii="Times New Roman" w:hAnsi="Times New Roman" w:cs="Times New Roman"/>
          <w:kern w:val="0"/>
          <w14:ligatures w14:val="none"/>
        </w:rPr>
      </w:pPr>
    </w:p>
    <w:sectPr w:rsidR="00E73B13" w:rsidRPr="00ED68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6D829" w14:textId="77777777" w:rsidR="00226F3B" w:rsidRDefault="00226F3B" w:rsidP="00ED68AC">
      <w:pPr>
        <w:spacing w:after="0" w:line="240" w:lineRule="auto"/>
      </w:pPr>
      <w:r>
        <w:separator/>
      </w:r>
    </w:p>
  </w:endnote>
  <w:endnote w:type="continuationSeparator" w:id="0">
    <w:p w14:paraId="0F2997A9" w14:textId="77777777" w:rsidR="00226F3B" w:rsidRDefault="00226F3B" w:rsidP="00ED6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190B7" w14:textId="77777777" w:rsidR="00226F3B" w:rsidRDefault="00226F3B" w:rsidP="00ED68AC">
      <w:pPr>
        <w:spacing w:after="0" w:line="240" w:lineRule="auto"/>
      </w:pPr>
      <w:r>
        <w:separator/>
      </w:r>
    </w:p>
  </w:footnote>
  <w:footnote w:type="continuationSeparator" w:id="0">
    <w:p w14:paraId="607EF270" w14:textId="77777777" w:rsidR="00226F3B" w:rsidRDefault="00226F3B" w:rsidP="00ED68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AFA"/>
    <w:rsid w:val="00012F6B"/>
    <w:rsid w:val="0003783A"/>
    <w:rsid w:val="00037E96"/>
    <w:rsid w:val="0009632E"/>
    <w:rsid w:val="00102F53"/>
    <w:rsid w:val="00150B10"/>
    <w:rsid w:val="001724F1"/>
    <w:rsid w:val="001E4869"/>
    <w:rsid w:val="001E5816"/>
    <w:rsid w:val="001F3C31"/>
    <w:rsid w:val="00226F3B"/>
    <w:rsid w:val="00227854"/>
    <w:rsid w:val="00271736"/>
    <w:rsid w:val="002A7007"/>
    <w:rsid w:val="002D61EC"/>
    <w:rsid w:val="002E31A8"/>
    <w:rsid w:val="00332D7F"/>
    <w:rsid w:val="00337AFA"/>
    <w:rsid w:val="00393EC1"/>
    <w:rsid w:val="00402ABB"/>
    <w:rsid w:val="004076C7"/>
    <w:rsid w:val="004C0EA6"/>
    <w:rsid w:val="004C644E"/>
    <w:rsid w:val="004D38C4"/>
    <w:rsid w:val="004E6E99"/>
    <w:rsid w:val="005055C0"/>
    <w:rsid w:val="00507B70"/>
    <w:rsid w:val="0052696E"/>
    <w:rsid w:val="005D53D4"/>
    <w:rsid w:val="006C69C7"/>
    <w:rsid w:val="006E08BA"/>
    <w:rsid w:val="006F5D7D"/>
    <w:rsid w:val="00705E2E"/>
    <w:rsid w:val="00776567"/>
    <w:rsid w:val="007A1C18"/>
    <w:rsid w:val="007B392A"/>
    <w:rsid w:val="007C0D95"/>
    <w:rsid w:val="007C4F0B"/>
    <w:rsid w:val="007F6A92"/>
    <w:rsid w:val="00812761"/>
    <w:rsid w:val="00814658"/>
    <w:rsid w:val="00816E70"/>
    <w:rsid w:val="00821181"/>
    <w:rsid w:val="0085081A"/>
    <w:rsid w:val="008E0E3F"/>
    <w:rsid w:val="00987F9C"/>
    <w:rsid w:val="009C4B41"/>
    <w:rsid w:val="00A22141"/>
    <w:rsid w:val="00A239A8"/>
    <w:rsid w:val="00A272FC"/>
    <w:rsid w:val="00AE4716"/>
    <w:rsid w:val="00AF4DF6"/>
    <w:rsid w:val="00BD6401"/>
    <w:rsid w:val="00C229C8"/>
    <w:rsid w:val="00C35DE3"/>
    <w:rsid w:val="00C62E86"/>
    <w:rsid w:val="00C72C72"/>
    <w:rsid w:val="00C96713"/>
    <w:rsid w:val="00CD1F0E"/>
    <w:rsid w:val="00D27EFD"/>
    <w:rsid w:val="00D51C99"/>
    <w:rsid w:val="00D55B32"/>
    <w:rsid w:val="00D853CE"/>
    <w:rsid w:val="00D87DE3"/>
    <w:rsid w:val="00DF03A3"/>
    <w:rsid w:val="00E34ED0"/>
    <w:rsid w:val="00E41B8B"/>
    <w:rsid w:val="00E60501"/>
    <w:rsid w:val="00E73B13"/>
    <w:rsid w:val="00ED68AC"/>
    <w:rsid w:val="00ED785A"/>
    <w:rsid w:val="00F8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EE6C7"/>
  <w15:chartTrackingRefBased/>
  <w15:docId w15:val="{A29B9565-4C6D-C840-83CC-F160C52F1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A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7A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7A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7A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7A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7A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A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A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A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A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7A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7A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7A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7A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7A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A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A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AFA"/>
    <w:rPr>
      <w:rFonts w:eastAsiaTheme="majorEastAsia" w:cstheme="majorBidi"/>
      <w:color w:val="272727" w:themeColor="text1" w:themeTint="D8"/>
    </w:rPr>
  </w:style>
  <w:style w:type="paragraph" w:styleId="Title">
    <w:name w:val="Title"/>
    <w:basedOn w:val="Normal"/>
    <w:next w:val="Normal"/>
    <w:link w:val="TitleChar"/>
    <w:uiPriority w:val="10"/>
    <w:qFormat/>
    <w:rsid w:val="00337A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A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A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A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AFA"/>
    <w:pPr>
      <w:spacing w:before="160"/>
      <w:jc w:val="center"/>
    </w:pPr>
    <w:rPr>
      <w:i/>
      <w:iCs/>
      <w:color w:val="404040" w:themeColor="text1" w:themeTint="BF"/>
    </w:rPr>
  </w:style>
  <w:style w:type="character" w:customStyle="1" w:styleId="QuoteChar">
    <w:name w:val="Quote Char"/>
    <w:basedOn w:val="DefaultParagraphFont"/>
    <w:link w:val="Quote"/>
    <w:uiPriority w:val="29"/>
    <w:rsid w:val="00337AFA"/>
    <w:rPr>
      <w:i/>
      <w:iCs/>
      <w:color w:val="404040" w:themeColor="text1" w:themeTint="BF"/>
    </w:rPr>
  </w:style>
  <w:style w:type="paragraph" w:styleId="ListParagraph">
    <w:name w:val="List Paragraph"/>
    <w:basedOn w:val="Normal"/>
    <w:uiPriority w:val="34"/>
    <w:qFormat/>
    <w:rsid w:val="00337AFA"/>
    <w:pPr>
      <w:ind w:left="720"/>
      <w:contextualSpacing/>
    </w:pPr>
  </w:style>
  <w:style w:type="character" w:styleId="IntenseEmphasis">
    <w:name w:val="Intense Emphasis"/>
    <w:basedOn w:val="DefaultParagraphFont"/>
    <w:uiPriority w:val="21"/>
    <w:qFormat/>
    <w:rsid w:val="00337AFA"/>
    <w:rPr>
      <w:i/>
      <w:iCs/>
      <w:color w:val="0F4761" w:themeColor="accent1" w:themeShade="BF"/>
    </w:rPr>
  </w:style>
  <w:style w:type="paragraph" w:styleId="IntenseQuote">
    <w:name w:val="Intense Quote"/>
    <w:basedOn w:val="Normal"/>
    <w:next w:val="Normal"/>
    <w:link w:val="IntenseQuoteChar"/>
    <w:uiPriority w:val="30"/>
    <w:qFormat/>
    <w:rsid w:val="00337A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7AFA"/>
    <w:rPr>
      <w:i/>
      <w:iCs/>
      <w:color w:val="0F4761" w:themeColor="accent1" w:themeShade="BF"/>
    </w:rPr>
  </w:style>
  <w:style w:type="character" w:styleId="IntenseReference">
    <w:name w:val="Intense Reference"/>
    <w:basedOn w:val="DefaultParagraphFont"/>
    <w:uiPriority w:val="32"/>
    <w:qFormat/>
    <w:rsid w:val="00337AFA"/>
    <w:rPr>
      <w:b/>
      <w:bCs/>
      <w:smallCaps/>
      <w:color w:val="0F4761" w:themeColor="accent1" w:themeShade="BF"/>
      <w:spacing w:val="5"/>
    </w:rPr>
  </w:style>
  <w:style w:type="paragraph" w:customStyle="1" w:styleId="p1">
    <w:name w:val="p1"/>
    <w:basedOn w:val="Normal"/>
    <w:rsid w:val="00D51C9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51C99"/>
  </w:style>
  <w:style w:type="character" w:customStyle="1" w:styleId="s2">
    <w:name w:val="s2"/>
    <w:basedOn w:val="DefaultParagraphFont"/>
    <w:rsid w:val="00D51C99"/>
  </w:style>
  <w:style w:type="character" w:customStyle="1" w:styleId="s3">
    <w:name w:val="s3"/>
    <w:basedOn w:val="DefaultParagraphFont"/>
    <w:rsid w:val="00D51C99"/>
  </w:style>
  <w:style w:type="paragraph" w:customStyle="1" w:styleId="p3">
    <w:name w:val="p3"/>
    <w:basedOn w:val="Normal"/>
    <w:rsid w:val="00D51C9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27854"/>
  </w:style>
  <w:style w:type="paragraph" w:customStyle="1" w:styleId="p2">
    <w:name w:val="p2"/>
    <w:basedOn w:val="Normal"/>
    <w:rsid w:val="00987F9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D6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8AC"/>
  </w:style>
  <w:style w:type="paragraph" w:styleId="Footer">
    <w:name w:val="footer"/>
    <w:basedOn w:val="Normal"/>
    <w:link w:val="FooterChar"/>
    <w:uiPriority w:val="99"/>
    <w:unhideWhenUsed/>
    <w:rsid w:val="00ED6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8AC"/>
  </w:style>
  <w:style w:type="character" w:customStyle="1" w:styleId="s4">
    <w:name w:val="s4"/>
    <w:basedOn w:val="DefaultParagraphFont"/>
    <w:rsid w:val="007C0D95"/>
  </w:style>
  <w:style w:type="character" w:customStyle="1" w:styleId="bumpedfont15">
    <w:name w:val="bumpedfont15"/>
    <w:basedOn w:val="DefaultParagraphFont"/>
    <w:rsid w:val="00C72C72"/>
  </w:style>
  <w:style w:type="character" w:customStyle="1" w:styleId="bumpedfont17">
    <w:name w:val="bumpedfont17"/>
    <w:basedOn w:val="DefaultParagraphFont"/>
    <w:rsid w:val="00C72C72"/>
  </w:style>
  <w:style w:type="character" w:customStyle="1" w:styleId="s12">
    <w:name w:val="s12"/>
    <w:basedOn w:val="DefaultParagraphFont"/>
    <w:rsid w:val="004D38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26</Pages>
  <Words>6839</Words>
  <Characters>38987</Characters>
  <Application>Microsoft Office Word</Application>
  <DocSecurity>0</DocSecurity>
  <Lines>324</Lines>
  <Paragraphs>91</Paragraphs>
  <ScaleCrop>false</ScaleCrop>
  <Company/>
  <LinksUpToDate>false</LinksUpToDate>
  <CharactersWithSpaces>45735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48</cp:revision>
  <dcterms:created xsi:type="dcterms:W3CDTF">2025-11-24T09:30:00Z</dcterms:created>
  <dcterms:modified xsi:type="dcterms:W3CDTF">2025-11-24T10:03:00Z</dcterms:modified>
</cp:coreProperties>
</file>