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0A21E" w14:textId="77777777" w:rsidR="001963E9" w:rsidRPr="001963E9" w:rsidRDefault="001963E9" w:rsidP="001963E9">
      <w:r w:rsidRPr="001963E9">
        <w:t>3. Methodology</w:t>
      </w:r>
    </w:p>
    <w:p w14:paraId="71F804E1" w14:textId="77777777" w:rsidR="001963E9" w:rsidRPr="001963E9" w:rsidRDefault="001963E9" w:rsidP="001963E9">
      <w:r w:rsidRPr="001963E9">
        <w:t>3.0 Introduction</w:t>
      </w:r>
    </w:p>
    <w:p w14:paraId="52E01D7B" w14:textId="77777777" w:rsidR="001963E9" w:rsidRPr="001963E9" w:rsidRDefault="001963E9" w:rsidP="001963E9">
      <w:r w:rsidRPr="001963E9">
        <w:t>This chapter outlines the research methods to be used in this dissertation, it discusses the ethical issues considered, how consent was obtained, the approach to collecting data, and the sampling strategy. In each section, I will explain what was done, why these methods were chosen, and reflect on their strengths and limitations.</w:t>
      </w:r>
    </w:p>
    <w:p w14:paraId="7AD7C754" w14:textId="77777777" w:rsidR="001963E9" w:rsidRPr="001963E9" w:rsidRDefault="001963E9" w:rsidP="001963E9">
      <w:r w:rsidRPr="001963E9">
        <w:t>Research can be described as a systematic process for generating new knowledge or extending understanding (Cambridge Dictionary, 2021). Methodology provides the framework that shapes how knowledge is gathered, analysed, and interpreted (OpenLearn, 2021). To explore whether police fitness levels are declining, it was necessary to use primary data to make it as current as possible. Collecting first-hand information from officers with direct experience of the Job-Related Fitness Test (JRFT) ensured the study was informed by up-to-date and meaningful perspectives.</w:t>
      </w:r>
    </w:p>
    <w:p w14:paraId="4306E4F1" w14:textId="77777777" w:rsidR="001963E9" w:rsidRPr="001963E9" w:rsidRDefault="001963E9" w:rsidP="001963E9">
      <w:r w:rsidRPr="001963E9">
        <w:t>A mixed-methods design was selected, using both quantitative and qualitative questions in one online questionnaire. This allowed patterns in responses to be identified alongside personal experiences. It was also practical, as the format suited officers’ shift patterns, kept answers anonymous, and could be managed within the timeframe. In addition to primary data, comparisons with the fire service and UK policing will be addressed through secondary literature. Gaps in existing research will also be explored through the literature review, alongside the analysis of survey data.</w:t>
      </w:r>
    </w:p>
    <w:p w14:paraId="7A89BC1A" w14:textId="77777777" w:rsidR="001963E9" w:rsidRPr="001963E9" w:rsidRDefault="001963E9" w:rsidP="001963E9"/>
    <w:p w14:paraId="11022763" w14:textId="77777777" w:rsidR="001963E9" w:rsidRPr="001963E9" w:rsidRDefault="001963E9" w:rsidP="001963E9">
      <w:r w:rsidRPr="001963E9">
        <w:t>3.1 Ethical Practice</w:t>
      </w:r>
    </w:p>
    <w:p w14:paraId="1AADB0D9" w14:textId="77777777" w:rsidR="001963E9" w:rsidRPr="001963E9" w:rsidRDefault="001963E9" w:rsidP="001963E9">
      <w:r w:rsidRPr="001963E9">
        <w:t>Ethics are central to research with people, as they protect participants’ rights and wellbeing while ensuring credibility (Miteu, 2024). This is particularly important in policing because fitness is a sensitive subject that may affect how officers see themselves professionally.</w:t>
      </w:r>
    </w:p>
    <w:p w14:paraId="14662AEF" w14:textId="77777777" w:rsidR="001963E9" w:rsidRPr="001963E9" w:rsidRDefault="001963E9" w:rsidP="001963E9">
      <w:r w:rsidRPr="001963E9">
        <w:t>Ethical approval was obtained from the university before data was collected. As part of the application, I had to outline how participants would be recruited, how consent would be obtained, how confidentiality would be maintained, and how information would be stored securely. I also considered potential risks, such as discomfort when discussing health and fitness, and explained how these would be reduced. Approval confirmed that the research aligned with recognised ethical principles, including fairness, respect, and beneficence (Beauchamp and Childress, 2013; Miteu, 2024).</w:t>
      </w:r>
    </w:p>
    <w:p w14:paraId="2E89CBD9" w14:textId="77777777" w:rsidR="001963E9" w:rsidRPr="001963E9" w:rsidRDefault="001963E9" w:rsidP="001963E9">
      <w:r w:rsidRPr="001963E9">
        <w:t xml:space="preserve">Protecting anonymity was a central part of the design. No personal identifiers, such as names, collar numbers, or force details, were recorded. All responses were stored on a password-protected computer in line with GDPR requirements. These safeguards </w:t>
      </w:r>
      <w:r w:rsidRPr="001963E9">
        <w:lastRenderedPageBreak/>
        <w:t>reassured participants, encouraged openness, and improved the reliability of the data (Pascale et al., 2025).</w:t>
      </w:r>
    </w:p>
    <w:p w14:paraId="775E0012" w14:textId="77777777" w:rsidR="001963E9" w:rsidRPr="001963E9" w:rsidRDefault="001963E9" w:rsidP="001963E9"/>
    <w:p w14:paraId="6C35B43D" w14:textId="77777777" w:rsidR="001963E9" w:rsidRPr="001963E9" w:rsidRDefault="001963E9" w:rsidP="001963E9">
      <w:r w:rsidRPr="001963E9">
        <w:t>3.2 Informed Consent</w:t>
      </w:r>
    </w:p>
    <w:p w14:paraId="6350722F" w14:textId="77777777" w:rsidR="001963E9" w:rsidRPr="001963E9" w:rsidRDefault="001963E9" w:rsidP="001963E9">
      <w:r w:rsidRPr="001963E9">
        <w:t>Informed consent ensures that participation is voluntary and based on a clear understanding of the study (Creswell and Creswell, 2018). In this project, consent was obtained through a disclaimer at the start of the questionnaire.</w:t>
      </w:r>
    </w:p>
    <w:p w14:paraId="20394FD1" w14:textId="77777777" w:rsidR="001963E9" w:rsidRPr="001963E9" w:rsidRDefault="001963E9" w:rsidP="001963E9">
      <w:r w:rsidRPr="001963E9">
        <w:t>The disclaimer explained:</w:t>
      </w:r>
    </w:p>
    <w:p w14:paraId="51B7B721" w14:textId="77777777" w:rsidR="001963E9" w:rsidRPr="001963E9" w:rsidRDefault="001963E9" w:rsidP="001963E9">
      <w:r w:rsidRPr="001963E9">
        <w:t>• the aim of the study (fitness in policing and the JRFT),</w:t>
      </w:r>
    </w:p>
    <w:p w14:paraId="0FF93B4B" w14:textId="77777777" w:rsidR="001963E9" w:rsidRPr="001963E9" w:rsidRDefault="001963E9" w:rsidP="001963E9">
      <w:r w:rsidRPr="001963E9">
        <w:t>• who could take part (serving or former officers aged 18+),</w:t>
      </w:r>
    </w:p>
    <w:p w14:paraId="6764589A" w14:textId="77777777" w:rsidR="001963E9" w:rsidRPr="001963E9" w:rsidRDefault="001963E9" w:rsidP="001963E9">
      <w:r w:rsidRPr="001963E9">
        <w:t>• that participation was voluntary and withdrawal was possible before submission,</w:t>
      </w:r>
    </w:p>
    <w:p w14:paraId="0FA7FA2B" w14:textId="77777777" w:rsidR="001963E9" w:rsidRPr="001963E9" w:rsidRDefault="001963E9" w:rsidP="001963E9">
      <w:r w:rsidRPr="001963E9">
        <w:t>• that no data capable of identifying individuals would be collected,</w:t>
      </w:r>
    </w:p>
    <w:p w14:paraId="3A34FE84" w14:textId="77777777" w:rsidR="001963E9" w:rsidRPr="001963E9" w:rsidRDefault="001963E9" w:rsidP="001963E9">
      <w:r w:rsidRPr="001963E9">
        <w:t>• that all data would be securely stored and used only for this dissertation,</w:t>
      </w:r>
    </w:p>
    <w:p w14:paraId="1E14DEF4" w14:textId="77777777" w:rsidR="001963E9" w:rsidRPr="001963E9" w:rsidRDefault="001963E9" w:rsidP="001963E9">
      <w:r w:rsidRPr="001963E9">
        <w:t>• and that all data would be destroyed once the project was complete.</w:t>
      </w:r>
    </w:p>
    <w:p w14:paraId="21B9F7AE" w14:textId="77777777" w:rsidR="001963E9" w:rsidRPr="001963E9" w:rsidRDefault="001963E9" w:rsidP="001963E9">
      <w:r w:rsidRPr="001963E9">
        <w:t>Participants had to tick a box to confirm they had read the information sheet and agreed to take part before progressing. This type of digital consent is widely accepted as equivalent to a signed form in online research (Nuffield Council on Bioethics, 2020). By selecting the tick box, participants also confirmed they were over 18. This approach promoted transparency, safeguarded participants’ rights, and encouraged honest responses.</w:t>
      </w:r>
    </w:p>
    <w:p w14:paraId="765F9B29" w14:textId="77777777" w:rsidR="001963E9" w:rsidRPr="001963E9" w:rsidRDefault="001963E9" w:rsidP="001963E9"/>
    <w:p w14:paraId="4CD062A3" w14:textId="77777777" w:rsidR="001963E9" w:rsidRPr="001963E9" w:rsidRDefault="001963E9" w:rsidP="001963E9">
      <w:r w:rsidRPr="001963E9">
        <w:t>3.3 Data Collection Method</w:t>
      </w:r>
    </w:p>
    <w:p w14:paraId="7164F309" w14:textId="77777777" w:rsidR="001963E9" w:rsidRPr="001963E9" w:rsidRDefault="001963E9" w:rsidP="001963E9">
      <w:r w:rsidRPr="001963E9">
        <w:t>An online questionnaire was chosen as the main method of data collection. This approach was well suited to police officers given the unpredictability of their shift patterns, as it allowed them to complete the survey at a time and place convenient to them. It was also cost-effective and made it possible to gather responses from officers across different regions, increasing both accessibility and reach.</w:t>
      </w:r>
    </w:p>
    <w:p w14:paraId="48CC88B8" w14:textId="77777777" w:rsidR="001963E9" w:rsidRPr="001963E9" w:rsidRDefault="001963E9" w:rsidP="001963E9">
      <w:r w:rsidRPr="001963E9">
        <w:t>The questionnaire included both quantitative and qualitative items. The quantitative section contained multiple choice and Likert-scale items, for example on training frequency and JRFT confidence, which produced numerical data summarised through averages and percentages. Research highlights that combining quantitative scales with open-ended questions strengthens the depth and reliability of findings by allowing statistical patterns to be analysed while also capturing participants’ lived experiences (Wasti, 2022).</w:t>
      </w:r>
    </w:p>
    <w:p w14:paraId="69A5DCC6" w14:textId="77777777" w:rsidR="001963E9" w:rsidRPr="001963E9" w:rsidRDefault="001963E9" w:rsidP="001963E9">
      <w:r w:rsidRPr="001963E9">
        <w:lastRenderedPageBreak/>
        <w:t>The qualitative section used open-ended questions that allowed participants to describe their experiences in their own words. This added valuable context to the results, for example by uncovering barriers to fitness or suggestions for improving the JRFT. Open-ended responses enriched the study by revealing motivations and patterns that underpinned the statistical data (Hansen, 2023).</w:t>
      </w:r>
    </w:p>
    <w:p w14:paraId="1B138148" w14:textId="77777777" w:rsidR="001963E9" w:rsidRPr="001963E9" w:rsidRDefault="001963E9" w:rsidP="001963E9">
      <w:r w:rsidRPr="001963E9">
        <w:t>Questionnaires offered several advantages: they were quick to share, low cost, and provided anonymity, which is valuable when dealing with sensitive topics (Evans and Mathur, 2005; Wright, 2005). However, they also had drawbacks. Some responses to open questions were brief, and because the questionnaire was completed independently, there was no opportunity to clarify or probe further.</w:t>
      </w:r>
    </w:p>
    <w:p w14:paraId="56536977" w14:textId="77777777" w:rsidR="001963E9" w:rsidRPr="001963E9" w:rsidRDefault="001963E9" w:rsidP="001963E9">
      <w:r w:rsidRPr="001963E9">
        <w:t>Other approaches, such as interviews, were also considered. Although they might have offered richer insights, they were excluded as they would be time-consuming, difficult to schedule around shifts, and less anonymous, which could have discouraged honesty (Bryman, 2016). Taking all factors into account, the questionnaire was the most practical option.</w:t>
      </w:r>
    </w:p>
    <w:p w14:paraId="5901F0EA" w14:textId="77777777" w:rsidR="001963E9" w:rsidRPr="001963E9" w:rsidRDefault="001963E9" w:rsidP="001963E9"/>
    <w:p w14:paraId="3A84366C" w14:textId="77777777" w:rsidR="001963E9" w:rsidRPr="001963E9" w:rsidRDefault="001963E9" w:rsidP="001963E9">
      <w:r w:rsidRPr="001963E9">
        <w:t>3.4 Sampling</w:t>
      </w:r>
    </w:p>
    <w:p w14:paraId="7D2898E9" w14:textId="77777777" w:rsidR="001963E9" w:rsidRPr="001963E9" w:rsidRDefault="001963E9" w:rsidP="001963E9">
      <w:r w:rsidRPr="001963E9">
        <w:t>Because the study focused on officers with direct experience of the JRFT, purposive sampling was chosen. This approach works by selecting participants who meet criteria relevant to the research, ensuring the data gathered is meaningful (Etikan, Musa &amp; Alkassim, 2016). More recent scholarship notes that purposive sampling continues to be widely used in qualitative and mixed-methods research, as it allows researchers to target participants who can provide insights directly relevant to the study, while remaining manageable and efficient (Ahmad &amp; Wilkins, 2025).</w:t>
      </w:r>
    </w:p>
    <w:p w14:paraId="197F0E05" w14:textId="77777777" w:rsidR="001963E9" w:rsidRPr="001963E9" w:rsidRDefault="001963E9" w:rsidP="001963E9">
      <w:r w:rsidRPr="001963E9">
        <w:t>Participants were approached through policing forums, professional networks, and police WhatsApp groups. These channels were selected because they were accessible, allowed the questionnaire to be shared quickly, and reached officers across different ranks, forces, and roles. WhatsApp, in particular, proved effective in generating responses within the limited timeframe.</w:t>
      </w:r>
    </w:p>
    <w:p w14:paraId="3A499488" w14:textId="77777777" w:rsidR="001963E9" w:rsidRPr="001963E9" w:rsidRDefault="001963E9" w:rsidP="001963E9">
      <w:r w:rsidRPr="001963E9">
        <w:t>The target sample size was 50–100 responses. This was large enough to identify meaningful patterns yet manageable for analysing both quantitative and qualitative data. The study faced certain limitations. Using social media for recruitment carried the risk of self-selection bias, as officers with stronger views may have been more likely to respond. Relying too heavily on personal contacts could also have limited diversity. These risks were acknowledged, and the questionnaire was distributed as widely as possible to reduce potential bias.</w:t>
      </w:r>
    </w:p>
    <w:p w14:paraId="33D40085" w14:textId="77777777" w:rsidR="001963E9" w:rsidRPr="001963E9" w:rsidRDefault="001963E9" w:rsidP="001963E9">
      <w:r w:rsidRPr="001963E9">
        <w:lastRenderedPageBreak/>
        <w:t>Despite these issues, purposive sampling was appropriate. It ensured that all participants had genuine JRFT experience, making the data directly relevant to the research objectives.</w:t>
      </w:r>
    </w:p>
    <w:p w14:paraId="6724C35C" w14:textId="77777777" w:rsidR="001963E9" w:rsidRPr="001963E9" w:rsidRDefault="001963E9" w:rsidP="001963E9"/>
    <w:p w14:paraId="0867807C" w14:textId="77777777" w:rsidR="001963E9" w:rsidRPr="001963E9" w:rsidRDefault="001963E9" w:rsidP="001963E9">
      <w:r w:rsidRPr="001963E9">
        <w:t>References </w:t>
      </w:r>
    </w:p>
    <w:p w14:paraId="1C285768" w14:textId="0706BCE6" w:rsidR="001963E9" w:rsidRPr="001963E9" w:rsidRDefault="001963E9" w:rsidP="001963E9">
      <w:r w:rsidRPr="001963E9">
        <w:t>Ahmad, M. and Wilkins, S. (2025) ‘Purposive sampling in qualitative research: a framework for the entire journey’, Quality &amp; Quantity, 59(2), pp. 1461–1479.</w:t>
      </w:r>
      <w:r>
        <w:t xml:space="preserve"> </w:t>
      </w:r>
      <w:r w:rsidRPr="001963E9">
        <w:rPr>
          <w:color w:val="000000"/>
          <w:lang w:val="fr-FR"/>
        </w:rPr>
        <w:t xml:space="preserve">[Accessed </w:t>
      </w:r>
      <w:r>
        <w:rPr>
          <w:color w:val="000000"/>
          <w:lang w:val="fr-FR"/>
        </w:rPr>
        <w:t>3</w:t>
      </w:r>
      <w:r w:rsidRPr="001963E9">
        <w:rPr>
          <w:color w:val="000000"/>
          <w:lang w:val="fr-FR"/>
        </w:rPr>
        <w:t xml:space="preserve"> Sep. 2025].</w:t>
      </w:r>
    </w:p>
    <w:p w14:paraId="52ADF7BD" w14:textId="3A01DE1A" w:rsidR="001963E9" w:rsidRPr="001963E9" w:rsidRDefault="001963E9" w:rsidP="001963E9">
      <w:r w:rsidRPr="001963E9">
        <w:t>Beauchamp, T.L. and Childress, J.F. (2013) Principles of biomedical ethics. 7th edn. New York: Oxford University Press.</w:t>
      </w:r>
      <w:r>
        <w:t xml:space="preserve"> </w:t>
      </w:r>
      <w:r w:rsidRPr="001963E9">
        <w:rPr>
          <w:color w:val="000000"/>
          <w:lang w:val="fr-FR"/>
        </w:rPr>
        <w:t xml:space="preserve">[Accessed </w:t>
      </w:r>
      <w:r>
        <w:rPr>
          <w:color w:val="000000"/>
          <w:lang w:val="fr-FR"/>
        </w:rPr>
        <w:t>3</w:t>
      </w:r>
      <w:r w:rsidRPr="001963E9">
        <w:rPr>
          <w:color w:val="000000"/>
          <w:lang w:val="fr-FR"/>
        </w:rPr>
        <w:t xml:space="preserve"> Sep. 2025].</w:t>
      </w:r>
    </w:p>
    <w:p w14:paraId="7705E805" w14:textId="27F285FD" w:rsidR="001963E9" w:rsidRPr="001963E9" w:rsidRDefault="001963E9" w:rsidP="001963E9">
      <w:r w:rsidRPr="001963E9">
        <w:t>Bryman, A. (2016) Social research methods. 5th edn. Oxford: Oxford University Press.</w:t>
      </w:r>
      <w:r>
        <w:t xml:space="preserve"> </w:t>
      </w:r>
      <w:r w:rsidRPr="001963E9">
        <w:rPr>
          <w:color w:val="000000"/>
        </w:rPr>
        <w:t>[Accessed 6 Sep. 2025].</w:t>
      </w:r>
    </w:p>
    <w:p w14:paraId="3CD1FBD4" w14:textId="77777777" w:rsidR="001963E9" w:rsidRDefault="001963E9" w:rsidP="001963E9">
      <w:pPr>
        <w:rPr>
          <w:color w:val="000000"/>
        </w:rPr>
      </w:pPr>
      <w:r w:rsidRPr="001963E9">
        <w:t>Cambridge Dictionary (2021) Research. Available at: </w:t>
      </w:r>
      <w:hyperlink r:id="rId4" w:history="1">
        <w:r w:rsidRPr="001963E9">
          <w:rPr>
            <w:rStyle w:val="Hyperlink"/>
          </w:rPr>
          <w:t>https://dictionary.cambridge.org/dictionary/english/research</w:t>
        </w:r>
      </w:hyperlink>
      <w:r w:rsidRPr="001963E9">
        <w:t> </w:t>
      </w:r>
      <w:r w:rsidRPr="001963E9">
        <w:rPr>
          <w:color w:val="000000"/>
        </w:rPr>
        <w:t>[Accessed 6 Sep. 2025].</w:t>
      </w:r>
    </w:p>
    <w:p w14:paraId="61CDB5AF" w14:textId="7F676671" w:rsidR="001963E9" w:rsidRPr="001963E9" w:rsidRDefault="001963E9" w:rsidP="001963E9">
      <w:r w:rsidRPr="001963E9">
        <w:t>Creswell, J.W. and Creswell, J.D. (2018) Research design: qualitative, quantitative, and mixed methods approaches. 5th edn. Thousand Oaks, CA: SAGE.</w:t>
      </w:r>
      <w:r>
        <w:t xml:space="preserve"> </w:t>
      </w:r>
      <w:r w:rsidRPr="001963E9">
        <w:rPr>
          <w:color w:val="000000"/>
          <w:lang w:val="fr-FR"/>
        </w:rPr>
        <w:t xml:space="preserve">[Accessed </w:t>
      </w:r>
      <w:r>
        <w:rPr>
          <w:color w:val="000000"/>
          <w:lang w:val="fr-FR"/>
        </w:rPr>
        <w:t>6</w:t>
      </w:r>
      <w:r w:rsidRPr="001963E9">
        <w:rPr>
          <w:color w:val="000000"/>
          <w:lang w:val="fr-FR"/>
        </w:rPr>
        <w:t xml:space="preserve"> Sep. 2025].</w:t>
      </w:r>
    </w:p>
    <w:p w14:paraId="2BBFD264" w14:textId="3B428AC1" w:rsidR="001963E9" w:rsidRPr="001963E9" w:rsidRDefault="001963E9" w:rsidP="001963E9">
      <w:r w:rsidRPr="001963E9">
        <w:t>Etikan, I., Musa, S.A. and Alkassim, R.S. (2016) ‘Comparison of convenience sampling and purposive sampling’, American Journal of Theoretical and Applied Statistics, 5(1), pp. 1–4.</w:t>
      </w:r>
      <w:r>
        <w:t xml:space="preserve"> </w:t>
      </w:r>
      <w:r w:rsidRPr="001963E9">
        <w:rPr>
          <w:color w:val="000000"/>
        </w:rPr>
        <w:t>[Accessed 3 Sep. 2025].</w:t>
      </w:r>
    </w:p>
    <w:p w14:paraId="78F71BAB" w14:textId="4A20E8C9" w:rsidR="001963E9" w:rsidRPr="001963E9" w:rsidRDefault="001963E9" w:rsidP="001963E9">
      <w:r w:rsidRPr="001963E9">
        <w:t>Evans, J.R. and Mathur, A. (2005) ‘The value of online surveys’, Internet Research, 15(2), pp. 195–219.</w:t>
      </w:r>
      <w:r w:rsidRPr="001963E9">
        <w:rPr>
          <w:color w:val="000000"/>
        </w:rPr>
        <w:t xml:space="preserve"> [Accessed 5 Sep. 2025].</w:t>
      </w:r>
    </w:p>
    <w:p w14:paraId="3AED6B0E" w14:textId="056129ED" w:rsidR="001963E9" w:rsidRPr="001963E9" w:rsidRDefault="001963E9" w:rsidP="001963E9">
      <w:r w:rsidRPr="001963E9">
        <w:t>Hansen, C. (2023) ‘The role of qualitative responses in strengthening mixed-methods research’, Journal of Mixed Methods Research, 17(3), pp. 365–379.</w:t>
      </w:r>
      <w:r>
        <w:t xml:space="preserve"> </w:t>
      </w:r>
      <w:r w:rsidRPr="001963E9">
        <w:rPr>
          <w:color w:val="000000"/>
          <w:lang w:val="fr-FR"/>
        </w:rPr>
        <w:t xml:space="preserve">[Accessed </w:t>
      </w:r>
      <w:r>
        <w:rPr>
          <w:color w:val="000000"/>
          <w:lang w:val="fr-FR"/>
        </w:rPr>
        <w:t>6</w:t>
      </w:r>
      <w:r w:rsidRPr="001963E9">
        <w:rPr>
          <w:color w:val="000000"/>
          <w:lang w:val="fr-FR"/>
        </w:rPr>
        <w:t xml:space="preserve"> Sep. 2025].</w:t>
      </w:r>
    </w:p>
    <w:p w14:paraId="4130BC59" w14:textId="73087176" w:rsidR="001963E9" w:rsidRPr="001963E9" w:rsidRDefault="001963E9" w:rsidP="001963E9">
      <w:r w:rsidRPr="001963E9">
        <w:t>Miteu, A. (2024) ‘Ethical safeguards in social research: balancing rights and credibility’, Ethics and Social Inquiry, 58(1), pp. 75–92.</w:t>
      </w:r>
      <w:r>
        <w:t xml:space="preserve"> </w:t>
      </w:r>
      <w:r w:rsidRPr="001963E9">
        <w:rPr>
          <w:color w:val="000000"/>
          <w:lang w:val="fr-FR"/>
        </w:rPr>
        <w:t xml:space="preserve">[Accessed </w:t>
      </w:r>
      <w:r>
        <w:rPr>
          <w:color w:val="000000"/>
          <w:lang w:val="fr-FR"/>
        </w:rPr>
        <w:t>5</w:t>
      </w:r>
      <w:r w:rsidRPr="001963E9">
        <w:rPr>
          <w:color w:val="000000"/>
          <w:lang w:val="fr-FR"/>
        </w:rPr>
        <w:t xml:space="preserve"> Sep. 2025].</w:t>
      </w:r>
    </w:p>
    <w:p w14:paraId="05B66805" w14:textId="6050C3DE" w:rsidR="001963E9" w:rsidRPr="001963E9" w:rsidRDefault="001963E9" w:rsidP="001963E9">
      <w:r w:rsidRPr="001963E9">
        <w:t>Nuffield Council on Bioethics (2020) Research in the age of digital consent. London: Nuffield Council on Bioethics.</w:t>
      </w:r>
      <w:r>
        <w:t xml:space="preserve"> </w:t>
      </w:r>
      <w:r w:rsidRPr="001963E9">
        <w:rPr>
          <w:color w:val="000000"/>
          <w:lang w:val="fr-FR"/>
        </w:rPr>
        <w:t xml:space="preserve">[Accessed </w:t>
      </w:r>
      <w:r>
        <w:rPr>
          <w:color w:val="000000"/>
          <w:lang w:val="fr-FR"/>
        </w:rPr>
        <w:t>5</w:t>
      </w:r>
      <w:r w:rsidRPr="001963E9">
        <w:rPr>
          <w:color w:val="000000"/>
          <w:lang w:val="fr-FR"/>
        </w:rPr>
        <w:t xml:space="preserve"> Sep. 2025].</w:t>
      </w:r>
    </w:p>
    <w:p w14:paraId="74823BC6" w14:textId="54B288D7" w:rsidR="001963E9" w:rsidRPr="001963E9" w:rsidRDefault="001963E9" w:rsidP="001963E9">
      <w:pPr>
        <w:pStyle w:val="NormalWeb"/>
        <w:spacing w:before="0" w:beforeAutospacing="0" w:after="0" w:afterAutospacing="0" w:line="360" w:lineRule="atLeast"/>
        <w:rPr>
          <w:color w:val="000000"/>
          <w:lang w:val="fr-FR"/>
        </w:rPr>
      </w:pPr>
      <w:r w:rsidRPr="001963E9">
        <w:t xml:space="preserve">OpenLearn (2021) What is methodology? </w:t>
      </w:r>
      <w:r w:rsidRPr="001963E9">
        <w:rPr>
          <w:lang w:val="fr-FR"/>
        </w:rPr>
        <w:t>Available at: </w:t>
      </w:r>
      <w:hyperlink r:id="rId5" w:history="1">
        <w:r w:rsidRPr="001963E9">
          <w:rPr>
            <w:rStyle w:val="Hyperlink"/>
            <w:lang w:val="fr-FR"/>
          </w:rPr>
          <w:t>https://www.open.edu/openlearn/</w:t>
        </w:r>
      </w:hyperlink>
      <w:r w:rsidRPr="001963E9">
        <w:rPr>
          <w:lang w:val="fr-FR"/>
        </w:rPr>
        <w:t> </w:t>
      </w:r>
      <w:r w:rsidRPr="001963E9">
        <w:rPr>
          <w:color w:val="000000"/>
          <w:lang w:val="fr-FR"/>
        </w:rPr>
        <w:t xml:space="preserve">[Accessed </w:t>
      </w:r>
      <w:r>
        <w:rPr>
          <w:color w:val="000000"/>
          <w:lang w:val="fr-FR"/>
        </w:rPr>
        <w:t>3</w:t>
      </w:r>
      <w:r w:rsidRPr="001963E9">
        <w:rPr>
          <w:color w:val="000000"/>
          <w:lang w:val="fr-FR"/>
        </w:rPr>
        <w:t xml:space="preserve"> Sep. 2025].</w:t>
      </w:r>
    </w:p>
    <w:p w14:paraId="41C13872" w14:textId="433C05C7" w:rsidR="001963E9" w:rsidRPr="001963E9" w:rsidRDefault="001963E9" w:rsidP="001963E9">
      <w:pPr>
        <w:rPr>
          <w:lang w:val="fr-FR"/>
        </w:rPr>
      </w:pPr>
    </w:p>
    <w:p w14:paraId="2C9F42D5" w14:textId="4DD56CE7" w:rsidR="001963E9" w:rsidRPr="001963E9" w:rsidRDefault="001963E9" w:rsidP="001963E9">
      <w:r w:rsidRPr="001963E9">
        <w:lastRenderedPageBreak/>
        <w:t>Pascale, R., Johnson, P. and Singh, A. (2025) ‘Protecting anonymity in digital research: challenges under GDPR’, Social Research Review, 42(1), pp. 55–71.</w:t>
      </w:r>
      <w:r w:rsidRPr="001963E9">
        <w:rPr>
          <w:color w:val="000000"/>
        </w:rPr>
        <w:t xml:space="preserve"> </w:t>
      </w:r>
      <w:r w:rsidRPr="001963E9">
        <w:rPr>
          <w:color w:val="000000"/>
          <w:lang w:val="fr-FR"/>
        </w:rPr>
        <w:t xml:space="preserve">[Accessed </w:t>
      </w:r>
      <w:r>
        <w:rPr>
          <w:color w:val="000000"/>
          <w:lang w:val="fr-FR"/>
        </w:rPr>
        <w:t>6</w:t>
      </w:r>
      <w:r w:rsidRPr="001963E9">
        <w:rPr>
          <w:color w:val="000000"/>
          <w:lang w:val="fr-FR"/>
        </w:rPr>
        <w:t xml:space="preserve"> Sep. 2025].</w:t>
      </w:r>
    </w:p>
    <w:p w14:paraId="74D3C1EA" w14:textId="7C83C3A2" w:rsidR="001963E9" w:rsidRPr="001963E9" w:rsidRDefault="001963E9" w:rsidP="001963E9">
      <w:r w:rsidRPr="001963E9">
        <w:t>Wasti, S.A. (2022) ‘Mixed-methods designs in social research: balancing depth and generalisability’, Social Methods and Research, 51(4), pp. 1398–1415.</w:t>
      </w:r>
      <w:r>
        <w:t xml:space="preserve"> </w:t>
      </w:r>
      <w:r w:rsidRPr="001963E9">
        <w:rPr>
          <w:color w:val="000000"/>
          <w:lang w:val="fr-FR"/>
        </w:rPr>
        <w:t xml:space="preserve">[Accessed </w:t>
      </w:r>
      <w:r>
        <w:rPr>
          <w:color w:val="000000"/>
          <w:lang w:val="fr-FR"/>
        </w:rPr>
        <w:t>5</w:t>
      </w:r>
      <w:r w:rsidRPr="001963E9">
        <w:rPr>
          <w:color w:val="000000"/>
          <w:lang w:val="fr-FR"/>
        </w:rPr>
        <w:t xml:space="preserve"> Sep. 2025].</w:t>
      </w:r>
    </w:p>
    <w:p w14:paraId="7AC3145B" w14:textId="27593BC1" w:rsidR="001963E9" w:rsidRPr="001963E9" w:rsidRDefault="001963E9" w:rsidP="001963E9">
      <w:r w:rsidRPr="001963E9">
        <w:t>Wright, K.B. (2005) ‘Researching Internet-based populations: advantages and disadvantages of online survey research, online questionnaire authoring software packages, and web survey services’, Journal of Computer-Mediated Communication, 10(3).</w:t>
      </w:r>
      <w:r>
        <w:t xml:space="preserve"> </w:t>
      </w:r>
      <w:r w:rsidRPr="001963E9">
        <w:rPr>
          <w:color w:val="000000"/>
          <w:lang w:val="fr-FR"/>
        </w:rPr>
        <w:t xml:space="preserve">[Accessed </w:t>
      </w:r>
      <w:r>
        <w:rPr>
          <w:color w:val="000000"/>
          <w:lang w:val="fr-FR"/>
        </w:rPr>
        <w:t>6</w:t>
      </w:r>
      <w:r w:rsidRPr="001963E9">
        <w:rPr>
          <w:color w:val="000000"/>
          <w:lang w:val="fr-FR"/>
        </w:rPr>
        <w:t xml:space="preserve"> Sep. 2025].</w:t>
      </w:r>
    </w:p>
    <w:p w14:paraId="1C07DC1D" w14:textId="77777777" w:rsidR="001963E9" w:rsidRDefault="001963E9"/>
    <w:sectPr w:rsidR="001963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3E9"/>
    <w:rsid w:val="001963E9"/>
    <w:rsid w:val="003F4430"/>
    <w:rsid w:val="00DE3D60"/>
    <w:rsid w:val="00E35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F12A1"/>
  <w15:chartTrackingRefBased/>
  <w15:docId w15:val="{59929277-4F4E-4850-BFC8-204AB7A56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3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3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3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3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3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3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3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3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3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3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3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3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3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3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3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3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3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3E9"/>
    <w:rPr>
      <w:rFonts w:eastAsiaTheme="majorEastAsia" w:cstheme="majorBidi"/>
      <w:color w:val="272727" w:themeColor="text1" w:themeTint="D8"/>
    </w:rPr>
  </w:style>
  <w:style w:type="paragraph" w:styleId="Title">
    <w:name w:val="Title"/>
    <w:basedOn w:val="Normal"/>
    <w:next w:val="Normal"/>
    <w:link w:val="TitleChar"/>
    <w:uiPriority w:val="10"/>
    <w:qFormat/>
    <w:rsid w:val="001963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3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3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3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3E9"/>
    <w:pPr>
      <w:spacing w:before="160"/>
      <w:jc w:val="center"/>
    </w:pPr>
    <w:rPr>
      <w:i/>
      <w:iCs/>
      <w:color w:val="404040" w:themeColor="text1" w:themeTint="BF"/>
    </w:rPr>
  </w:style>
  <w:style w:type="character" w:customStyle="1" w:styleId="QuoteChar">
    <w:name w:val="Quote Char"/>
    <w:basedOn w:val="DefaultParagraphFont"/>
    <w:link w:val="Quote"/>
    <w:uiPriority w:val="29"/>
    <w:rsid w:val="001963E9"/>
    <w:rPr>
      <w:i/>
      <w:iCs/>
      <w:color w:val="404040" w:themeColor="text1" w:themeTint="BF"/>
    </w:rPr>
  </w:style>
  <w:style w:type="paragraph" w:styleId="ListParagraph">
    <w:name w:val="List Paragraph"/>
    <w:basedOn w:val="Normal"/>
    <w:uiPriority w:val="34"/>
    <w:qFormat/>
    <w:rsid w:val="001963E9"/>
    <w:pPr>
      <w:ind w:left="720"/>
      <w:contextualSpacing/>
    </w:pPr>
  </w:style>
  <w:style w:type="character" w:styleId="IntenseEmphasis">
    <w:name w:val="Intense Emphasis"/>
    <w:basedOn w:val="DefaultParagraphFont"/>
    <w:uiPriority w:val="21"/>
    <w:qFormat/>
    <w:rsid w:val="001963E9"/>
    <w:rPr>
      <w:i/>
      <w:iCs/>
      <w:color w:val="0F4761" w:themeColor="accent1" w:themeShade="BF"/>
    </w:rPr>
  </w:style>
  <w:style w:type="paragraph" w:styleId="IntenseQuote">
    <w:name w:val="Intense Quote"/>
    <w:basedOn w:val="Normal"/>
    <w:next w:val="Normal"/>
    <w:link w:val="IntenseQuoteChar"/>
    <w:uiPriority w:val="30"/>
    <w:qFormat/>
    <w:rsid w:val="001963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3E9"/>
    <w:rPr>
      <w:i/>
      <w:iCs/>
      <w:color w:val="0F4761" w:themeColor="accent1" w:themeShade="BF"/>
    </w:rPr>
  </w:style>
  <w:style w:type="character" w:styleId="IntenseReference">
    <w:name w:val="Intense Reference"/>
    <w:basedOn w:val="DefaultParagraphFont"/>
    <w:uiPriority w:val="32"/>
    <w:qFormat/>
    <w:rsid w:val="001963E9"/>
    <w:rPr>
      <w:b/>
      <w:bCs/>
      <w:smallCaps/>
      <w:color w:val="0F4761" w:themeColor="accent1" w:themeShade="BF"/>
      <w:spacing w:val="5"/>
    </w:rPr>
  </w:style>
  <w:style w:type="character" w:styleId="Hyperlink">
    <w:name w:val="Hyperlink"/>
    <w:basedOn w:val="DefaultParagraphFont"/>
    <w:uiPriority w:val="99"/>
    <w:unhideWhenUsed/>
    <w:rsid w:val="001963E9"/>
    <w:rPr>
      <w:color w:val="467886" w:themeColor="hyperlink"/>
      <w:u w:val="single"/>
    </w:rPr>
  </w:style>
  <w:style w:type="character" w:styleId="UnresolvedMention">
    <w:name w:val="Unresolved Mention"/>
    <w:basedOn w:val="DefaultParagraphFont"/>
    <w:uiPriority w:val="99"/>
    <w:semiHidden/>
    <w:unhideWhenUsed/>
    <w:rsid w:val="001963E9"/>
    <w:rPr>
      <w:color w:val="605E5C"/>
      <w:shd w:val="clear" w:color="auto" w:fill="E1DFDD"/>
    </w:rPr>
  </w:style>
  <w:style w:type="paragraph" w:styleId="NormalWeb">
    <w:name w:val="Normal (Web)"/>
    <w:basedOn w:val="Normal"/>
    <w:uiPriority w:val="99"/>
    <w:unhideWhenUsed/>
    <w:rsid w:val="001963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open.edu/openlearn/" TargetMode="External"/><Relationship Id="rId4" Type="http://schemas.openxmlformats.org/officeDocument/2006/relationships/hyperlink" Target="https://dictionary.cambridge.org/dictionary/english/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1503</Words>
  <Characters>8570</Characters>
  <Application>Microsoft Office Word</Application>
  <DocSecurity>0</DocSecurity>
  <Lines>71</Lines>
  <Paragraphs>20</Paragraphs>
  <ScaleCrop>false</ScaleCrop>
  <Company/>
  <LinksUpToDate>false</LinksUpToDate>
  <CharactersWithSpaces>10053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seymour</dc:creator>
  <cp:keywords/>
  <dc:description/>
  <cp:lastModifiedBy>james seymour</cp:lastModifiedBy>
  <cp:revision>2</cp:revision>
  <dcterms:created xsi:type="dcterms:W3CDTF">2025-09-08T20:29:00Z</dcterms:created>
  <dcterms:modified xsi:type="dcterms:W3CDTF">2025-09-08T20:29:00Z</dcterms:modified>
</cp:coreProperties>
</file>