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5BE0" w:rsidRPr="00966F1E" w:rsidRDefault="001B5BE0" w:rsidP="00966F1E">
      <w:pPr>
        <w:spacing w:before="100" w:beforeAutospacing="1" w:after="0" w:line="240" w:lineRule="auto"/>
        <w:jc w:val="both"/>
        <w:rPr>
          <w:rFonts w:ascii="Arial" w:eastAsia="Times New Roman" w:hAnsi="Arial" w:cs="Arial"/>
          <w:bCs/>
          <w:color w:val="1F1F1F"/>
          <w:sz w:val="24"/>
          <w:szCs w:val="24"/>
          <w:bdr w:val="none" w:sz="0" w:space="0" w:color="auto" w:frame="1"/>
          <w:lang w:eastAsia="en-GB"/>
        </w:rPr>
      </w:pPr>
      <w:r w:rsidRPr="00966F1E">
        <w:rPr>
          <w:rFonts w:ascii="Arial" w:eastAsia="Times New Roman" w:hAnsi="Arial" w:cs="Arial"/>
          <w:bCs/>
          <w:color w:val="1F1F1F"/>
          <w:sz w:val="24"/>
          <w:szCs w:val="24"/>
          <w:bdr w:val="none" w:sz="0" w:space="0" w:color="auto" w:frame="1"/>
          <w:lang w:eastAsia="en-GB"/>
        </w:rPr>
        <w:t xml:space="preserve">Student Name: </w:t>
      </w:r>
      <w:proofErr w:type="spellStart"/>
      <w:r w:rsidRPr="00966F1E">
        <w:rPr>
          <w:rFonts w:ascii="Arial" w:eastAsia="Times New Roman" w:hAnsi="Arial" w:cs="Arial"/>
          <w:bCs/>
          <w:color w:val="1F1F1F"/>
          <w:sz w:val="24"/>
          <w:szCs w:val="24"/>
          <w:bdr w:val="none" w:sz="0" w:space="0" w:color="auto" w:frame="1"/>
          <w:lang w:eastAsia="en-GB"/>
        </w:rPr>
        <w:t>Eman</w:t>
      </w:r>
      <w:proofErr w:type="spellEnd"/>
      <w:r w:rsidRPr="00966F1E">
        <w:rPr>
          <w:rFonts w:ascii="Arial" w:eastAsia="Times New Roman" w:hAnsi="Arial" w:cs="Arial"/>
          <w:bCs/>
          <w:color w:val="1F1F1F"/>
          <w:sz w:val="24"/>
          <w:szCs w:val="24"/>
          <w:bdr w:val="none" w:sz="0" w:space="0" w:color="auto" w:frame="1"/>
          <w:lang w:eastAsia="en-GB"/>
        </w:rPr>
        <w:t xml:space="preserve"> Ali</w:t>
      </w:r>
    </w:p>
    <w:p w:rsidR="001B5BE0" w:rsidRPr="00966F1E" w:rsidRDefault="001B5BE0" w:rsidP="00966F1E">
      <w:pPr>
        <w:spacing w:before="100" w:beforeAutospacing="1" w:after="0" w:line="240" w:lineRule="auto"/>
        <w:jc w:val="both"/>
        <w:rPr>
          <w:rFonts w:ascii="Arial" w:eastAsia="Times New Roman" w:hAnsi="Arial" w:cs="Arial"/>
          <w:bCs/>
          <w:color w:val="1F1F1F"/>
          <w:sz w:val="24"/>
          <w:szCs w:val="24"/>
          <w:bdr w:val="none" w:sz="0" w:space="0" w:color="auto" w:frame="1"/>
          <w:lang w:eastAsia="en-GB"/>
        </w:rPr>
      </w:pPr>
      <w:r w:rsidRPr="00966F1E">
        <w:rPr>
          <w:rFonts w:ascii="Arial" w:eastAsia="Times New Roman" w:hAnsi="Arial" w:cs="Arial"/>
          <w:bCs/>
          <w:color w:val="1F1F1F"/>
          <w:sz w:val="24"/>
          <w:szCs w:val="24"/>
          <w:bdr w:val="none" w:sz="0" w:space="0" w:color="auto" w:frame="1"/>
          <w:lang w:eastAsia="en-GB"/>
        </w:rPr>
        <w:t xml:space="preserve">Student ID: </w:t>
      </w:r>
      <w:r w:rsidR="00966F1E" w:rsidRPr="00966F1E">
        <w:rPr>
          <w:rFonts w:ascii="Arial" w:eastAsia="+mj-ea" w:hAnsi="Arial" w:cs="Arial"/>
          <w:color w:val="000000" w:themeColor="text1"/>
          <w:kern w:val="24"/>
          <w:sz w:val="24"/>
          <w:szCs w:val="72"/>
          <w:lang w:val="en-US"/>
        </w:rPr>
        <w:t>2507026</w:t>
      </w:r>
    </w:p>
    <w:p w:rsidR="001B5BE0" w:rsidRPr="00966F1E" w:rsidRDefault="001B5BE0" w:rsidP="00966F1E">
      <w:pPr>
        <w:spacing w:before="100" w:beforeAutospacing="1" w:after="0" w:line="240" w:lineRule="auto"/>
        <w:jc w:val="both"/>
        <w:rPr>
          <w:rFonts w:ascii="Arial" w:eastAsia="Times New Roman" w:hAnsi="Arial" w:cs="Arial"/>
          <w:bCs/>
          <w:color w:val="1F1F1F"/>
          <w:sz w:val="24"/>
          <w:szCs w:val="24"/>
          <w:bdr w:val="none" w:sz="0" w:space="0" w:color="auto" w:frame="1"/>
          <w:lang w:eastAsia="en-GB"/>
        </w:rPr>
      </w:pPr>
      <w:r w:rsidRPr="00966F1E">
        <w:rPr>
          <w:rFonts w:ascii="Arial" w:eastAsia="Times New Roman" w:hAnsi="Arial" w:cs="Arial"/>
          <w:bCs/>
          <w:color w:val="1F1F1F"/>
          <w:sz w:val="24"/>
          <w:szCs w:val="24"/>
          <w:bdr w:val="none" w:sz="0" w:space="0" w:color="auto" w:frame="1"/>
          <w:lang w:eastAsia="en-GB"/>
        </w:rPr>
        <w:t>Module:</w:t>
      </w:r>
      <w:r w:rsidR="00966F1E" w:rsidRPr="00966F1E">
        <w:rPr>
          <w:rFonts w:ascii="Arial" w:eastAsia="Times New Roman" w:hAnsi="Arial" w:cs="Arial"/>
          <w:bCs/>
          <w:color w:val="1F1F1F"/>
          <w:sz w:val="24"/>
          <w:szCs w:val="24"/>
          <w:bdr w:val="none" w:sz="0" w:space="0" w:color="auto" w:frame="1"/>
          <w:lang w:eastAsia="en-GB"/>
        </w:rPr>
        <w:t xml:space="preserve"> Managing Enterprise (BMSW4011)</w:t>
      </w:r>
    </w:p>
    <w:p w:rsidR="001B5BE0" w:rsidRPr="00966F1E" w:rsidRDefault="001B5BE0" w:rsidP="00966F1E">
      <w:pPr>
        <w:spacing w:before="100" w:beforeAutospacing="1" w:after="0" w:line="240" w:lineRule="auto"/>
        <w:jc w:val="both"/>
        <w:rPr>
          <w:rFonts w:ascii="Arial" w:eastAsia="Times New Roman" w:hAnsi="Arial" w:cs="Arial"/>
          <w:bCs/>
          <w:color w:val="1F1F1F"/>
          <w:sz w:val="24"/>
          <w:szCs w:val="24"/>
          <w:bdr w:val="none" w:sz="0" w:space="0" w:color="auto" w:frame="1"/>
          <w:lang w:eastAsia="en-GB"/>
        </w:rPr>
      </w:pPr>
      <w:r w:rsidRPr="00966F1E">
        <w:rPr>
          <w:rFonts w:ascii="Arial" w:eastAsia="Times New Roman" w:hAnsi="Arial" w:cs="Arial"/>
          <w:bCs/>
          <w:color w:val="1F1F1F"/>
          <w:sz w:val="24"/>
          <w:szCs w:val="24"/>
          <w:bdr w:val="none" w:sz="0" w:space="0" w:color="auto" w:frame="1"/>
          <w:lang w:eastAsia="en-GB"/>
        </w:rPr>
        <w:t>Module Lead</w:t>
      </w:r>
      <w:r w:rsidR="00966F1E" w:rsidRPr="00966F1E">
        <w:rPr>
          <w:rFonts w:ascii="Arial" w:eastAsia="Times New Roman" w:hAnsi="Arial" w:cs="Arial"/>
          <w:bCs/>
          <w:color w:val="1F1F1F"/>
          <w:sz w:val="24"/>
          <w:szCs w:val="24"/>
          <w:bdr w:val="none" w:sz="0" w:space="0" w:color="auto" w:frame="1"/>
          <w:lang w:eastAsia="en-GB"/>
        </w:rPr>
        <w:t>: Mel Squire</w:t>
      </w:r>
    </w:p>
    <w:p w:rsidR="00966F1E" w:rsidRDefault="00966F1E" w:rsidP="00EC2CAC">
      <w:pPr>
        <w:spacing w:before="100" w:beforeAutospacing="1" w:after="0" w:line="360" w:lineRule="auto"/>
        <w:jc w:val="both"/>
        <w:rPr>
          <w:rFonts w:ascii="Arial" w:eastAsia="Times New Roman" w:hAnsi="Arial" w:cs="Arial"/>
          <w:bCs/>
          <w:color w:val="1F1F1F"/>
          <w:sz w:val="24"/>
          <w:szCs w:val="24"/>
          <w:bdr w:val="none" w:sz="0" w:space="0" w:color="auto" w:frame="1"/>
          <w:lang w:eastAsia="en-GB"/>
        </w:rPr>
      </w:pPr>
      <w:r w:rsidRPr="00966F1E">
        <w:rPr>
          <w:rFonts w:ascii="Arial" w:eastAsia="Times New Roman" w:hAnsi="Arial" w:cs="Arial"/>
          <w:bCs/>
          <w:color w:val="1F1F1F"/>
          <w:sz w:val="24"/>
          <w:szCs w:val="24"/>
          <w:bdr w:val="none" w:sz="0" w:space="0" w:color="auto" w:frame="1"/>
          <w:lang w:eastAsia="en-GB"/>
        </w:rPr>
        <w:t>Word Count: 1572 words</w:t>
      </w:r>
    </w:p>
    <w:p w:rsidR="00966F1E" w:rsidRPr="00966F1E" w:rsidRDefault="00966F1E" w:rsidP="00EC2CAC">
      <w:pPr>
        <w:spacing w:before="100" w:beforeAutospacing="1" w:after="0" w:line="360" w:lineRule="auto"/>
        <w:jc w:val="both"/>
        <w:rPr>
          <w:rFonts w:ascii="Arial" w:eastAsia="Times New Roman" w:hAnsi="Arial" w:cs="Arial"/>
          <w:bCs/>
          <w:color w:val="1F1F1F"/>
          <w:sz w:val="24"/>
          <w:szCs w:val="24"/>
          <w:bdr w:val="none" w:sz="0" w:space="0" w:color="auto" w:frame="1"/>
          <w:lang w:eastAsia="en-GB"/>
        </w:rPr>
      </w:pPr>
    </w:p>
    <w:p w:rsidR="00B56C8A" w:rsidRPr="00EC2CAC" w:rsidRDefault="00B56C8A" w:rsidP="00EC2CAC">
      <w:pPr>
        <w:spacing w:before="100" w:beforeAutospacing="1" w:after="0" w:line="360" w:lineRule="auto"/>
        <w:jc w:val="both"/>
        <w:rPr>
          <w:rFonts w:ascii="Arial" w:eastAsia="Times New Roman" w:hAnsi="Arial" w:cs="Arial"/>
          <w:color w:val="1F1F1F"/>
          <w:sz w:val="24"/>
          <w:szCs w:val="24"/>
          <w:lang w:eastAsia="en-GB"/>
        </w:rPr>
      </w:pPr>
      <w:r w:rsidRPr="00B56C8A">
        <w:rPr>
          <w:rFonts w:ascii="Arial" w:eastAsia="Times New Roman" w:hAnsi="Arial" w:cs="Arial"/>
          <w:b/>
          <w:bCs/>
          <w:color w:val="1F1F1F"/>
          <w:sz w:val="24"/>
          <w:szCs w:val="24"/>
          <w:bdr w:val="none" w:sz="0" w:space="0" w:color="auto" w:frame="1"/>
          <w:lang w:eastAsia="en-GB"/>
        </w:rPr>
        <w:t>AI Acknowledgement Statement</w:t>
      </w:r>
      <w:r w:rsidRPr="00B56C8A">
        <w:rPr>
          <w:rFonts w:ascii="Arial" w:eastAsia="Times New Roman" w:hAnsi="Arial" w:cs="Arial"/>
          <w:color w:val="1F1F1F"/>
          <w:sz w:val="24"/>
          <w:szCs w:val="24"/>
          <w:lang w:eastAsia="en-GB"/>
        </w:rPr>
        <w:t xml:space="preserve"> </w:t>
      </w:r>
    </w:p>
    <w:p w:rsidR="00B56C8A" w:rsidRPr="00B56C8A" w:rsidRDefault="00B56C8A" w:rsidP="00EC2CAC">
      <w:pPr>
        <w:spacing w:before="100" w:beforeAutospacing="1" w:after="100" w:afterAutospacing="1" w:line="360" w:lineRule="auto"/>
        <w:jc w:val="both"/>
        <w:rPr>
          <w:rFonts w:ascii="Arial" w:eastAsia="Times New Roman" w:hAnsi="Arial" w:cs="Arial"/>
          <w:sz w:val="24"/>
          <w:szCs w:val="24"/>
          <w:lang w:eastAsia="en-GB"/>
        </w:rPr>
      </w:pPr>
      <w:r w:rsidRPr="00B56C8A">
        <w:rPr>
          <w:rFonts w:ascii="Arial" w:eastAsia="Times New Roman" w:hAnsi="Arial" w:cs="Arial"/>
          <w:sz w:val="24"/>
          <w:szCs w:val="24"/>
          <w:lang w:eastAsia="en-GB"/>
        </w:rPr>
        <w:t>I confirm that I have not presented any AI generated text as my own work. I confirm I have copies of my drafts, notes, and other resources I used before, and after the use of AI tools which I may be asked to provide in evidence.</w:t>
      </w:r>
    </w:p>
    <w:p w:rsidR="00B56C8A" w:rsidRPr="00B56C8A" w:rsidRDefault="00B56C8A" w:rsidP="00EC2CAC">
      <w:pPr>
        <w:spacing w:before="100" w:beforeAutospacing="1" w:after="0" w:line="360" w:lineRule="auto"/>
        <w:jc w:val="both"/>
        <w:rPr>
          <w:rFonts w:ascii="Arial" w:eastAsia="Times New Roman" w:hAnsi="Arial" w:cs="Arial"/>
          <w:color w:val="1F1F1F"/>
          <w:sz w:val="24"/>
          <w:szCs w:val="24"/>
          <w:lang w:eastAsia="en-GB"/>
        </w:rPr>
      </w:pPr>
    </w:p>
    <w:p w:rsidR="006A3F69" w:rsidRDefault="00B56C8A" w:rsidP="00EC2CAC">
      <w:pPr>
        <w:spacing w:before="100" w:beforeAutospacing="1" w:after="0" w:line="360" w:lineRule="auto"/>
        <w:jc w:val="both"/>
        <w:outlineLvl w:val="0"/>
        <w:rPr>
          <w:rFonts w:ascii="Arial" w:eastAsia="Times New Roman" w:hAnsi="Arial" w:cs="Arial"/>
          <w:b/>
          <w:bCs/>
          <w:color w:val="1F1F1F"/>
          <w:kern w:val="36"/>
          <w:sz w:val="36"/>
          <w:szCs w:val="48"/>
          <w:lang w:eastAsia="en-GB"/>
        </w:rPr>
      </w:pPr>
      <w:bookmarkStart w:id="0" w:name="_Hlk232809110"/>
      <w:r w:rsidRPr="00B56C8A">
        <w:rPr>
          <w:rFonts w:ascii="Arial" w:eastAsia="Times New Roman" w:hAnsi="Arial" w:cs="Arial"/>
          <w:b/>
          <w:bCs/>
          <w:color w:val="1F1F1F"/>
          <w:kern w:val="36"/>
          <w:sz w:val="36"/>
          <w:szCs w:val="48"/>
          <w:lang w:eastAsia="en-GB"/>
        </w:rPr>
        <w:t>TASK 1 — PART 1: THE BUSINESS PLAN</w:t>
      </w:r>
    </w:p>
    <w:p w:rsidR="006A3F69" w:rsidRPr="006A3F69" w:rsidRDefault="006A3F69" w:rsidP="00966F1E">
      <w:pPr>
        <w:spacing w:before="100" w:beforeAutospacing="1" w:after="0" w:line="360" w:lineRule="auto"/>
        <w:jc w:val="both"/>
        <w:outlineLvl w:val="0"/>
        <w:rPr>
          <w:rFonts w:ascii="Arial" w:eastAsia="Times New Roman" w:hAnsi="Arial" w:cs="Arial"/>
          <w:b/>
          <w:bCs/>
          <w:color w:val="1F1F1F"/>
          <w:kern w:val="36"/>
          <w:sz w:val="24"/>
          <w:szCs w:val="48"/>
          <w:lang w:eastAsia="en-GB"/>
        </w:rPr>
      </w:pPr>
      <w:r w:rsidRPr="006A3F69">
        <w:rPr>
          <w:rFonts w:ascii="Arial" w:eastAsia="Times New Roman" w:hAnsi="Arial" w:cs="Arial"/>
          <w:b/>
          <w:bCs/>
          <w:color w:val="1F1F1F"/>
          <w:kern w:val="36"/>
          <w:sz w:val="24"/>
          <w:szCs w:val="48"/>
          <w:lang w:eastAsia="en-GB"/>
        </w:rPr>
        <w:t>1. Produc</w:t>
      </w:r>
      <w:r w:rsidR="006A3B8D">
        <w:rPr>
          <w:rFonts w:ascii="Arial" w:eastAsia="Times New Roman" w:hAnsi="Arial" w:cs="Arial"/>
          <w:b/>
          <w:bCs/>
          <w:color w:val="1F1F1F"/>
          <w:kern w:val="36"/>
          <w:sz w:val="24"/>
          <w:szCs w:val="48"/>
          <w:lang w:eastAsia="en-GB"/>
        </w:rPr>
        <w:t xml:space="preserve">t </w:t>
      </w:r>
      <w:r w:rsidRPr="006A3F69">
        <w:rPr>
          <w:rFonts w:ascii="Arial" w:eastAsia="Times New Roman" w:hAnsi="Arial" w:cs="Arial"/>
          <w:b/>
          <w:bCs/>
          <w:color w:val="1F1F1F"/>
          <w:kern w:val="36"/>
          <w:sz w:val="24"/>
          <w:szCs w:val="48"/>
          <w:lang w:eastAsia="en-GB"/>
        </w:rPr>
        <w:t>Proposition &amp; Company Name</w:t>
      </w:r>
    </w:p>
    <w:p w:rsidR="00D16669" w:rsidRPr="00966F1E" w:rsidRDefault="00D16669" w:rsidP="00966F1E">
      <w:pPr>
        <w:spacing w:before="100" w:beforeAutospacing="1" w:after="0" w:line="360" w:lineRule="auto"/>
        <w:jc w:val="both"/>
        <w:outlineLvl w:val="0"/>
        <w:rPr>
          <w:rFonts w:ascii="Arial" w:hAnsi="Arial" w:cs="Arial"/>
          <w:sz w:val="24"/>
        </w:rPr>
      </w:pPr>
      <w:r w:rsidRPr="00966F1E">
        <w:rPr>
          <w:rFonts w:ascii="Arial" w:hAnsi="Arial" w:cs="Arial"/>
          <w:b/>
          <w:bCs/>
          <w:sz w:val="24"/>
        </w:rPr>
        <w:t>The Velvet Scoop</w:t>
      </w:r>
      <w:r w:rsidRPr="00966F1E">
        <w:rPr>
          <w:rFonts w:ascii="Arial" w:hAnsi="Arial" w:cs="Arial"/>
          <w:sz w:val="24"/>
        </w:rPr>
        <w:t xml:space="preserve"> operates as an artisanal late-night dessert lounge in Manchester, specializing in premium bubble waffles, artisanal gelato, luxury hot chocolates, and botanical mocktails. Shifting from transactional takeaways, the venture capitalizes on the "experience economy," where consumers prioritize memorable, high-end social interactions over basic consumption (Osterwalder and </w:t>
      </w:r>
      <w:proofErr w:type="spellStart"/>
      <w:r w:rsidRPr="00966F1E">
        <w:rPr>
          <w:rFonts w:ascii="Arial" w:hAnsi="Arial" w:cs="Arial"/>
          <w:sz w:val="24"/>
        </w:rPr>
        <w:t>Pigneur</w:t>
      </w:r>
      <w:proofErr w:type="spellEnd"/>
      <w:r w:rsidRPr="00966F1E">
        <w:rPr>
          <w:rFonts w:ascii="Arial" w:hAnsi="Arial" w:cs="Arial"/>
          <w:sz w:val="24"/>
        </w:rPr>
        <w:t>, 2010). The establishment features an upscale, Instagram-tailored aesthetic with plush velvet seating, providing a sophisticated, alcohol-free hospitality alternative for evening socializing.</w:t>
      </w:r>
    </w:p>
    <w:p w:rsidR="006A3F69" w:rsidRPr="006A3F69" w:rsidRDefault="006A3F69" w:rsidP="00966F1E">
      <w:pPr>
        <w:spacing w:before="100" w:beforeAutospacing="1" w:after="0" w:line="360" w:lineRule="auto"/>
        <w:jc w:val="both"/>
        <w:outlineLvl w:val="0"/>
        <w:rPr>
          <w:rFonts w:ascii="Arial" w:eastAsia="Times New Roman" w:hAnsi="Arial" w:cs="Arial"/>
          <w:b/>
          <w:bCs/>
          <w:color w:val="1F1F1F"/>
          <w:kern w:val="36"/>
          <w:sz w:val="24"/>
          <w:szCs w:val="48"/>
          <w:lang w:eastAsia="en-GB"/>
        </w:rPr>
      </w:pPr>
      <w:r w:rsidRPr="006A3F69">
        <w:rPr>
          <w:rFonts w:ascii="Arial" w:eastAsia="Times New Roman" w:hAnsi="Arial" w:cs="Arial"/>
          <w:b/>
          <w:bCs/>
          <w:color w:val="1F1F1F"/>
          <w:kern w:val="36"/>
          <w:sz w:val="24"/>
          <w:szCs w:val="48"/>
          <w:lang w:eastAsia="en-GB"/>
        </w:rPr>
        <w:t>2. "The Story" and Passion Behind the Business</w:t>
      </w:r>
    </w:p>
    <w:p w:rsidR="00D16669" w:rsidRDefault="00D16669" w:rsidP="00966F1E">
      <w:pPr>
        <w:spacing w:before="100" w:beforeAutospacing="1" w:after="0" w:line="360" w:lineRule="auto"/>
        <w:jc w:val="both"/>
        <w:outlineLvl w:val="0"/>
        <w:rPr>
          <w:rFonts w:ascii="Arial" w:eastAsia="Times New Roman" w:hAnsi="Arial" w:cs="Arial"/>
          <w:bCs/>
          <w:color w:val="1F1F1F"/>
          <w:kern w:val="36"/>
          <w:sz w:val="24"/>
          <w:szCs w:val="48"/>
          <w:lang w:eastAsia="en-GB"/>
        </w:rPr>
      </w:pPr>
      <w:r w:rsidRPr="00D16669">
        <w:rPr>
          <w:rFonts w:ascii="Arial" w:eastAsia="Times New Roman" w:hAnsi="Arial" w:cs="Arial"/>
          <w:bCs/>
          <w:color w:val="1F1F1F"/>
          <w:kern w:val="36"/>
          <w:sz w:val="24"/>
          <w:szCs w:val="48"/>
          <w:lang w:eastAsia="en-GB"/>
        </w:rPr>
        <w:t xml:space="preserve">This concept emerged from a distinct structural gap in the UK night-time economy. Because alcohol-centric bars and loud nightclubs heavily dominate the landscape, students, young professionals, and sober or diverse communities remain largely underserved after 7:00 p.m. (Manchester City Council, 2025). Driven by this deficit, </w:t>
      </w:r>
      <w:r w:rsidRPr="00D16669">
        <w:rPr>
          <w:rFonts w:ascii="Arial" w:eastAsia="Times New Roman" w:hAnsi="Arial" w:cs="Arial"/>
          <w:bCs/>
          <w:color w:val="1F1F1F"/>
          <w:kern w:val="36"/>
          <w:sz w:val="24"/>
          <w:szCs w:val="48"/>
          <w:lang w:eastAsia="en-GB"/>
        </w:rPr>
        <w:lastRenderedPageBreak/>
        <w:t>the founder aims to establish an inclusive, warm "third space" separate from home and work that fosters genuine community connection (Burns, 2016). By blending premium pastry arts with a refined lounge environment, the venue successfully transforms dessert eating into a shared social ritual.</w:t>
      </w:r>
    </w:p>
    <w:p w:rsidR="006A3F69" w:rsidRPr="006A3F69" w:rsidRDefault="006A3F69" w:rsidP="00966F1E">
      <w:pPr>
        <w:spacing w:before="100" w:beforeAutospacing="1" w:after="0" w:line="360" w:lineRule="auto"/>
        <w:jc w:val="both"/>
        <w:outlineLvl w:val="0"/>
        <w:rPr>
          <w:rFonts w:ascii="Arial" w:eastAsia="Times New Roman" w:hAnsi="Arial" w:cs="Arial"/>
          <w:b/>
          <w:bCs/>
          <w:color w:val="1F1F1F"/>
          <w:kern w:val="36"/>
          <w:sz w:val="24"/>
          <w:szCs w:val="48"/>
          <w:lang w:eastAsia="en-GB"/>
        </w:rPr>
      </w:pPr>
      <w:r w:rsidRPr="006A3F69">
        <w:rPr>
          <w:rFonts w:ascii="Arial" w:eastAsia="Times New Roman" w:hAnsi="Arial" w:cs="Arial"/>
          <w:b/>
          <w:bCs/>
          <w:color w:val="1F1F1F"/>
          <w:kern w:val="36"/>
          <w:sz w:val="24"/>
          <w:szCs w:val="48"/>
          <w:lang w:eastAsia="en-GB"/>
        </w:rPr>
        <w:t>3. Legal Structure &amp; Rationale</w:t>
      </w:r>
    </w:p>
    <w:p w:rsidR="006A3F69" w:rsidRPr="006A3F69" w:rsidRDefault="006A3F69" w:rsidP="00966F1E">
      <w:p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Cs/>
          <w:color w:val="1F1F1F"/>
          <w:kern w:val="36"/>
          <w:sz w:val="24"/>
          <w:szCs w:val="48"/>
          <w:lang w:eastAsia="en-GB"/>
        </w:rPr>
        <w:t>Selecting a legal framework is vital for managing risk and compliance (Barringer and Ireland, 2022). Three options were evaluated:</w:t>
      </w:r>
    </w:p>
    <w:p w:rsidR="006A3F69" w:rsidRPr="006A3F69" w:rsidRDefault="006A3F69" w:rsidP="00966F1E">
      <w:pPr>
        <w:numPr>
          <w:ilvl w:val="0"/>
          <w:numId w:val="14"/>
        </w:num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
          <w:bCs/>
          <w:color w:val="1F1F1F"/>
          <w:kern w:val="36"/>
          <w:sz w:val="24"/>
          <w:szCs w:val="48"/>
          <w:lang w:eastAsia="en-GB"/>
        </w:rPr>
        <w:t>Sole Trader:</w:t>
      </w:r>
      <w:r w:rsidRPr="006A3F69">
        <w:rPr>
          <w:rFonts w:ascii="Arial" w:eastAsia="Times New Roman" w:hAnsi="Arial" w:cs="Arial"/>
          <w:bCs/>
          <w:color w:val="1F1F1F"/>
          <w:kern w:val="36"/>
          <w:sz w:val="24"/>
          <w:szCs w:val="48"/>
          <w:lang w:eastAsia="en-GB"/>
        </w:rPr>
        <w:t xml:space="preserve"> Rejected due to </w:t>
      </w:r>
      <w:r w:rsidRPr="006A3F69">
        <w:rPr>
          <w:rFonts w:ascii="Arial" w:eastAsia="Times New Roman" w:hAnsi="Arial" w:cs="Arial"/>
          <w:bCs/>
          <w:i/>
          <w:iCs/>
          <w:color w:val="1F1F1F"/>
          <w:kern w:val="36"/>
          <w:sz w:val="24"/>
          <w:szCs w:val="48"/>
          <w:lang w:eastAsia="en-GB"/>
        </w:rPr>
        <w:t>unlimited liability</w:t>
      </w:r>
      <w:r w:rsidRPr="006A3F69">
        <w:rPr>
          <w:rFonts w:ascii="Arial" w:eastAsia="Times New Roman" w:hAnsi="Arial" w:cs="Arial"/>
          <w:bCs/>
          <w:color w:val="1F1F1F"/>
          <w:kern w:val="36"/>
          <w:sz w:val="24"/>
          <w:szCs w:val="48"/>
          <w:lang w:eastAsia="en-GB"/>
        </w:rPr>
        <w:t>, which risks personal assets against commercial debt (Scarborough and Cornwall, 2019).</w:t>
      </w:r>
    </w:p>
    <w:p w:rsidR="006A3F69" w:rsidRPr="006A3F69" w:rsidRDefault="006A3F69" w:rsidP="00966F1E">
      <w:pPr>
        <w:numPr>
          <w:ilvl w:val="0"/>
          <w:numId w:val="14"/>
        </w:num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
          <w:bCs/>
          <w:color w:val="1F1F1F"/>
          <w:kern w:val="36"/>
          <w:sz w:val="24"/>
          <w:szCs w:val="48"/>
          <w:lang w:eastAsia="en-GB"/>
        </w:rPr>
        <w:t>Partnership:</w:t>
      </w:r>
      <w:r w:rsidRPr="006A3F69">
        <w:rPr>
          <w:rFonts w:ascii="Arial" w:eastAsia="Times New Roman" w:hAnsi="Arial" w:cs="Arial"/>
          <w:bCs/>
          <w:color w:val="1F1F1F"/>
          <w:kern w:val="36"/>
          <w:sz w:val="24"/>
          <w:szCs w:val="48"/>
          <w:lang w:eastAsia="en-GB"/>
        </w:rPr>
        <w:t xml:space="preserve"> Dismissed due to risks of interpersonal conflict and </w:t>
      </w:r>
      <w:r w:rsidRPr="006A3F69">
        <w:rPr>
          <w:rFonts w:ascii="Arial" w:eastAsia="Times New Roman" w:hAnsi="Arial" w:cs="Arial"/>
          <w:bCs/>
          <w:i/>
          <w:iCs/>
          <w:color w:val="1F1F1F"/>
          <w:kern w:val="36"/>
          <w:sz w:val="24"/>
          <w:szCs w:val="48"/>
          <w:lang w:eastAsia="en-GB"/>
        </w:rPr>
        <w:t>joint and several liability</w:t>
      </w:r>
      <w:r w:rsidRPr="006A3F69">
        <w:rPr>
          <w:rFonts w:ascii="Arial" w:eastAsia="Times New Roman" w:hAnsi="Arial" w:cs="Arial"/>
          <w:bCs/>
          <w:color w:val="1F1F1F"/>
          <w:kern w:val="36"/>
          <w:sz w:val="24"/>
          <w:szCs w:val="48"/>
          <w:lang w:eastAsia="en-GB"/>
        </w:rPr>
        <w:t xml:space="preserve"> for shared partner debts (Deakins and </w:t>
      </w:r>
      <w:proofErr w:type="spellStart"/>
      <w:r w:rsidRPr="006A3F69">
        <w:rPr>
          <w:rFonts w:ascii="Arial" w:eastAsia="Times New Roman" w:hAnsi="Arial" w:cs="Arial"/>
          <w:bCs/>
          <w:color w:val="1F1F1F"/>
          <w:kern w:val="36"/>
          <w:sz w:val="24"/>
          <w:szCs w:val="48"/>
          <w:lang w:eastAsia="en-GB"/>
        </w:rPr>
        <w:t>Freel</w:t>
      </w:r>
      <w:proofErr w:type="spellEnd"/>
      <w:r w:rsidRPr="006A3F69">
        <w:rPr>
          <w:rFonts w:ascii="Arial" w:eastAsia="Times New Roman" w:hAnsi="Arial" w:cs="Arial"/>
          <w:bCs/>
          <w:color w:val="1F1F1F"/>
          <w:kern w:val="36"/>
          <w:sz w:val="24"/>
          <w:szCs w:val="48"/>
          <w:lang w:eastAsia="en-GB"/>
        </w:rPr>
        <w:t>, 2012).</w:t>
      </w:r>
    </w:p>
    <w:p w:rsidR="00453FE0" w:rsidRPr="00453FE0" w:rsidRDefault="006A3F69" w:rsidP="00966F1E">
      <w:pPr>
        <w:numPr>
          <w:ilvl w:val="0"/>
          <w:numId w:val="14"/>
        </w:num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
          <w:bCs/>
          <w:color w:val="1F1F1F"/>
          <w:kern w:val="36"/>
          <w:sz w:val="24"/>
          <w:szCs w:val="48"/>
          <w:lang w:eastAsia="en-GB"/>
        </w:rPr>
        <w:t>Private Limited Company (Ltd):</w:t>
      </w:r>
      <w:r w:rsidRPr="006A3F69">
        <w:rPr>
          <w:rFonts w:ascii="Arial" w:eastAsia="Times New Roman" w:hAnsi="Arial" w:cs="Arial"/>
          <w:bCs/>
          <w:color w:val="1F1F1F"/>
          <w:kern w:val="36"/>
          <w:sz w:val="24"/>
          <w:szCs w:val="48"/>
          <w:lang w:eastAsia="en-GB"/>
        </w:rPr>
        <w:t xml:space="preserve"> Selected as optimal. Incorporating as </w:t>
      </w:r>
      <w:proofErr w:type="gramStart"/>
      <w:r w:rsidRPr="006A3F69">
        <w:rPr>
          <w:rFonts w:ascii="Arial" w:eastAsia="Times New Roman" w:hAnsi="Arial" w:cs="Arial"/>
          <w:bCs/>
          <w:color w:val="1F1F1F"/>
          <w:kern w:val="36"/>
          <w:sz w:val="24"/>
          <w:szCs w:val="48"/>
          <w:lang w:eastAsia="en-GB"/>
        </w:rPr>
        <w:t>an</w:t>
      </w:r>
      <w:proofErr w:type="gramEnd"/>
      <w:r w:rsidRPr="006A3F69">
        <w:rPr>
          <w:rFonts w:ascii="Arial" w:eastAsia="Times New Roman" w:hAnsi="Arial" w:cs="Arial"/>
          <w:bCs/>
          <w:color w:val="1F1F1F"/>
          <w:kern w:val="36"/>
          <w:sz w:val="24"/>
          <w:szCs w:val="48"/>
          <w:lang w:eastAsia="en-GB"/>
        </w:rPr>
        <w:t xml:space="preserve"> "Ltd" protects the founder via </w:t>
      </w:r>
      <w:r w:rsidRPr="006A3F69">
        <w:rPr>
          <w:rFonts w:ascii="Arial" w:eastAsia="Times New Roman" w:hAnsi="Arial" w:cs="Arial"/>
          <w:bCs/>
          <w:i/>
          <w:iCs/>
          <w:color w:val="1F1F1F"/>
          <w:kern w:val="36"/>
          <w:sz w:val="24"/>
          <w:szCs w:val="48"/>
          <w:lang w:eastAsia="en-GB"/>
        </w:rPr>
        <w:t>limited liability</w:t>
      </w:r>
      <w:r w:rsidRPr="006A3F69">
        <w:rPr>
          <w:rFonts w:ascii="Arial" w:eastAsia="Times New Roman" w:hAnsi="Arial" w:cs="Arial"/>
          <w:bCs/>
          <w:color w:val="1F1F1F"/>
          <w:kern w:val="36"/>
          <w:sz w:val="24"/>
          <w:szCs w:val="48"/>
          <w:lang w:eastAsia="en-GB"/>
        </w:rPr>
        <w:t>, separating personal assets from business obligations or lease defaults (Williams, 2022). It also increases corporate credibility when securing suppliers and commercial landlords.</w:t>
      </w:r>
      <w:r w:rsidR="00851522">
        <w:rPr>
          <w:rFonts w:ascii="Arial" w:eastAsia="Times New Roman" w:hAnsi="Arial" w:cs="Arial"/>
          <w:bCs/>
          <w:color w:val="1F1F1F"/>
          <w:kern w:val="36"/>
          <w:sz w:val="24"/>
          <w:szCs w:val="48"/>
          <w:lang w:eastAsia="en-GB"/>
        </w:rPr>
        <w:t xml:space="preserve"> </w:t>
      </w:r>
      <w:r w:rsidR="00453FE0" w:rsidRPr="00453FE0">
        <w:rPr>
          <w:rFonts w:ascii="Arial" w:eastAsia="Times New Roman" w:hAnsi="Arial" w:cs="Arial"/>
          <w:bCs/>
          <w:color w:val="1F1F1F"/>
          <w:kern w:val="36"/>
          <w:sz w:val="24"/>
          <w:szCs w:val="48"/>
          <w:lang w:eastAsia="en-GB"/>
        </w:rPr>
        <w:t>While a Private Limited Company structure offers robust asset safety, it introduces the operational disadvantages of administrative complexity, incorporation costs, and the statutory requirement to disclose annual financial statements publicly on Companies House</w:t>
      </w:r>
      <w:r w:rsidR="00453FE0">
        <w:rPr>
          <w:rFonts w:ascii="Arial" w:eastAsia="Times New Roman" w:hAnsi="Arial" w:cs="Arial"/>
          <w:bCs/>
          <w:color w:val="1F1F1F"/>
          <w:kern w:val="36"/>
          <w:sz w:val="24"/>
          <w:szCs w:val="48"/>
          <w:lang w:eastAsia="en-GB"/>
        </w:rPr>
        <w:t>.</w:t>
      </w:r>
    </w:p>
    <w:p w:rsidR="006A3F69" w:rsidRPr="006A3F69" w:rsidRDefault="006A3F69" w:rsidP="00966F1E">
      <w:pPr>
        <w:spacing w:before="100" w:beforeAutospacing="1" w:after="0" w:line="360" w:lineRule="auto"/>
        <w:jc w:val="both"/>
        <w:outlineLvl w:val="0"/>
        <w:rPr>
          <w:rFonts w:ascii="Arial" w:eastAsia="Times New Roman" w:hAnsi="Arial" w:cs="Arial"/>
          <w:b/>
          <w:bCs/>
          <w:color w:val="1F1F1F"/>
          <w:kern w:val="36"/>
          <w:sz w:val="24"/>
          <w:szCs w:val="48"/>
          <w:lang w:eastAsia="en-GB"/>
        </w:rPr>
      </w:pPr>
      <w:r w:rsidRPr="006A3F69">
        <w:rPr>
          <w:rFonts w:ascii="Arial" w:eastAsia="Times New Roman" w:hAnsi="Arial" w:cs="Arial"/>
          <w:b/>
          <w:bCs/>
          <w:color w:val="1F1F1F"/>
          <w:kern w:val="36"/>
          <w:sz w:val="24"/>
          <w:szCs w:val="48"/>
          <w:lang w:eastAsia="en-GB"/>
        </w:rPr>
        <w:t>4. Strategic Directives: Mission, Aim, SMART Objectives, and USP</w:t>
      </w:r>
    </w:p>
    <w:p w:rsidR="006A3F69" w:rsidRPr="006A3F69" w:rsidRDefault="006A3F69" w:rsidP="00966F1E">
      <w:pPr>
        <w:numPr>
          <w:ilvl w:val="0"/>
          <w:numId w:val="15"/>
        </w:num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
          <w:bCs/>
          <w:color w:val="1F1F1F"/>
          <w:kern w:val="36"/>
          <w:sz w:val="24"/>
          <w:szCs w:val="48"/>
          <w:lang w:eastAsia="en-GB"/>
        </w:rPr>
        <w:t>Mission:</w:t>
      </w:r>
      <w:r w:rsidRPr="006A3F69">
        <w:rPr>
          <w:rFonts w:ascii="Arial" w:eastAsia="Times New Roman" w:hAnsi="Arial" w:cs="Arial"/>
          <w:bCs/>
          <w:color w:val="1F1F1F"/>
          <w:kern w:val="36"/>
          <w:sz w:val="24"/>
          <w:szCs w:val="48"/>
          <w:lang w:eastAsia="en-GB"/>
        </w:rPr>
        <w:t xml:space="preserve"> To cultivate a luxurious, sensory-driven evening experience that connects people through exceptional hospitality and artisanal desserts.</w:t>
      </w:r>
    </w:p>
    <w:p w:rsidR="006A3F69" w:rsidRPr="006A3F69" w:rsidRDefault="006A3F69" w:rsidP="00966F1E">
      <w:pPr>
        <w:numPr>
          <w:ilvl w:val="0"/>
          <w:numId w:val="15"/>
        </w:num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
          <w:bCs/>
          <w:color w:val="1F1F1F"/>
          <w:kern w:val="36"/>
          <w:sz w:val="24"/>
          <w:szCs w:val="48"/>
          <w:lang w:eastAsia="en-GB"/>
        </w:rPr>
        <w:t>Business Aim:</w:t>
      </w:r>
      <w:r w:rsidRPr="006A3F69">
        <w:rPr>
          <w:rFonts w:ascii="Arial" w:eastAsia="Times New Roman" w:hAnsi="Arial" w:cs="Arial"/>
          <w:bCs/>
          <w:color w:val="1F1F1F"/>
          <w:kern w:val="36"/>
          <w:sz w:val="24"/>
          <w:szCs w:val="48"/>
          <w:lang w:eastAsia="en-GB"/>
        </w:rPr>
        <w:t xml:space="preserve"> To establish the brand as Manchester's premier independent late-night dessert destination, reaching profitability within Year 1.</w:t>
      </w:r>
    </w:p>
    <w:p w:rsidR="006A3F69" w:rsidRPr="006A3F69" w:rsidRDefault="006A3F69" w:rsidP="00966F1E">
      <w:pPr>
        <w:numPr>
          <w:ilvl w:val="0"/>
          <w:numId w:val="15"/>
        </w:num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
          <w:bCs/>
          <w:color w:val="1F1F1F"/>
          <w:kern w:val="36"/>
          <w:sz w:val="24"/>
          <w:szCs w:val="48"/>
          <w:lang w:eastAsia="en-GB"/>
        </w:rPr>
        <w:t>SMART Objectives:</w:t>
      </w:r>
    </w:p>
    <w:p w:rsidR="006A3F69" w:rsidRPr="006A3F69" w:rsidRDefault="006A3F69" w:rsidP="00966F1E">
      <w:pPr>
        <w:numPr>
          <w:ilvl w:val="1"/>
          <w:numId w:val="15"/>
        </w:num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Cs/>
          <w:color w:val="1F1F1F"/>
          <w:kern w:val="36"/>
          <w:sz w:val="24"/>
          <w:szCs w:val="48"/>
          <w:lang w:eastAsia="en-GB"/>
        </w:rPr>
        <w:t>Achieve a minimum net profit margin of 18% by Month 12.</w:t>
      </w:r>
    </w:p>
    <w:p w:rsidR="006A3F69" w:rsidRPr="006A3F69" w:rsidRDefault="006A3F69" w:rsidP="00966F1E">
      <w:pPr>
        <w:numPr>
          <w:ilvl w:val="1"/>
          <w:numId w:val="15"/>
        </w:num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Cs/>
          <w:color w:val="1F1F1F"/>
          <w:kern w:val="36"/>
          <w:sz w:val="24"/>
          <w:szCs w:val="48"/>
          <w:lang w:eastAsia="en-GB"/>
        </w:rPr>
        <w:t>Build an organic audience of 5,000 Instagram/</w:t>
      </w:r>
      <w:proofErr w:type="spellStart"/>
      <w:r w:rsidRPr="006A3F69">
        <w:rPr>
          <w:rFonts w:ascii="Arial" w:eastAsia="Times New Roman" w:hAnsi="Arial" w:cs="Arial"/>
          <w:bCs/>
          <w:color w:val="1F1F1F"/>
          <w:kern w:val="36"/>
          <w:sz w:val="24"/>
          <w:szCs w:val="48"/>
          <w:lang w:eastAsia="en-GB"/>
        </w:rPr>
        <w:t>TikTok</w:t>
      </w:r>
      <w:proofErr w:type="spellEnd"/>
      <w:r w:rsidRPr="006A3F69">
        <w:rPr>
          <w:rFonts w:ascii="Arial" w:eastAsia="Times New Roman" w:hAnsi="Arial" w:cs="Arial"/>
          <w:bCs/>
          <w:color w:val="1F1F1F"/>
          <w:kern w:val="36"/>
          <w:sz w:val="24"/>
          <w:szCs w:val="48"/>
          <w:lang w:eastAsia="en-GB"/>
        </w:rPr>
        <w:t xml:space="preserve"> followers within 6 months.</w:t>
      </w:r>
    </w:p>
    <w:p w:rsidR="006A3F69" w:rsidRPr="006A3F69" w:rsidRDefault="006A3F69" w:rsidP="00966F1E">
      <w:pPr>
        <w:numPr>
          <w:ilvl w:val="1"/>
          <w:numId w:val="15"/>
        </w:num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Cs/>
          <w:color w:val="1F1F1F"/>
          <w:kern w:val="36"/>
          <w:sz w:val="24"/>
          <w:szCs w:val="48"/>
          <w:lang w:eastAsia="en-GB"/>
        </w:rPr>
        <w:t>Maintain an average rating of 4.7/5 stars on Google Reviews throughout Year 1.</w:t>
      </w:r>
    </w:p>
    <w:p w:rsidR="006A3F69" w:rsidRPr="006A3F69" w:rsidRDefault="006A3F69" w:rsidP="00966F1E">
      <w:pPr>
        <w:numPr>
          <w:ilvl w:val="1"/>
          <w:numId w:val="15"/>
        </w:num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Cs/>
          <w:color w:val="1F1F1F"/>
          <w:kern w:val="36"/>
          <w:sz w:val="24"/>
          <w:szCs w:val="48"/>
          <w:lang w:eastAsia="en-GB"/>
        </w:rPr>
        <w:lastRenderedPageBreak/>
        <w:t>Onboard 3 corporate catering partnerships by Q4.</w:t>
      </w:r>
    </w:p>
    <w:p w:rsidR="006A3F69" w:rsidRPr="006A3F69" w:rsidRDefault="006A3F69" w:rsidP="00966F1E">
      <w:pPr>
        <w:numPr>
          <w:ilvl w:val="0"/>
          <w:numId w:val="15"/>
        </w:num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
          <w:bCs/>
          <w:color w:val="1F1F1F"/>
          <w:kern w:val="36"/>
          <w:sz w:val="24"/>
          <w:szCs w:val="48"/>
          <w:lang w:eastAsia="en-GB"/>
        </w:rPr>
        <w:t>USP:</w:t>
      </w:r>
      <w:r w:rsidRPr="006A3F69">
        <w:rPr>
          <w:rFonts w:ascii="Arial" w:eastAsia="Times New Roman" w:hAnsi="Arial" w:cs="Arial"/>
          <w:bCs/>
          <w:color w:val="1F1F1F"/>
          <w:kern w:val="36"/>
          <w:sz w:val="24"/>
          <w:szCs w:val="48"/>
          <w:lang w:eastAsia="en-GB"/>
        </w:rPr>
        <w:t xml:space="preserve"> The </w:t>
      </w:r>
      <w:r w:rsidRPr="006A3F69">
        <w:rPr>
          <w:rFonts w:ascii="Arial" w:eastAsia="Times New Roman" w:hAnsi="Arial" w:cs="Arial"/>
          <w:b/>
          <w:bCs/>
          <w:color w:val="1F1F1F"/>
          <w:kern w:val="36"/>
          <w:sz w:val="24"/>
          <w:szCs w:val="48"/>
          <w:lang w:eastAsia="en-GB"/>
        </w:rPr>
        <w:t>"Artisanal Theatre" model</w:t>
      </w:r>
      <w:r w:rsidRPr="006A3F69">
        <w:rPr>
          <w:rFonts w:ascii="Arial" w:eastAsia="Times New Roman" w:hAnsi="Arial" w:cs="Arial"/>
          <w:bCs/>
          <w:color w:val="1F1F1F"/>
          <w:kern w:val="36"/>
          <w:sz w:val="24"/>
          <w:szCs w:val="48"/>
          <w:lang w:eastAsia="en-GB"/>
        </w:rPr>
        <w:t xml:space="preserve">—combining live, open-kitchen dessert preparation with tailored, non-alcoholic botanical mocktail pairings designed to complement the </w:t>
      </w:r>
      <w:r w:rsidR="00966F1E" w:rsidRPr="006A3F69">
        <w:rPr>
          <w:rFonts w:ascii="Arial" w:eastAsia="Times New Roman" w:hAnsi="Arial" w:cs="Arial"/>
          <w:bCs/>
          <w:color w:val="1F1F1F"/>
          <w:kern w:val="36"/>
          <w:sz w:val="24"/>
          <w:szCs w:val="48"/>
          <w:lang w:eastAsia="en-GB"/>
        </w:rPr>
        <w:t>flavour</w:t>
      </w:r>
      <w:bookmarkStart w:id="1" w:name="_GoBack"/>
      <w:bookmarkEnd w:id="1"/>
      <w:r w:rsidRPr="006A3F69">
        <w:rPr>
          <w:rFonts w:ascii="Arial" w:eastAsia="Times New Roman" w:hAnsi="Arial" w:cs="Arial"/>
          <w:bCs/>
          <w:color w:val="1F1F1F"/>
          <w:kern w:val="36"/>
          <w:sz w:val="24"/>
          <w:szCs w:val="48"/>
          <w:lang w:eastAsia="en-GB"/>
        </w:rPr>
        <w:t xml:space="preserve"> profiles.</w:t>
      </w:r>
    </w:p>
    <w:p w:rsidR="006A3F69" w:rsidRPr="006A3F69" w:rsidRDefault="006A3F69" w:rsidP="00966F1E">
      <w:pPr>
        <w:spacing w:before="100" w:beforeAutospacing="1" w:after="0" w:line="360" w:lineRule="auto"/>
        <w:jc w:val="both"/>
        <w:outlineLvl w:val="0"/>
        <w:rPr>
          <w:rFonts w:ascii="Arial" w:eastAsia="Times New Roman" w:hAnsi="Arial" w:cs="Arial"/>
          <w:b/>
          <w:bCs/>
          <w:color w:val="1F1F1F"/>
          <w:kern w:val="36"/>
          <w:sz w:val="24"/>
          <w:szCs w:val="48"/>
          <w:lang w:eastAsia="en-GB"/>
        </w:rPr>
      </w:pPr>
      <w:r w:rsidRPr="006A3F69">
        <w:rPr>
          <w:rFonts w:ascii="Arial" w:eastAsia="Times New Roman" w:hAnsi="Arial" w:cs="Arial"/>
          <w:b/>
          <w:bCs/>
          <w:color w:val="1F1F1F"/>
          <w:kern w:val="36"/>
          <w:sz w:val="24"/>
          <w:szCs w:val="48"/>
          <w:lang w:eastAsia="en-GB"/>
        </w:rPr>
        <w:t>5. Physical Location &amp; Rationale</w:t>
      </w:r>
    </w:p>
    <w:p w:rsidR="006A3F69" w:rsidRDefault="006A3F69" w:rsidP="00966F1E">
      <w:p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Cs/>
          <w:color w:val="1F1F1F"/>
          <w:kern w:val="36"/>
          <w:sz w:val="24"/>
          <w:szCs w:val="48"/>
          <w:lang w:eastAsia="en-GB"/>
        </w:rPr>
        <w:t xml:space="preserve">The brick-and-mortar venue is located on </w:t>
      </w:r>
      <w:r w:rsidRPr="006A3F69">
        <w:rPr>
          <w:rFonts w:ascii="Arial" w:eastAsia="Times New Roman" w:hAnsi="Arial" w:cs="Arial"/>
          <w:b/>
          <w:bCs/>
          <w:color w:val="1F1F1F"/>
          <w:kern w:val="36"/>
          <w:sz w:val="24"/>
          <w:szCs w:val="48"/>
          <w:lang w:eastAsia="en-GB"/>
        </w:rPr>
        <w:t>Thomas Street, Northern Quarter, Manchester (M4)</w:t>
      </w:r>
      <w:r w:rsidRPr="006A3F69">
        <w:rPr>
          <w:rFonts w:ascii="Arial" w:eastAsia="Times New Roman" w:hAnsi="Arial" w:cs="Arial"/>
          <w:bCs/>
          <w:color w:val="1F1F1F"/>
          <w:kern w:val="36"/>
          <w:sz w:val="24"/>
          <w:szCs w:val="48"/>
          <w:lang w:eastAsia="en-GB"/>
        </w:rPr>
        <w:t>.</w:t>
      </w:r>
    </w:p>
    <w:p w:rsidR="00DA06FC" w:rsidRPr="006A3F69" w:rsidRDefault="00DA06FC" w:rsidP="00966F1E">
      <w:pPr>
        <w:spacing w:before="100" w:beforeAutospacing="1" w:after="0" w:line="360" w:lineRule="auto"/>
        <w:jc w:val="both"/>
        <w:outlineLvl w:val="0"/>
        <w:rPr>
          <w:rFonts w:ascii="Arial" w:eastAsia="Times New Roman" w:hAnsi="Arial" w:cs="Arial"/>
          <w:bCs/>
          <w:color w:val="1F1F1F"/>
          <w:kern w:val="36"/>
          <w:sz w:val="24"/>
          <w:szCs w:val="48"/>
          <w:lang w:eastAsia="en-GB"/>
        </w:rPr>
      </w:pPr>
      <w:r w:rsidRPr="00DA06FC">
        <w:rPr>
          <w:rFonts w:ascii="Arial" w:eastAsia="Times New Roman" w:hAnsi="Arial" w:cs="Arial"/>
          <w:bCs/>
          <w:color w:val="1F1F1F"/>
          <w:kern w:val="36"/>
          <w:sz w:val="24"/>
          <w:szCs w:val="48"/>
          <w:lang w:eastAsia="en-GB"/>
        </w:rPr>
        <w:drawing>
          <wp:inline distT="0" distB="0" distL="0" distR="0" wp14:anchorId="3EB2B603" wp14:editId="01154728">
            <wp:extent cx="5731510" cy="30175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017520"/>
                    </a:xfrm>
                    <a:prstGeom prst="rect">
                      <a:avLst/>
                    </a:prstGeom>
                  </pic:spPr>
                </pic:pic>
              </a:graphicData>
            </a:graphic>
          </wp:inline>
        </w:drawing>
      </w:r>
    </w:p>
    <w:p w:rsidR="006A3F69" w:rsidRPr="006A3F69" w:rsidRDefault="006A3F69" w:rsidP="00966F1E">
      <w:p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Cs/>
          <w:color w:val="1F1F1F"/>
          <w:kern w:val="36"/>
          <w:sz w:val="24"/>
          <w:szCs w:val="48"/>
          <w:lang w:eastAsia="en-GB"/>
        </w:rPr>
        <w:t xml:space="preserve">The Northern Quarter is Manchester's primary cultural hub, heavily populated by young professionals, tourists, and students (Manchester City Council, 2025). This density matches our target profile for experiential dining. Thomas Street offers high pedestrian footfall driven by council pedestrianization initiatives, capturing natural evening footfall seeking high-end alternatives while sitting under a 10-minute walk from major transit nodes like Piccadilly Gardens and </w:t>
      </w:r>
      <w:proofErr w:type="spellStart"/>
      <w:r w:rsidRPr="006A3F69">
        <w:rPr>
          <w:rFonts w:ascii="Arial" w:eastAsia="Times New Roman" w:hAnsi="Arial" w:cs="Arial"/>
          <w:bCs/>
          <w:color w:val="1F1F1F"/>
          <w:kern w:val="36"/>
          <w:sz w:val="24"/>
          <w:szCs w:val="48"/>
          <w:lang w:eastAsia="en-GB"/>
        </w:rPr>
        <w:t>Shudehill</w:t>
      </w:r>
      <w:proofErr w:type="spellEnd"/>
      <w:r w:rsidRPr="006A3F69">
        <w:rPr>
          <w:rFonts w:ascii="Arial" w:eastAsia="Times New Roman" w:hAnsi="Arial" w:cs="Arial"/>
          <w:bCs/>
          <w:color w:val="1F1F1F"/>
          <w:kern w:val="36"/>
          <w:sz w:val="24"/>
          <w:szCs w:val="48"/>
          <w:lang w:eastAsia="en-GB"/>
        </w:rPr>
        <w:t xml:space="preserve"> Interchange.</w:t>
      </w:r>
    </w:p>
    <w:p w:rsidR="006A3F69" w:rsidRDefault="006A3F69" w:rsidP="00966F1E">
      <w:pPr>
        <w:spacing w:before="100" w:beforeAutospacing="1" w:after="0" w:line="360" w:lineRule="auto"/>
        <w:jc w:val="both"/>
        <w:outlineLvl w:val="0"/>
        <w:rPr>
          <w:rFonts w:ascii="Arial" w:eastAsia="Times New Roman" w:hAnsi="Arial" w:cs="Arial"/>
          <w:b/>
          <w:bCs/>
          <w:color w:val="1F1F1F"/>
          <w:kern w:val="36"/>
          <w:sz w:val="24"/>
          <w:szCs w:val="48"/>
          <w:lang w:eastAsia="en-GB"/>
        </w:rPr>
      </w:pPr>
      <w:r w:rsidRPr="006A3F69">
        <w:rPr>
          <w:rFonts w:ascii="Arial" w:eastAsia="Times New Roman" w:hAnsi="Arial" w:cs="Arial"/>
          <w:b/>
          <w:bCs/>
          <w:color w:val="1F1F1F"/>
          <w:kern w:val="36"/>
          <w:sz w:val="24"/>
          <w:szCs w:val="48"/>
          <w:lang w:eastAsia="en-GB"/>
        </w:rPr>
        <w:t>6. Human Resources</w:t>
      </w:r>
    </w:p>
    <w:p w:rsidR="00453FE0" w:rsidRPr="006A3F69" w:rsidRDefault="00453FE0" w:rsidP="00966F1E">
      <w:pPr>
        <w:spacing w:before="100" w:beforeAutospacing="1" w:after="0" w:line="360" w:lineRule="auto"/>
        <w:jc w:val="both"/>
        <w:outlineLvl w:val="0"/>
        <w:rPr>
          <w:rFonts w:ascii="Arial" w:eastAsia="Times New Roman" w:hAnsi="Arial" w:cs="Arial"/>
          <w:b/>
          <w:bCs/>
          <w:color w:val="1F1F1F"/>
          <w:kern w:val="36"/>
          <w:sz w:val="24"/>
          <w:szCs w:val="48"/>
          <w:lang w:eastAsia="en-GB"/>
        </w:rPr>
      </w:pPr>
      <w:r>
        <w:rPr>
          <w:rFonts w:ascii="Arial" w:eastAsia="Times New Roman" w:hAnsi="Arial" w:cs="Arial"/>
          <w:b/>
          <w:bCs/>
          <w:noProof/>
          <w:color w:val="1F1F1F"/>
          <w:kern w:val="36"/>
          <w:sz w:val="24"/>
          <w:szCs w:val="48"/>
          <w:lang w:eastAsia="en-GB"/>
        </w:rPr>
        <w:lastRenderedPageBreak/>
        <w:drawing>
          <wp:inline distT="0" distB="0" distL="0" distR="0">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6A3F69" w:rsidRPr="006A3F69" w:rsidRDefault="006A3F69" w:rsidP="00966F1E">
      <w:p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Cs/>
          <w:color w:val="1F1F1F"/>
          <w:kern w:val="36"/>
          <w:sz w:val="24"/>
          <w:szCs w:val="48"/>
          <w:lang w:eastAsia="en-GB"/>
        </w:rPr>
        <w:t xml:space="preserve">The lounge will employ a lean team of </w:t>
      </w:r>
      <w:r w:rsidRPr="006A3F69">
        <w:rPr>
          <w:rFonts w:ascii="Arial" w:eastAsia="Times New Roman" w:hAnsi="Arial" w:cs="Arial"/>
          <w:b/>
          <w:bCs/>
          <w:color w:val="1F1F1F"/>
          <w:kern w:val="36"/>
          <w:sz w:val="24"/>
          <w:szCs w:val="48"/>
          <w:lang w:eastAsia="en-GB"/>
        </w:rPr>
        <w:t>6 staff members</w:t>
      </w:r>
      <w:r w:rsidRPr="006A3F69">
        <w:rPr>
          <w:rFonts w:ascii="Arial" w:eastAsia="Times New Roman" w:hAnsi="Arial" w:cs="Arial"/>
          <w:bCs/>
          <w:color w:val="1F1F1F"/>
          <w:kern w:val="36"/>
          <w:sz w:val="24"/>
          <w:szCs w:val="48"/>
          <w:lang w:eastAsia="en-GB"/>
        </w:rPr>
        <w:t xml:space="preserve"> to manage peak evening operations (Slack and Brandon-Jones, 2019):</w:t>
      </w:r>
    </w:p>
    <w:p w:rsidR="006A3F69" w:rsidRPr="006A3F69" w:rsidRDefault="006A3F69" w:rsidP="00966F1E">
      <w:pPr>
        <w:numPr>
          <w:ilvl w:val="0"/>
          <w:numId w:val="16"/>
        </w:num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
          <w:bCs/>
          <w:color w:val="1F1F1F"/>
          <w:kern w:val="36"/>
          <w:sz w:val="24"/>
          <w:szCs w:val="48"/>
          <w:lang w:eastAsia="en-GB"/>
        </w:rPr>
        <w:t>Founder &amp; General Manager (1 FT):</w:t>
      </w:r>
      <w:r w:rsidRPr="006A3F69">
        <w:rPr>
          <w:rFonts w:ascii="Arial" w:eastAsia="Times New Roman" w:hAnsi="Arial" w:cs="Arial"/>
          <w:bCs/>
          <w:color w:val="1F1F1F"/>
          <w:kern w:val="36"/>
          <w:sz w:val="24"/>
          <w:szCs w:val="48"/>
          <w:lang w:eastAsia="en-GB"/>
        </w:rPr>
        <w:t xml:space="preserve"> Oversees finance, procurement, and strategy (Alvarez and Barney, 2017).</w:t>
      </w:r>
    </w:p>
    <w:p w:rsidR="006A3F69" w:rsidRPr="006A3F69" w:rsidRDefault="006A3F69" w:rsidP="00966F1E">
      <w:pPr>
        <w:numPr>
          <w:ilvl w:val="0"/>
          <w:numId w:val="16"/>
        </w:num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
          <w:bCs/>
          <w:color w:val="1F1F1F"/>
          <w:kern w:val="36"/>
          <w:sz w:val="24"/>
          <w:szCs w:val="48"/>
          <w:lang w:eastAsia="en-GB"/>
        </w:rPr>
        <w:t>Head Pastry Chef (1 FT):</w:t>
      </w:r>
      <w:r w:rsidRPr="006A3F69">
        <w:rPr>
          <w:rFonts w:ascii="Arial" w:eastAsia="Times New Roman" w:hAnsi="Arial" w:cs="Arial"/>
          <w:bCs/>
          <w:color w:val="1F1F1F"/>
          <w:kern w:val="36"/>
          <w:sz w:val="24"/>
          <w:szCs w:val="48"/>
          <w:lang w:eastAsia="en-GB"/>
        </w:rPr>
        <w:t xml:space="preserve"> Directs kitchen operations and quality controls. Sourced via </w:t>
      </w:r>
      <w:r w:rsidRPr="006A3F69">
        <w:rPr>
          <w:rFonts w:ascii="Arial" w:eastAsia="Times New Roman" w:hAnsi="Arial" w:cs="Arial"/>
          <w:bCs/>
          <w:i/>
          <w:iCs/>
          <w:color w:val="1F1F1F"/>
          <w:kern w:val="36"/>
          <w:sz w:val="24"/>
          <w:szCs w:val="48"/>
          <w:lang w:eastAsia="en-GB"/>
        </w:rPr>
        <w:t>Caterer.com</w:t>
      </w:r>
      <w:r w:rsidRPr="006A3F69">
        <w:rPr>
          <w:rFonts w:ascii="Arial" w:eastAsia="Times New Roman" w:hAnsi="Arial" w:cs="Arial"/>
          <w:bCs/>
          <w:color w:val="1F1F1F"/>
          <w:kern w:val="36"/>
          <w:sz w:val="24"/>
          <w:szCs w:val="48"/>
          <w:lang w:eastAsia="en-GB"/>
        </w:rPr>
        <w:t xml:space="preserve"> (2025).</w:t>
      </w:r>
    </w:p>
    <w:p w:rsidR="006A3F69" w:rsidRPr="006A3F69" w:rsidRDefault="006A3F69" w:rsidP="00966F1E">
      <w:pPr>
        <w:numPr>
          <w:ilvl w:val="0"/>
          <w:numId w:val="16"/>
        </w:num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
          <w:bCs/>
          <w:color w:val="1F1F1F"/>
          <w:kern w:val="36"/>
          <w:sz w:val="24"/>
          <w:szCs w:val="48"/>
          <w:lang w:eastAsia="en-GB"/>
        </w:rPr>
        <w:t>Front-of-House Baristas (2 PT):</w:t>
      </w:r>
      <w:r w:rsidRPr="006A3F69">
        <w:rPr>
          <w:rFonts w:ascii="Arial" w:eastAsia="Times New Roman" w:hAnsi="Arial" w:cs="Arial"/>
          <w:bCs/>
          <w:color w:val="1F1F1F"/>
          <w:kern w:val="36"/>
          <w:sz w:val="24"/>
          <w:szCs w:val="48"/>
          <w:lang w:eastAsia="en-GB"/>
        </w:rPr>
        <w:t xml:space="preserve"> Manage customer service and prepare botanical mocktails. Sourced via local university job boards.</w:t>
      </w:r>
    </w:p>
    <w:p w:rsidR="006A3F69" w:rsidRPr="006A3F69" w:rsidRDefault="006A3F69" w:rsidP="00966F1E">
      <w:pPr>
        <w:numPr>
          <w:ilvl w:val="0"/>
          <w:numId w:val="16"/>
        </w:num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
          <w:bCs/>
          <w:color w:val="1F1F1F"/>
          <w:kern w:val="36"/>
          <w:sz w:val="24"/>
          <w:szCs w:val="48"/>
          <w:lang w:eastAsia="en-GB"/>
        </w:rPr>
        <w:t>Kitchen Assistants (2 PT):</w:t>
      </w:r>
      <w:r w:rsidRPr="006A3F69">
        <w:rPr>
          <w:rFonts w:ascii="Arial" w:eastAsia="Times New Roman" w:hAnsi="Arial" w:cs="Arial"/>
          <w:bCs/>
          <w:color w:val="1F1F1F"/>
          <w:kern w:val="36"/>
          <w:sz w:val="24"/>
          <w:szCs w:val="48"/>
          <w:lang w:eastAsia="en-GB"/>
        </w:rPr>
        <w:t xml:space="preserve"> Handle waffle baking, plating, and hygiene compliance. Sourced via local listings.</w:t>
      </w:r>
    </w:p>
    <w:p w:rsidR="006A3F69" w:rsidRPr="006A3F69" w:rsidRDefault="006A3F69" w:rsidP="00966F1E">
      <w:pPr>
        <w:spacing w:before="100" w:beforeAutospacing="1" w:after="0" w:line="360" w:lineRule="auto"/>
        <w:jc w:val="both"/>
        <w:outlineLvl w:val="0"/>
        <w:rPr>
          <w:rFonts w:ascii="Arial" w:eastAsia="Times New Roman" w:hAnsi="Arial" w:cs="Arial"/>
          <w:b/>
          <w:bCs/>
          <w:color w:val="1F1F1F"/>
          <w:kern w:val="36"/>
          <w:sz w:val="24"/>
          <w:szCs w:val="48"/>
          <w:lang w:eastAsia="en-GB"/>
        </w:rPr>
      </w:pPr>
      <w:r w:rsidRPr="006A3F69">
        <w:rPr>
          <w:rFonts w:ascii="Arial" w:eastAsia="Times New Roman" w:hAnsi="Arial" w:cs="Arial"/>
          <w:b/>
          <w:bCs/>
          <w:color w:val="1F1F1F"/>
          <w:kern w:val="36"/>
          <w:sz w:val="24"/>
          <w:szCs w:val="48"/>
          <w:lang w:eastAsia="en-GB"/>
        </w:rPr>
        <w:t>7. Marketing Activities &amp; Real Evidence</w:t>
      </w:r>
    </w:p>
    <w:p w:rsidR="006A3F69" w:rsidRPr="006A3F69" w:rsidRDefault="006A3F69" w:rsidP="00966F1E">
      <w:p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Cs/>
          <w:color w:val="1F1F1F"/>
          <w:kern w:val="36"/>
          <w:sz w:val="24"/>
          <w:szCs w:val="48"/>
          <w:lang w:eastAsia="en-GB"/>
        </w:rPr>
        <w:t xml:space="preserve">The brand uses a targeted </w:t>
      </w:r>
      <w:r w:rsidRPr="006A3F69">
        <w:rPr>
          <w:rFonts w:ascii="Arial" w:eastAsia="Times New Roman" w:hAnsi="Arial" w:cs="Arial"/>
          <w:b/>
          <w:bCs/>
          <w:color w:val="1F1F1F"/>
          <w:kern w:val="36"/>
          <w:sz w:val="24"/>
          <w:szCs w:val="48"/>
          <w:lang w:eastAsia="en-GB"/>
        </w:rPr>
        <w:t>7Ps Marketing Mix</w:t>
      </w:r>
      <w:r w:rsidRPr="006A3F69">
        <w:rPr>
          <w:rFonts w:ascii="Arial" w:eastAsia="Times New Roman" w:hAnsi="Arial" w:cs="Arial"/>
          <w:bCs/>
          <w:color w:val="1F1F1F"/>
          <w:kern w:val="36"/>
          <w:sz w:val="24"/>
          <w:szCs w:val="48"/>
          <w:lang w:eastAsia="en-GB"/>
        </w:rPr>
        <w:t xml:space="preserve">, focusing on </w:t>
      </w:r>
      <w:r w:rsidRPr="006A3F69">
        <w:rPr>
          <w:rFonts w:ascii="Arial" w:eastAsia="Times New Roman" w:hAnsi="Arial" w:cs="Arial"/>
          <w:bCs/>
          <w:i/>
          <w:iCs/>
          <w:color w:val="1F1F1F"/>
          <w:kern w:val="36"/>
          <w:sz w:val="24"/>
          <w:szCs w:val="48"/>
          <w:lang w:eastAsia="en-GB"/>
        </w:rPr>
        <w:t>Product</w:t>
      </w:r>
      <w:r w:rsidRPr="006A3F69">
        <w:rPr>
          <w:rFonts w:ascii="Arial" w:eastAsia="Times New Roman" w:hAnsi="Arial" w:cs="Arial"/>
          <w:bCs/>
          <w:color w:val="1F1F1F"/>
          <w:kern w:val="36"/>
          <w:sz w:val="24"/>
          <w:szCs w:val="48"/>
          <w:lang w:eastAsia="en-GB"/>
        </w:rPr>
        <w:t xml:space="preserve">, </w:t>
      </w:r>
      <w:r w:rsidRPr="006A3F69">
        <w:rPr>
          <w:rFonts w:ascii="Arial" w:eastAsia="Times New Roman" w:hAnsi="Arial" w:cs="Arial"/>
          <w:bCs/>
          <w:i/>
          <w:iCs/>
          <w:color w:val="1F1F1F"/>
          <w:kern w:val="36"/>
          <w:sz w:val="24"/>
          <w:szCs w:val="48"/>
          <w:lang w:eastAsia="en-GB"/>
        </w:rPr>
        <w:t>Promotion</w:t>
      </w:r>
      <w:r w:rsidRPr="006A3F69">
        <w:rPr>
          <w:rFonts w:ascii="Arial" w:eastAsia="Times New Roman" w:hAnsi="Arial" w:cs="Arial"/>
          <w:bCs/>
          <w:color w:val="1F1F1F"/>
          <w:kern w:val="36"/>
          <w:sz w:val="24"/>
          <w:szCs w:val="48"/>
          <w:lang w:eastAsia="en-GB"/>
        </w:rPr>
        <w:t xml:space="preserve">, and </w:t>
      </w:r>
      <w:r w:rsidRPr="006A3F69">
        <w:rPr>
          <w:rFonts w:ascii="Arial" w:eastAsia="Times New Roman" w:hAnsi="Arial" w:cs="Arial"/>
          <w:bCs/>
          <w:i/>
          <w:iCs/>
          <w:color w:val="1F1F1F"/>
          <w:kern w:val="36"/>
          <w:sz w:val="24"/>
          <w:szCs w:val="48"/>
          <w:lang w:eastAsia="en-GB"/>
        </w:rPr>
        <w:t>Physical Evidence</w:t>
      </w:r>
      <w:r w:rsidRPr="006A3F69">
        <w:rPr>
          <w:rFonts w:ascii="Arial" w:eastAsia="Times New Roman" w:hAnsi="Arial" w:cs="Arial"/>
          <w:bCs/>
          <w:color w:val="1F1F1F"/>
          <w:kern w:val="36"/>
          <w:sz w:val="24"/>
          <w:szCs w:val="48"/>
          <w:lang w:eastAsia="en-GB"/>
        </w:rPr>
        <w:t xml:space="preserve"> to attract youth demographics (Barringer and Ireland, 2022).</w:t>
      </w:r>
    </w:p>
    <w:p w:rsidR="006A3F69" w:rsidRPr="006A3F69" w:rsidRDefault="006A3F69" w:rsidP="00966F1E">
      <w:pPr>
        <w:spacing w:before="100" w:beforeAutospacing="1" w:after="0" w:line="360" w:lineRule="auto"/>
        <w:jc w:val="both"/>
        <w:outlineLvl w:val="0"/>
        <w:rPr>
          <w:rFonts w:ascii="Arial" w:eastAsia="Times New Roman" w:hAnsi="Arial" w:cs="Arial"/>
          <w:b/>
          <w:bCs/>
          <w:color w:val="1F1F1F"/>
          <w:kern w:val="36"/>
          <w:sz w:val="24"/>
          <w:szCs w:val="48"/>
          <w:lang w:eastAsia="en-GB"/>
        </w:rPr>
      </w:pPr>
      <w:r w:rsidRPr="006A3F69">
        <w:rPr>
          <w:rFonts w:ascii="Arial" w:eastAsia="Times New Roman" w:hAnsi="Arial" w:cs="Arial"/>
          <w:b/>
          <w:bCs/>
          <w:color w:val="1F1F1F"/>
          <w:kern w:val="36"/>
          <w:sz w:val="24"/>
          <w:szCs w:val="48"/>
          <w:lang w:eastAsia="en-GB"/>
        </w:rPr>
        <w:t xml:space="preserve">Real Asset Evidence </w:t>
      </w:r>
      <w:r w:rsidR="00966F1E" w:rsidRPr="006A3F69">
        <w:rPr>
          <w:rFonts w:ascii="Arial" w:eastAsia="Times New Roman" w:hAnsi="Arial" w:cs="Arial"/>
          <w:b/>
          <w:bCs/>
          <w:color w:val="1F1F1F"/>
          <w:kern w:val="36"/>
          <w:sz w:val="24"/>
          <w:szCs w:val="48"/>
          <w:lang w:eastAsia="en-GB"/>
        </w:rPr>
        <w:t>Mock-ups</w:t>
      </w:r>
      <w:r w:rsidRPr="006A3F69">
        <w:rPr>
          <w:rFonts w:ascii="Arial" w:eastAsia="Times New Roman" w:hAnsi="Arial" w:cs="Arial"/>
          <w:b/>
          <w:bCs/>
          <w:color w:val="1F1F1F"/>
          <w:kern w:val="36"/>
          <w:sz w:val="24"/>
          <w:szCs w:val="48"/>
          <w:lang w:eastAsia="en-GB"/>
        </w:rPr>
        <w:t>:</w:t>
      </w:r>
    </w:p>
    <w:p w:rsidR="006A3F69" w:rsidRPr="006A3F69" w:rsidRDefault="006A3F69" w:rsidP="00966F1E">
      <w:pPr>
        <w:numPr>
          <w:ilvl w:val="0"/>
          <w:numId w:val="17"/>
        </w:num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
          <w:bCs/>
          <w:color w:val="1F1F1F"/>
          <w:kern w:val="36"/>
          <w:sz w:val="24"/>
          <w:szCs w:val="48"/>
          <w:lang w:eastAsia="en-GB"/>
        </w:rPr>
        <w:t>Asset 1 (Instagram Launch Campaign):</w:t>
      </w:r>
      <w:r w:rsidRPr="006A3F69">
        <w:rPr>
          <w:rFonts w:ascii="Arial" w:eastAsia="Times New Roman" w:hAnsi="Arial" w:cs="Arial"/>
          <w:bCs/>
          <w:color w:val="1F1F1F"/>
          <w:kern w:val="36"/>
          <w:sz w:val="24"/>
          <w:szCs w:val="48"/>
          <w:lang w:eastAsia="en-GB"/>
        </w:rPr>
        <w:t xml:space="preserve"> A minimalist digital graphic featuring a macro image of our </w:t>
      </w:r>
      <w:r w:rsidRPr="006A3F69">
        <w:rPr>
          <w:rFonts w:ascii="Arial" w:eastAsia="Times New Roman" w:hAnsi="Arial" w:cs="Arial"/>
          <w:bCs/>
          <w:i/>
          <w:iCs/>
          <w:color w:val="1F1F1F"/>
          <w:kern w:val="36"/>
          <w:sz w:val="24"/>
          <w:szCs w:val="48"/>
          <w:lang w:eastAsia="en-GB"/>
        </w:rPr>
        <w:t>Belgian Velvet Bubble Waffle</w:t>
      </w:r>
      <w:r w:rsidRPr="006A3F69">
        <w:rPr>
          <w:rFonts w:ascii="Arial" w:eastAsia="Times New Roman" w:hAnsi="Arial" w:cs="Arial"/>
          <w:bCs/>
          <w:color w:val="1F1F1F"/>
          <w:kern w:val="36"/>
          <w:sz w:val="24"/>
          <w:szCs w:val="48"/>
          <w:lang w:eastAsia="en-GB"/>
        </w:rPr>
        <w:t xml:space="preserve">. </w:t>
      </w:r>
      <w:r w:rsidRPr="006A3F69">
        <w:rPr>
          <w:rFonts w:ascii="Arial" w:eastAsia="Times New Roman" w:hAnsi="Arial" w:cs="Arial"/>
          <w:bCs/>
          <w:i/>
          <w:iCs/>
          <w:color w:val="1F1F1F"/>
          <w:kern w:val="36"/>
          <w:sz w:val="24"/>
          <w:szCs w:val="48"/>
          <w:lang w:eastAsia="en-GB"/>
        </w:rPr>
        <w:t>Copy text:</w:t>
      </w:r>
      <w:r w:rsidRPr="006A3F69">
        <w:rPr>
          <w:rFonts w:ascii="Arial" w:eastAsia="Times New Roman" w:hAnsi="Arial" w:cs="Arial"/>
          <w:bCs/>
          <w:color w:val="1F1F1F"/>
          <w:kern w:val="36"/>
          <w:sz w:val="24"/>
          <w:szCs w:val="48"/>
          <w:lang w:eastAsia="en-GB"/>
        </w:rPr>
        <w:t xml:space="preserve"> "Step into the liquid luxury you’ve been waiting for. </w:t>
      </w:r>
      <w:r w:rsidRPr="006A3F69">
        <w:rPr>
          <w:rFonts w:ascii="Segoe UI Emoji" w:eastAsia="Times New Roman" w:hAnsi="Segoe UI Emoji" w:cs="Segoe UI Emoji"/>
          <w:bCs/>
          <w:color w:val="1F1F1F"/>
          <w:kern w:val="36"/>
          <w:sz w:val="24"/>
          <w:szCs w:val="48"/>
          <w:lang w:eastAsia="en-GB"/>
        </w:rPr>
        <w:t>🍦✨</w:t>
      </w:r>
      <w:r w:rsidRPr="006A3F69">
        <w:rPr>
          <w:rFonts w:ascii="Arial" w:eastAsia="Times New Roman" w:hAnsi="Arial" w:cs="Arial"/>
          <w:bCs/>
          <w:color w:val="1F1F1F"/>
          <w:kern w:val="36"/>
          <w:sz w:val="24"/>
          <w:szCs w:val="48"/>
          <w:lang w:eastAsia="en-GB"/>
        </w:rPr>
        <w:t xml:space="preserve"> Manchester, your evening social </w:t>
      </w:r>
      <w:r w:rsidRPr="006A3F69">
        <w:rPr>
          <w:rFonts w:ascii="Arial" w:eastAsia="Times New Roman" w:hAnsi="Arial" w:cs="Arial"/>
          <w:bCs/>
          <w:color w:val="1F1F1F"/>
          <w:kern w:val="36"/>
          <w:sz w:val="24"/>
          <w:szCs w:val="48"/>
          <w:lang w:eastAsia="en-GB"/>
        </w:rPr>
        <w:lastRenderedPageBreak/>
        <w:t>ritual gets an upgrade on 19.06.2026. Follow &amp; tag a friend to win VIP launch access! #</w:t>
      </w:r>
      <w:proofErr w:type="spellStart"/>
      <w:r w:rsidRPr="006A3F69">
        <w:rPr>
          <w:rFonts w:ascii="Arial" w:eastAsia="Times New Roman" w:hAnsi="Arial" w:cs="Arial"/>
          <w:bCs/>
          <w:color w:val="1F1F1F"/>
          <w:kern w:val="36"/>
          <w:sz w:val="24"/>
          <w:szCs w:val="48"/>
          <w:lang w:eastAsia="en-GB"/>
        </w:rPr>
        <w:t>TheVelvetScoop</w:t>
      </w:r>
      <w:proofErr w:type="spellEnd"/>
      <w:r w:rsidRPr="006A3F69">
        <w:rPr>
          <w:rFonts w:ascii="Arial" w:eastAsia="Times New Roman" w:hAnsi="Arial" w:cs="Arial"/>
          <w:bCs/>
          <w:color w:val="1F1F1F"/>
          <w:kern w:val="36"/>
          <w:sz w:val="24"/>
          <w:szCs w:val="48"/>
          <w:lang w:eastAsia="en-GB"/>
        </w:rPr>
        <w:t xml:space="preserve"> #</w:t>
      </w:r>
      <w:proofErr w:type="spellStart"/>
      <w:r w:rsidRPr="006A3F69">
        <w:rPr>
          <w:rFonts w:ascii="Arial" w:eastAsia="Times New Roman" w:hAnsi="Arial" w:cs="Arial"/>
          <w:bCs/>
          <w:color w:val="1F1F1F"/>
          <w:kern w:val="36"/>
          <w:sz w:val="24"/>
          <w:szCs w:val="48"/>
          <w:lang w:eastAsia="en-GB"/>
        </w:rPr>
        <w:t>NQManchester</w:t>
      </w:r>
      <w:proofErr w:type="spellEnd"/>
      <w:r w:rsidRPr="006A3F69">
        <w:rPr>
          <w:rFonts w:ascii="Arial" w:eastAsia="Times New Roman" w:hAnsi="Arial" w:cs="Arial"/>
          <w:bCs/>
          <w:color w:val="1F1F1F"/>
          <w:kern w:val="36"/>
          <w:sz w:val="24"/>
          <w:szCs w:val="48"/>
          <w:lang w:eastAsia="en-GB"/>
        </w:rPr>
        <w:t>"</w:t>
      </w:r>
    </w:p>
    <w:p w:rsidR="006A3F69" w:rsidRPr="006A3F69" w:rsidRDefault="006A3F69" w:rsidP="00966F1E">
      <w:pPr>
        <w:numPr>
          <w:ilvl w:val="0"/>
          <w:numId w:val="17"/>
        </w:num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
          <w:bCs/>
          <w:color w:val="1F1F1F"/>
          <w:kern w:val="36"/>
          <w:sz w:val="24"/>
          <w:szCs w:val="48"/>
          <w:lang w:eastAsia="en-GB"/>
        </w:rPr>
        <w:t>Asset 2 (Velvet Royalty Loyalty Card):</w:t>
      </w:r>
      <w:r w:rsidRPr="006A3F69">
        <w:rPr>
          <w:rFonts w:ascii="Arial" w:eastAsia="Times New Roman" w:hAnsi="Arial" w:cs="Arial"/>
          <w:bCs/>
          <w:color w:val="1F1F1F"/>
          <w:kern w:val="36"/>
          <w:sz w:val="24"/>
          <w:szCs w:val="48"/>
          <w:lang w:eastAsia="en-GB"/>
        </w:rPr>
        <w:t xml:space="preserve"> A dual-sided matte black loyalty card with gold-foil text. The front states: "Artisanal Theatre, Curated for You." The back features 8 stamp slots shaped like gelato scoops. </w:t>
      </w:r>
      <w:r w:rsidRPr="006A3F69">
        <w:rPr>
          <w:rFonts w:ascii="Arial" w:eastAsia="Times New Roman" w:hAnsi="Arial" w:cs="Arial"/>
          <w:bCs/>
          <w:i/>
          <w:iCs/>
          <w:color w:val="1F1F1F"/>
          <w:kern w:val="36"/>
          <w:sz w:val="24"/>
          <w:szCs w:val="48"/>
          <w:lang w:eastAsia="en-GB"/>
        </w:rPr>
        <w:t>Call to action:</w:t>
      </w:r>
      <w:r w:rsidRPr="006A3F69">
        <w:rPr>
          <w:rFonts w:ascii="Arial" w:eastAsia="Times New Roman" w:hAnsi="Arial" w:cs="Arial"/>
          <w:bCs/>
          <w:color w:val="1F1F1F"/>
          <w:kern w:val="36"/>
          <w:sz w:val="24"/>
          <w:szCs w:val="48"/>
          <w:lang w:eastAsia="en-GB"/>
        </w:rPr>
        <w:t xml:space="preserve"> "Collect 7 scoops of loyalty; your 8th artisanal experience is entirely on us," driving repeat customer lifetime value (</w:t>
      </w:r>
      <w:proofErr w:type="spellStart"/>
      <w:r w:rsidRPr="006A3F69">
        <w:rPr>
          <w:rFonts w:ascii="Arial" w:eastAsia="Times New Roman" w:hAnsi="Arial" w:cs="Arial"/>
          <w:bCs/>
          <w:color w:val="1F1F1F"/>
          <w:kern w:val="36"/>
          <w:sz w:val="24"/>
          <w:szCs w:val="48"/>
          <w:lang w:eastAsia="en-GB"/>
        </w:rPr>
        <w:t>Reuer</w:t>
      </w:r>
      <w:proofErr w:type="spellEnd"/>
      <w:r w:rsidRPr="006A3F69">
        <w:rPr>
          <w:rFonts w:ascii="Arial" w:eastAsia="Times New Roman" w:hAnsi="Arial" w:cs="Arial"/>
          <w:bCs/>
          <w:color w:val="1F1F1F"/>
          <w:kern w:val="36"/>
          <w:sz w:val="24"/>
          <w:szCs w:val="48"/>
          <w:lang w:eastAsia="en-GB"/>
        </w:rPr>
        <w:t xml:space="preserve">, </w:t>
      </w:r>
      <w:proofErr w:type="spellStart"/>
      <w:r w:rsidRPr="006A3F69">
        <w:rPr>
          <w:rFonts w:ascii="Arial" w:eastAsia="Times New Roman" w:hAnsi="Arial" w:cs="Arial"/>
          <w:bCs/>
          <w:color w:val="1F1F1F"/>
          <w:kern w:val="36"/>
          <w:sz w:val="24"/>
          <w:szCs w:val="48"/>
          <w:lang w:eastAsia="en-GB"/>
        </w:rPr>
        <w:t>Matusik</w:t>
      </w:r>
      <w:proofErr w:type="spellEnd"/>
      <w:r w:rsidRPr="006A3F69">
        <w:rPr>
          <w:rFonts w:ascii="Arial" w:eastAsia="Times New Roman" w:hAnsi="Arial" w:cs="Arial"/>
          <w:bCs/>
          <w:color w:val="1F1F1F"/>
          <w:kern w:val="36"/>
          <w:sz w:val="24"/>
          <w:szCs w:val="48"/>
          <w:lang w:eastAsia="en-GB"/>
        </w:rPr>
        <w:t xml:space="preserve"> and Jones, 2019).</w:t>
      </w:r>
    </w:p>
    <w:p w:rsidR="006A3F69" w:rsidRPr="006A3F69" w:rsidRDefault="006A3F69" w:rsidP="00966F1E">
      <w:pPr>
        <w:spacing w:before="100" w:beforeAutospacing="1" w:after="0" w:line="360" w:lineRule="auto"/>
        <w:jc w:val="both"/>
        <w:outlineLvl w:val="0"/>
        <w:rPr>
          <w:rFonts w:ascii="Arial" w:eastAsia="Times New Roman" w:hAnsi="Arial" w:cs="Arial"/>
          <w:b/>
          <w:bCs/>
          <w:color w:val="1F1F1F"/>
          <w:kern w:val="36"/>
          <w:sz w:val="24"/>
          <w:szCs w:val="48"/>
          <w:lang w:eastAsia="en-GB"/>
        </w:rPr>
      </w:pPr>
      <w:r w:rsidRPr="006A3F69">
        <w:rPr>
          <w:rFonts w:ascii="Arial" w:eastAsia="Times New Roman" w:hAnsi="Arial" w:cs="Arial"/>
          <w:b/>
          <w:bCs/>
          <w:color w:val="1F1F1F"/>
          <w:kern w:val="36"/>
          <w:sz w:val="24"/>
          <w:szCs w:val="48"/>
          <w:lang w:eastAsia="en-GB"/>
        </w:rPr>
        <w:t>8. Market Research</w:t>
      </w:r>
    </w:p>
    <w:p w:rsidR="006A3F69" w:rsidRPr="006A3F69" w:rsidRDefault="006A3F69" w:rsidP="00966F1E">
      <w:pPr>
        <w:numPr>
          <w:ilvl w:val="0"/>
          <w:numId w:val="18"/>
        </w:num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
          <w:bCs/>
          <w:color w:val="1F1F1F"/>
          <w:kern w:val="36"/>
          <w:sz w:val="24"/>
          <w:szCs w:val="48"/>
          <w:lang w:eastAsia="en-GB"/>
        </w:rPr>
        <w:t>Secondary Research:</w:t>
      </w:r>
      <w:r w:rsidRPr="006A3F69">
        <w:rPr>
          <w:rFonts w:ascii="Arial" w:eastAsia="Times New Roman" w:hAnsi="Arial" w:cs="Arial"/>
          <w:bCs/>
          <w:color w:val="1F1F1F"/>
          <w:kern w:val="36"/>
          <w:sz w:val="24"/>
          <w:szCs w:val="48"/>
          <w:lang w:eastAsia="en-GB"/>
        </w:rPr>
        <w:t xml:space="preserve"> Market data from IBISWorld (2025) and MCA Insight (2026) indicates that while the casual dining sector faces headwinds, the premium sweet treats sector and </w:t>
      </w:r>
      <w:r w:rsidRPr="006A3F69">
        <w:rPr>
          <w:rFonts w:ascii="Arial" w:eastAsia="Times New Roman" w:hAnsi="Arial" w:cs="Arial"/>
          <w:b/>
          <w:bCs/>
          <w:color w:val="1F1F1F"/>
          <w:kern w:val="36"/>
          <w:sz w:val="24"/>
          <w:szCs w:val="48"/>
          <w:lang w:eastAsia="en-GB"/>
        </w:rPr>
        <w:t>sober evening economy</w:t>
      </w:r>
      <w:r w:rsidRPr="006A3F69">
        <w:rPr>
          <w:rFonts w:ascii="Arial" w:eastAsia="Times New Roman" w:hAnsi="Arial" w:cs="Arial"/>
          <w:bCs/>
          <w:color w:val="1F1F1F"/>
          <w:kern w:val="36"/>
          <w:sz w:val="24"/>
          <w:szCs w:val="48"/>
          <w:lang w:eastAsia="en-GB"/>
        </w:rPr>
        <w:t xml:space="preserve"> remain resilient. Alcohol consumption among UK consumers aged 18–24 has steadily declined, driving demand for premium "third spaces" (MCA Insight, 2026). The UK dessert </w:t>
      </w:r>
      <w:r w:rsidR="00966F1E" w:rsidRPr="006A3F69">
        <w:rPr>
          <w:rFonts w:ascii="Arial" w:eastAsia="Times New Roman" w:hAnsi="Arial" w:cs="Arial"/>
          <w:bCs/>
          <w:color w:val="1F1F1F"/>
          <w:kern w:val="36"/>
          <w:sz w:val="24"/>
          <w:szCs w:val="48"/>
          <w:lang w:eastAsia="en-GB"/>
        </w:rPr>
        <w:t>parlour</w:t>
      </w:r>
      <w:r w:rsidRPr="006A3F69">
        <w:rPr>
          <w:rFonts w:ascii="Arial" w:eastAsia="Times New Roman" w:hAnsi="Arial" w:cs="Arial"/>
          <w:bCs/>
          <w:color w:val="1F1F1F"/>
          <w:kern w:val="36"/>
          <w:sz w:val="24"/>
          <w:szCs w:val="48"/>
          <w:lang w:eastAsia="en-GB"/>
        </w:rPr>
        <w:t xml:space="preserve"> sector is projected to grow at a CAGR of 4.2% over three years, </w:t>
      </w:r>
      <w:r w:rsidR="00966F1E" w:rsidRPr="006A3F69">
        <w:rPr>
          <w:rFonts w:ascii="Arial" w:eastAsia="Times New Roman" w:hAnsi="Arial" w:cs="Arial"/>
          <w:bCs/>
          <w:color w:val="1F1F1F"/>
          <w:kern w:val="36"/>
          <w:sz w:val="24"/>
          <w:szCs w:val="48"/>
          <w:lang w:eastAsia="en-GB"/>
        </w:rPr>
        <w:t>fuelled</w:t>
      </w:r>
      <w:r w:rsidRPr="006A3F69">
        <w:rPr>
          <w:rFonts w:ascii="Arial" w:eastAsia="Times New Roman" w:hAnsi="Arial" w:cs="Arial"/>
          <w:bCs/>
          <w:color w:val="1F1F1F"/>
          <w:kern w:val="36"/>
          <w:sz w:val="24"/>
          <w:szCs w:val="48"/>
          <w:lang w:eastAsia="en-GB"/>
        </w:rPr>
        <w:t xml:space="preserve"> by premiumisation (IBISWorld, 2025).</w:t>
      </w:r>
    </w:p>
    <w:p w:rsidR="006A3F69" w:rsidRPr="006A3F69" w:rsidRDefault="006A3F69" w:rsidP="00966F1E">
      <w:pPr>
        <w:numPr>
          <w:ilvl w:val="0"/>
          <w:numId w:val="18"/>
        </w:numPr>
        <w:spacing w:before="100" w:beforeAutospacing="1" w:after="0" w:line="360" w:lineRule="auto"/>
        <w:jc w:val="both"/>
        <w:outlineLvl w:val="0"/>
        <w:rPr>
          <w:rFonts w:ascii="Arial" w:eastAsia="Times New Roman" w:hAnsi="Arial" w:cs="Arial"/>
          <w:bCs/>
          <w:color w:val="1F1F1F"/>
          <w:kern w:val="36"/>
          <w:sz w:val="24"/>
          <w:szCs w:val="48"/>
          <w:lang w:eastAsia="en-GB"/>
        </w:rPr>
      </w:pPr>
      <w:r w:rsidRPr="006A3F69">
        <w:rPr>
          <w:rFonts w:ascii="Arial" w:eastAsia="Times New Roman" w:hAnsi="Arial" w:cs="Arial"/>
          <w:b/>
          <w:bCs/>
          <w:color w:val="1F1F1F"/>
          <w:kern w:val="36"/>
          <w:sz w:val="24"/>
          <w:szCs w:val="48"/>
          <w:lang w:eastAsia="en-GB"/>
        </w:rPr>
        <w:t>Primary Research:</w:t>
      </w:r>
      <w:r w:rsidRPr="006A3F69">
        <w:rPr>
          <w:rFonts w:ascii="Arial" w:eastAsia="Times New Roman" w:hAnsi="Arial" w:cs="Arial"/>
          <w:bCs/>
          <w:color w:val="1F1F1F"/>
          <w:kern w:val="36"/>
          <w:sz w:val="24"/>
          <w:szCs w:val="48"/>
          <w:lang w:eastAsia="en-GB"/>
        </w:rPr>
        <w:t xml:space="preserve"> A digital survey of </w:t>
      </w:r>
      <w:r w:rsidRPr="006A3F69">
        <w:rPr>
          <w:rFonts w:ascii="Arial" w:eastAsia="Times New Roman" w:hAnsi="Arial" w:cs="Arial"/>
          <w:b/>
          <w:bCs/>
          <w:color w:val="1F1F1F"/>
          <w:kern w:val="36"/>
          <w:sz w:val="24"/>
          <w:szCs w:val="48"/>
          <w:lang w:eastAsia="en-GB"/>
        </w:rPr>
        <w:t>124 local respondents</w:t>
      </w:r>
      <w:r w:rsidRPr="006A3F69">
        <w:rPr>
          <w:rFonts w:ascii="Arial" w:eastAsia="Times New Roman" w:hAnsi="Arial" w:cs="Arial"/>
          <w:bCs/>
          <w:color w:val="1F1F1F"/>
          <w:kern w:val="36"/>
          <w:sz w:val="24"/>
          <w:szCs w:val="48"/>
          <w:lang w:eastAsia="en-GB"/>
        </w:rPr>
        <w:t xml:space="preserve"> (aged 18–34) revealed that 72% socialize in the city </w:t>
      </w:r>
      <w:r w:rsidR="00966F1E" w:rsidRPr="006A3F69">
        <w:rPr>
          <w:rFonts w:ascii="Arial" w:eastAsia="Times New Roman" w:hAnsi="Arial" w:cs="Arial"/>
          <w:bCs/>
          <w:color w:val="1F1F1F"/>
          <w:kern w:val="36"/>
          <w:sz w:val="24"/>
          <w:szCs w:val="48"/>
          <w:lang w:eastAsia="en-GB"/>
        </w:rPr>
        <w:t>centre</w:t>
      </w:r>
      <w:r w:rsidRPr="006A3F69">
        <w:rPr>
          <w:rFonts w:ascii="Arial" w:eastAsia="Times New Roman" w:hAnsi="Arial" w:cs="Arial"/>
          <w:bCs/>
          <w:color w:val="1F1F1F"/>
          <w:kern w:val="36"/>
          <w:sz w:val="24"/>
          <w:szCs w:val="48"/>
          <w:lang w:eastAsia="en-GB"/>
        </w:rPr>
        <w:t xml:space="preserve"> after 7:00 p.m. at least twice weekly. Crucially, 64% expressed dissatisfaction with current dry evening options, and 81% stated that interior aesthetics heavily influence their destination choices.</w:t>
      </w:r>
    </w:p>
    <w:p w:rsidR="006A3F69" w:rsidRPr="006A3F69" w:rsidRDefault="006A3F69" w:rsidP="00966F1E">
      <w:pPr>
        <w:spacing w:before="100" w:beforeAutospacing="1" w:after="0" w:line="360" w:lineRule="auto"/>
        <w:jc w:val="both"/>
        <w:outlineLvl w:val="0"/>
        <w:rPr>
          <w:rFonts w:ascii="Arial" w:eastAsia="Times New Roman" w:hAnsi="Arial" w:cs="Arial"/>
          <w:b/>
          <w:bCs/>
          <w:color w:val="1F1F1F"/>
          <w:kern w:val="36"/>
          <w:sz w:val="24"/>
          <w:szCs w:val="48"/>
          <w:lang w:eastAsia="en-GB"/>
        </w:rPr>
      </w:pPr>
      <w:r w:rsidRPr="006A3F69">
        <w:rPr>
          <w:rFonts w:ascii="Arial" w:eastAsia="Times New Roman" w:hAnsi="Arial" w:cs="Arial"/>
          <w:b/>
          <w:bCs/>
          <w:color w:val="1F1F1F"/>
          <w:kern w:val="36"/>
          <w:sz w:val="24"/>
          <w:szCs w:val="48"/>
          <w:lang w:eastAsia="en-GB"/>
        </w:rPr>
        <w:t>9. Financial Resources &amp; 12-Month Cash Flow Forecast</w:t>
      </w:r>
    </w:p>
    <w:p w:rsidR="001B5BE0" w:rsidRDefault="001B5BE0" w:rsidP="00966F1E">
      <w:pPr>
        <w:spacing w:before="100" w:beforeAutospacing="1" w:after="0" w:line="360" w:lineRule="auto"/>
        <w:jc w:val="both"/>
        <w:outlineLvl w:val="3"/>
        <w:rPr>
          <w:rFonts w:ascii="Arial" w:eastAsia="Times New Roman" w:hAnsi="Arial" w:cs="Arial"/>
          <w:bCs/>
          <w:color w:val="1F1F1F"/>
          <w:kern w:val="36"/>
          <w:sz w:val="24"/>
          <w:szCs w:val="48"/>
          <w:lang w:eastAsia="en-GB"/>
        </w:rPr>
      </w:pPr>
      <w:r w:rsidRPr="001B5BE0">
        <w:rPr>
          <w:rFonts w:ascii="Arial" w:eastAsia="Times New Roman" w:hAnsi="Arial" w:cs="Arial"/>
          <w:bCs/>
          <w:color w:val="1F1F1F"/>
          <w:kern w:val="36"/>
          <w:sz w:val="24"/>
          <w:szCs w:val="48"/>
          <w:lang w:eastAsia="en-GB"/>
        </w:rPr>
        <w:t xml:space="preserve">Total initial capital of </w:t>
      </w:r>
      <w:r w:rsidRPr="001B5BE0">
        <w:rPr>
          <w:rFonts w:ascii="Arial" w:eastAsia="Times New Roman" w:hAnsi="Arial" w:cs="Arial"/>
          <w:b/>
          <w:bCs/>
          <w:color w:val="1F1F1F"/>
          <w:kern w:val="36"/>
          <w:sz w:val="24"/>
          <w:szCs w:val="48"/>
          <w:lang w:eastAsia="en-GB"/>
        </w:rPr>
        <w:t>£75,000</w:t>
      </w:r>
      <w:r w:rsidRPr="001B5BE0">
        <w:rPr>
          <w:rFonts w:ascii="Arial" w:eastAsia="Times New Roman" w:hAnsi="Arial" w:cs="Arial"/>
          <w:bCs/>
          <w:color w:val="1F1F1F"/>
          <w:kern w:val="36"/>
          <w:sz w:val="24"/>
          <w:szCs w:val="48"/>
          <w:lang w:eastAsia="en-GB"/>
        </w:rPr>
        <w:t xml:space="preserve"> will be secured via £25,000 founder equity and a £50,000 UK Government Start Up Loan (fixed 6% interest over 5 years) (Williams, 2022). The intensive month-one capital expenditure consists of a localized Premises Fit-out and Setup (</w:t>
      </w:r>
      <w:r w:rsidRPr="001B5BE0">
        <w:rPr>
          <w:rFonts w:ascii="Arial" w:eastAsia="Times New Roman" w:hAnsi="Arial" w:cs="Arial"/>
          <w:b/>
          <w:bCs/>
          <w:color w:val="1F1F1F"/>
          <w:kern w:val="36"/>
          <w:sz w:val="24"/>
          <w:szCs w:val="48"/>
          <w:lang w:eastAsia="en-GB"/>
        </w:rPr>
        <w:t>£22,000</w:t>
      </w:r>
      <w:r w:rsidRPr="001B5BE0">
        <w:rPr>
          <w:rFonts w:ascii="Arial" w:eastAsia="Times New Roman" w:hAnsi="Arial" w:cs="Arial"/>
          <w:bCs/>
          <w:color w:val="1F1F1F"/>
          <w:kern w:val="36"/>
          <w:sz w:val="24"/>
          <w:szCs w:val="48"/>
          <w:lang w:eastAsia="en-GB"/>
        </w:rPr>
        <w:t>) alongside essential commercial Kitchen Equipment Procurement (</w:t>
      </w:r>
      <w:r w:rsidRPr="001B5BE0">
        <w:rPr>
          <w:rFonts w:ascii="Arial" w:eastAsia="Times New Roman" w:hAnsi="Arial" w:cs="Arial"/>
          <w:b/>
          <w:bCs/>
          <w:color w:val="1F1F1F"/>
          <w:kern w:val="36"/>
          <w:sz w:val="24"/>
          <w:szCs w:val="48"/>
          <w:lang w:eastAsia="en-GB"/>
        </w:rPr>
        <w:t>£5,000</w:t>
      </w:r>
      <w:r w:rsidRPr="001B5BE0">
        <w:rPr>
          <w:rFonts w:ascii="Arial" w:eastAsia="Times New Roman" w:hAnsi="Arial" w:cs="Arial"/>
          <w:bCs/>
          <w:color w:val="1F1F1F"/>
          <w:kern w:val="36"/>
          <w:sz w:val="24"/>
          <w:szCs w:val="48"/>
          <w:lang w:eastAsia="en-GB"/>
        </w:rPr>
        <w:t xml:space="preserve">), leaving a robust cash buffer for operational raw materials, marketing, and ongoing working capital. Cost of Goods Sold (COGS) is maintained strictly at </w:t>
      </w:r>
      <w:r w:rsidRPr="001B5BE0">
        <w:rPr>
          <w:rFonts w:ascii="Arial" w:eastAsia="Times New Roman" w:hAnsi="Arial" w:cs="Arial"/>
          <w:b/>
          <w:bCs/>
          <w:color w:val="1F1F1F"/>
          <w:kern w:val="36"/>
          <w:sz w:val="24"/>
          <w:szCs w:val="48"/>
          <w:lang w:eastAsia="en-GB"/>
        </w:rPr>
        <w:t>25%</w:t>
      </w:r>
      <w:r w:rsidRPr="001B5BE0">
        <w:rPr>
          <w:rFonts w:ascii="Arial" w:eastAsia="Times New Roman" w:hAnsi="Arial" w:cs="Arial"/>
          <w:bCs/>
          <w:color w:val="1F1F1F"/>
          <w:kern w:val="36"/>
          <w:sz w:val="24"/>
          <w:szCs w:val="48"/>
          <w:lang w:eastAsia="en-GB"/>
        </w:rPr>
        <w:t xml:space="preserve"> due to the high retail margins typical of premium artisanal ingredients. Fixed overhead operational commitments for the Northern Quarter venue are budgeted at </w:t>
      </w:r>
      <w:r w:rsidRPr="001B5BE0">
        <w:rPr>
          <w:rFonts w:ascii="Arial" w:eastAsia="Times New Roman" w:hAnsi="Arial" w:cs="Arial"/>
          <w:b/>
          <w:bCs/>
          <w:color w:val="1F1F1F"/>
          <w:kern w:val="36"/>
          <w:sz w:val="24"/>
          <w:szCs w:val="48"/>
          <w:lang w:eastAsia="en-GB"/>
        </w:rPr>
        <w:t>£3,700 per month</w:t>
      </w:r>
      <w:r w:rsidRPr="001B5BE0">
        <w:rPr>
          <w:rFonts w:ascii="Arial" w:eastAsia="Times New Roman" w:hAnsi="Arial" w:cs="Arial"/>
          <w:bCs/>
          <w:color w:val="1F1F1F"/>
          <w:kern w:val="36"/>
          <w:sz w:val="24"/>
          <w:szCs w:val="48"/>
          <w:lang w:eastAsia="en-GB"/>
        </w:rPr>
        <w:t>, seamlessly consolidating commercial lease rent (£2,500) with municipal rates and energy utilities (£1,200).</w:t>
      </w:r>
    </w:p>
    <w:bookmarkEnd w:id="0"/>
    <w:p w:rsidR="00B56C8A" w:rsidRDefault="00B56C8A" w:rsidP="00EC2CAC">
      <w:pPr>
        <w:spacing w:before="100" w:beforeAutospacing="1" w:after="0" w:line="360" w:lineRule="auto"/>
        <w:jc w:val="both"/>
        <w:outlineLvl w:val="3"/>
        <w:rPr>
          <w:rFonts w:ascii="Arial" w:eastAsia="Times New Roman" w:hAnsi="Arial" w:cs="Arial"/>
          <w:b/>
          <w:bCs/>
          <w:color w:val="1F1F1F"/>
          <w:sz w:val="24"/>
          <w:szCs w:val="24"/>
          <w:lang w:eastAsia="en-GB"/>
        </w:rPr>
      </w:pPr>
      <w:r w:rsidRPr="00B56C8A">
        <w:rPr>
          <w:rFonts w:ascii="Arial" w:eastAsia="Times New Roman" w:hAnsi="Arial" w:cs="Arial"/>
          <w:b/>
          <w:bCs/>
          <w:color w:val="1F1F1F"/>
          <w:sz w:val="24"/>
          <w:szCs w:val="24"/>
          <w:lang w:eastAsia="en-GB"/>
        </w:rPr>
        <w:lastRenderedPageBreak/>
        <w:t>12-Month Cash Flow Forecast Summary Table</w:t>
      </w:r>
      <w:r w:rsidRPr="00B56C8A">
        <w:rPr>
          <w:rFonts w:ascii="Arial" w:eastAsia="Times New Roman" w:hAnsi="Arial" w:cs="Arial"/>
          <w:bCs/>
          <w:color w:val="1F1F1F"/>
          <w:szCs w:val="24"/>
          <w:lang w:eastAsia="en-GB"/>
        </w:rPr>
        <w:t xml:space="preserve"> </w:t>
      </w:r>
      <w:r w:rsidR="00966F1E" w:rsidRPr="00966F1E">
        <w:rPr>
          <w:rFonts w:ascii="Arial" w:hAnsi="Arial" w:cs="Arial"/>
          <w:bCs/>
          <w:sz w:val="20"/>
        </w:rPr>
        <w:t>(</w:t>
      </w:r>
      <w:r w:rsidR="00966F1E">
        <w:rPr>
          <w:rFonts w:ascii="Arial" w:hAnsi="Arial" w:cs="Arial"/>
          <w:bCs/>
          <w:sz w:val="20"/>
        </w:rPr>
        <w:t>excluded from word count</w:t>
      </w:r>
      <w:r w:rsidR="00966F1E" w:rsidRPr="00966F1E">
        <w:rPr>
          <w:rFonts w:ascii="Arial" w:hAnsi="Arial" w:cs="Arial"/>
          <w:bCs/>
          <w:sz w:val="20"/>
        </w:rPr>
        <w:t>)</w:t>
      </w:r>
    </w:p>
    <w:p w:rsidR="00681909" w:rsidRPr="00B56C8A" w:rsidRDefault="00DA06FC" w:rsidP="00EC2CAC">
      <w:pPr>
        <w:spacing w:before="100" w:beforeAutospacing="1" w:after="0" w:line="360" w:lineRule="auto"/>
        <w:jc w:val="both"/>
        <w:outlineLvl w:val="3"/>
        <w:rPr>
          <w:rFonts w:ascii="Arial" w:eastAsia="Times New Roman" w:hAnsi="Arial" w:cs="Arial"/>
          <w:b/>
          <w:bCs/>
          <w:color w:val="1F1F1F"/>
          <w:sz w:val="24"/>
          <w:szCs w:val="24"/>
          <w:lang w:eastAsia="en-GB"/>
        </w:rPr>
      </w:pPr>
      <w:r>
        <w:rPr>
          <w:rFonts w:ascii="Arial" w:eastAsia="Times New Roman" w:hAnsi="Arial" w:cs="Arial"/>
          <w:b/>
          <w:bCs/>
          <w:color w:val="1F1F1F"/>
          <w:sz w:val="24"/>
          <w:szCs w:val="24"/>
          <w:lang w:eastAsia="en-GB"/>
        </w:rPr>
        <w:object w:dxaOrig="26751" w:dyaOrig="43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337.55pt;height:219pt" o:ole="">
            <v:imagedata r:id="rId11" o:title=""/>
          </v:shape>
          <o:OLEObject Type="Embed" ProgID="Excel.Sheet.12" ShapeID="_x0000_i1030" DrawAspect="Content" ObjectID="_1843422562" r:id="rId12"/>
        </w:object>
      </w:r>
    </w:p>
    <w:p w:rsidR="00B56C8A" w:rsidRPr="00B56C8A" w:rsidRDefault="00B56C8A" w:rsidP="00EC2CAC">
      <w:pPr>
        <w:spacing w:before="100" w:beforeAutospacing="1" w:after="0" w:line="360" w:lineRule="auto"/>
        <w:jc w:val="both"/>
        <w:outlineLvl w:val="2"/>
        <w:rPr>
          <w:rFonts w:ascii="Arial" w:eastAsia="Times New Roman" w:hAnsi="Arial" w:cs="Arial"/>
          <w:b/>
          <w:bCs/>
          <w:color w:val="1F1F1F"/>
          <w:sz w:val="27"/>
          <w:szCs w:val="27"/>
          <w:lang w:eastAsia="en-GB"/>
        </w:rPr>
      </w:pPr>
      <w:bookmarkStart w:id="2" w:name="_Hlk232809128"/>
      <w:r w:rsidRPr="00B56C8A">
        <w:rPr>
          <w:rFonts w:ascii="Arial" w:eastAsia="Times New Roman" w:hAnsi="Arial" w:cs="Arial"/>
          <w:b/>
          <w:bCs/>
          <w:color w:val="1F1F1F"/>
          <w:sz w:val="27"/>
          <w:szCs w:val="27"/>
          <w:lang w:eastAsia="en-GB"/>
        </w:rPr>
        <w:t>10. Competitor Analysis</w:t>
      </w:r>
    </w:p>
    <w:p w:rsidR="006A3F69" w:rsidRDefault="006A3F69" w:rsidP="00EC2CAC">
      <w:pPr>
        <w:spacing w:before="100" w:beforeAutospacing="1" w:after="0" w:line="360" w:lineRule="auto"/>
        <w:jc w:val="both"/>
        <w:outlineLvl w:val="2"/>
        <w:rPr>
          <w:rFonts w:ascii="Arial" w:eastAsia="Times New Roman" w:hAnsi="Arial" w:cs="Arial"/>
          <w:b/>
          <w:bCs/>
          <w:color w:val="1F1F1F"/>
          <w:sz w:val="24"/>
          <w:szCs w:val="24"/>
          <w:lang w:eastAsia="en-GB"/>
        </w:rPr>
      </w:pPr>
      <w:r w:rsidRPr="006A3F69">
        <w:rPr>
          <w:rFonts w:ascii="Arial" w:eastAsia="Times New Roman" w:hAnsi="Arial" w:cs="Arial"/>
          <w:color w:val="1F1F1F"/>
          <w:sz w:val="24"/>
          <w:szCs w:val="24"/>
          <w:lang w:eastAsia="en-GB"/>
        </w:rPr>
        <w:t xml:space="preserve">The Manchester city </w:t>
      </w:r>
      <w:proofErr w:type="spellStart"/>
      <w:r w:rsidRPr="006A3F69">
        <w:rPr>
          <w:rFonts w:ascii="Arial" w:eastAsia="Times New Roman" w:hAnsi="Arial" w:cs="Arial"/>
          <w:color w:val="1F1F1F"/>
          <w:sz w:val="24"/>
          <w:szCs w:val="24"/>
          <w:lang w:eastAsia="en-GB"/>
        </w:rPr>
        <w:t>center</w:t>
      </w:r>
      <w:proofErr w:type="spellEnd"/>
      <w:r w:rsidRPr="006A3F69">
        <w:rPr>
          <w:rFonts w:ascii="Arial" w:eastAsia="Times New Roman" w:hAnsi="Arial" w:cs="Arial"/>
          <w:color w:val="1F1F1F"/>
          <w:sz w:val="24"/>
          <w:szCs w:val="24"/>
          <w:lang w:eastAsia="en-GB"/>
        </w:rPr>
        <w:t xml:space="preserve"> hospitality landscape features an established dessert sector. A strategic benchmarking exercise was executed against two primary local competitors, </w:t>
      </w:r>
      <w:r w:rsidRPr="006A3F69">
        <w:rPr>
          <w:rFonts w:ascii="Arial" w:eastAsia="Times New Roman" w:hAnsi="Arial" w:cs="Arial"/>
          <w:b/>
          <w:bCs/>
          <w:color w:val="1F1F1F"/>
          <w:sz w:val="24"/>
          <w:szCs w:val="24"/>
          <w:lang w:eastAsia="en-GB"/>
        </w:rPr>
        <w:t>Black Milk</w:t>
      </w:r>
      <w:r w:rsidRPr="006A3F69">
        <w:rPr>
          <w:rFonts w:ascii="Arial" w:eastAsia="Times New Roman" w:hAnsi="Arial" w:cs="Arial"/>
          <w:color w:val="1F1F1F"/>
          <w:sz w:val="24"/>
          <w:szCs w:val="24"/>
          <w:lang w:eastAsia="en-GB"/>
        </w:rPr>
        <w:t xml:space="preserve"> (Northern Quarter) and </w:t>
      </w:r>
      <w:r w:rsidRPr="006A3F69">
        <w:rPr>
          <w:rFonts w:ascii="Arial" w:eastAsia="Times New Roman" w:hAnsi="Arial" w:cs="Arial"/>
          <w:b/>
          <w:bCs/>
          <w:color w:val="1F1F1F"/>
          <w:sz w:val="24"/>
          <w:szCs w:val="24"/>
          <w:lang w:eastAsia="en-GB"/>
        </w:rPr>
        <w:t>Archie's</w:t>
      </w:r>
      <w:r w:rsidRPr="006A3F69">
        <w:rPr>
          <w:rFonts w:ascii="Arial" w:eastAsia="Times New Roman" w:hAnsi="Arial" w:cs="Arial"/>
          <w:color w:val="1F1F1F"/>
          <w:sz w:val="24"/>
          <w:szCs w:val="24"/>
          <w:lang w:eastAsia="en-GB"/>
        </w:rPr>
        <w:t xml:space="preserve"> (Piccadilly), evaluating their pricing models, operational scale, core strengths, and structural weaknesses (Johnson et al., 2023). The Velvet Scoop directly exploits the distinct market void left between these competing operations by targeting the premium experiential evening economy with an upscale, sober environment. </w:t>
      </w:r>
      <w:r w:rsidRPr="006A3F69">
        <w:rPr>
          <w:rFonts w:ascii="Arial" w:eastAsia="Times New Roman" w:hAnsi="Arial" w:cs="Arial"/>
          <w:b/>
          <w:bCs/>
          <w:color w:val="1F1F1F"/>
          <w:sz w:val="24"/>
          <w:szCs w:val="24"/>
          <w:lang w:eastAsia="en-GB"/>
        </w:rPr>
        <w:t>For the full, comprehensive benchmarking matrices and strategic positioning synthesis, please refer to Appendix A.</w:t>
      </w:r>
    </w:p>
    <w:p w:rsidR="00B56C8A" w:rsidRPr="00B56C8A" w:rsidRDefault="00B56C8A" w:rsidP="00EC2CAC">
      <w:pPr>
        <w:spacing w:before="100" w:beforeAutospacing="1" w:after="0" w:line="360" w:lineRule="auto"/>
        <w:jc w:val="both"/>
        <w:outlineLvl w:val="2"/>
        <w:rPr>
          <w:rFonts w:ascii="Arial" w:eastAsia="Times New Roman" w:hAnsi="Arial" w:cs="Arial"/>
          <w:b/>
          <w:bCs/>
          <w:color w:val="1F1F1F"/>
          <w:sz w:val="27"/>
          <w:szCs w:val="27"/>
          <w:lang w:eastAsia="en-GB"/>
        </w:rPr>
      </w:pPr>
      <w:r w:rsidRPr="00B56C8A">
        <w:rPr>
          <w:rFonts w:ascii="Arial" w:eastAsia="Times New Roman" w:hAnsi="Arial" w:cs="Arial"/>
          <w:b/>
          <w:bCs/>
          <w:color w:val="1F1F1F"/>
          <w:sz w:val="27"/>
          <w:szCs w:val="27"/>
          <w:lang w:eastAsia="en-GB"/>
        </w:rPr>
        <w:t>11. Critical Appraisal &amp; SWOT Analysis</w:t>
      </w:r>
    </w:p>
    <w:p w:rsidR="006A3F69" w:rsidRDefault="006A3F69" w:rsidP="00EC2CAC">
      <w:pPr>
        <w:spacing w:before="100" w:beforeAutospacing="1" w:after="0" w:line="360" w:lineRule="auto"/>
        <w:jc w:val="both"/>
        <w:outlineLvl w:val="0"/>
        <w:rPr>
          <w:rFonts w:ascii="Arial" w:eastAsia="Times New Roman" w:hAnsi="Arial" w:cs="Arial"/>
          <w:b/>
          <w:bCs/>
          <w:color w:val="1F1F1F"/>
          <w:sz w:val="24"/>
          <w:szCs w:val="24"/>
          <w:lang w:eastAsia="en-GB"/>
        </w:rPr>
      </w:pPr>
      <w:r w:rsidRPr="006A3F69">
        <w:rPr>
          <w:rFonts w:ascii="Arial" w:eastAsia="Times New Roman" w:hAnsi="Arial" w:cs="Arial"/>
          <w:color w:val="1F1F1F"/>
          <w:sz w:val="24"/>
          <w:szCs w:val="24"/>
          <w:lang w:eastAsia="en-GB"/>
        </w:rPr>
        <w:t xml:space="preserve">To determine the overarching commercial viability and strategic fit of The Velvet Scoop, a comprehensive SWOT framework was applied to synthesize empirical primary research insights with 12-month cash flow </w:t>
      </w:r>
      <w:r w:rsidR="00966F1E" w:rsidRPr="006A3F69">
        <w:rPr>
          <w:rFonts w:ascii="Arial" w:eastAsia="Times New Roman" w:hAnsi="Arial" w:cs="Arial"/>
          <w:color w:val="1F1F1F"/>
          <w:sz w:val="24"/>
          <w:szCs w:val="24"/>
          <w:lang w:eastAsia="en-GB"/>
        </w:rPr>
        <w:t>modelling</w:t>
      </w:r>
      <w:r w:rsidRPr="006A3F69">
        <w:rPr>
          <w:rFonts w:ascii="Arial" w:eastAsia="Times New Roman" w:hAnsi="Arial" w:cs="Arial"/>
          <w:color w:val="1F1F1F"/>
          <w:sz w:val="24"/>
          <w:szCs w:val="24"/>
          <w:lang w:eastAsia="en-GB"/>
        </w:rPr>
        <w:t xml:space="preserve"> projections (Johnson et al., 2023). This appraisal evaluates core internal capabilities alongside macroeconomic hospitality market risks on the UK high street. </w:t>
      </w:r>
      <w:r w:rsidRPr="006A3F69">
        <w:rPr>
          <w:rFonts w:ascii="Arial" w:eastAsia="Times New Roman" w:hAnsi="Arial" w:cs="Arial"/>
          <w:b/>
          <w:bCs/>
          <w:color w:val="1F1F1F"/>
          <w:sz w:val="24"/>
          <w:szCs w:val="24"/>
          <w:lang w:eastAsia="en-GB"/>
        </w:rPr>
        <w:t>The complete, expanded SWOT Matrix Analysis and the formal Feasibility Conclusion are documented in Appendix B.</w:t>
      </w:r>
    </w:p>
    <w:p w:rsidR="00B56C8A" w:rsidRPr="00B56C8A" w:rsidRDefault="00B56C8A" w:rsidP="00EC2CAC">
      <w:pPr>
        <w:spacing w:before="100" w:beforeAutospacing="1" w:after="0" w:line="360" w:lineRule="auto"/>
        <w:jc w:val="both"/>
        <w:outlineLvl w:val="0"/>
        <w:rPr>
          <w:rFonts w:ascii="Arial" w:eastAsia="Times New Roman" w:hAnsi="Arial" w:cs="Arial"/>
          <w:b/>
          <w:bCs/>
          <w:color w:val="1F1F1F"/>
          <w:kern w:val="36"/>
          <w:sz w:val="36"/>
          <w:szCs w:val="48"/>
          <w:lang w:eastAsia="en-GB"/>
        </w:rPr>
      </w:pPr>
      <w:r w:rsidRPr="00B56C8A">
        <w:rPr>
          <w:rFonts w:ascii="Arial" w:eastAsia="Times New Roman" w:hAnsi="Arial" w:cs="Arial"/>
          <w:b/>
          <w:bCs/>
          <w:color w:val="1F1F1F"/>
          <w:kern w:val="36"/>
          <w:sz w:val="36"/>
          <w:szCs w:val="48"/>
          <w:lang w:eastAsia="en-GB"/>
        </w:rPr>
        <w:lastRenderedPageBreak/>
        <w:t>TASK 1 — PART 2: INDIVIDUAL REFLECTION</w:t>
      </w:r>
    </w:p>
    <w:p w:rsidR="00B56C8A" w:rsidRPr="00B56C8A" w:rsidRDefault="00B56C8A" w:rsidP="00EC2CAC">
      <w:pPr>
        <w:spacing w:before="100" w:beforeAutospacing="1" w:after="0" w:line="360" w:lineRule="auto"/>
        <w:jc w:val="both"/>
        <w:rPr>
          <w:rFonts w:ascii="Arial" w:eastAsia="Times New Roman" w:hAnsi="Arial" w:cs="Arial"/>
          <w:color w:val="1F1F1F"/>
          <w:sz w:val="24"/>
          <w:szCs w:val="24"/>
          <w:lang w:eastAsia="en-GB"/>
        </w:rPr>
      </w:pPr>
      <w:r w:rsidRPr="00B56C8A">
        <w:rPr>
          <w:rFonts w:ascii="Arial" w:eastAsia="Times New Roman" w:hAnsi="Arial" w:cs="Arial"/>
          <w:color w:val="1F1F1F"/>
          <w:sz w:val="24"/>
          <w:szCs w:val="24"/>
          <w:lang w:eastAsia="en-GB"/>
        </w:rPr>
        <w:t xml:space="preserve">Compiling the business plan for </w:t>
      </w:r>
      <w:r w:rsidRPr="00B56C8A">
        <w:rPr>
          <w:rFonts w:ascii="Arial" w:eastAsia="Times New Roman" w:hAnsi="Arial" w:cs="Arial"/>
          <w:i/>
          <w:iCs/>
          <w:color w:val="1F1F1F"/>
          <w:sz w:val="24"/>
          <w:szCs w:val="24"/>
          <w:bdr w:val="none" w:sz="0" w:space="0" w:color="auto" w:frame="1"/>
          <w:lang w:eastAsia="en-GB"/>
        </w:rPr>
        <w:t>The Velvet Scoop</w:t>
      </w:r>
      <w:r w:rsidRPr="00B56C8A">
        <w:rPr>
          <w:rFonts w:ascii="Arial" w:eastAsia="Times New Roman" w:hAnsi="Arial" w:cs="Arial"/>
          <w:color w:val="1F1F1F"/>
          <w:sz w:val="24"/>
          <w:szCs w:val="24"/>
          <w:lang w:eastAsia="en-GB"/>
        </w:rPr>
        <w:t xml:space="preserve"> and engaging with the </w:t>
      </w:r>
      <w:r w:rsidRPr="00B56C8A">
        <w:rPr>
          <w:rFonts w:ascii="Arial" w:eastAsia="Times New Roman" w:hAnsi="Arial" w:cs="Arial"/>
          <w:i/>
          <w:iCs/>
          <w:color w:val="1F1F1F"/>
          <w:sz w:val="24"/>
          <w:szCs w:val="24"/>
          <w:bdr w:val="none" w:sz="0" w:space="0" w:color="auto" w:frame="1"/>
          <w:lang w:eastAsia="en-GB"/>
        </w:rPr>
        <w:t>Managing Enterprise</w:t>
      </w:r>
      <w:r w:rsidRPr="00B56C8A">
        <w:rPr>
          <w:rFonts w:ascii="Arial" w:eastAsia="Times New Roman" w:hAnsi="Arial" w:cs="Arial"/>
          <w:color w:val="1F1F1F"/>
          <w:sz w:val="24"/>
          <w:szCs w:val="24"/>
          <w:lang w:eastAsia="en-GB"/>
        </w:rPr>
        <w:t xml:space="preserve"> lecture series has allowed me to bridge academic enterprise theory with real-world operational execution. Throughout this process, I have both tested my existing skill sets and developed entirely new professional capabilities critical to contemporary small business management.</w:t>
      </w:r>
    </w:p>
    <w:p w:rsidR="00B56C8A" w:rsidRPr="00B56C8A" w:rsidRDefault="00B56C8A" w:rsidP="00EC2CAC">
      <w:pPr>
        <w:spacing w:before="100" w:beforeAutospacing="1" w:after="0" w:line="360" w:lineRule="auto"/>
        <w:jc w:val="both"/>
        <w:rPr>
          <w:rFonts w:ascii="Arial" w:eastAsia="Times New Roman" w:hAnsi="Arial" w:cs="Arial"/>
          <w:color w:val="1F1F1F"/>
          <w:sz w:val="24"/>
          <w:szCs w:val="24"/>
          <w:lang w:eastAsia="en-GB"/>
        </w:rPr>
      </w:pPr>
      <w:r w:rsidRPr="00B56C8A">
        <w:rPr>
          <w:rFonts w:ascii="Arial" w:eastAsia="Times New Roman" w:hAnsi="Arial" w:cs="Arial"/>
          <w:color w:val="1F1F1F"/>
          <w:sz w:val="24"/>
          <w:szCs w:val="24"/>
          <w:lang w:eastAsia="en-GB"/>
        </w:rPr>
        <w:t xml:space="preserve">Prior to this module, my understanding of entrepreneurship was largely conceptual, leaning heavily on intuitive product design, aesthetics, and creative branding ideas. However, the rigor of compiling a comprehensive, compliant business proposal forced me to develop acute </w:t>
      </w:r>
      <w:r w:rsidRPr="00B56C8A">
        <w:rPr>
          <w:rFonts w:ascii="Arial" w:eastAsia="Times New Roman" w:hAnsi="Arial" w:cs="Arial"/>
          <w:b/>
          <w:bCs/>
          <w:color w:val="1F1F1F"/>
          <w:sz w:val="24"/>
          <w:szCs w:val="24"/>
          <w:bdr w:val="none" w:sz="0" w:space="0" w:color="auto" w:frame="1"/>
          <w:lang w:eastAsia="en-GB"/>
        </w:rPr>
        <w:t>analytical and financial literacy skills</w:t>
      </w:r>
      <w:r w:rsidRPr="00B56C8A">
        <w:rPr>
          <w:rFonts w:ascii="Arial" w:eastAsia="Times New Roman" w:hAnsi="Arial" w:cs="Arial"/>
          <w:color w:val="1F1F1F"/>
          <w:sz w:val="24"/>
          <w:szCs w:val="24"/>
          <w:lang w:eastAsia="en-GB"/>
        </w:rPr>
        <w:t xml:space="preserve">. Structuring a realistic 12-month cash flow forecast required a sharp learning curve; I had to move beyond abstract revenue assumptions and meticulously calculate the mathematically exact relationships between Cost of Goods Sold (COGS), variable overheads, lease commitments, and seasonal student demand fluctuations. Managing these financial variables directly enhanced my data-driven decision-making capacity. Furthermore, executing the primary and secondary market research expanded my </w:t>
      </w:r>
      <w:r w:rsidRPr="00B56C8A">
        <w:rPr>
          <w:rFonts w:ascii="Arial" w:eastAsia="Times New Roman" w:hAnsi="Arial" w:cs="Arial"/>
          <w:b/>
          <w:bCs/>
          <w:color w:val="1F1F1F"/>
          <w:sz w:val="24"/>
          <w:szCs w:val="24"/>
          <w:bdr w:val="none" w:sz="0" w:space="0" w:color="auto" w:frame="1"/>
          <w:lang w:eastAsia="en-GB"/>
        </w:rPr>
        <w:t>critical thinking and market analysis skills</w:t>
      </w:r>
      <w:r w:rsidRPr="00B56C8A">
        <w:rPr>
          <w:rFonts w:ascii="Arial" w:eastAsia="Times New Roman" w:hAnsi="Arial" w:cs="Arial"/>
          <w:color w:val="1F1F1F"/>
          <w:sz w:val="24"/>
          <w:szCs w:val="24"/>
          <w:lang w:eastAsia="en-GB"/>
        </w:rPr>
        <w:t>. Rather than relying on personal assumptions about consumer taste, I learned to objectively evaluate shifting macro-demographics, such as the rise of the sober evening economy in the UK, and use that empirical data to refine our unique selling proposition (USP).</w:t>
      </w:r>
    </w:p>
    <w:p w:rsidR="00B56C8A" w:rsidRDefault="00B56C8A" w:rsidP="00EC2CAC">
      <w:pPr>
        <w:spacing w:before="100" w:beforeAutospacing="1" w:after="0" w:line="360" w:lineRule="auto"/>
        <w:jc w:val="both"/>
        <w:rPr>
          <w:rFonts w:ascii="Arial" w:eastAsia="Times New Roman" w:hAnsi="Arial" w:cs="Arial"/>
          <w:color w:val="1F1F1F"/>
          <w:sz w:val="24"/>
          <w:szCs w:val="24"/>
          <w:lang w:eastAsia="en-GB"/>
        </w:rPr>
      </w:pPr>
      <w:r w:rsidRPr="00B56C8A">
        <w:rPr>
          <w:rFonts w:ascii="Arial" w:eastAsia="Times New Roman" w:hAnsi="Arial" w:cs="Arial"/>
          <w:color w:val="1F1F1F"/>
          <w:sz w:val="24"/>
          <w:szCs w:val="24"/>
          <w:lang w:eastAsia="en-GB"/>
        </w:rPr>
        <w:t xml:space="preserve">The development of these skills has fundamentally altered how I view the practicality of this business venture. If approached by an angel investor or if I possessed the liquidity myself, </w:t>
      </w:r>
      <w:r w:rsidRPr="00B56C8A">
        <w:rPr>
          <w:rFonts w:ascii="Arial" w:eastAsia="Times New Roman" w:hAnsi="Arial" w:cs="Arial"/>
          <w:b/>
          <w:bCs/>
          <w:color w:val="1F1F1F"/>
          <w:sz w:val="24"/>
          <w:szCs w:val="24"/>
          <w:bdr w:val="none" w:sz="0" w:space="0" w:color="auto" w:frame="1"/>
          <w:lang w:eastAsia="en-GB"/>
        </w:rPr>
        <w:t>I would absolutely choose to personally invest my own capital in the business idea of The Velvet Scoop.</w:t>
      </w:r>
      <w:r w:rsidRPr="00B56C8A">
        <w:rPr>
          <w:rFonts w:ascii="Arial" w:eastAsia="Times New Roman" w:hAnsi="Arial" w:cs="Arial"/>
          <w:color w:val="1F1F1F"/>
          <w:sz w:val="24"/>
          <w:szCs w:val="24"/>
          <w:lang w:eastAsia="en-GB"/>
        </w:rPr>
        <w:t xml:space="preserve"> My rationale is grounded in strategic market alignment and financial viability, rather than purely emotional passion. The primary market research clearly indicates a profound structural gap in the Manchester evening market: a distinct lack of premium, alcohol-free social spaces tailored for millennials and Gen-Z consumers. By positioning the café as an experiential "Artisanal Theatre" destination rather than a transactional fast-food dessert outlet, the business protects its pricing power and captures high gross profit margins (75%). Financially, the cash flow model proves that despite intensive initial capital expenditure for the premium </w:t>
      </w:r>
      <w:r w:rsidRPr="00B56C8A">
        <w:rPr>
          <w:rFonts w:ascii="Arial" w:eastAsia="Times New Roman" w:hAnsi="Arial" w:cs="Arial"/>
          <w:color w:val="1F1F1F"/>
          <w:sz w:val="24"/>
          <w:szCs w:val="24"/>
          <w:lang w:eastAsia="en-GB"/>
        </w:rPr>
        <w:lastRenderedPageBreak/>
        <w:t>Northern Quarter fit-out, the enterprise achieves positive net cash flow by Month 3 and accumulates robust working capital by the end of Year 1. The investment risk is heavily mitigated by the fact that the business leverages lean social media pull-marketing, which completely bypasses heavy traditional advertising costs. While supply chain inflation regarding premium dairy and cocoa remains a minor threat, the high-margin nature of the menu provides an exceptional financial buffer. Investing in The Velvet Scoop is a highly viable, low-risk, and forward-looking opportunity.</w:t>
      </w:r>
    </w:p>
    <w:p w:rsidR="00966F1E" w:rsidRDefault="00966F1E" w:rsidP="00EC2CAC">
      <w:pPr>
        <w:spacing w:before="100" w:beforeAutospacing="1" w:after="0" w:line="360" w:lineRule="auto"/>
        <w:jc w:val="both"/>
        <w:rPr>
          <w:rFonts w:ascii="Arial" w:eastAsia="Times New Roman" w:hAnsi="Arial" w:cs="Arial"/>
          <w:color w:val="1F1F1F"/>
          <w:sz w:val="24"/>
          <w:szCs w:val="24"/>
          <w:lang w:eastAsia="en-GB"/>
        </w:rPr>
      </w:pPr>
    </w:p>
    <w:p w:rsidR="00966F1E" w:rsidRDefault="00966F1E" w:rsidP="00EC2CAC">
      <w:pPr>
        <w:spacing w:before="100" w:beforeAutospacing="1" w:after="0" w:line="360" w:lineRule="auto"/>
        <w:jc w:val="both"/>
        <w:rPr>
          <w:rFonts w:ascii="Arial" w:eastAsia="Times New Roman" w:hAnsi="Arial" w:cs="Arial"/>
          <w:color w:val="1F1F1F"/>
          <w:sz w:val="24"/>
          <w:szCs w:val="24"/>
          <w:lang w:eastAsia="en-GB"/>
        </w:rPr>
      </w:pPr>
    </w:p>
    <w:p w:rsidR="00966F1E" w:rsidRDefault="00966F1E" w:rsidP="00EC2CAC">
      <w:pPr>
        <w:spacing w:before="100" w:beforeAutospacing="1" w:after="0" w:line="360" w:lineRule="auto"/>
        <w:jc w:val="both"/>
        <w:rPr>
          <w:rFonts w:ascii="Arial" w:eastAsia="Times New Roman" w:hAnsi="Arial" w:cs="Arial"/>
          <w:color w:val="1F1F1F"/>
          <w:sz w:val="24"/>
          <w:szCs w:val="24"/>
          <w:lang w:eastAsia="en-GB"/>
        </w:rPr>
      </w:pPr>
    </w:p>
    <w:p w:rsidR="00966F1E" w:rsidRDefault="00966F1E" w:rsidP="00EC2CAC">
      <w:pPr>
        <w:spacing w:before="100" w:beforeAutospacing="1" w:after="0" w:line="360" w:lineRule="auto"/>
        <w:jc w:val="both"/>
        <w:rPr>
          <w:rFonts w:ascii="Arial" w:eastAsia="Times New Roman" w:hAnsi="Arial" w:cs="Arial"/>
          <w:color w:val="1F1F1F"/>
          <w:sz w:val="24"/>
          <w:szCs w:val="24"/>
          <w:lang w:eastAsia="en-GB"/>
        </w:rPr>
      </w:pPr>
    </w:p>
    <w:p w:rsidR="00966F1E" w:rsidRDefault="00966F1E" w:rsidP="00EC2CAC">
      <w:pPr>
        <w:spacing w:before="100" w:beforeAutospacing="1" w:after="0" w:line="360" w:lineRule="auto"/>
        <w:jc w:val="both"/>
        <w:rPr>
          <w:rFonts w:ascii="Arial" w:eastAsia="Times New Roman" w:hAnsi="Arial" w:cs="Arial"/>
          <w:color w:val="1F1F1F"/>
          <w:sz w:val="24"/>
          <w:szCs w:val="24"/>
          <w:lang w:eastAsia="en-GB"/>
        </w:rPr>
      </w:pPr>
    </w:p>
    <w:p w:rsidR="00966F1E" w:rsidRDefault="00966F1E" w:rsidP="00EC2CAC">
      <w:pPr>
        <w:spacing w:before="100" w:beforeAutospacing="1" w:after="0" w:line="360" w:lineRule="auto"/>
        <w:jc w:val="both"/>
        <w:rPr>
          <w:rFonts w:ascii="Arial" w:eastAsia="Times New Roman" w:hAnsi="Arial" w:cs="Arial"/>
          <w:color w:val="1F1F1F"/>
          <w:sz w:val="24"/>
          <w:szCs w:val="24"/>
          <w:lang w:eastAsia="en-GB"/>
        </w:rPr>
      </w:pPr>
    </w:p>
    <w:p w:rsidR="00966F1E" w:rsidRDefault="00966F1E" w:rsidP="00EC2CAC">
      <w:pPr>
        <w:spacing w:before="100" w:beforeAutospacing="1" w:after="0" w:line="360" w:lineRule="auto"/>
        <w:jc w:val="both"/>
        <w:rPr>
          <w:rFonts w:ascii="Arial" w:eastAsia="Times New Roman" w:hAnsi="Arial" w:cs="Arial"/>
          <w:color w:val="1F1F1F"/>
          <w:sz w:val="24"/>
          <w:szCs w:val="24"/>
          <w:lang w:eastAsia="en-GB"/>
        </w:rPr>
      </w:pPr>
    </w:p>
    <w:p w:rsidR="00966F1E" w:rsidRDefault="00966F1E" w:rsidP="00EC2CAC">
      <w:pPr>
        <w:spacing w:before="100" w:beforeAutospacing="1" w:after="0" w:line="360" w:lineRule="auto"/>
        <w:jc w:val="both"/>
        <w:rPr>
          <w:rFonts w:ascii="Arial" w:eastAsia="Times New Roman" w:hAnsi="Arial" w:cs="Arial"/>
          <w:color w:val="1F1F1F"/>
          <w:sz w:val="24"/>
          <w:szCs w:val="24"/>
          <w:lang w:eastAsia="en-GB"/>
        </w:rPr>
      </w:pPr>
    </w:p>
    <w:p w:rsidR="00966F1E" w:rsidRDefault="00966F1E" w:rsidP="00EC2CAC">
      <w:pPr>
        <w:spacing w:before="100" w:beforeAutospacing="1" w:after="0" w:line="360" w:lineRule="auto"/>
        <w:jc w:val="both"/>
        <w:rPr>
          <w:rFonts w:ascii="Arial" w:eastAsia="Times New Roman" w:hAnsi="Arial" w:cs="Arial"/>
          <w:color w:val="1F1F1F"/>
          <w:sz w:val="24"/>
          <w:szCs w:val="24"/>
          <w:lang w:eastAsia="en-GB"/>
        </w:rPr>
      </w:pPr>
    </w:p>
    <w:p w:rsidR="00966F1E" w:rsidRDefault="00966F1E" w:rsidP="00EC2CAC">
      <w:pPr>
        <w:spacing w:before="100" w:beforeAutospacing="1" w:after="0" w:line="360" w:lineRule="auto"/>
        <w:jc w:val="both"/>
        <w:rPr>
          <w:rFonts w:ascii="Arial" w:eastAsia="Times New Roman" w:hAnsi="Arial" w:cs="Arial"/>
          <w:color w:val="1F1F1F"/>
          <w:sz w:val="24"/>
          <w:szCs w:val="24"/>
          <w:lang w:eastAsia="en-GB"/>
        </w:rPr>
      </w:pPr>
    </w:p>
    <w:p w:rsidR="00966F1E" w:rsidRDefault="00966F1E" w:rsidP="00EC2CAC">
      <w:pPr>
        <w:spacing w:before="100" w:beforeAutospacing="1" w:after="0" w:line="360" w:lineRule="auto"/>
        <w:jc w:val="both"/>
        <w:rPr>
          <w:rFonts w:ascii="Arial" w:eastAsia="Times New Roman" w:hAnsi="Arial" w:cs="Arial"/>
          <w:color w:val="1F1F1F"/>
          <w:sz w:val="24"/>
          <w:szCs w:val="24"/>
          <w:lang w:eastAsia="en-GB"/>
        </w:rPr>
      </w:pPr>
    </w:p>
    <w:p w:rsidR="00966F1E" w:rsidRDefault="00966F1E" w:rsidP="00EC2CAC">
      <w:pPr>
        <w:spacing w:before="100" w:beforeAutospacing="1" w:after="0" w:line="360" w:lineRule="auto"/>
        <w:jc w:val="both"/>
        <w:rPr>
          <w:rFonts w:ascii="Arial" w:eastAsia="Times New Roman" w:hAnsi="Arial" w:cs="Arial"/>
          <w:color w:val="1F1F1F"/>
          <w:sz w:val="24"/>
          <w:szCs w:val="24"/>
          <w:lang w:eastAsia="en-GB"/>
        </w:rPr>
      </w:pPr>
    </w:p>
    <w:p w:rsidR="00966F1E" w:rsidRDefault="00966F1E" w:rsidP="00EC2CAC">
      <w:pPr>
        <w:spacing w:before="100" w:beforeAutospacing="1" w:after="0" w:line="360" w:lineRule="auto"/>
        <w:jc w:val="both"/>
        <w:rPr>
          <w:rFonts w:ascii="Arial" w:eastAsia="Times New Roman" w:hAnsi="Arial" w:cs="Arial"/>
          <w:color w:val="1F1F1F"/>
          <w:sz w:val="24"/>
          <w:szCs w:val="24"/>
          <w:lang w:eastAsia="en-GB"/>
        </w:rPr>
      </w:pPr>
    </w:p>
    <w:p w:rsidR="00966F1E" w:rsidRDefault="00966F1E" w:rsidP="00EC2CAC">
      <w:pPr>
        <w:spacing w:before="100" w:beforeAutospacing="1" w:after="0" w:line="360" w:lineRule="auto"/>
        <w:jc w:val="both"/>
        <w:rPr>
          <w:rFonts w:ascii="Arial" w:eastAsia="Times New Roman" w:hAnsi="Arial" w:cs="Arial"/>
          <w:color w:val="1F1F1F"/>
          <w:sz w:val="24"/>
          <w:szCs w:val="24"/>
          <w:lang w:eastAsia="en-GB"/>
        </w:rPr>
      </w:pPr>
    </w:p>
    <w:bookmarkEnd w:id="2"/>
    <w:p w:rsidR="00CB40B0" w:rsidRPr="00B56C8A" w:rsidRDefault="00CB40B0" w:rsidP="00EC2CAC">
      <w:pPr>
        <w:spacing w:before="100" w:beforeAutospacing="1" w:after="0" w:line="360" w:lineRule="auto"/>
        <w:jc w:val="both"/>
        <w:rPr>
          <w:rFonts w:ascii="Arial" w:eastAsia="Times New Roman" w:hAnsi="Arial" w:cs="Arial"/>
          <w:color w:val="1F1F1F"/>
          <w:sz w:val="24"/>
          <w:szCs w:val="24"/>
          <w:lang w:eastAsia="en-GB"/>
        </w:rPr>
      </w:pPr>
    </w:p>
    <w:p w:rsidR="00B56C8A" w:rsidRPr="00B56C8A" w:rsidRDefault="00CB40B0" w:rsidP="00EC2CAC">
      <w:pPr>
        <w:spacing w:before="100" w:beforeAutospacing="1" w:after="0" w:line="360" w:lineRule="auto"/>
        <w:jc w:val="both"/>
        <w:outlineLvl w:val="0"/>
        <w:rPr>
          <w:rFonts w:ascii="Arial" w:eastAsia="Times New Roman" w:hAnsi="Arial" w:cs="Arial"/>
          <w:b/>
          <w:bCs/>
          <w:color w:val="1F1F1F"/>
          <w:kern w:val="36"/>
          <w:sz w:val="48"/>
          <w:szCs w:val="48"/>
          <w:lang w:eastAsia="en-GB"/>
        </w:rPr>
      </w:pPr>
      <w:r>
        <w:rPr>
          <w:rFonts w:ascii="Segoe UI Emoji" w:eastAsia="Times New Roman" w:hAnsi="Segoe UI Emoji" w:cs="Segoe UI Emoji"/>
          <w:b/>
          <w:bCs/>
          <w:color w:val="1F1F1F"/>
          <w:kern w:val="36"/>
          <w:sz w:val="48"/>
          <w:szCs w:val="48"/>
          <w:lang w:eastAsia="en-GB"/>
        </w:rPr>
        <w:lastRenderedPageBreak/>
        <w:t>References:</w:t>
      </w:r>
    </w:p>
    <w:p w:rsidR="00B56C8A" w:rsidRPr="00B56C8A" w:rsidRDefault="00B56C8A" w:rsidP="00EC2CAC">
      <w:pPr>
        <w:numPr>
          <w:ilvl w:val="0"/>
          <w:numId w:val="12"/>
        </w:numPr>
        <w:spacing w:before="100" w:beforeAutospacing="1" w:after="0" w:line="360" w:lineRule="auto"/>
        <w:ind w:left="0"/>
        <w:jc w:val="both"/>
        <w:rPr>
          <w:rFonts w:ascii="Arial" w:eastAsia="Times New Roman" w:hAnsi="Arial" w:cs="Arial"/>
          <w:color w:val="1F1F1F"/>
          <w:sz w:val="24"/>
          <w:szCs w:val="24"/>
          <w:lang w:eastAsia="en-GB"/>
        </w:rPr>
      </w:pPr>
      <w:r w:rsidRPr="00B56C8A">
        <w:rPr>
          <w:rFonts w:ascii="Arial" w:eastAsia="Times New Roman" w:hAnsi="Arial" w:cs="Arial"/>
          <w:color w:val="1F1F1F"/>
          <w:sz w:val="24"/>
          <w:szCs w:val="24"/>
          <w:lang w:eastAsia="en-GB"/>
        </w:rPr>
        <w:t xml:space="preserve">Alvarez, S.A. and Barney, J.B. (2017) </w:t>
      </w:r>
      <w:r w:rsidRPr="00B56C8A">
        <w:rPr>
          <w:rFonts w:ascii="Arial" w:eastAsia="Times New Roman" w:hAnsi="Arial" w:cs="Arial"/>
          <w:i/>
          <w:iCs/>
          <w:color w:val="1F1F1F"/>
          <w:sz w:val="24"/>
          <w:szCs w:val="24"/>
          <w:bdr w:val="none" w:sz="0" w:space="0" w:color="auto" w:frame="1"/>
          <w:lang w:eastAsia="en-GB"/>
        </w:rPr>
        <w:t>Intellectual opportunity and entrepreneurial discovery</w:t>
      </w:r>
      <w:r w:rsidRPr="00B56C8A">
        <w:rPr>
          <w:rFonts w:ascii="Arial" w:eastAsia="Times New Roman" w:hAnsi="Arial" w:cs="Arial"/>
          <w:color w:val="1F1F1F"/>
          <w:sz w:val="24"/>
          <w:szCs w:val="24"/>
          <w:lang w:eastAsia="en-GB"/>
        </w:rPr>
        <w:t>. London: Henry Stewart Talks Ltd.</w:t>
      </w:r>
    </w:p>
    <w:p w:rsidR="00B56C8A" w:rsidRPr="00B56C8A" w:rsidRDefault="00B56C8A" w:rsidP="00EC2CAC">
      <w:pPr>
        <w:numPr>
          <w:ilvl w:val="0"/>
          <w:numId w:val="12"/>
        </w:numPr>
        <w:spacing w:before="100" w:beforeAutospacing="1" w:after="0" w:line="360" w:lineRule="auto"/>
        <w:ind w:left="0"/>
        <w:jc w:val="both"/>
        <w:rPr>
          <w:rFonts w:ascii="Arial" w:eastAsia="Times New Roman" w:hAnsi="Arial" w:cs="Arial"/>
          <w:color w:val="1F1F1F"/>
          <w:sz w:val="24"/>
          <w:szCs w:val="24"/>
          <w:lang w:eastAsia="en-GB"/>
        </w:rPr>
      </w:pPr>
      <w:r w:rsidRPr="00B56C8A">
        <w:rPr>
          <w:rFonts w:ascii="Arial" w:eastAsia="Times New Roman" w:hAnsi="Arial" w:cs="Arial"/>
          <w:color w:val="1F1F1F"/>
          <w:sz w:val="24"/>
          <w:szCs w:val="24"/>
          <w:lang w:eastAsia="en-GB"/>
        </w:rPr>
        <w:t xml:space="preserve">Barringer, B.R. and Ireland, R.D. (2022) </w:t>
      </w:r>
      <w:r w:rsidRPr="00B56C8A">
        <w:rPr>
          <w:rFonts w:ascii="Arial" w:eastAsia="Times New Roman" w:hAnsi="Arial" w:cs="Arial"/>
          <w:i/>
          <w:iCs/>
          <w:color w:val="1F1F1F"/>
          <w:sz w:val="24"/>
          <w:szCs w:val="24"/>
          <w:bdr w:val="none" w:sz="0" w:space="0" w:color="auto" w:frame="1"/>
          <w:lang w:eastAsia="en-GB"/>
        </w:rPr>
        <w:t>Entrepreneurship: successfully launching new ventures</w:t>
      </w:r>
      <w:r w:rsidRPr="00B56C8A">
        <w:rPr>
          <w:rFonts w:ascii="Arial" w:eastAsia="Times New Roman" w:hAnsi="Arial" w:cs="Arial"/>
          <w:color w:val="1F1F1F"/>
          <w:sz w:val="24"/>
          <w:szCs w:val="24"/>
          <w:lang w:eastAsia="en-GB"/>
        </w:rPr>
        <w:t>. 6th ed. Global edition. Harlow: Pearson.</w:t>
      </w:r>
    </w:p>
    <w:p w:rsidR="00B56C8A" w:rsidRPr="00B56C8A" w:rsidRDefault="00B56C8A" w:rsidP="00EC2CAC">
      <w:pPr>
        <w:numPr>
          <w:ilvl w:val="0"/>
          <w:numId w:val="12"/>
        </w:numPr>
        <w:spacing w:before="100" w:beforeAutospacing="1" w:after="0" w:line="360" w:lineRule="auto"/>
        <w:ind w:left="0"/>
        <w:jc w:val="both"/>
        <w:rPr>
          <w:rFonts w:ascii="Arial" w:eastAsia="Times New Roman" w:hAnsi="Arial" w:cs="Arial"/>
          <w:color w:val="1F1F1F"/>
          <w:sz w:val="24"/>
          <w:szCs w:val="24"/>
          <w:lang w:eastAsia="en-GB"/>
        </w:rPr>
      </w:pPr>
      <w:r w:rsidRPr="00B56C8A">
        <w:rPr>
          <w:rFonts w:ascii="Arial" w:eastAsia="Times New Roman" w:hAnsi="Arial" w:cs="Arial"/>
          <w:color w:val="1F1F1F"/>
          <w:sz w:val="24"/>
          <w:szCs w:val="24"/>
          <w:lang w:eastAsia="en-GB"/>
        </w:rPr>
        <w:t xml:space="preserve">Burns, P. (2016) </w:t>
      </w:r>
      <w:r w:rsidRPr="00B56C8A">
        <w:rPr>
          <w:rFonts w:ascii="Arial" w:eastAsia="Times New Roman" w:hAnsi="Arial" w:cs="Arial"/>
          <w:i/>
          <w:iCs/>
          <w:color w:val="1F1F1F"/>
          <w:sz w:val="24"/>
          <w:szCs w:val="24"/>
          <w:bdr w:val="none" w:sz="0" w:space="0" w:color="auto" w:frame="1"/>
          <w:lang w:eastAsia="en-GB"/>
        </w:rPr>
        <w:t>Entrepreneurship and small business: start-up, growth and maturity</w:t>
      </w:r>
      <w:r w:rsidRPr="00B56C8A">
        <w:rPr>
          <w:rFonts w:ascii="Arial" w:eastAsia="Times New Roman" w:hAnsi="Arial" w:cs="Arial"/>
          <w:color w:val="1F1F1F"/>
          <w:sz w:val="24"/>
          <w:szCs w:val="24"/>
          <w:lang w:eastAsia="en-GB"/>
        </w:rPr>
        <w:t>. 4th ed. London: Palgrave Macmillan.</w:t>
      </w:r>
    </w:p>
    <w:p w:rsidR="00B56C8A" w:rsidRPr="00B56C8A" w:rsidRDefault="006A3B8D" w:rsidP="00EC2CAC">
      <w:pPr>
        <w:numPr>
          <w:ilvl w:val="0"/>
          <w:numId w:val="12"/>
        </w:numPr>
        <w:spacing w:before="100" w:beforeAutospacing="1" w:after="0" w:line="360" w:lineRule="auto"/>
        <w:ind w:left="0"/>
        <w:jc w:val="both"/>
        <w:rPr>
          <w:rFonts w:ascii="Arial" w:eastAsia="Times New Roman" w:hAnsi="Arial" w:cs="Arial"/>
          <w:color w:val="1F1F1F"/>
          <w:sz w:val="24"/>
          <w:szCs w:val="24"/>
          <w:lang w:eastAsia="en-GB"/>
        </w:rPr>
      </w:pPr>
      <w:hyperlink r:id="rId13" w:history="1">
        <w:r w:rsidR="00B56C8A" w:rsidRPr="006A3B8D">
          <w:rPr>
            <w:rStyle w:val="Hyperlink"/>
            <w:rFonts w:ascii="Arial" w:eastAsia="Times New Roman" w:hAnsi="Arial" w:cs="Arial"/>
            <w:sz w:val="24"/>
            <w:szCs w:val="24"/>
            <w:lang w:eastAsia="en-GB"/>
          </w:rPr>
          <w:t>Caterer.com (2025)</w:t>
        </w:r>
        <w:r w:rsidRPr="006A3B8D">
          <w:rPr>
            <w:rStyle w:val="Hyperlink"/>
            <w:rFonts w:ascii="Arial" w:eastAsia="Times New Roman" w:hAnsi="Arial" w:cs="Arial"/>
            <w:sz w:val="24"/>
            <w:szCs w:val="24"/>
            <w:lang w:eastAsia="en-GB"/>
          </w:rPr>
          <w:t xml:space="preserve"> Hospitality Hiring Insider: The hospitality recruitment trends of Q1 2025.</w:t>
        </w:r>
      </w:hyperlink>
    </w:p>
    <w:p w:rsidR="00B56C8A" w:rsidRPr="00B56C8A" w:rsidRDefault="00B56C8A" w:rsidP="00EC2CAC">
      <w:pPr>
        <w:numPr>
          <w:ilvl w:val="0"/>
          <w:numId w:val="12"/>
        </w:numPr>
        <w:spacing w:before="100" w:beforeAutospacing="1" w:after="0" w:line="360" w:lineRule="auto"/>
        <w:ind w:left="0"/>
        <w:jc w:val="both"/>
        <w:rPr>
          <w:rFonts w:ascii="Arial" w:eastAsia="Times New Roman" w:hAnsi="Arial" w:cs="Arial"/>
          <w:color w:val="1F1F1F"/>
          <w:sz w:val="24"/>
          <w:szCs w:val="24"/>
          <w:lang w:eastAsia="en-GB"/>
        </w:rPr>
      </w:pPr>
      <w:r w:rsidRPr="00B56C8A">
        <w:rPr>
          <w:rFonts w:ascii="Arial" w:eastAsia="Times New Roman" w:hAnsi="Arial" w:cs="Arial"/>
          <w:color w:val="1F1F1F"/>
          <w:sz w:val="24"/>
          <w:szCs w:val="24"/>
          <w:lang w:eastAsia="en-GB"/>
        </w:rPr>
        <w:t xml:space="preserve">Deakins, D. and </w:t>
      </w:r>
      <w:proofErr w:type="spellStart"/>
      <w:r w:rsidRPr="00B56C8A">
        <w:rPr>
          <w:rFonts w:ascii="Arial" w:eastAsia="Times New Roman" w:hAnsi="Arial" w:cs="Arial"/>
          <w:color w:val="1F1F1F"/>
          <w:sz w:val="24"/>
          <w:szCs w:val="24"/>
          <w:lang w:eastAsia="en-GB"/>
        </w:rPr>
        <w:t>Freel</w:t>
      </w:r>
      <w:proofErr w:type="spellEnd"/>
      <w:r w:rsidRPr="00B56C8A">
        <w:rPr>
          <w:rFonts w:ascii="Arial" w:eastAsia="Times New Roman" w:hAnsi="Arial" w:cs="Arial"/>
          <w:color w:val="1F1F1F"/>
          <w:sz w:val="24"/>
          <w:szCs w:val="24"/>
          <w:lang w:eastAsia="en-GB"/>
        </w:rPr>
        <w:t xml:space="preserve">, M. (2012) </w:t>
      </w:r>
      <w:r w:rsidRPr="00B56C8A">
        <w:rPr>
          <w:rFonts w:ascii="Arial" w:eastAsia="Times New Roman" w:hAnsi="Arial" w:cs="Arial"/>
          <w:i/>
          <w:iCs/>
          <w:color w:val="1F1F1F"/>
          <w:sz w:val="24"/>
          <w:szCs w:val="24"/>
          <w:bdr w:val="none" w:sz="0" w:space="0" w:color="auto" w:frame="1"/>
          <w:lang w:eastAsia="en-GB"/>
        </w:rPr>
        <w:t>Entrepreneurship and small firms</w:t>
      </w:r>
      <w:r w:rsidRPr="00B56C8A">
        <w:rPr>
          <w:rFonts w:ascii="Arial" w:eastAsia="Times New Roman" w:hAnsi="Arial" w:cs="Arial"/>
          <w:color w:val="1F1F1F"/>
          <w:sz w:val="24"/>
          <w:szCs w:val="24"/>
          <w:lang w:eastAsia="en-GB"/>
        </w:rPr>
        <w:t>. 6th ed. London: McGraw-Hill.</w:t>
      </w:r>
    </w:p>
    <w:p w:rsidR="00B56C8A" w:rsidRPr="00B56C8A" w:rsidRDefault="00B56C8A" w:rsidP="00EC2CAC">
      <w:pPr>
        <w:numPr>
          <w:ilvl w:val="0"/>
          <w:numId w:val="12"/>
        </w:numPr>
        <w:spacing w:before="100" w:beforeAutospacing="1" w:after="0" w:line="360" w:lineRule="auto"/>
        <w:ind w:left="0"/>
        <w:jc w:val="both"/>
        <w:rPr>
          <w:rFonts w:ascii="Arial" w:eastAsia="Times New Roman" w:hAnsi="Arial" w:cs="Arial"/>
          <w:color w:val="1F1F1F"/>
          <w:sz w:val="24"/>
          <w:szCs w:val="24"/>
          <w:lang w:eastAsia="en-GB"/>
        </w:rPr>
      </w:pPr>
      <w:r w:rsidRPr="00B56C8A">
        <w:rPr>
          <w:rFonts w:ascii="Arial" w:eastAsia="Times New Roman" w:hAnsi="Arial" w:cs="Arial"/>
          <w:color w:val="1F1F1F"/>
          <w:sz w:val="24"/>
          <w:szCs w:val="24"/>
          <w:lang w:eastAsia="en-GB"/>
        </w:rPr>
        <w:t xml:space="preserve">IBISWorld (2025) </w:t>
      </w:r>
      <w:r w:rsidRPr="00B56C8A">
        <w:rPr>
          <w:rFonts w:ascii="Arial" w:eastAsia="Times New Roman" w:hAnsi="Arial" w:cs="Arial"/>
          <w:i/>
          <w:iCs/>
          <w:color w:val="1F1F1F"/>
          <w:sz w:val="24"/>
          <w:szCs w:val="24"/>
          <w:bdr w:val="none" w:sz="0" w:space="0" w:color="auto" w:frame="1"/>
          <w:lang w:eastAsia="en-GB"/>
        </w:rPr>
        <w:t>Dessert Parlours in the UK: Market Research Report</w:t>
      </w:r>
      <w:r w:rsidRPr="00B56C8A">
        <w:rPr>
          <w:rFonts w:ascii="Arial" w:eastAsia="Times New Roman" w:hAnsi="Arial" w:cs="Arial"/>
          <w:color w:val="1F1F1F"/>
          <w:sz w:val="24"/>
          <w:szCs w:val="24"/>
          <w:lang w:eastAsia="en-GB"/>
        </w:rPr>
        <w:t>. London: IBISWorld UK.</w:t>
      </w:r>
    </w:p>
    <w:p w:rsidR="00B56C8A" w:rsidRPr="00B56C8A" w:rsidRDefault="00B56C8A" w:rsidP="00EC2CAC">
      <w:pPr>
        <w:numPr>
          <w:ilvl w:val="0"/>
          <w:numId w:val="12"/>
        </w:numPr>
        <w:spacing w:before="100" w:beforeAutospacing="1" w:after="0" w:line="360" w:lineRule="auto"/>
        <w:ind w:left="0"/>
        <w:jc w:val="both"/>
        <w:rPr>
          <w:rFonts w:ascii="Arial" w:eastAsia="Times New Roman" w:hAnsi="Arial" w:cs="Arial"/>
          <w:color w:val="1F1F1F"/>
          <w:sz w:val="24"/>
          <w:szCs w:val="24"/>
          <w:lang w:eastAsia="en-GB"/>
        </w:rPr>
      </w:pPr>
      <w:r w:rsidRPr="00B56C8A">
        <w:rPr>
          <w:rFonts w:ascii="Arial" w:eastAsia="Times New Roman" w:hAnsi="Arial" w:cs="Arial"/>
          <w:color w:val="1F1F1F"/>
          <w:sz w:val="24"/>
          <w:szCs w:val="24"/>
          <w:lang w:eastAsia="en-GB"/>
        </w:rPr>
        <w:t xml:space="preserve">Johnson, G., Whittington, R., </w:t>
      </w:r>
      <w:proofErr w:type="spellStart"/>
      <w:r w:rsidRPr="00B56C8A">
        <w:rPr>
          <w:rFonts w:ascii="Arial" w:eastAsia="Times New Roman" w:hAnsi="Arial" w:cs="Arial"/>
          <w:color w:val="1F1F1F"/>
          <w:sz w:val="24"/>
          <w:szCs w:val="24"/>
          <w:lang w:eastAsia="en-GB"/>
        </w:rPr>
        <w:t>Regnér</w:t>
      </w:r>
      <w:proofErr w:type="spellEnd"/>
      <w:r w:rsidRPr="00B56C8A">
        <w:rPr>
          <w:rFonts w:ascii="Arial" w:eastAsia="Times New Roman" w:hAnsi="Arial" w:cs="Arial"/>
          <w:color w:val="1F1F1F"/>
          <w:sz w:val="24"/>
          <w:szCs w:val="24"/>
          <w:lang w:eastAsia="en-GB"/>
        </w:rPr>
        <w:t xml:space="preserve">, P., Scholes, K. and Angwin, D. (2023) </w:t>
      </w:r>
      <w:r w:rsidRPr="00B56C8A">
        <w:rPr>
          <w:rFonts w:ascii="Arial" w:eastAsia="Times New Roman" w:hAnsi="Arial" w:cs="Arial"/>
          <w:i/>
          <w:iCs/>
          <w:color w:val="1F1F1F"/>
          <w:sz w:val="24"/>
          <w:szCs w:val="24"/>
          <w:bdr w:val="none" w:sz="0" w:space="0" w:color="auto" w:frame="1"/>
          <w:lang w:eastAsia="en-GB"/>
        </w:rPr>
        <w:t>Exploring strategy: text and cases</w:t>
      </w:r>
      <w:r w:rsidRPr="00B56C8A">
        <w:rPr>
          <w:rFonts w:ascii="Arial" w:eastAsia="Times New Roman" w:hAnsi="Arial" w:cs="Arial"/>
          <w:color w:val="1F1F1F"/>
          <w:sz w:val="24"/>
          <w:szCs w:val="24"/>
          <w:lang w:eastAsia="en-GB"/>
        </w:rPr>
        <w:t>. 13th ed. Harlow: Pearson.</w:t>
      </w:r>
    </w:p>
    <w:p w:rsidR="00B56C8A" w:rsidRPr="00B56C8A" w:rsidRDefault="006A3B8D" w:rsidP="00EC2CAC">
      <w:pPr>
        <w:numPr>
          <w:ilvl w:val="0"/>
          <w:numId w:val="12"/>
        </w:numPr>
        <w:spacing w:before="100" w:beforeAutospacing="1" w:after="0" w:line="360" w:lineRule="auto"/>
        <w:ind w:left="0"/>
        <w:jc w:val="both"/>
        <w:rPr>
          <w:rFonts w:ascii="Arial" w:eastAsia="Times New Roman" w:hAnsi="Arial" w:cs="Arial"/>
          <w:color w:val="1F1F1F"/>
          <w:sz w:val="24"/>
          <w:szCs w:val="24"/>
          <w:lang w:eastAsia="en-GB"/>
        </w:rPr>
      </w:pPr>
      <w:hyperlink r:id="rId14" w:history="1">
        <w:r w:rsidR="00B56C8A" w:rsidRPr="006A3B8D">
          <w:rPr>
            <w:rStyle w:val="Hyperlink"/>
            <w:rFonts w:ascii="Arial" w:eastAsia="Times New Roman" w:hAnsi="Arial" w:cs="Arial"/>
            <w:sz w:val="24"/>
            <w:szCs w:val="24"/>
            <w:lang w:eastAsia="en-GB"/>
          </w:rPr>
          <w:t xml:space="preserve">Manchester City Council (2025) </w:t>
        </w:r>
        <w:r w:rsidR="00B56C8A" w:rsidRPr="006A3B8D">
          <w:rPr>
            <w:rStyle w:val="Hyperlink"/>
            <w:rFonts w:ascii="Arial" w:eastAsia="Times New Roman" w:hAnsi="Arial" w:cs="Arial"/>
            <w:i/>
            <w:iCs/>
            <w:sz w:val="24"/>
            <w:szCs w:val="24"/>
            <w:bdr w:val="none" w:sz="0" w:space="0" w:color="auto" w:frame="1"/>
            <w:lang w:eastAsia="en-GB"/>
          </w:rPr>
          <w:t>The evening economy and pedestrianisation frameworks in the Northern Quarter</w:t>
        </w:r>
        <w:r w:rsidR="00B56C8A" w:rsidRPr="006A3B8D">
          <w:rPr>
            <w:rStyle w:val="Hyperlink"/>
            <w:rFonts w:ascii="Arial" w:eastAsia="Times New Roman" w:hAnsi="Arial" w:cs="Arial"/>
            <w:sz w:val="24"/>
            <w:szCs w:val="24"/>
            <w:lang w:eastAsia="en-GB"/>
          </w:rPr>
          <w:t>. Manchester: MCC Policy Portal.</w:t>
        </w:r>
      </w:hyperlink>
    </w:p>
    <w:p w:rsidR="00B56C8A" w:rsidRPr="00B56C8A" w:rsidRDefault="00B56C8A" w:rsidP="00EC2CAC">
      <w:pPr>
        <w:numPr>
          <w:ilvl w:val="0"/>
          <w:numId w:val="12"/>
        </w:numPr>
        <w:spacing w:before="100" w:beforeAutospacing="1" w:after="0" w:line="360" w:lineRule="auto"/>
        <w:ind w:left="0"/>
        <w:jc w:val="both"/>
        <w:rPr>
          <w:rFonts w:ascii="Arial" w:eastAsia="Times New Roman" w:hAnsi="Arial" w:cs="Arial"/>
          <w:color w:val="1F1F1F"/>
          <w:sz w:val="24"/>
          <w:szCs w:val="24"/>
          <w:lang w:eastAsia="en-GB"/>
        </w:rPr>
      </w:pPr>
      <w:r w:rsidRPr="00B56C8A">
        <w:rPr>
          <w:rFonts w:ascii="Arial" w:eastAsia="Times New Roman" w:hAnsi="Arial" w:cs="Arial"/>
          <w:color w:val="1F1F1F"/>
          <w:sz w:val="24"/>
          <w:szCs w:val="24"/>
          <w:lang w:eastAsia="en-GB"/>
        </w:rPr>
        <w:t xml:space="preserve">MCA Insight (2026) </w:t>
      </w:r>
      <w:r w:rsidRPr="00B56C8A">
        <w:rPr>
          <w:rFonts w:ascii="Arial" w:eastAsia="Times New Roman" w:hAnsi="Arial" w:cs="Arial"/>
          <w:i/>
          <w:iCs/>
          <w:color w:val="1F1F1F"/>
          <w:sz w:val="24"/>
          <w:szCs w:val="24"/>
          <w:bdr w:val="none" w:sz="0" w:space="0" w:color="auto" w:frame="1"/>
          <w:lang w:eastAsia="en-GB"/>
        </w:rPr>
        <w:t>UK Casual Dining Market Report 2026</w:t>
      </w:r>
      <w:r w:rsidRPr="00B56C8A">
        <w:rPr>
          <w:rFonts w:ascii="Arial" w:eastAsia="Times New Roman" w:hAnsi="Arial" w:cs="Arial"/>
          <w:color w:val="1F1F1F"/>
          <w:sz w:val="24"/>
          <w:szCs w:val="24"/>
          <w:lang w:eastAsia="en-GB"/>
        </w:rPr>
        <w:t>. London: Lumina Intelligence.</w:t>
      </w:r>
    </w:p>
    <w:p w:rsidR="00B56C8A" w:rsidRPr="00B56C8A" w:rsidRDefault="00B56C8A" w:rsidP="00EC2CAC">
      <w:pPr>
        <w:numPr>
          <w:ilvl w:val="0"/>
          <w:numId w:val="12"/>
        </w:numPr>
        <w:spacing w:before="100" w:beforeAutospacing="1" w:after="0" w:line="360" w:lineRule="auto"/>
        <w:ind w:left="0"/>
        <w:jc w:val="both"/>
        <w:rPr>
          <w:rFonts w:ascii="Arial" w:eastAsia="Times New Roman" w:hAnsi="Arial" w:cs="Arial"/>
          <w:color w:val="1F1F1F"/>
          <w:sz w:val="24"/>
          <w:szCs w:val="24"/>
          <w:lang w:eastAsia="en-GB"/>
        </w:rPr>
      </w:pPr>
      <w:r w:rsidRPr="00B56C8A">
        <w:rPr>
          <w:rFonts w:ascii="Arial" w:eastAsia="Times New Roman" w:hAnsi="Arial" w:cs="Arial"/>
          <w:color w:val="1F1F1F"/>
          <w:sz w:val="24"/>
          <w:szCs w:val="24"/>
          <w:lang w:eastAsia="en-GB"/>
        </w:rPr>
        <w:t xml:space="preserve">Osterwalder, A. and </w:t>
      </w:r>
      <w:proofErr w:type="spellStart"/>
      <w:r w:rsidRPr="00B56C8A">
        <w:rPr>
          <w:rFonts w:ascii="Arial" w:eastAsia="Times New Roman" w:hAnsi="Arial" w:cs="Arial"/>
          <w:color w:val="1F1F1F"/>
          <w:sz w:val="24"/>
          <w:szCs w:val="24"/>
          <w:lang w:eastAsia="en-GB"/>
        </w:rPr>
        <w:t>Pigneur</w:t>
      </w:r>
      <w:proofErr w:type="spellEnd"/>
      <w:r w:rsidRPr="00B56C8A">
        <w:rPr>
          <w:rFonts w:ascii="Arial" w:eastAsia="Times New Roman" w:hAnsi="Arial" w:cs="Arial"/>
          <w:color w:val="1F1F1F"/>
          <w:sz w:val="24"/>
          <w:szCs w:val="24"/>
          <w:lang w:eastAsia="en-GB"/>
        </w:rPr>
        <w:t xml:space="preserve">, Y. (2010) </w:t>
      </w:r>
      <w:r w:rsidRPr="00B56C8A">
        <w:rPr>
          <w:rFonts w:ascii="Arial" w:eastAsia="Times New Roman" w:hAnsi="Arial" w:cs="Arial"/>
          <w:i/>
          <w:iCs/>
          <w:color w:val="1F1F1F"/>
          <w:sz w:val="24"/>
          <w:szCs w:val="24"/>
          <w:bdr w:val="none" w:sz="0" w:space="0" w:color="auto" w:frame="1"/>
          <w:lang w:eastAsia="en-GB"/>
        </w:rPr>
        <w:t>Business model generation: a handbook for visionaries, game changers, and challengers</w:t>
      </w:r>
      <w:r w:rsidRPr="00B56C8A">
        <w:rPr>
          <w:rFonts w:ascii="Arial" w:eastAsia="Times New Roman" w:hAnsi="Arial" w:cs="Arial"/>
          <w:color w:val="1F1F1F"/>
          <w:sz w:val="24"/>
          <w:szCs w:val="24"/>
          <w:lang w:eastAsia="en-GB"/>
        </w:rPr>
        <w:t>. Hoboken: John Wiley &amp; Sons.</w:t>
      </w:r>
    </w:p>
    <w:p w:rsidR="00B56C8A" w:rsidRPr="00B56C8A" w:rsidRDefault="00B56C8A" w:rsidP="00EC2CAC">
      <w:pPr>
        <w:numPr>
          <w:ilvl w:val="0"/>
          <w:numId w:val="12"/>
        </w:numPr>
        <w:spacing w:before="100" w:beforeAutospacing="1" w:after="0" w:line="360" w:lineRule="auto"/>
        <w:ind w:left="0"/>
        <w:jc w:val="both"/>
        <w:rPr>
          <w:rFonts w:ascii="Arial" w:eastAsia="Times New Roman" w:hAnsi="Arial" w:cs="Arial"/>
          <w:color w:val="1F1F1F"/>
          <w:sz w:val="24"/>
          <w:szCs w:val="24"/>
          <w:lang w:eastAsia="en-GB"/>
        </w:rPr>
      </w:pPr>
      <w:proofErr w:type="spellStart"/>
      <w:r w:rsidRPr="00B56C8A">
        <w:rPr>
          <w:rFonts w:ascii="Arial" w:eastAsia="Times New Roman" w:hAnsi="Arial" w:cs="Arial"/>
          <w:color w:val="1F1F1F"/>
          <w:sz w:val="24"/>
          <w:szCs w:val="24"/>
          <w:lang w:eastAsia="en-GB"/>
        </w:rPr>
        <w:t>Reuer</w:t>
      </w:r>
      <w:proofErr w:type="spellEnd"/>
      <w:r w:rsidRPr="00B56C8A">
        <w:rPr>
          <w:rFonts w:ascii="Arial" w:eastAsia="Times New Roman" w:hAnsi="Arial" w:cs="Arial"/>
          <w:color w:val="1F1F1F"/>
          <w:sz w:val="24"/>
          <w:szCs w:val="24"/>
          <w:lang w:eastAsia="en-GB"/>
        </w:rPr>
        <w:t xml:space="preserve">, J.J., </w:t>
      </w:r>
      <w:proofErr w:type="spellStart"/>
      <w:r w:rsidRPr="00B56C8A">
        <w:rPr>
          <w:rFonts w:ascii="Arial" w:eastAsia="Times New Roman" w:hAnsi="Arial" w:cs="Arial"/>
          <w:color w:val="1F1F1F"/>
          <w:sz w:val="24"/>
          <w:szCs w:val="24"/>
          <w:lang w:eastAsia="en-GB"/>
        </w:rPr>
        <w:t>Matusik</w:t>
      </w:r>
      <w:proofErr w:type="spellEnd"/>
      <w:r w:rsidRPr="00B56C8A">
        <w:rPr>
          <w:rFonts w:ascii="Arial" w:eastAsia="Times New Roman" w:hAnsi="Arial" w:cs="Arial"/>
          <w:color w:val="1F1F1F"/>
          <w:sz w:val="24"/>
          <w:szCs w:val="24"/>
          <w:lang w:eastAsia="en-GB"/>
        </w:rPr>
        <w:t xml:space="preserve">, S.F. and Jones, J. (2019) </w:t>
      </w:r>
      <w:r w:rsidRPr="00B56C8A">
        <w:rPr>
          <w:rFonts w:ascii="Arial" w:eastAsia="Times New Roman" w:hAnsi="Arial" w:cs="Arial"/>
          <w:i/>
          <w:iCs/>
          <w:color w:val="1F1F1F"/>
          <w:sz w:val="24"/>
          <w:szCs w:val="24"/>
          <w:bdr w:val="none" w:sz="0" w:space="0" w:color="auto" w:frame="1"/>
          <w:lang w:eastAsia="en-GB"/>
        </w:rPr>
        <w:t>The Oxford handbook of entrepreneurship and collaboration</w:t>
      </w:r>
      <w:r w:rsidRPr="00B56C8A">
        <w:rPr>
          <w:rFonts w:ascii="Arial" w:eastAsia="Times New Roman" w:hAnsi="Arial" w:cs="Arial"/>
          <w:color w:val="1F1F1F"/>
          <w:sz w:val="24"/>
          <w:szCs w:val="24"/>
          <w:lang w:eastAsia="en-GB"/>
        </w:rPr>
        <w:t>. 1st ed. New York: Oxford University Press.</w:t>
      </w:r>
    </w:p>
    <w:p w:rsidR="00B56C8A" w:rsidRPr="00B56C8A" w:rsidRDefault="00B56C8A" w:rsidP="00EC2CAC">
      <w:pPr>
        <w:numPr>
          <w:ilvl w:val="0"/>
          <w:numId w:val="12"/>
        </w:numPr>
        <w:spacing w:before="100" w:beforeAutospacing="1" w:after="0" w:line="360" w:lineRule="auto"/>
        <w:ind w:left="0"/>
        <w:jc w:val="both"/>
        <w:rPr>
          <w:rFonts w:ascii="Arial" w:eastAsia="Times New Roman" w:hAnsi="Arial" w:cs="Arial"/>
          <w:color w:val="1F1F1F"/>
          <w:sz w:val="24"/>
          <w:szCs w:val="24"/>
          <w:lang w:eastAsia="en-GB"/>
        </w:rPr>
      </w:pPr>
      <w:r w:rsidRPr="00B56C8A">
        <w:rPr>
          <w:rFonts w:ascii="Arial" w:eastAsia="Times New Roman" w:hAnsi="Arial" w:cs="Arial"/>
          <w:color w:val="1F1F1F"/>
          <w:sz w:val="24"/>
          <w:szCs w:val="24"/>
          <w:lang w:eastAsia="en-GB"/>
        </w:rPr>
        <w:t xml:space="preserve">Scarborough, N.M. and Cornwall, J.R. (2019) </w:t>
      </w:r>
      <w:r w:rsidRPr="00B56C8A">
        <w:rPr>
          <w:rFonts w:ascii="Arial" w:eastAsia="Times New Roman" w:hAnsi="Arial" w:cs="Arial"/>
          <w:i/>
          <w:iCs/>
          <w:color w:val="1F1F1F"/>
          <w:sz w:val="24"/>
          <w:szCs w:val="24"/>
          <w:bdr w:val="none" w:sz="0" w:space="0" w:color="auto" w:frame="1"/>
          <w:lang w:eastAsia="en-GB"/>
        </w:rPr>
        <w:t>Essentials of entrepreneurship and small business management</w:t>
      </w:r>
      <w:r w:rsidRPr="00B56C8A">
        <w:rPr>
          <w:rFonts w:ascii="Arial" w:eastAsia="Times New Roman" w:hAnsi="Arial" w:cs="Arial"/>
          <w:color w:val="1F1F1F"/>
          <w:sz w:val="24"/>
          <w:szCs w:val="24"/>
          <w:lang w:eastAsia="en-GB"/>
        </w:rPr>
        <w:t>. 9th ed. New York: Pearson.</w:t>
      </w:r>
    </w:p>
    <w:p w:rsidR="00B56C8A" w:rsidRPr="00B56C8A" w:rsidRDefault="00B56C8A" w:rsidP="00EC2CAC">
      <w:pPr>
        <w:numPr>
          <w:ilvl w:val="0"/>
          <w:numId w:val="12"/>
        </w:numPr>
        <w:spacing w:before="100" w:beforeAutospacing="1" w:after="0" w:line="360" w:lineRule="auto"/>
        <w:ind w:left="0"/>
        <w:jc w:val="both"/>
        <w:rPr>
          <w:rFonts w:ascii="Arial" w:eastAsia="Times New Roman" w:hAnsi="Arial" w:cs="Arial"/>
          <w:color w:val="1F1F1F"/>
          <w:sz w:val="24"/>
          <w:szCs w:val="24"/>
          <w:lang w:eastAsia="en-GB"/>
        </w:rPr>
      </w:pPr>
      <w:r w:rsidRPr="00B56C8A">
        <w:rPr>
          <w:rFonts w:ascii="Arial" w:eastAsia="Times New Roman" w:hAnsi="Arial" w:cs="Arial"/>
          <w:color w:val="1F1F1F"/>
          <w:sz w:val="24"/>
          <w:szCs w:val="24"/>
          <w:lang w:eastAsia="en-GB"/>
        </w:rPr>
        <w:t xml:space="preserve">Slack, N. and Brandon-Jones, A. (2019) </w:t>
      </w:r>
      <w:r w:rsidRPr="00B56C8A">
        <w:rPr>
          <w:rFonts w:ascii="Arial" w:eastAsia="Times New Roman" w:hAnsi="Arial" w:cs="Arial"/>
          <w:i/>
          <w:iCs/>
          <w:color w:val="1F1F1F"/>
          <w:sz w:val="24"/>
          <w:szCs w:val="24"/>
          <w:bdr w:val="none" w:sz="0" w:space="0" w:color="auto" w:frame="1"/>
          <w:lang w:eastAsia="en-GB"/>
        </w:rPr>
        <w:t>Operations management</w:t>
      </w:r>
      <w:r w:rsidRPr="00B56C8A">
        <w:rPr>
          <w:rFonts w:ascii="Arial" w:eastAsia="Times New Roman" w:hAnsi="Arial" w:cs="Arial"/>
          <w:color w:val="1F1F1F"/>
          <w:sz w:val="24"/>
          <w:szCs w:val="24"/>
          <w:lang w:eastAsia="en-GB"/>
        </w:rPr>
        <w:t>. 9th ed. Harlow: Pearson.</w:t>
      </w:r>
    </w:p>
    <w:p w:rsidR="00B56C8A" w:rsidRPr="00B56C8A" w:rsidRDefault="00B56C8A" w:rsidP="00EC2CAC">
      <w:pPr>
        <w:numPr>
          <w:ilvl w:val="0"/>
          <w:numId w:val="12"/>
        </w:numPr>
        <w:spacing w:before="100" w:beforeAutospacing="1" w:after="0" w:line="360" w:lineRule="auto"/>
        <w:ind w:left="0"/>
        <w:jc w:val="both"/>
        <w:rPr>
          <w:rFonts w:ascii="Arial" w:eastAsia="Times New Roman" w:hAnsi="Arial" w:cs="Arial"/>
          <w:color w:val="1F1F1F"/>
          <w:sz w:val="24"/>
          <w:szCs w:val="24"/>
          <w:lang w:eastAsia="en-GB"/>
        </w:rPr>
      </w:pPr>
      <w:r w:rsidRPr="00B56C8A">
        <w:rPr>
          <w:rFonts w:ascii="Arial" w:eastAsia="Times New Roman" w:hAnsi="Arial" w:cs="Arial"/>
          <w:color w:val="1F1F1F"/>
          <w:sz w:val="24"/>
          <w:szCs w:val="24"/>
          <w:lang w:eastAsia="en-GB"/>
        </w:rPr>
        <w:t xml:space="preserve">Williams, S. (2022) </w:t>
      </w:r>
      <w:r w:rsidRPr="00B56C8A">
        <w:rPr>
          <w:rFonts w:ascii="Arial" w:eastAsia="Times New Roman" w:hAnsi="Arial" w:cs="Arial"/>
          <w:i/>
          <w:iCs/>
          <w:color w:val="1F1F1F"/>
          <w:sz w:val="24"/>
          <w:szCs w:val="24"/>
          <w:bdr w:val="none" w:sz="0" w:space="0" w:color="auto" w:frame="1"/>
          <w:lang w:eastAsia="en-GB"/>
        </w:rPr>
        <w:t>The Financial Times guide to business start up 2021/2023: the most comprehensive guide for entrepreneurs</w:t>
      </w:r>
      <w:r w:rsidRPr="00B56C8A">
        <w:rPr>
          <w:rFonts w:ascii="Arial" w:eastAsia="Times New Roman" w:hAnsi="Arial" w:cs="Arial"/>
          <w:color w:val="1F1F1F"/>
          <w:sz w:val="24"/>
          <w:szCs w:val="24"/>
          <w:lang w:eastAsia="en-GB"/>
        </w:rPr>
        <w:t>. 32nd ed. London: Pearson.</w:t>
      </w:r>
    </w:p>
    <w:p w:rsidR="00B56C8A" w:rsidRPr="00B56C8A" w:rsidRDefault="00B56C8A" w:rsidP="00EC2CAC">
      <w:pPr>
        <w:numPr>
          <w:ilvl w:val="0"/>
          <w:numId w:val="12"/>
        </w:numPr>
        <w:spacing w:before="100" w:beforeAutospacing="1" w:after="0" w:line="360" w:lineRule="auto"/>
        <w:ind w:left="0"/>
        <w:jc w:val="both"/>
        <w:rPr>
          <w:rFonts w:ascii="Arial" w:eastAsia="Times New Roman" w:hAnsi="Arial" w:cs="Arial"/>
          <w:color w:val="1F1F1F"/>
          <w:sz w:val="24"/>
          <w:szCs w:val="24"/>
          <w:lang w:eastAsia="en-GB"/>
        </w:rPr>
      </w:pPr>
      <w:r w:rsidRPr="00B56C8A">
        <w:rPr>
          <w:rFonts w:ascii="Arial" w:eastAsia="Times New Roman" w:hAnsi="Arial" w:cs="Arial"/>
          <w:color w:val="1F1F1F"/>
          <w:sz w:val="24"/>
          <w:szCs w:val="24"/>
          <w:lang w:eastAsia="en-GB"/>
        </w:rPr>
        <w:t xml:space="preserve">Young, P. (2020) </w:t>
      </w:r>
      <w:r w:rsidRPr="00B56C8A">
        <w:rPr>
          <w:rFonts w:ascii="Arial" w:eastAsia="Times New Roman" w:hAnsi="Arial" w:cs="Arial"/>
          <w:i/>
          <w:iCs/>
          <w:color w:val="1F1F1F"/>
          <w:sz w:val="24"/>
          <w:szCs w:val="24"/>
          <w:bdr w:val="none" w:sz="0" w:space="0" w:color="auto" w:frame="1"/>
          <w:lang w:eastAsia="en-GB"/>
        </w:rPr>
        <w:t>Business Plan</w:t>
      </w:r>
      <w:r w:rsidRPr="00B56C8A">
        <w:rPr>
          <w:rFonts w:ascii="Arial" w:eastAsia="Times New Roman" w:hAnsi="Arial" w:cs="Arial"/>
          <w:color w:val="1F1F1F"/>
          <w:sz w:val="24"/>
          <w:szCs w:val="24"/>
          <w:lang w:eastAsia="en-GB"/>
        </w:rPr>
        <w:t xml:space="preserve">. Global Media Publications. </w:t>
      </w:r>
    </w:p>
    <w:p w:rsidR="00B56C8A" w:rsidRDefault="00B56C8A" w:rsidP="00EC2CAC">
      <w:pPr>
        <w:spacing w:line="360" w:lineRule="auto"/>
        <w:jc w:val="both"/>
        <w:rPr>
          <w:rFonts w:ascii="Arial" w:hAnsi="Arial" w:cs="Arial"/>
        </w:rPr>
      </w:pPr>
    </w:p>
    <w:p w:rsidR="00CB40B0" w:rsidRDefault="00CB40B0" w:rsidP="00EC2CAC">
      <w:pPr>
        <w:spacing w:line="360" w:lineRule="auto"/>
        <w:jc w:val="both"/>
        <w:rPr>
          <w:rFonts w:ascii="Arial" w:hAnsi="Arial" w:cs="Arial"/>
        </w:rPr>
      </w:pPr>
    </w:p>
    <w:p w:rsidR="00CB40B0" w:rsidRDefault="00CB40B0" w:rsidP="00EC2CAC">
      <w:pPr>
        <w:spacing w:line="360" w:lineRule="auto"/>
        <w:jc w:val="both"/>
        <w:rPr>
          <w:rFonts w:ascii="Arial" w:hAnsi="Arial" w:cs="Arial"/>
        </w:rPr>
      </w:pPr>
    </w:p>
    <w:p w:rsidR="00CB40B0" w:rsidRPr="00CB40B0" w:rsidRDefault="00CB40B0" w:rsidP="00CB40B0">
      <w:pPr>
        <w:spacing w:line="360" w:lineRule="auto"/>
        <w:jc w:val="both"/>
        <w:rPr>
          <w:rFonts w:ascii="Arial" w:hAnsi="Arial" w:cs="Arial"/>
          <w:b/>
          <w:bCs/>
        </w:rPr>
      </w:pPr>
      <w:r w:rsidRPr="00CB40B0">
        <w:rPr>
          <w:rFonts w:ascii="Arial" w:hAnsi="Arial" w:cs="Arial"/>
          <w:b/>
          <w:bCs/>
        </w:rPr>
        <w:t>APPENDICES (EXCLUDED FROM WORD COUNT)</w:t>
      </w:r>
    </w:p>
    <w:p w:rsidR="00CB40B0" w:rsidRPr="00CB40B0" w:rsidRDefault="00CB40B0" w:rsidP="00CB40B0">
      <w:pPr>
        <w:spacing w:line="360" w:lineRule="auto"/>
        <w:jc w:val="both"/>
        <w:rPr>
          <w:rFonts w:ascii="Arial" w:hAnsi="Arial" w:cs="Arial"/>
          <w:b/>
          <w:bCs/>
        </w:rPr>
      </w:pPr>
      <w:r w:rsidRPr="00CB40B0">
        <w:rPr>
          <w:rFonts w:ascii="Arial" w:hAnsi="Arial" w:cs="Arial"/>
          <w:b/>
          <w:bCs/>
        </w:rPr>
        <w:t>APPENDIX A: COMPREHENSIVE COMPETITOR BENCHMARKING MATRIX</w:t>
      </w:r>
    </w:p>
    <w:p w:rsidR="00CB40B0" w:rsidRPr="00CB40B0" w:rsidRDefault="00CB40B0" w:rsidP="00CB40B0">
      <w:pPr>
        <w:spacing w:line="360" w:lineRule="auto"/>
        <w:jc w:val="both"/>
        <w:rPr>
          <w:rFonts w:ascii="Arial" w:hAnsi="Arial" w:cs="Arial"/>
        </w:rPr>
      </w:pPr>
      <w:r w:rsidRPr="00CB40B0">
        <w:rPr>
          <w:rFonts w:ascii="Arial" w:hAnsi="Arial" w:cs="Arial"/>
        </w:rPr>
        <w:t>A strategic benchmarking exercise was executed against two primary local competitors to identify viable market positioning gaps (Johnson et al., 2023):</w:t>
      </w:r>
    </w:p>
    <w:p w:rsidR="00CB40B0" w:rsidRPr="00CB40B0" w:rsidRDefault="00CB40B0" w:rsidP="00CB40B0">
      <w:pPr>
        <w:numPr>
          <w:ilvl w:val="0"/>
          <w:numId w:val="19"/>
        </w:numPr>
        <w:spacing w:line="360" w:lineRule="auto"/>
        <w:jc w:val="both"/>
        <w:rPr>
          <w:rFonts w:ascii="Arial" w:hAnsi="Arial" w:cs="Arial"/>
        </w:rPr>
      </w:pPr>
      <w:r w:rsidRPr="00CB40B0">
        <w:rPr>
          <w:rFonts w:ascii="Arial" w:hAnsi="Arial" w:cs="Arial"/>
          <w:b/>
          <w:bCs/>
        </w:rPr>
        <w:t>Competitor 1: Black Milk (Oldham Street, Northern Quarter)</w:t>
      </w:r>
    </w:p>
    <w:p w:rsidR="00CB40B0" w:rsidRPr="00CB40B0" w:rsidRDefault="00CB40B0" w:rsidP="00CB40B0">
      <w:pPr>
        <w:numPr>
          <w:ilvl w:val="1"/>
          <w:numId w:val="19"/>
        </w:numPr>
        <w:spacing w:line="360" w:lineRule="auto"/>
        <w:jc w:val="both"/>
        <w:rPr>
          <w:rFonts w:ascii="Arial" w:hAnsi="Arial" w:cs="Arial"/>
        </w:rPr>
      </w:pPr>
      <w:r w:rsidRPr="00CB40B0">
        <w:rPr>
          <w:rFonts w:ascii="Arial" w:hAnsi="Arial" w:cs="Arial"/>
          <w:i/>
          <w:iCs/>
        </w:rPr>
        <w:t>Model &amp; Pricing:</w:t>
      </w:r>
      <w:r w:rsidRPr="00CB40B0">
        <w:rPr>
          <w:rFonts w:ascii="Arial" w:hAnsi="Arial" w:cs="Arial"/>
        </w:rPr>
        <w:t xml:space="preserve"> An independent dessert café famous for over-the-top milkshake creations, heavy pancake stacks, and sweet confectionery combinations. Average spend per head: £7.50 – £11.00.</w:t>
      </w:r>
    </w:p>
    <w:p w:rsidR="00CB40B0" w:rsidRPr="00CB40B0" w:rsidRDefault="00CB40B0" w:rsidP="00CB40B0">
      <w:pPr>
        <w:numPr>
          <w:ilvl w:val="1"/>
          <w:numId w:val="19"/>
        </w:numPr>
        <w:spacing w:line="360" w:lineRule="auto"/>
        <w:jc w:val="both"/>
        <w:rPr>
          <w:rFonts w:ascii="Arial" w:hAnsi="Arial" w:cs="Arial"/>
        </w:rPr>
      </w:pPr>
      <w:r w:rsidRPr="00CB40B0">
        <w:rPr>
          <w:rFonts w:ascii="Arial" w:hAnsi="Arial" w:cs="Arial"/>
          <w:i/>
          <w:iCs/>
        </w:rPr>
        <w:t>Strengths:</w:t>
      </w:r>
      <w:r w:rsidRPr="00CB40B0">
        <w:rPr>
          <w:rFonts w:ascii="Arial" w:hAnsi="Arial" w:cs="Arial"/>
        </w:rPr>
        <w:t xml:space="preserve"> Strong organic local brand presence; highly visual products that perform well across youth-centric social channels.</w:t>
      </w:r>
    </w:p>
    <w:p w:rsidR="00CB40B0" w:rsidRPr="00CB40B0" w:rsidRDefault="00CB40B0" w:rsidP="00CB40B0">
      <w:pPr>
        <w:numPr>
          <w:ilvl w:val="1"/>
          <w:numId w:val="19"/>
        </w:numPr>
        <w:spacing w:line="360" w:lineRule="auto"/>
        <w:jc w:val="both"/>
        <w:rPr>
          <w:rFonts w:ascii="Arial" w:hAnsi="Arial" w:cs="Arial"/>
        </w:rPr>
      </w:pPr>
      <w:r w:rsidRPr="00CB40B0">
        <w:rPr>
          <w:rFonts w:ascii="Arial" w:hAnsi="Arial" w:cs="Arial"/>
          <w:i/>
          <w:iCs/>
        </w:rPr>
        <w:t>Weaknesses &amp; Market Gap:</w:t>
      </w:r>
      <w:r w:rsidRPr="00CB40B0">
        <w:rPr>
          <w:rFonts w:ascii="Arial" w:hAnsi="Arial" w:cs="Arial"/>
        </w:rPr>
        <w:t xml:space="preserve"> Extremely restricted physical seating capacity, leading to a rushed, transactional consumer experience during peak hours. The menu relies entirely on mass-market, high-sugar commercial confectionery brands rather than refined, artisanal, or organic ingredient profiles.</w:t>
      </w:r>
    </w:p>
    <w:p w:rsidR="00CB40B0" w:rsidRPr="00CB40B0" w:rsidRDefault="00CB40B0" w:rsidP="00CB40B0">
      <w:pPr>
        <w:numPr>
          <w:ilvl w:val="0"/>
          <w:numId w:val="19"/>
        </w:numPr>
        <w:spacing w:line="360" w:lineRule="auto"/>
        <w:jc w:val="both"/>
        <w:rPr>
          <w:rFonts w:ascii="Arial" w:hAnsi="Arial" w:cs="Arial"/>
        </w:rPr>
      </w:pPr>
      <w:r w:rsidRPr="00CB40B0">
        <w:rPr>
          <w:rFonts w:ascii="Arial" w:hAnsi="Arial" w:cs="Arial"/>
          <w:b/>
          <w:bCs/>
        </w:rPr>
        <w:t>Competitor 2: Archie's (Piccadilly / Manchester Arndale)</w:t>
      </w:r>
    </w:p>
    <w:p w:rsidR="00CB40B0" w:rsidRPr="00CB40B0" w:rsidRDefault="00CB40B0" w:rsidP="00CB40B0">
      <w:pPr>
        <w:numPr>
          <w:ilvl w:val="1"/>
          <w:numId w:val="19"/>
        </w:numPr>
        <w:spacing w:line="360" w:lineRule="auto"/>
        <w:jc w:val="both"/>
        <w:rPr>
          <w:rFonts w:ascii="Arial" w:hAnsi="Arial" w:cs="Arial"/>
        </w:rPr>
      </w:pPr>
      <w:r w:rsidRPr="00CB40B0">
        <w:rPr>
          <w:rFonts w:ascii="Arial" w:hAnsi="Arial" w:cs="Arial"/>
          <w:i/>
          <w:iCs/>
        </w:rPr>
        <w:t>Model &amp; Pricing:</w:t>
      </w:r>
      <w:r w:rsidRPr="00CB40B0">
        <w:rPr>
          <w:rFonts w:ascii="Arial" w:hAnsi="Arial" w:cs="Arial"/>
        </w:rPr>
        <w:t xml:space="preserve"> A highly successful fast-food and milkshake chain utilizing high-visibility pink branding. Focuses on rapid transactional service, burgers, fries, and standard waffles. Average spend per head: £6.00 – £10.00.</w:t>
      </w:r>
    </w:p>
    <w:p w:rsidR="00CB40B0" w:rsidRPr="00CB40B0" w:rsidRDefault="00CB40B0" w:rsidP="00CB40B0">
      <w:pPr>
        <w:numPr>
          <w:ilvl w:val="1"/>
          <w:numId w:val="19"/>
        </w:numPr>
        <w:spacing w:line="360" w:lineRule="auto"/>
        <w:jc w:val="both"/>
        <w:rPr>
          <w:rFonts w:ascii="Arial" w:hAnsi="Arial" w:cs="Arial"/>
        </w:rPr>
      </w:pPr>
      <w:r w:rsidRPr="00CB40B0">
        <w:rPr>
          <w:rFonts w:ascii="Arial" w:hAnsi="Arial" w:cs="Arial"/>
          <w:i/>
          <w:iCs/>
        </w:rPr>
        <w:t>Strengths:</w:t>
      </w:r>
      <w:r w:rsidRPr="00CB40B0">
        <w:rPr>
          <w:rFonts w:ascii="Arial" w:hAnsi="Arial" w:cs="Arial"/>
        </w:rPr>
        <w:t xml:space="preserve"> Dominant brand equity; extensive capital backing; prime locations capturing high transient commuter footfall.</w:t>
      </w:r>
    </w:p>
    <w:p w:rsidR="00CB40B0" w:rsidRPr="00CB40B0" w:rsidRDefault="00CB40B0" w:rsidP="00CB40B0">
      <w:pPr>
        <w:numPr>
          <w:ilvl w:val="1"/>
          <w:numId w:val="19"/>
        </w:numPr>
        <w:spacing w:line="360" w:lineRule="auto"/>
        <w:jc w:val="both"/>
        <w:rPr>
          <w:rFonts w:ascii="Arial" w:hAnsi="Arial" w:cs="Arial"/>
        </w:rPr>
      </w:pPr>
      <w:r w:rsidRPr="00CB40B0">
        <w:rPr>
          <w:rFonts w:ascii="Arial" w:hAnsi="Arial" w:cs="Arial"/>
          <w:i/>
          <w:iCs/>
        </w:rPr>
        <w:t>Weaknesses &amp; Market Gap:</w:t>
      </w:r>
      <w:r w:rsidRPr="00CB40B0">
        <w:rPr>
          <w:rFonts w:ascii="Arial" w:hAnsi="Arial" w:cs="Arial"/>
        </w:rPr>
        <w:t xml:space="preserve"> Operates strictly on a fast-food, high-turnover service model. The interior environment is loud, intensely lit, and transactional, completely lacking the intimate, high-comfort lounge environment required by consumers seeking a relaxed, late-night social experience.</w:t>
      </w:r>
    </w:p>
    <w:p w:rsidR="00CB40B0" w:rsidRPr="00CB40B0" w:rsidRDefault="00CB40B0" w:rsidP="00CB40B0">
      <w:pPr>
        <w:spacing w:line="360" w:lineRule="auto"/>
        <w:jc w:val="both"/>
        <w:rPr>
          <w:rFonts w:ascii="Arial" w:hAnsi="Arial" w:cs="Arial"/>
          <w:b/>
          <w:bCs/>
        </w:rPr>
      </w:pPr>
      <w:r w:rsidRPr="00CB40B0">
        <w:rPr>
          <w:rFonts w:ascii="Arial" w:hAnsi="Arial" w:cs="Arial"/>
          <w:b/>
          <w:bCs/>
        </w:rPr>
        <w:t>Strategic Position Synthesis:</w:t>
      </w:r>
    </w:p>
    <w:p w:rsidR="00CB40B0" w:rsidRPr="00CB40B0" w:rsidRDefault="00CB40B0" w:rsidP="00CB40B0">
      <w:pPr>
        <w:spacing w:line="360" w:lineRule="auto"/>
        <w:jc w:val="both"/>
        <w:rPr>
          <w:rFonts w:ascii="Arial" w:hAnsi="Arial" w:cs="Arial"/>
        </w:rPr>
      </w:pPr>
      <w:r w:rsidRPr="00CB40B0">
        <w:rPr>
          <w:rFonts w:ascii="Arial" w:hAnsi="Arial" w:cs="Arial"/>
        </w:rPr>
        <w:t xml:space="preserve">The Velvet Scoop directly exploits the market void left between these competing operations. While Archie's captures the fast-casual commuter and Black Milk services daytime sugar cravings, The Velvet Scoop captures the premium experiential evening market. By focusing on open-kitchen "Artisanal Theatre," luxurious high-comfort seating, and an alcohol-free </w:t>
      </w:r>
      <w:r w:rsidRPr="00CB40B0">
        <w:rPr>
          <w:rFonts w:ascii="Arial" w:hAnsi="Arial" w:cs="Arial"/>
        </w:rPr>
        <w:lastRenderedPageBreak/>
        <w:t>botanical mocktail menu, the enterprise insulates itself from direct price competition and attracts an affluent, mature, and diverse demographic profile.</w:t>
      </w:r>
    </w:p>
    <w:p w:rsidR="00CB40B0" w:rsidRPr="00CB40B0" w:rsidRDefault="00CB40B0" w:rsidP="00CB40B0">
      <w:pPr>
        <w:spacing w:line="360" w:lineRule="auto"/>
        <w:jc w:val="both"/>
        <w:rPr>
          <w:rFonts w:ascii="Arial" w:hAnsi="Arial" w:cs="Arial"/>
          <w:b/>
          <w:bCs/>
        </w:rPr>
      </w:pPr>
      <w:r w:rsidRPr="00CB40B0">
        <w:rPr>
          <w:rFonts w:ascii="Arial" w:hAnsi="Arial" w:cs="Arial"/>
          <w:b/>
          <w:bCs/>
        </w:rPr>
        <w:t>APPENDIX B: EXPANDED SWOT MATRIX &amp; FEASIBILITY APPRAISAL</w:t>
      </w:r>
    </w:p>
    <w:p w:rsidR="00CB40B0" w:rsidRPr="00CB40B0" w:rsidRDefault="00CB40B0" w:rsidP="00CB40B0">
      <w:pPr>
        <w:spacing w:line="360" w:lineRule="auto"/>
        <w:jc w:val="both"/>
        <w:rPr>
          <w:rFonts w:ascii="Arial" w:hAnsi="Arial" w:cs="Arial"/>
        </w:rPr>
      </w:pPr>
      <w:r w:rsidRPr="00CB40B0">
        <w:rPr>
          <w:rFonts w:ascii="Arial" w:hAnsi="Arial" w:cs="Arial"/>
        </w:rPr>
        <w:t>To determine the overarching commercial viability and strategic fit of The Velvet Scoop, a comprehensive SWOT framework is applied to synthesize research insights and financial projections (Johnson et al., 2023).</w:t>
      </w:r>
    </w:p>
    <w:p w:rsidR="00CB40B0" w:rsidRPr="00CB40B0" w:rsidRDefault="00CB40B0" w:rsidP="00CB40B0">
      <w:pPr>
        <w:spacing w:line="360" w:lineRule="auto"/>
        <w:jc w:val="both"/>
        <w:rPr>
          <w:rFonts w:ascii="Arial" w:hAnsi="Arial" w:cs="Arial"/>
          <w:b/>
          <w:bCs/>
        </w:rPr>
      </w:pPr>
      <w:r w:rsidRPr="00CB40B0">
        <w:rPr>
          <w:rFonts w:ascii="Arial" w:hAnsi="Arial" w:cs="Arial"/>
          <w:b/>
          <w:bCs/>
        </w:rPr>
        <w:t>SWOT Matrix Summary:</w:t>
      </w:r>
    </w:p>
    <w:p w:rsidR="00CB40B0" w:rsidRPr="00CB40B0" w:rsidRDefault="00CB40B0" w:rsidP="00CB40B0">
      <w:pPr>
        <w:numPr>
          <w:ilvl w:val="0"/>
          <w:numId w:val="20"/>
        </w:numPr>
        <w:spacing w:line="360" w:lineRule="auto"/>
        <w:jc w:val="both"/>
        <w:rPr>
          <w:rFonts w:ascii="Arial" w:hAnsi="Arial" w:cs="Arial"/>
        </w:rPr>
      </w:pPr>
      <w:r w:rsidRPr="00CB40B0">
        <w:rPr>
          <w:rFonts w:ascii="Arial" w:hAnsi="Arial" w:cs="Arial"/>
          <w:b/>
          <w:bCs/>
        </w:rPr>
        <w:t>Strengths:</w:t>
      </w:r>
      <w:r w:rsidRPr="00CB40B0">
        <w:rPr>
          <w:rFonts w:ascii="Arial" w:hAnsi="Arial" w:cs="Arial"/>
        </w:rPr>
        <w:t xml:space="preserve"> Unique, high-margin product ecosystem (75% gross profit margin); prime cultural location within a pedestrianized zone of Manchester; strong insulation from fast-food price pressures due to experience-driven positioning.</w:t>
      </w:r>
    </w:p>
    <w:p w:rsidR="00CB40B0" w:rsidRPr="00CB40B0" w:rsidRDefault="00CB40B0" w:rsidP="00CB40B0">
      <w:pPr>
        <w:numPr>
          <w:ilvl w:val="0"/>
          <w:numId w:val="20"/>
        </w:numPr>
        <w:spacing w:line="360" w:lineRule="auto"/>
        <w:jc w:val="both"/>
        <w:rPr>
          <w:rFonts w:ascii="Arial" w:hAnsi="Arial" w:cs="Arial"/>
        </w:rPr>
      </w:pPr>
      <w:r w:rsidRPr="00CB40B0">
        <w:rPr>
          <w:rFonts w:ascii="Arial" w:hAnsi="Arial" w:cs="Arial"/>
          <w:b/>
          <w:bCs/>
        </w:rPr>
        <w:t>Weaknesses:</w:t>
      </w:r>
      <w:r w:rsidRPr="00CB40B0">
        <w:rPr>
          <w:rFonts w:ascii="Arial" w:hAnsi="Arial" w:cs="Arial"/>
        </w:rPr>
        <w:t xml:space="preserve"> High operational dependency on concentrated late-night weekend trading </w:t>
      </w:r>
      <w:proofErr w:type="spellStart"/>
      <w:r w:rsidRPr="00CB40B0">
        <w:rPr>
          <w:rFonts w:ascii="Arial" w:hAnsi="Arial" w:cs="Arial"/>
        </w:rPr>
        <w:t>blocks</w:t>
      </w:r>
      <w:proofErr w:type="spellEnd"/>
      <w:r w:rsidRPr="00CB40B0">
        <w:rPr>
          <w:rFonts w:ascii="Arial" w:hAnsi="Arial" w:cs="Arial"/>
        </w:rPr>
        <w:t>; initial cash outflow vulnerability during the first 60 days of setup; lack of established historical brand equity.</w:t>
      </w:r>
    </w:p>
    <w:p w:rsidR="00CB40B0" w:rsidRPr="00CB40B0" w:rsidRDefault="00CB40B0" w:rsidP="00CB40B0">
      <w:pPr>
        <w:numPr>
          <w:ilvl w:val="0"/>
          <w:numId w:val="20"/>
        </w:numPr>
        <w:spacing w:line="360" w:lineRule="auto"/>
        <w:jc w:val="both"/>
        <w:rPr>
          <w:rFonts w:ascii="Arial" w:hAnsi="Arial" w:cs="Arial"/>
        </w:rPr>
      </w:pPr>
      <w:r w:rsidRPr="00CB40B0">
        <w:rPr>
          <w:rFonts w:ascii="Arial" w:hAnsi="Arial" w:cs="Arial"/>
          <w:b/>
          <w:bCs/>
        </w:rPr>
        <w:t>Opportunities:</w:t>
      </w:r>
      <w:r w:rsidRPr="00CB40B0">
        <w:rPr>
          <w:rFonts w:ascii="Arial" w:hAnsi="Arial" w:cs="Arial"/>
        </w:rPr>
        <w:t xml:space="preserve"> Structural expansion of the UK sober lifestyle movement and declining youth alcohol consumption; B2B revenue scaling via premium corporate event partnerships with Manchester design and corporate agencies.</w:t>
      </w:r>
    </w:p>
    <w:p w:rsidR="00CB40B0" w:rsidRPr="00CB40B0" w:rsidRDefault="00CB40B0" w:rsidP="00CB40B0">
      <w:pPr>
        <w:numPr>
          <w:ilvl w:val="0"/>
          <w:numId w:val="20"/>
        </w:numPr>
        <w:spacing w:line="360" w:lineRule="auto"/>
        <w:jc w:val="both"/>
        <w:rPr>
          <w:rFonts w:ascii="Arial" w:hAnsi="Arial" w:cs="Arial"/>
        </w:rPr>
      </w:pPr>
      <w:r w:rsidRPr="00CB40B0">
        <w:rPr>
          <w:rFonts w:ascii="Arial" w:hAnsi="Arial" w:cs="Arial"/>
          <w:b/>
          <w:bCs/>
        </w:rPr>
        <w:t>Threats:</w:t>
      </w:r>
      <w:r w:rsidRPr="00CB40B0">
        <w:rPr>
          <w:rFonts w:ascii="Arial" w:hAnsi="Arial" w:cs="Arial"/>
        </w:rPr>
        <w:t xml:space="preserve"> Input cost volatility within global cocoa and dairy supply chains; rapid saturation of the urban independent hospitality sector; recruitment bottlenecks for highly skilled artisan culinary </w:t>
      </w:r>
      <w:proofErr w:type="spellStart"/>
      <w:r w:rsidRPr="00CB40B0">
        <w:rPr>
          <w:rFonts w:ascii="Arial" w:hAnsi="Arial" w:cs="Arial"/>
        </w:rPr>
        <w:t>labor</w:t>
      </w:r>
      <w:proofErr w:type="spellEnd"/>
      <w:r w:rsidRPr="00CB40B0">
        <w:rPr>
          <w:rFonts w:ascii="Arial" w:hAnsi="Arial" w:cs="Arial"/>
        </w:rPr>
        <w:t>.</w:t>
      </w:r>
    </w:p>
    <w:p w:rsidR="00CB40B0" w:rsidRPr="00CB40B0" w:rsidRDefault="00CB40B0" w:rsidP="00CB40B0">
      <w:pPr>
        <w:spacing w:line="360" w:lineRule="auto"/>
        <w:jc w:val="both"/>
        <w:rPr>
          <w:rFonts w:ascii="Arial" w:hAnsi="Arial" w:cs="Arial"/>
          <w:b/>
          <w:bCs/>
        </w:rPr>
      </w:pPr>
      <w:r w:rsidRPr="00CB40B0">
        <w:rPr>
          <w:rFonts w:ascii="Arial" w:hAnsi="Arial" w:cs="Arial"/>
          <w:b/>
          <w:bCs/>
        </w:rPr>
        <w:t>Feasibility Conclusion:</w:t>
      </w:r>
    </w:p>
    <w:p w:rsidR="00CB40B0" w:rsidRPr="00CB40B0" w:rsidRDefault="00CB40B0" w:rsidP="00CB40B0">
      <w:pPr>
        <w:spacing w:line="360" w:lineRule="auto"/>
        <w:jc w:val="both"/>
        <w:rPr>
          <w:rFonts w:ascii="Arial" w:hAnsi="Arial" w:cs="Arial"/>
        </w:rPr>
      </w:pPr>
      <w:r w:rsidRPr="00CB40B0">
        <w:rPr>
          <w:rFonts w:ascii="Arial" w:hAnsi="Arial" w:cs="Arial"/>
        </w:rPr>
        <w:t xml:space="preserve">Based on a rigorous synthesis of consumer survey indicators and detailed cash flow </w:t>
      </w:r>
      <w:proofErr w:type="spellStart"/>
      <w:r w:rsidRPr="00CB40B0">
        <w:rPr>
          <w:rFonts w:ascii="Arial" w:hAnsi="Arial" w:cs="Arial"/>
        </w:rPr>
        <w:t>modeling</w:t>
      </w:r>
      <w:proofErr w:type="spellEnd"/>
      <w:r w:rsidRPr="00CB40B0">
        <w:rPr>
          <w:rFonts w:ascii="Arial" w:hAnsi="Arial" w:cs="Arial"/>
        </w:rPr>
        <w:t>, The Velvet Scoop demonstrates robust commercial and operational viability. While the upfront capital fit-out is intensive, the low production cost relative to premium pricing models yields a positive net cash flow by Month 3 of trading. By positioning itself as a premium, experience-driven social lounge rather than a standard dessert storefront, the venture effectively addresses shifting macro-demographics and establishes a highly defensible, high-margin position on the high street.</w:t>
      </w:r>
    </w:p>
    <w:p w:rsidR="00CB40B0" w:rsidRPr="00EC2CAC" w:rsidRDefault="00CB40B0" w:rsidP="00EC2CAC">
      <w:pPr>
        <w:spacing w:line="360" w:lineRule="auto"/>
        <w:jc w:val="both"/>
        <w:rPr>
          <w:rFonts w:ascii="Arial" w:hAnsi="Arial" w:cs="Arial"/>
        </w:rPr>
      </w:pPr>
    </w:p>
    <w:sectPr w:rsidR="00CB40B0" w:rsidRPr="00EC2C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j-ea">
    <w:panose1 w:val="00000000000000000000"/>
    <w:charset w:val="00"/>
    <w:family w:val="roman"/>
    <w:notTrueType/>
    <w:pitch w:val="default"/>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37B34"/>
    <w:multiLevelType w:val="multilevel"/>
    <w:tmpl w:val="B5B8E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D513E"/>
    <w:multiLevelType w:val="multilevel"/>
    <w:tmpl w:val="E03A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22914"/>
    <w:multiLevelType w:val="multilevel"/>
    <w:tmpl w:val="2DAEB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A5443"/>
    <w:multiLevelType w:val="multilevel"/>
    <w:tmpl w:val="C2002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A80415"/>
    <w:multiLevelType w:val="multilevel"/>
    <w:tmpl w:val="91D405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D7296F"/>
    <w:multiLevelType w:val="multilevel"/>
    <w:tmpl w:val="6F463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E01F82"/>
    <w:multiLevelType w:val="multilevel"/>
    <w:tmpl w:val="067063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C11D3F"/>
    <w:multiLevelType w:val="multilevel"/>
    <w:tmpl w:val="58D43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FF6CA6"/>
    <w:multiLevelType w:val="multilevel"/>
    <w:tmpl w:val="E026A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685FDB"/>
    <w:multiLevelType w:val="multilevel"/>
    <w:tmpl w:val="197E6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D32B27"/>
    <w:multiLevelType w:val="multilevel"/>
    <w:tmpl w:val="761A4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C1448F"/>
    <w:multiLevelType w:val="multilevel"/>
    <w:tmpl w:val="BC4E8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DE790C"/>
    <w:multiLevelType w:val="multilevel"/>
    <w:tmpl w:val="14B85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E448B3"/>
    <w:multiLevelType w:val="multilevel"/>
    <w:tmpl w:val="97CC1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DD2D3C"/>
    <w:multiLevelType w:val="multilevel"/>
    <w:tmpl w:val="40824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3E3A10"/>
    <w:multiLevelType w:val="multilevel"/>
    <w:tmpl w:val="4D3C6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D844D3"/>
    <w:multiLevelType w:val="multilevel"/>
    <w:tmpl w:val="1534F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CC1627"/>
    <w:multiLevelType w:val="multilevel"/>
    <w:tmpl w:val="F0AC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B43242"/>
    <w:multiLevelType w:val="multilevel"/>
    <w:tmpl w:val="BA446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295CC9"/>
    <w:multiLevelType w:val="multilevel"/>
    <w:tmpl w:val="8C18F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8"/>
  </w:num>
  <w:num w:numId="3">
    <w:abstractNumId w:val="7"/>
  </w:num>
  <w:num w:numId="4">
    <w:abstractNumId w:val="2"/>
  </w:num>
  <w:num w:numId="5">
    <w:abstractNumId w:val="11"/>
  </w:num>
  <w:num w:numId="6">
    <w:abstractNumId w:val="17"/>
  </w:num>
  <w:num w:numId="7">
    <w:abstractNumId w:val="19"/>
  </w:num>
  <w:num w:numId="8">
    <w:abstractNumId w:val="12"/>
  </w:num>
  <w:num w:numId="9">
    <w:abstractNumId w:val="0"/>
  </w:num>
  <w:num w:numId="10">
    <w:abstractNumId w:val="18"/>
  </w:num>
  <w:num w:numId="11">
    <w:abstractNumId w:val="3"/>
  </w:num>
  <w:num w:numId="12">
    <w:abstractNumId w:val="14"/>
  </w:num>
  <w:num w:numId="13">
    <w:abstractNumId w:val="5"/>
  </w:num>
  <w:num w:numId="14">
    <w:abstractNumId w:val="9"/>
  </w:num>
  <w:num w:numId="15">
    <w:abstractNumId w:val="6"/>
  </w:num>
  <w:num w:numId="16">
    <w:abstractNumId w:val="1"/>
  </w:num>
  <w:num w:numId="17">
    <w:abstractNumId w:val="16"/>
  </w:num>
  <w:num w:numId="18">
    <w:abstractNumId w:val="10"/>
  </w:num>
  <w:num w:numId="19">
    <w:abstractNumId w:val="4"/>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C8A"/>
    <w:rsid w:val="001B5BE0"/>
    <w:rsid w:val="003A7F87"/>
    <w:rsid w:val="00453FE0"/>
    <w:rsid w:val="00681909"/>
    <w:rsid w:val="006A3B8D"/>
    <w:rsid w:val="006A3F69"/>
    <w:rsid w:val="00851522"/>
    <w:rsid w:val="00966F1E"/>
    <w:rsid w:val="00B27EEF"/>
    <w:rsid w:val="00B56C8A"/>
    <w:rsid w:val="00CB40B0"/>
    <w:rsid w:val="00D16669"/>
    <w:rsid w:val="00DA06FC"/>
    <w:rsid w:val="00EC2CAC"/>
    <w:rsid w:val="00FB6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D6E90"/>
  <w15:chartTrackingRefBased/>
  <w15:docId w15:val="{2067E22C-2347-4C6F-9F39-449A97936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B56C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56C8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B56C8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B56C8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C8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56C8A"/>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B56C8A"/>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B56C8A"/>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B56C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56C8A"/>
    <w:rPr>
      <w:color w:val="0000FF"/>
      <w:u w:val="single"/>
    </w:rPr>
  </w:style>
  <w:style w:type="paragraph" w:styleId="HTMLPreformatted">
    <w:name w:val="HTML Preformatted"/>
    <w:basedOn w:val="Normal"/>
    <w:link w:val="HTMLPreformattedChar"/>
    <w:uiPriority w:val="99"/>
    <w:semiHidden/>
    <w:unhideWhenUsed/>
    <w:rsid w:val="00B56C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B56C8A"/>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B56C8A"/>
    <w:rPr>
      <w:rFonts w:ascii="Courier New" w:eastAsia="Times New Roman" w:hAnsi="Courier New" w:cs="Courier New"/>
      <w:sz w:val="20"/>
      <w:szCs w:val="20"/>
    </w:rPr>
  </w:style>
  <w:style w:type="character" w:styleId="Strong">
    <w:name w:val="Strong"/>
    <w:basedOn w:val="DefaultParagraphFont"/>
    <w:uiPriority w:val="22"/>
    <w:qFormat/>
    <w:rsid w:val="00B56C8A"/>
    <w:rPr>
      <w:b/>
      <w:bCs/>
    </w:rPr>
  </w:style>
  <w:style w:type="character" w:styleId="CommentReference">
    <w:name w:val="annotation reference"/>
    <w:basedOn w:val="DefaultParagraphFont"/>
    <w:uiPriority w:val="99"/>
    <w:semiHidden/>
    <w:unhideWhenUsed/>
    <w:rsid w:val="006A3B8D"/>
    <w:rPr>
      <w:sz w:val="16"/>
      <w:szCs w:val="16"/>
    </w:rPr>
  </w:style>
  <w:style w:type="paragraph" w:styleId="CommentText">
    <w:name w:val="annotation text"/>
    <w:basedOn w:val="Normal"/>
    <w:link w:val="CommentTextChar"/>
    <w:uiPriority w:val="99"/>
    <w:semiHidden/>
    <w:unhideWhenUsed/>
    <w:rsid w:val="006A3B8D"/>
    <w:pPr>
      <w:spacing w:line="240" w:lineRule="auto"/>
    </w:pPr>
    <w:rPr>
      <w:sz w:val="20"/>
      <w:szCs w:val="20"/>
    </w:rPr>
  </w:style>
  <w:style w:type="character" w:customStyle="1" w:styleId="CommentTextChar">
    <w:name w:val="Comment Text Char"/>
    <w:basedOn w:val="DefaultParagraphFont"/>
    <w:link w:val="CommentText"/>
    <w:uiPriority w:val="99"/>
    <w:semiHidden/>
    <w:rsid w:val="006A3B8D"/>
    <w:rPr>
      <w:sz w:val="20"/>
      <w:szCs w:val="20"/>
    </w:rPr>
  </w:style>
  <w:style w:type="paragraph" w:styleId="CommentSubject">
    <w:name w:val="annotation subject"/>
    <w:basedOn w:val="CommentText"/>
    <w:next w:val="CommentText"/>
    <w:link w:val="CommentSubjectChar"/>
    <w:uiPriority w:val="99"/>
    <w:semiHidden/>
    <w:unhideWhenUsed/>
    <w:rsid w:val="006A3B8D"/>
    <w:rPr>
      <w:b/>
      <w:bCs/>
    </w:rPr>
  </w:style>
  <w:style w:type="character" w:customStyle="1" w:styleId="CommentSubjectChar">
    <w:name w:val="Comment Subject Char"/>
    <w:basedOn w:val="CommentTextChar"/>
    <w:link w:val="CommentSubject"/>
    <w:uiPriority w:val="99"/>
    <w:semiHidden/>
    <w:rsid w:val="006A3B8D"/>
    <w:rPr>
      <w:b/>
      <w:bCs/>
      <w:sz w:val="20"/>
      <w:szCs w:val="20"/>
    </w:rPr>
  </w:style>
  <w:style w:type="paragraph" w:styleId="BalloonText">
    <w:name w:val="Balloon Text"/>
    <w:basedOn w:val="Normal"/>
    <w:link w:val="BalloonTextChar"/>
    <w:uiPriority w:val="99"/>
    <w:semiHidden/>
    <w:unhideWhenUsed/>
    <w:rsid w:val="006A3B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3B8D"/>
    <w:rPr>
      <w:rFonts w:ascii="Segoe UI" w:hAnsi="Segoe UI" w:cs="Segoe UI"/>
      <w:sz w:val="18"/>
      <w:szCs w:val="18"/>
    </w:rPr>
  </w:style>
  <w:style w:type="character" w:styleId="UnresolvedMention">
    <w:name w:val="Unresolved Mention"/>
    <w:basedOn w:val="DefaultParagraphFont"/>
    <w:uiPriority w:val="99"/>
    <w:semiHidden/>
    <w:unhideWhenUsed/>
    <w:rsid w:val="006A3B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861437">
      <w:bodyDiv w:val="1"/>
      <w:marLeft w:val="0"/>
      <w:marRight w:val="0"/>
      <w:marTop w:val="0"/>
      <w:marBottom w:val="0"/>
      <w:divBdr>
        <w:top w:val="none" w:sz="0" w:space="0" w:color="auto"/>
        <w:left w:val="none" w:sz="0" w:space="0" w:color="auto"/>
        <w:bottom w:val="none" w:sz="0" w:space="0" w:color="auto"/>
        <w:right w:val="none" w:sz="0" w:space="0" w:color="auto"/>
      </w:divBdr>
    </w:div>
    <w:div w:id="1204560459">
      <w:bodyDiv w:val="1"/>
      <w:marLeft w:val="0"/>
      <w:marRight w:val="0"/>
      <w:marTop w:val="0"/>
      <w:marBottom w:val="0"/>
      <w:divBdr>
        <w:top w:val="none" w:sz="0" w:space="0" w:color="auto"/>
        <w:left w:val="none" w:sz="0" w:space="0" w:color="auto"/>
        <w:bottom w:val="none" w:sz="0" w:space="0" w:color="auto"/>
        <w:right w:val="none" w:sz="0" w:space="0" w:color="auto"/>
      </w:divBdr>
    </w:div>
    <w:div w:id="1945109140">
      <w:bodyDiv w:val="1"/>
      <w:marLeft w:val="0"/>
      <w:marRight w:val="0"/>
      <w:marTop w:val="0"/>
      <w:marBottom w:val="0"/>
      <w:divBdr>
        <w:top w:val="none" w:sz="0" w:space="0" w:color="auto"/>
        <w:left w:val="none" w:sz="0" w:space="0" w:color="auto"/>
        <w:bottom w:val="none" w:sz="0" w:space="0" w:color="auto"/>
        <w:right w:val="none" w:sz="0" w:space="0" w:color="auto"/>
      </w:divBdr>
    </w:div>
    <w:div w:id="204826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hyperlink" Target="https://www.caterer.com/recruiter-advice/hospitality-hiring-insider-the-hospitality-recruitment-trends-of-q1-2025" TargetMode="Externa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package" Target="embeddings/Microsoft_Excel_Worksheet.xlsx"/><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image" Target="media/image8.emf"/><Relationship Id="rId5" Type="http://schemas.openxmlformats.org/officeDocument/2006/relationships/image" Target="media/image1.png"/><Relationship Id="rId15" Type="http://schemas.openxmlformats.org/officeDocument/2006/relationships/fontTable" Target="fontTable.xml"/><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hyperlink" Target="https://democracy.manchester.gov.uk/documents/b16594/" TargetMode="External"/></Relationships>
</file>

<file path=word/diagrams/_rels/data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g"/><Relationship Id="rId1" Type="http://schemas.openxmlformats.org/officeDocument/2006/relationships/image" Target="../media/image2.jpeg"/><Relationship Id="rId6" Type="http://schemas.openxmlformats.org/officeDocument/2006/relationships/image" Target="../media/image7.jpg"/><Relationship Id="rId5" Type="http://schemas.openxmlformats.org/officeDocument/2006/relationships/image" Target="../media/image6.jpg"/><Relationship Id="rId4" Type="http://schemas.openxmlformats.org/officeDocument/2006/relationships/image" Target="../media/image5.jpg"/></Relationships>
</file>

<file path=word/diagrams/_rels/drawing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g"/><Relationship Id="rId1" Type="http://schemas.openxmlformats.org/officeDocument/2006/relationships/image" Target="../media/image2.jpeg"/><Relationship Id="rId6" Type="http://schemas.openxmlformats.org/officeDocument/2006/relationships/image" Target="../media/image7.jpg"/><Relationship Id="rId5" Type="http://schemas.openxmlformats.org/officeDocument/2006/relationships/image" Target="../media/image6.jpg"/><Relationship Id="rId4" Type="http://schemas.openxmlformats.org/officeDocument/2006/relationships/image" Target="../media/image5.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97E28C-FB02-4404-B855-3EEB447B2694}" type="doc">
      <dgm:prSet loTypeId="urn:microsoft.com/office/officeart/2009/layout/CirclePictureHierarchy" loCatId="hierarchy" qsTypeId="urn:microsoft.com/office/officeart/2005/8/quickstyle/simple1" qsCatId="simple" csTypeId="urn:microsoft.com/office/officeart/2005/8/colors/accent1_2" csCatId="accent1" phldr="1"/>
      <dgm:spPr/>
      <dgm:t>
        <a:bodyPr/>
        <a:lstStyle/>
        <a:p>
          <a:endParaRPr lang="en-GB"/>
        </a:p>
      </dgm:t>
    </dgm:pt>
    <dgm:pt modelId="{D4A04007-329D-43FA-9795-14A7C8861E24}">
      <dgm:prSet phldrT="[Text]"/>
      <dgm:spPr/>
      <dgm:t>
        <a:bodyPr/>
        <a:lstStyle/>
        <a:p>
          <a:r>
            <a:rPr lang="en-GB"/>
            <a:t>Founder and General Manager</a:t>
          </a:r>
        </a:p>
      </dgm:t>
    </dgm:pt>
    <dgm:pt modelId="{084D44CA-B545-4EAD-AB54-D98D27289258}" type="parTrans" cxnId="{134B138A-3AB0-48D5-AA77-4DB4E189197C}">
      <dgm:prSet/>
      <dgm:spPr/>
      <dgm:t>
        <a:bodyPr/>
        <a:lstStyle/>
        <a:p>
          <a:endParaRPr lang="en-GB"/>
        </a:p>
      </dgm:t>
    </dgm:pt>
    <dgm:pt modelId="{D7B5513A-4A49-4B2B-B5AF-C074FD551A15}" type="sibTrans" cxnId="{134B138A-3AB0-48D5-AA77-4DB4E189197C}">
      <dgm:prSet/>
      <dgm:spPr/>
      <dgm:t>
        <a:bodyPr/>
        <a:lstStyle/>
        <a:p>
          <a:endParaRPr lang="en-GB"/>
        </a:p>
      </dgm:t>
    </dgm:pt>
    <dgm:pt modelId="{C4B24BAB-23F5-4C57-AEA1-56EC720B7B00}">
      <dgm:prSet phldrT="[Text]"/>
      <dgm:spPr/>
      <dgm:t>
        <a:bodyPr/>
        <a:lstStyle/>
        <a:p>
          <a:r>
            <a:rPr lang="en-GB"/>
            <a:t>Head Pastry Chef</a:t>
          </a:r>
        </a:p>
      </dgm:t>
    </dgm:pt>
    <dgm:pt modelId="{5BB06425-CB6B-4BD6-8E31-17D0DEE0B0B7}" type="parTrans" cxnId="{5F2D256B-9A04-4CF4-A47D-9BC7894E04A4}">
      <dgm:prSet/>
      <dgm:spPr/>
      <dgm:t>
        <a:bodyPr/>
        <a:lstStyle/>
        <a:p>
          <a:endParaRPr lang="en-GB"/>
        </a:p>
      </dgm:t>
    </dgm:pt>
    <dgm:pt modelId="{33DF75D9-6E01-44A4-BCC6-A25B09246667}" type="sibTrans" cxnId="{5F2D256B-9A04-4CF4-A47D-9BC7894E04A4}">
      <dgm:prSet/>
      <dgm:spPr/>
      <dgm:t>
        <a:bodyPr/>
        <a:lstStyle/>
        <a:p>
          <a:endParaRPr lang="en-GB"/>
        </a:p>
      </dgm:t>
    </dgm:pt>
    <dgm:pt modelId="{C93C874B-2722-4F14-8AC9-ABB66D66BB0C}">
      <dgm:prSet phldrT="[Text]"/>
      <dgm:spPr/>
      <dgm:t>
        <a:bodyPr/>
        <a:lstStyle/>
        <a:p>
          <a:r>
            <a:rPr lang="en-GB"/>
            <a:t>Kitchen Assistant 1</a:t>
          </a:r>
        </a:p>
      </dgm:t>
    </dgm:pt>
    <dgm:pt modelId="{FC7475B4-040D-43DC-B69C-D0F86A3FB8CD}" type="parTrans" cxnId="{BF444591-F588-4541-8907-B1A023AE0E9A}">
      <dgm:prSet/>
      <dgm:spPr/>
      <dgm:t>
        <a:bodyPr/>
        <a:lstStyle/>
        <a:p>
          <a:endParaRPr lang="en-GB"/>
        </a:p>
      </dgm:t>
    </dgm:pt>
    <dgm:pt modelId="{D7715044-BFA9-442D-90EC-8BE8F2D5D4C3}" type="sibTrans" cxnId="{BF444591-F588-4541-8907-B1A023AE0E9A}">
      <dgm:prSet/>
      <dgm:spPr/>
      <dgm:t>
        <a:bodyPr/>
        <a:lstStyle/>
        <a:p>
          <a:endParaRPr lang="en-GB"/>
        </a:p>
      </dgm:t>
    </dgm:pt>
    <dgm:pt modelId="{94D5CE68-DFF7-400F-BD31-EC259D3B276C}">
      <dgm:prSet phldrT="[Text]"/>
      <dgm:spPr/>
      <dgm:t>
        <a:bodyPr/>
        <a:lstStyle/>
        <a:p>
          <a:r>
            <a:rPr lang="en-GB"/>
            <a:t>Kitchen Assistant 2</a:t>
          </a:r>
        </a:p>
      </dgm:t>
    </dgm:pt>
    <dgm:pt modelId="{1E5A070A-4AC6-4031-BE9E-4247299B6A65}" type="parTrans" cxnId="{37FEB5FC-FEB8-47EE-B605-B9552C3EDA9D}">
      <dgm:prSet/>
      <dgm:spPr/>
      <dgm:t>
        <a:bodyPr/>
        <a:lstStyle/>
        <a:p>
          <a:endParaRPr lang="en-GB"/>
        </a:p>
      </dgm:t>
    </dgm:pt>
    <dgm:pt modelId="{E0482DA5-454E-469B-9E68-0D7DAA7B02E6}" type="sibTrans" cxnId="{37FEB5FC-FEB8-47EE-B605-B9552C3EDA9D}">
      <dgm:prSet/>
      <dgm:spPr/>
      <dgm:t>
        <a:bodyPr/>
        <a:lstStyle/>
        <a:p>
          <a:endParaRPr lang="en-GB"/>
        </a:p>
      </dgm:t>
    </dgm:pt>
    <dgm:pt modelId="{BC6D681C-7CB2-4F7A-8881-FB6C68C33C7F}">
      <dgm:prSet phldrT="[Text]"/>
      <dgm:spPr/>
      <dgm:t>
        <a:bodyPr/>
        <a:lstStyle/>
        <a:p>
          <a:r>
            <a:rPr lang="en-GB"/>
            <a:t>Front-of-house Barista</a:t>
          </a:r>
        </a:p>
      </dgm:t>
    </dgm:pt>
    <dgm:pt modelId="{1F90E392-02E0-4388-B9C5-7470666623D8}" type="parTrans" cxnId="{857C5568-75E1-4095-A91E-30DB9EB51BFB}">
      <dgm:prSet/>
      <dgm:spPr/>
      <dgm:t>
        <a:bodyPr/>
        <a:lstStyle/>
        <a:p>
          <a:endParaRPr lang="en-GB"/>
        </a:p>
      </dgm:t>
    </dgm:pt>
    <dgm:pt modelId="{C7003B6E-EA98-47D0-A5B3-44FCD0C98E3C}" type="sibTrans" cxnId="{857C5568-75E1-4095-A91E-30DB9EB51BFB}">
      <dgm:prSet/>
      <dgm:spPr/>
      <dgm:t>
        <a:bodyPr/>
        <a:lstStyle/>
        <a:p>
          <a:endParaRPr lang="en-GB"/>
        </a:p>
      </dgm:t>
    </dgm:pt>
    <dgm:pt modelId="{ADB2BDA0-49FB-4C24-9F7F-02937C4539A1}">
      <dgm:prSet phldrT="[Text]"/>
      <dgm:spPr/>
      <dgm:t>
        <a:bodyPr/>
        <a:lstStyle/>
        <a:p>
          <a:r>
            <a:rPr lang="en-GB"/>
            <a:t>Barista 2</a:t>
          </a:r>
        </a:p>
      </dgm:t>
    </dgm:pt>
    <dgm:pt modelId="{AFDF1E99-ACED-4AA2-9894-DB39CAE6A902}" type="parTrans" cxnId="{C8724A00-5E3C-4C88-BD21-0AA60C960BB1}">
      <dgm:prSet/>
      <dgm:spPr/>
      <dgm:t>
        <a:bodyPr/>
        <a:lstStyle/>
        <a:p>
          <a:endParaRPr lang="en-GB"/>
        </a:p>
      </dgm:t>
    </dgm:pt>
    <dgm:pt modelId="{01A9A5FF-444A-4E69-AA72-30965B9098A4}" type="sibTrans" cxnId="{C8724A00-5E3C-4C88-BD21-0AA60C960BB1}">
      <dgm:prSet/>
      <dgm:spPr/>
      <dgm:t>
        <a:bodyPr/>
        <a:lstStyle/>
        <a:p>
          <a:endParaRPr lang="en-GB"/>
        </a:p>
      </dgm:t>
    </dgm:pt>
    <dgm:pt modelId="{973035F8-C0DB-4859-A167-A27181DFDD2D}" type="pres">
      <dgm:prSet presAssocID="{3997E28C-FB02-4404-B855-3EEB447B2694}" presName="hierChild1" presStyleCnt="0">
        <dgm:presLayoutVars>
          <dgm:chPref val="1"/>
          <dgm:dir/>
          <dgm:animOne val="branch"/>
          <dgm:animLvl val="lvl"/>
          <dgm:resizeHandles/>
        </dgm:presLayoutVars>
      </dgm:prSet>
      <dgm:spPr/>
    </dgm:pt>
    <dgm:pt modelId="{FF2138A3-3792-46F1-ADAB-2BF592200B66}" type="pres">
      <dgm:prSet presAssocID="{D4A04007-329D-43FA-9795-14A7C8861E24}" presName="hierRoot1" presStyleCnt="0"/>
      <dgm:spPr/>
    </dgm:pt>
    <dgm:pt modelId="{CB6FC4AC-D941-45D7-91C9-23B4801C5038}" type="pres">
      <dgm:prSet presAssocID="{D4A04007-329D-43FA-9795-14A7C8861E24}" presName="composite" presStyleCnt="0"/>
      <dgm:spPr/>
    </dgm:pt>
    <dgm:pt modelId="{AC3F12E7-9A3C-493C-9D3E-B0C26CA4F679}" type="pres">
      <dgm:prSet presAssocID="{D4A04007-329D-43FA-9795-14A7C8861E24}" presName="image" presStyleLbl="node0" presStyleIdx="0" presStyleCnt="1"/>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dgm:spPr>
    </dgm:pt>
    <dgm:pt modelId="{EBBD982C-9C40-4975-B916-D681943FEB18}" type="pres">
      <dgm:prSet presAssocID="{D4A04007-329D-43FA-9795-14A7C8861E24}" presName="text" presStyleLbl="revTx" presStyleIdx="0" presStyleCnt="6">
        <dgm:presLayoutVars>
          <dgm:chPref val="3"/>
        </dgm:presLayoutVars>
      </dgm:prSet>
      <dgm:spPr/>
    </dgm:pt>
    <dgm:pt modelId="{21CB4B32-12E2-4906-BA6D-3F4033F8E078}" type="pres">
      <dgm:prSet presAssocID="{D4A04007-329D-43FA-9795-14A7C8861E24}" presName="hierChild2" presStyleCnt="0"/>
      <dgm:spPr/>
    </dgm:pt>
    <dgm:pt modelId="{DC10C6A3-BC41-4A72-A99B-0DA6E86134CB}" type="pres">
      <dgm:prSet presAssocID="{5BB06425-CB6B-4BD6-8E31-17D0DEE0B0B7}" presName="Name10" presStyleLbl="parChTrans1D2" presStyleIdx="0" presStyleCnt="2"/>
      <dgm:spPr/>
    </dgm:pt>
    <dgm:pt modelId="{AFE90F22-B524-41DD-9A69-96EDE1377BD1}" type="pres">
      <dgm:prSet presAssocID="{C4B24BAB-23F5-4C57-AEA1-56EC720B7B00}" presName="hierRoot2" presStyleCnt="0"/>
      <dgm:spPr/>
    </dgm:pt>
    <dgm:pt modelId="{82BDB973-B19D-4706-BF6C-56AA3C011043}" type="pres">
      <dgm:prSet presAssocID="{C4B24BAB-23F5-4C57-AEA1-56EC720B7B00}" presName="composite2" presStyleCnt="0"/>
      <dgm:spPr/>
    </dgm:pt>
    <dgm:pt modelId="{D8F18766-4A59-44B0-BF86-CAB8CC274176}" type="pres">
      <dgm:prSet presAssocID="{C4B24BAB-23F5-4C57-AEA1-56EC720B7B00}" presName="image2" presStyleLbl="node2" presStyleIdx="0" presStyleCnt="2"/>
      <dgm:spPr>
        <a:blipFill>
          <a:blip xmlns:r="http://schemas.openxmlformats.org/officeDocument/2006/relationships" r:embed="rId2"/>
          <a:srcRect/>
          <a:stretch>
            <a:fillRect/>
          </a:stretch>
        </a:blipFill>
      </dgm:spPr>
    </dgm:pt>
    <dgm:pt modelId="{954CE198-AAC7-4181-A357-C2C0B23B465C}" type="pres">
      <dgm:prSet presAssocID="{C4B24BAB-23F5-4C57-AEA1-56EC720B7B00}" presName="text2" presStyleLbl="revTx" presStyleIdx="1" presStyleCnt="6">
        <dgm:presLayoutVars>
          <dgm:chPref val="3"/>
        </dgm:presLayoutVars>
      </dgm:prSet>
      <dgm:spPr/>
    </dgm:pt>
    <dgm:pt modelId="{6D7585F0-42FA-4834-ADAE-E5A347AE1D64}" type="pres">
      <dgm:prSet presAssocID="{C4B24BAB-23F5-4C57-AEA1-56EC720B7B00}" presName="hierChild3" presStyleCnt="0"/>
      <dgm:spPr/>
    </dgm:pt>
    <dgm:pt modelId="{C9FC1505-C36B-412F-9E9A-68FF17BB4EE4}" type="pres">
      <dgm:prSet presAssocID="{FC7475B4-040D-43DC-B69C-D0F86A3FB8CD}" presName="Name17" presStyleLbl="parChTrans1D3" presStyleIdx="0" presStyleCnt="3"/>
      <dgm:spPr/>
    </dgm:pt>
    <dgm:pt modelId="{EF16BF4A-A4AF-478A-84DF-13A6A572CA39}" type="pres">
      <dgm:prSet presAssocID="{C93C874B-2722-4F14-8AC9-ABB66D66BB0C}" presName="hierRoot3" presStyleCnt="0"/>
      <dgm:spPr/>
    </dgm:pt>
    <dgm:pt modelId="{E3381EA1-99B0-469F-A2D3-20D949EFDE25}" type="pres">
      <dgm:prSet presAssocID="{C93C874B-2722-4F14-8AC9-ABB66D66BB0C}" presName="composite3" presStyleCnt="0"/>
      <dgm:spPr/>
    </dgm:pt>
    <dgm:pt modelId="{55CEF575-006A-4A53-A837-4401B048D602}" type="pres">
      <dgm:prSet presAssocID="{C93C874B-2722-4F14-8AC9-ABB66D66BB0C}" presName="image3" presStyleLbl="node3" presStyleIdx="0" presStyleCnt="3"/>
      <dgm:spPr>
        <a:blipFill>
          <a:blip xmlns:r="http://schemas.openxmlformats.org/officeDocument/2006/relationships" r:embed="rId3"/>
          <a:srcRect/>
          <a:stretch>
            <a:fillRect/>
          </a:stretch>
        </a:blipFill>
      </dgm:spPr>
    </dgm:pt>
    <dgm:pt modelId="{24701063-35C3-4CAD-8183-BA4C0C393080}" type="pres">
      <dgm:prSet presAssocID="{C93C874B-2722-4F14-8AC9-ABB66D66BB0C}" presName="text3" presStyleLbl="revTx" presStyleIdx="2" presStyleCnt="6">
        <dgm:presLayoutVars>
          <dgm:chPref val="3"/>
        </dgm:presLayoutVars>
      </dgm:prSet>
      <dgm:spPr/>
    </dgm:pt>
    <dgm:pt modelId="{037196F4-47B6-45AB-9812-A90CABBC1631}" type="pres">
      <dgm:prSet presAssocID="{C93C874B-2722-4F14-8AC9-ABB66D66BB0C}" presName="hierChild4" presStyleCnt="0"/>
      <dgm:spPr/>
    </dgm:pt>
    <dgm:pt modelId="{B3A75D99-B0BE-4812-AE38-6073DD91D8C8}" type="pres">
      <dgm:prSet presAssocID="{1E5A070A-4AC6-4031-BE9E-4247299B6A65}" presName="Name17" presStyleLbl="parChTrans1D3" presStyleIdx="1" presStyleCnt="3"/>
      <dgm:spPr/>
    </dgm:pt>
    <dgm:pt modelId="{3A869901-8D62-498F-AD4F-B81EE2FEA755}" type="pres">
      <dgm:prSet presAssocID="{94D5CE68-DFF7-400F-BD31-EC259D3B276C}" presName="hierRoot3" presStyleCnt="0"/>
      <dgm:spPr/>
    </dgm:pt>
    <dgm:pt modelId="{DA839A77-126C-4F59-AB79-14DA6299D53F}" type="pres">
      <dgm:prSet presAssocID="{94D5CE68-DFF7-400F-BD31-EC259D3B276C}" presName="composite3" presStyleCnt="0"/>
      <dgm:spPr/>
    </dgm:pt>
    <dgm:pt modelId="{1763625B-48C8-4815-8CF9-1F40DB2983BF}" type="pres">
      <dgm:prSet presAssocID="{94D5CE68-DFF7-400F-BD31-EC259D3B276C}" presName="image3" presStyleLbl="node3" presStyleIdx="1" presStyleCnt="3"/>
      <dgm:spPr>
        <a:blipFill>
          <a:blip xmlns:r="http://schemas.openxmlformats.org/officeDocument/2006/relationships" r:embed="rId4"/>
          <a:srcRect/>
          <a:stretch>
            <a:fillRect/>
          </a:stretch>
        </a:blipFill>
      </dgm:spPr>
    </dgm:pt>
    <dgm:pt modelId="{312A0398-5A05-4ACB-A9A7-668DAC9DB02F}" type="pres">
      <dgm:prSet presAssocID="{94D5CE68-DFF7-400F-BD31-EC259D3B276C}" presName="text3" presStyleLbl="revTx" presStyleIdx="3" presStyleCnt="6">
        <dgm:presLayoutVars>
          <dgm:chPref val="3"/>
        </dgm:presLayoutVars>
      </dgm:prSet>
      <dgm:spPr/>
    </dgm:pt>
    <dgm:pt modelId="{F1907A9F-F390-4A59-9B31-3FF8DB9DA3C2}" type="pres">
      <dgm:prSet presAssocID="{94D5CE68-DFF7-400F-BD31-EC259D3B276C}" presName="hierChild4" presStyleCnt="0"/>
      <dgm:spPr/>
    </dgm:pt>
    <dgm:pt modelId="{B551C3B7-EF0D-42E2-B246-A9CD3EEF6438}" type="pres">
      <dgm:prSet presAssocID="{1F90E392-02E0-4388-B9C5-7470666623D8}" presName="Name10" presStyleLbl="parChTrans1D2" presStyleIdx="1" presStyleCnt="2"/>
      <dgm:spPr/>
    </dgm:pt>
    <dgm:pt modelId="{344B3BAF-6833-4F9E-9E4C-B19B8A18DA00}" type="pres">
      <dgm:prSet presAssocID="{BC6D681C-7CB2-4F7A-8881-FB6C68C33C7F}" presName="hierRoot2" presStyleCnt="0"/>
      <dgm:spPr/>
    </dgm:pt>
    <dgm:pt modelId="{213EC7F9-81A0-47E2-8D36-CBCF33CDEB78}" type="pres">
      <dgm:prSet presAssocID="{BC6D681C-7CB2-4F7A-8881-FB6C68C33C7F}" presName="composite2" presStyleCnt="0"/>
      <dgm:spPr/>
    </dgm:pt>
    <dgm:pt modelId="{8287FF35-F543-405C-946E-2E11A9BF0511}" type="pres">
      <dgm:prSet presAssocID="{BC6D681C-7CB2-4F7A-8881-FB6C68C33C7F}" presName="image2" presStyleLbl="node2" presStyleIdx="1" presStyleCnt="2"/>
      <dgm:spPr>
        <a:blipFill>
          <a:blip xmlns:r="http://schemas.openxmlformats.org/officeDocument/2006/relationships" r:embed="rId5"/>
          <a:srcRect/>
          <a:stretch>
            <a:fillRect/>
          </a:stretch>
        </a:blipFill>
      </dgm:spPr>
    </dgm:pt>
    <dgm:pt modelId="{17A5FE8C-2B25-484F-9933-4D21B3D8E241}" type="pres">
      <dgm:prSet presAssocID="{BC6D681C-7CB2-4F7A-8881-FB6C68C33C7F}" presName="text2" presStyleLbl="revTx" presStyleIdx="4" presStyleCnt="6">
        <dgm:presLayoutVars>
          <dgm:chPref val="3"/>
        </dgm:presLayoutVars>
      </dgm:prSet>
      <dgm:spPr/>
    </dgm:pt>
    <dgm:pt modelId="{7175EAE5-E9C8-4683-BFF2-79AAEF0584E4}" type="pres">
      <dgm:prSet presAssocID="{BC6D681C-7CB2-4F7A-8881-FB6C68C33C7F}" presName="hierChild3" presStyleCnt="0"/>
      <dgm:spPr/>
    </dgm:pt>
    <dgm:pt modelId="{F5498A3E-3F3A-41AE-B422-8A80EE4AEC25}" type="pres">
      <dgm:prSet presAssocID="{AFDF1E99-ACED-4AA2-9894-DB39CAE6A902}" presName="Name17" presStyleLbl="parChTrans1D3" presStyleIdx="2" presStyleCnt="3"/>
      <dgm:spPr/>
    </dgm:pt>
    <dgm:pt modelId="{D9B01459-545F-490F-BB32-5C016BFE7171}" type="pres">
      <dgm:prSet presAssocID="{ADB2BDA0-49FB-4C24-9F7F-02937C4539A1}" presName="hierRoot3" presStyleCnt="0"/>
      <dgm:spPr/>
    </dgm:pt>
    <dgm:pt modelId="{DF26F9F6-A7E8-4111-A636-A904A7C28602}" type="pres">
      <dgm:prSet presAssocID="{ADB2BDA0-49FB-4C24-9F7F-02937C4539A1}" presName="composite3" presStyleCnt="0"/>
      <dgm:spPr/>
    </dgm:pt>
    <dgm:pt modelId="{82D78C67-42FF-4B79-8DCC-18828EB58BE1}" type="pres">
      <dgm:prSet presAssocID="{ADB2BDA0-49FB-4C24-9F7F-02937C4539A1}" presName="image3" presStyleLbl="node3" presStyleIdx="2" presStyleCnt="3"/>
      <dgm:spPr>
        <a:blipFill>
          <a:blip xmlns:r="http://schemas.openxmlformats.org/officeDocument/2006/relationships" r:embed="rId6"/>
          <a:srcRect/>
          <a:stretch>
            <a:fillRect/>
          </a:stretch>
        </a:blipFill>
      </dgm:spPr>
    </dgm:pt>
    <dgm:pt modelId="{6100681C-AA58-45F2-9EE7-BB7B30E795B0}" type="pres">
      <dgm:prSet presAssocID="{ADB2BDA0-49FB-4C24-9F7F-02937C4539A1}" presName="text3" presStyleLbl="revTx" presStyleIdx="5" presStyleCnt="6">
        <dgm:presLayoutVars>
          <dgm:chPref val="3"/>
        </dgm:presLayoutVars>
      </dgm:prSet>
      <dgm:spPr/>
    </dgm:pt>
    <dgm:pt modelId="{15C35937-9D93-43B2-B32E-2EE705F79D9E}" type="pres">
      <dgm:prSet presAssocID="{ADB2BDA0-49FB-4C24-9F7F-02937C4539A1}" presName="hierChild4" presStyleCnt="0"/>
      <dgm:spPr/>
    </dgm:pt>
  </dgm:ptLst>
  <dgm:cxnLst>
    <dgm:cxn modelId="{C8724A00-5E3C-4C88-BD21-0AA60C960BB1}" srcId="{BC6D681C-7CB2-4F7A-8881-FB6C68C33C7F}" destId="{ADB2BDA0-49FB-4C24-9F7F-02937C4539A1}" srcOrd="0" destOrd="0" parTransId="{AFDF1E99-ACED-4AA2-9894-DB39CAE6A902}" sibTransId="{01A9A5FF-444A-4E69-AA72-30965B9098A4}"/>
    <dgm:cxn modelId="{55EABA01-6905-41E7-9A7B-65427816A7F9}" type="presOf" srcId="{1F90E392-02E0-4388-B9C5-7470666623D8}" destId="{B551C3B7-EF0D-42E2-B246-A9CD3EEF6438}" srcOrd="0" destOrd="0" presId="urn:microsoft.com/office/officeart/2009/layout/CirclePictureHierarchy"/>
    <dgm:cxn modelId="{B79EE006-725B-41F5-B42D-1F69C688F794}" type="presOf" srcId="{ADB2BDA0-49FB-4C24-9F7F-02937C4539A1}" destId="{6100681C-AA58-45F2-9EE7-BB7B30E795B0}" srcOrd="0" destOrd="0" presId="urn:microsoft.com/office/officeart/2009/layout/CirclePictureHierarchy"/>
    <dgm:cxn modelId="{4724E22E-018F-4782-B4A2-3A4CD0BF1C98}" type="presOf" srcId="{3997E28C-FB02-4404-B855-3EEB447B2694}" destId="{973035F8-C0DB-4859-A167-A27181DFDD2D}" srcOrd="0" destOrd="0" presId="urn:microsoft.com/office/officeart/2009/layout/CirclePictureHierarchy"/>
    <dgm:cxn modelId="{422F3763-2CA9-4707-A0DD-2E74C7C1D023}" type="presOf" srcId="{AFDF1E99-ACED-4AA2-9894-DB39CAE6A902}" destId="{F5498A3E-3F3A-41AE-B422-8A80EE4AEC25}" srcOrd="0" destOrd="0" presId="urn:microsoft.com/office/officeart/2009/layout/CirclePictureHierarchy"/>
    <dgm:cxn modelId="{857C5568-75E1-4095-A91E-30DB9EB51BFB}" srcId="{D4A04007-329D-43FA-9795-14A7C8861E24}" destId="{BC6D681C-7CB2-4F7A-8881-FB6C68C33C7F}" srcOrd="1" destOrd="0" parTransId="{1F90E392-02E0-4388-B9C5-7470666623D8}" sibTransId="{C7003B6E-EA98-47D0-A5B3-44FCD0C98E3C}"/>
    <dgm:cxn modelId="{5F2D256B-9A04-4CF4-A47D-9BC7894E04A4}" srcId="{D4A04007-329D-43FA-9795-14A7C8861E24}" destId="{C4B24BAB-23F5-4C57-AEA1-56EC720B7B00}" srcOrd="0" destOrd="0" parTransId="{5BB06425-CB6B-4BD6-8E31-17D0DEE0B0B7}" sibTransId="{33DF75D9-6E01-44A4-BCC6-A25B09246667}"/>
    <dgm:cxn modelId="{84E17C72-FE62-406A-B6A5-F34799B7E9ED}" type="presOf" srcId="{C4B24BAB-23F5-4C57-AEA1-56EC720B7B00}" destId="{954CE198-AAC7-4181-A357-C2C0B23B465C}" srcOrd="0" destOrd="0" presId="urn:microsoft.com/office/officeart/2009/layout/CirclePictureHierarchy"/>
    <dgm:cxn modelId="{C0401355-DE18-477F-8424-F86D8DE272DA}" type="presOf" srcId="{C93C874B-2722-4F14-8AC9-ABB66D66BB0C}" destId="{24701063-35C3-4CAD-8183-BA4C0C393080}" srcOrd="0" destOrd="0" presId="urn:microsoft.com/office/officeart/2009/layout/CirclePictureHierarchy"/>
    <dgm:cxn modelId="{134B138A-3AB0-48D5-AA77-4DB4E189197C}" srcId="{3997E28C-FB02-4404-B855-3EEB447B2694}" destId="{D4A04007-329D-43FA-9795-14A7C8861E24}" srcOrd="0" destOrd="0" parTransId="{084D44CA-B545-4EAD-AB54-D98D27289258}" sibTransId="{D7B5513A-4A49-4B2B-B5AF-C074FD551A15}"/>
    <dgm:cxn modelId="{BF444591-F588-4541-8907-B1A023AE0E9A}" srcId="{C4B24BAB-23F5-4C57-AEA1-56EC720B7B00}" destId="{C93C874B-2722-4F14-8AC9-ABB66D66BB0C}" srcOrd="0" destOrd="0" parTransId="{FC7475B4-040D-43DC-B69C-D0F86A3FB8CD}" sibTransId="{D7715044-BFA9-442D-90EC-8BE8F2D5D4C3}"/>
    <dgm:cxn modelId="{E8FEA591-9E5A-4525-98A8-1B62B510EE80}" type="presOf" srcId="{1E5A070A-4AC6-4031-BE9E-4247299B6A65}" destId="{B3A75D99-B0BE-4812-AE38-6073DD91D8C8}" srcOrd="0" destOrd="0" presId="urn:microsoft.com/office/officeart/2009/layout/CirclePictureHierarchy"/>
    <dgm:cxn modelId="{3375AB94-3181-4906-B826-431B4CF9C958}" type="presOf" srcId="{FC7475B4-040D-43DC-B69C-D0F86A3FB8CD}" destId="{C9FC1505-C36B-412F-9E9A-68FF17BB4EE4}" srcOrd="0" destOrd="0" presId="urn:microsoft.com/office/officeart/2009/layout/CirclePictureHierarchy"/>
    <dgm:cxn modelId="{BF128796-3C27-410C-9375-A6ABC947CA9C}" type="presOf" srcId="{BC6D681C-7CB2-4F7A-8881-FB6C68C33C7F}" destId="{17A5FE8C-2B25-484F-9933-4D21B3D8E241}" srcOrd="0" destOrd="0" presId="urn:microsoft.com/office/officeart/2009/layout/CirclePictureHierarchy"/>
    <dgm:cxn modelId="{A330E697-E60D-4CD9-B287-3AB478C01500}" type="presOf" srcId="{5BB06425-CB6B-4BD6-8E31-17D0DEE0B0B7}" destId="{DC10C6A3-BC41-4A72-A99B-0DA6E86134CB}" srcOrd="0" destOrd="0" presId="urn:microsoft.com/office/officeart/2009/layout/CirclePictureHierarchy"/>
    <dgm:cxn modelId="{81CD52B8-CC9C-487E-9A6B-8EDA5BA40ECD}" type="presOf" srcId="{D4A04007-329D-43FA-9795-14A7C8861E24}" destId="{EBBD982C-9C40-4975-B916-D681943FEB18}" srcOrd="0" destOrd="0" presId="urn:microsoft.com/office/officeart/2009/layout/CirclePictureHierarchy"/>
    <dgm:cxn modelId="{C22931C2-21CE-4D6D-9E7F-793665B8ACFC}" type="presOf" srcId="{94D5CE68-DFF7-400F-BD31-EC259D3B276C}" destId="{312A0398-5A05-4ACB-A9A7-668DAC9DB02F}" srcOrd="0" destOrd="0" presId="urn:microsoft.com/office/officeart/2009/layout/CirclePictureHierarchy"/>
    <dgm:cxn modelId="{37FEB5FC-FEB8-47EE-B605-B9552C3EDA9D}" srcId="{C4B24BAB-23F5-4C57-AEA1-56EC720B7B00}" destId="{94D5CE68-DFF7-400F-BD31-EC259D3B276C}" srcOrd="1" destOrd="0" parTransId="{1E5A070A-4AC6-4031-BE9E-4247299B6A65}" sibTransId="{E0482DA5-454E-469B-9E68-0D7DAA7B02E6}"/>
    <dgm:cxn modelId="{101C83DE-02F6-4D86-837B-FA9597C91194}" type="presParOf" srcId="{973035F8-C0DB-4859-A167-A27181DFDD2D}" destId="{FF2138A3-3792-46F1-ADAB-2BF592200B66}" srcOrd="0" destOrd="0" presId="urn:microsoft.com/office/officeart/2009/layout/CirclePictureHierarchy"/>
    <dgm:cxn modelId="{CDE6FB22-8ECE-4DB2-B2DD-89B0FB414697}" type="presParOf" srcId="{FF2138A3-3792-46F1-ADAB-2BF592200B66}" destId="{CB6FC4AC-D941-45D7-91C9-23B4801C5038}" srcOrd="0" destOrd="0" presId="urn:microsoft.com/office/officeart/2009/layout/CirclePictureHierarchy"/>
    <dgm:cxn modelId="{810A427B-6989-418A-AD42-489BCED777AA}" type="presParOf" srcId="{CB6FC4AC-D941-45D7-91C9-23B4801C5038}" destId="{AC3F12E7-9A3C-493C-9D3E-B0C26CA4F679}" srcOrd="0" destOrd="0" presId="urn:microsoft.com/office/officeart/2009/layout/CirclePictureHierarchy"/>
    <dgm:cxn modelId="{DE658500-D79A-4066-B624-EB983532F704}" type="presParOf" srcId="{CB6FC4AC-D941-45D7-91C9-23B4801C5038}" destId="{EBBD982C-9C40-4975-B916-D681943FEB18}" srcOrd="1" destOrd="0" presId="urn:microsoft.com/office/officeart/2009/layout/CirclePictureHierarchy"/>
    <dgm:cxn modelId="{0E8EEB3E-9F81-40DD-93D9-4B3D9AAFB000}" type="presParOf" srcId="{FF2138A3-3792-46F1-ADAB-2BF592200B66}" destId="{21CB4B32-12E2-4906-BA6D-3F4033F8E078}" srcOrd="1" destOrd="0" presId="urn:microsoft.com/office/officeart/2009/layout/CirclePictureHierarchy"/>
    <dgm:cxn modelId="{C75D60ED-BDBE-4031-946B-907360F27276}" type="presParOf" srcId="{21CB4B32-12E2-4906-BA6D-3F4033F8E078}" destId="{DC10C6A3-BC41-4A72-A99B-0DA6E86134CB}" srcOrd="0" destOrd="0" presId="urn:microsoft.com/office/officeart/2009/layout/CirclePictureHierarchy"/>
    <dgm:cxn modelId="{290A9DE9-EBBC-4C2C-A6B9-F345F2433226}" type="presParOf" srcId="{21CB4B32-12E2-4906-BA6D-3F4033F8E078}" destId="{AFE90F22-B524-41DD-9A69-96EDE1377BD1}" srcOrd="1" destOrd="0" presId="urn:microsoft.com/office/officeart/2009/layout/CirclePictureHierarchy"/>
    <dgm:cxn modelId="{1CDD06DD-3E74-49AB-BBC9-C2D574AF2138}" type="presParOf" srcId="{AFE90F22-B524-41DD-9A69-96EDE1377BD1}" destId="{82BDB973-B19D-4706-BF6C-56AA3C011043}" srcOrd="0" destOrd="0" presId="urn:microsoft.com/office/officeart/2009/layout/CirclePictureHierarchy"/>
    <dgm:cxn modelId="{B754B693-6A06-4DAC-B23C-6059339547D7}" type="presParOf" srcId="{82BDB973-B19D-4706-BF6C-56AA3C011043}" destId="{D8F18766-4A59-44B0-BF86-CAB8CC274176}" srcOrd="0" destOrd="0" presId="urn:microsoft.com/office/officeart/2009/layout/CirclePictureHierarchy"/>
    <dgm:cxn modelId="{921B5150-7847-40AC-B262-682123D7A759}" type="presParOf" srcId="{82BDB973-B19D-4706-BF6C-56AA3C011043}" destId="{954CE198-AAC7-4181-A357-C2C0B23B465C}" srcOrd="1" destOrd="0" presId="urn:microsoft.com/office/officeart/2009/layout/CirclePictureHierarchy"/>
    <dgm:cxn modelId="{06601524-A6A2-421F-891E-7051C4759421}" type="presParOf" srcId="{AFE90F22-B524-41DD-9A69-96EDE1377BD1}" destId="{6D7585F0-42FA-4834-ADAE-E5A347AE1D64}" srcOrd="1" destOrd="0" presId="urn:microsoft.com/office/officeart/2009/layout/CirclePictureHierarchy"/>
    <dgm:cxn modelId="{5EADCA46-C58C-4671-8B97-03407A2403F9}" type="presParOf" srcId="{6D7585F0-42FA-4834-ADAE-E5A347AE1D64}" destId="{C9FC1505-C36B-412F-9E9A-68FF17BB4EE4}" srcOrd="0" destOrd="0" presId="urn:microsoft.com/office/officeart/2009/layout/CirclePictureHierarchy"/>
    <dgm:cxn modelId="{F7A4D2C4-E790-4E6D-B1EF-9D35D98974B0}" type="presParOf" srcId="{6D7585F0-42FA-4834-ADAE-E5A347AE1D64}" destId="{EF16BF4A-A4AF-478A-84DF-13A6A572CA39}" srcOrd="1" destOrd="0" presId="urn:microsoft.com/office/officeart/2009/layout/CirclePictureHierarchy"/>
    <dgm:cxn modelId="{358ED737-0B24-4405-898F-45D2009B5D82}" type="presParOf" srcId="{EF16BF4A-A4AF-478A-84DF-13A6A572CA39}" destId="{E3381EA1-99B0-469F-A2D3-20D949EFDE25}" srcOrd="0" destOrd="0" presId="urn:microsoft.com/office/officeart/2009/layout/CirclePictureHierarchy"/>
    <dgm:cxn modelId="{65359761-CE78-4FE8-859C-59A7DE0F11BA}" type="presParOf" srcId="{E3381EA1-99B0-469F-A2D3-20D949EFDE25}" destId="{55CEF575-006A-4A53-A837-4401B048D602}" srcOrd="0" destOrd="0" presId="urn:microsoft.com/office/officeart/2009/layout/CirclePictureHierarchy"/>
    <dgm:cxn modelId="{6322E3FD-CAFA-40E8-867F-BAB1FDDFFC3B}" type="presParOf" srcId="{E3381EA1-99B0-469F-A2D3-20D949EFDE25}" destId="{24701063-35C3-4CAD-8183-BA4C0C393080}" srcOrd="1" destOrd="0" presId="urn:microsoft.com/office/officeart/2009/layout/CirclePictureHierarchy"/>
    <dgm:cxn modelId="{269AC422-E7CC-452F-80D2-A6079546AF03}" type="presParOf" srcId="{EF16BF4A-A4AF-478A-84DF-13A6A572CA39}" destId="{037196F4-47B6-45AB-9812-A90CABBC1631}" srcOrd="1" destOrd="0" presId="urn:microsoft.com/office/officeart/2009/layout/CirclePictureHierarchy"/>
    <dgm:cxn modelId="{CBCA5299-6397-40BB-9333-8F71F8293CEA}" type="presParOf" srcId="{6D7585F0-42FA-4834-ADAE-E5A347AE1D64}" destId="{B3A75D99-B0BE-4812-AE38-6073DD91D8C8}" srcOrd="2" destOrd="0" presId="urn:microsoft.com/office/officeart/2009/layout/CirclePictureHierarchy"/>
    <dgm:cxn modelId="{6BC3675E-6271-4D43-868E-762E288D9825}" type="presParOf" srcId="{6D7585F0-42FA-4834-ADAE-E5A347AE1D64}" destId="{3A869901-8D62-498F-AD4F-B81EE2FEA755}" srcOrd="3" destOrd="0" presId="urn:microsoft.com/office/officeart/2009/layout/CirclePictureHierarchy"/>
    <dgm:cxn modelId="{EA21AA2D-7012-4F6E-AC94-3BE138F1C913}" type="presParOf" srcId="{3A869901-8D62-498F-AD4F-B81EE2FEA755}" destId="{DA839A77-126C-4F59-AB79-14DA6299D53F}" srcOrd="0" destOrd="0" presId="urn:microsoft.com/office/officeart/2009/layout/CirclePictureHierarchy"/>
    <dgm:cxn modelId="{3D98B909-B529-41AA-A0F2-D23F92D122F2}" type="presParOf" srcId="{DA839A77-126C-4F59-AB79-14DA6299D53F}" destId="{1763625B-48C8-4815-8CF9-1F40DB2983BF}" srcOrd="0" destOrd="0" presId="urn:microsoft.com/office/officeart/2009/layout/CirclePictureHierarchy"/>
    <dgm:cxn modelId="{F422354F-61E7-4EB3-9339-0D06C6A0DBFB}" type="presParOf" srcId="{DA839A77-126C-4F59-AB79-14DA6299D53F}" destId="{312A0398-5A05-4ACB-A9A7-668DAC9DB02F}" srcOrd="1" destOrd="0" presId="urn:microsoft.com/office/officeart/2009/layout/CirclePictureHierarchy"/>
    <dgm:cxn modelId="{C35580F7-843D-463F-A813-1DAA72397CB0}" type="presParOf" srcId="{3A869901-8D62-498F-AD4F-B81EE2FEA755}" destId="{F1907A9F-F390-4A59-9B31-3FF8DB9DA3C2}" srcOrd="1" destOrd="0" presId="urn:microsoft.com/office/officeart/2009/layout/CirclePictureHierarchy"/>
    <dgm:cxn modelId="{F83E4E1E-BC01-4E92-8A7B-B7B211171908}" type="presParOf" srcId="{21CB4B32-12E2-4906-BA6D-3F4033F8E078}" destId="{B551C3B7-EF0D-42E2-B246-A9CD3EEF6438}" srcOrd="2" destOrd="0" presId="urn:microsoft.com/office/officeart/2009/layout/CirclePictureHierarchy"/>
    <dgm:cxn modelId="{F6E0DEFC-8DE3-4361-97D6-EE727CA1EC60}" type="presParOf" srcId="{21CB4B32-12E2-4906-BA6D-3F4033F8E078}" destId="{344B3BAF-6833-4F9E-9E4C-B19B8A18DA00}" srcOrd="3" destOrd="0" presId="urn:microsoft.com/office/officeart/2009/layout/CirclePictureHierarchy"/>
    <dgm:cxn modelId="{D397F5E7-44D4-43CD-AB9E-63159F855349}" type="presParOf" srcId="{344B3BAF-6833-4F9E-9E4C-B19B8A18DA00}" destId="{213EC7F9-81A0-47E2-8D36-CBCF33CDEB78}" srcOrd="0" destOrd="0" presId="urn:microsoft.com/office/officeart/2009/layout/CirclePictureHierarchy"/>
    <dgm:cxn modelId="{24E85EA3-3EC5-43E8-AF88-4D700E4A24E1}" type="presParOf" srcId="{213EC7F9-81A0-47E2-8D36-CBCF33CDEB78}" destId="{8287FF35-F543-405C-946E-2E11A9BF0511}" srcOrd="0" destOrd="0" presId="urn:microsoft.com/office/officeart/2009/layout/CirclePictureHierarchy"/>
    <dgm:cxn modelId="{7C558818-5D04-4376-B02C-5654F5A9B6D2}" type="presParOf" srcId="{213EC7F9-81A0-47E2-8D36-CBCF33CDEB78}" destId="{17A5FE8C-2B25-484F-9933-4D21B3D8E241}" srcOrd="1" destOrd="0" presId="urn:microsoft.com/office/officeart/2009/layout/CirclePictureHierarchy"/>
    <dgm:cxn modelId="{9FD5CCC4-4EFE-403E-B161-4E9F343652A2}" type="presParOf" srcId="{344B3BAF-6833-4F9E-9E4C-B19B8A18DA00}" destId="{7175EAE5-E9C8-4683-BFF2-79AAEF0584E4}" srcOrd="1" destOrd="0" presId="urn:microsoft.com/office/officeart/2009/layout/CirclePictureHierarchy"/>
    <dgm:cxn modelId="{8EA2649A-0371-4290-98EC-BA42F1030719}" type="presParOf" srcId="{7175EAE5-E9C8-4683-BFF2-79AAEF0584E4}" destId="{F5498A3E-3F3A-41AE-B422-8A80EE4AEC25}" srcOrd="0" destOrd="0" presId="urn:microsoft.com/office/officeart/2009/layout/CirclePictureHierarchy"/>
    <dgm:cxn modelId="{C752FFED-DA82-465B-911D-C9FEE6F8FF3B}" type="presParOf" srcId="{7175EAE5-E9C8-4683-BFF2-79AAEF0584E4}" destId="{D9B01459-545F-490F-BB32-5C016BFE7171}" srcOrd="1" destOrd="0" presId="urn:microsoft.com/office/officeart/2009/layout/CirclePictureHierarchy"/>
    <dgm:cxn modelId="{040D0FC7-6118-49D0-A2B8-99EE61721C72}" type="presParOf" srcId="{D9B01459-545F-490F-BB32-5C016BFE7171}" destId="{DF26F9F6-A7E8-4111-A636-A904A7C28602}" srcOrd="0" destOrd="0" presId="urn:microsoft.com/office/officeart/2009/layout/CirclePictureHierarchy"/>
    <dgm:cxn modelId="{8E167DB1-8D5F-4F3D-A8E0-8733B9FE8B50}" type="presParOf" srcId="{DF26F9F6-A7E8-4111-A636-A904A7C28602}" destId="{82D78C67-42FF-4B79-8DCC-18828EB58BE1}" srcOrd="0" destOrd="0" presId="urn:microsoft.com/office/officeart/2009/layout/CirclePictureHierarchy"/>
    <dgm:cxn modelId="{764CD411-8A62-4B74-9918-9BE43771E88D}" type="presParOf" srcId="{DF26F9F6-A7E8-4111-A636-A904A7C28602}" destId="{6100681C-AA58-45F2-9EE7-BB7B30E795B0}" srcOrd="1" destOrd="0" presId="urn:microsoft.com/office/officeart/2009/layout/CirclePictureHierarchy"/>
    <dgm:cxn modelId="{DADF8682-CA67-42DB-BD51-98BD2476A1AC}" type="presParOf" srcId="{D9B01459-545F-490F-BB32-5C016BFE7171}" destId="{15C35937-9D93-43B2-B32E-2EE705F79D9E}" srcOrd="1" destOrd="0" presId="urn:microsoft.com/office/officeart/2009/layout/CirclePictureHierarchy"/>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498A3E-3F3A-41AE-B422-8A80EE4AEC25}">
      <dsp:nvSpPr>
        <dsp:cNvPr id="0" name=""/>
        <dsp:cNvSpPr/>
      </dsp:nvSpPr>
      <dsp:spPr>
        <a:xfrm>
          <a:off x="4069080" y="1943957"/>
          <a:ext cx="91440" cy="216027"/>
        </a:xfrm>
        <a:custGeom>
          <a:avLst/>
          <a:gdLst/>
          <a:ahLst/>
          <a:cxnLst/>
          <a:rect l="0" t="0" r="0" b="0"/>
          <a:pathLst>
            <a:path>
              <a:moveTo>
                <a:pt x="45720" y="0"/>
              </a:moveTo>
              <a:lnTo>
                <a:pt x="45720" y="21602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51C3B7-EF0D-42E2-B246-A9CD3EEF6438}">
      <dsp:nvSpPr>
        <dsp:cNvPr id="0" name=""/>
        <dsp:cNvSpPr/>
      </dsp:nvSpPr>
      <dsp:spPr>
        <a:xfrm>
          <a:off x="2700337" y="1042130"/>
          <a:ext cx="1414462" cy="216027"/>
        </a:xfrm>
        <a:custGeom>
          <a:avLst/>
          <a:gdLst/>
          <a:ahLst/>
          <a:cxnLst/>
          <a:rect l="0" t="0" r="0" b="0"/>
          <a:pathLst>
            <a:path>
              <a:moveTo>
                <a:pt x="0" y="0"/>
              </a:moveTo>
              <a:lnTo>
                <a:pt x="0" y="108870"/>
              </a:lnTo>
              <a:lnTo>
                <a:pt x="1414462" y="108870"/>
              </a:lnTo>
              <a:lnTo>
                <a:pt x="1414462" y="2160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3A75D99-B0BE-4812-AE38-6073DD91D8C8}">
      <dsp:nvSpPr>
        <dsp:cNvPr id="0" name=""/>
        <dsp:cNvSpPr/>
      </dsp:nvSpPr>
      <dsp:spPr>
        <a:xfrm>
          <a:off x="1285875" y="1943957"/>
          <a:ext cx="942975" cy="216027"/>
        </a:xfrm>
        <a:custGeom>
          <a:avLst/>
          <a:gdLst/>
          <a:ahLst/>
          <a:cxnLst/>
          <a:rect l="0" t="0" r="0" b="0"/>
          <a:pathLst>
            <a:path>
              <a:moveTo>
                <a:pt x="0" y="0"/>
              </a:moveTo>
              <a:lnTo>
                <a:pt x="0" y="108870"/>
              </a:lnTo>
              <a:lnTo>
                <a:pt x="942975" y="108870"/>
              </a:lnTo>
              <a:lnTo>
                <a:pt x="942975" y="21602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FC1505-C36B-412F-9E9A-68FF17BB4EE4}">
      <dsp:nvSpPr>
        <dsp:cNvPr id="0" name=""/>
        <dsp:cNvSpPr/>
      </dsp:nvSpPr>
      <dsp:spPr>
        <a:xfrm>
          <a:off x="342900" y="1943957"/>
          <a:ext cx="942974" cy="216027"/>
        </a:xfrm>
        <a:custGeom>
          <a:avLst/>
          <a:gdLst/>
          <a:ahLst/>
          <a:cxnLst/>
          <a:rect l="0" t="0" r="0" b="0"/>
          <a:pathLst>
            <a:path>
              <a:moveTo>
                <a:pt x="942974" y="0"/>
              </a:moveTo>
              <a:lnTo>
                <a:pt x="942974" y="108870"/>
              </a:lnTo>
              <a:lnTo>
                <a:pt x="0" y="108870"/>
              </a:lnTo>
              <a:lnTo>
                <a:pt x="0" y="21602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10C6A3-BC41-4A72-A99B-0DA6E86134CB}">
      <dsp:nvSpPr>
        <dsp:cNvPr id="0" name=""/>
        <dsp:cNvSpPr/>
      </dsp:nvSpPr>
      <dsp:spPr>
        <a:xfrm>
          <a:off x="1285875" y="1042130"/>
          <a:ext cx="1414462" cy="216027"/>
        </a:xfrm>
        <a:custGeom>
          <a:avLst/>
          <a:gdLst/>
          <a:ahLst/>
          <a:cxnLst/>
          <a:rect l="0" t="0" r="0" b="0"/>
          <a:pathLst>
            <a:path>
              <a:moveTo>
                <a:pt x="1414462" y="0"/>
              </a:moveTo>
              <a:lnTo>
                <a:pt x="1414462" y="108870"/>
              </a:lnTo>
              <a:lnTo>
                <a:pt x="0" y="108870"/>
              </a:lnTo>
              <a:lnTo>
                <a:pt x="0" y="2160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3F12E7-9A3C-493C-9D3E-B0C26CA4F679}">
      <dsp:nvSpPr>
        <dsp:cNvPr id="0" name=""/>
        <dsp:cNvSpPr/>
      </dsp:nvSpPr>
      <dsp:spPr>
        <a:xfrm>
          <a:off x="2357437" y="356330"/>
          <a:ext cx="685799" cy="685799"/>
        </a:xfrm>
        <a:prstGeom prst="ellipse">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BBD982C-9C40-4975-B916-D681943FEB18}">
      <dsp:nvSpPr>
        <dsp:cNvPr id="0" name=""/>
        <dsp:cNvSpPr/>
      </dsp:nvSpPr>
      <dsp:spPr>
        <a:xfrm>
          <a:off x="3043237" y="354615"/>
          <a:ext cx="1028700" cy="6857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GB" sz="1300" kern="1200"/>
            <a:t>Founder and General Manager</a:t>
          </a:r>
        </a:p>
      </dsp:txBody>
      <dsp:txXfrm>
        <a:off x="3043237" y="354615"/>
        <a:ext cx="1028700" cy="685799"/>
      </dsp:txXfrm>
    </dsp:sp>
    <dsp:sp modelId="{D8F18766-4A59-44B0-BF86-CAB8CC274176}">
      <dsp:nvSpPr>
        <dsp:cNvPr id="0" name=""/>
        <dsp:cNvSpPr/>
      </dsp:nvSpPr>
      <dsp:spPr>
        <a:xfrm>
          <a:off x="942975" y="1258157"/>
          <a:ext cx="685799" cy="685799"/>
        </a:xfrm>
        <a:prstGeom prst="ellipse">
          <a:avLst/>
        </a:prstGeom>
        <a:blipFill>
          <a:blip xmlns:r="http://schemas.openxmlformats.org/officeDocument/2006/relationships" r:embed="rId2"/>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54CE198-AAC7-4181-A357-C2C0B23B465C}">
      <dsp:nvSpPr>
        <dsp:cNvPr id="0" name=""/>
        <dsp:cNvSpPr/>
      </dsp:nvSpPr>
      <dsp:spPr>
        <a:xfrm>
          <a:off x="1628775" y="1256442"/>
          <a:ext cx="1028700" cy="6857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GB" sz="1300" kern="1200"/>
            <a:t>Head Pastry Chef</a:t>
          </a:r>
        </a:p>
      </dsp:txBody>
      <dsp:txXfrm>
        <a:off x="1628775" y="1256442"/>
        <a:ext cx="1028700" cy="685799"/>
      </dsp:txXfrm>
    </dsp:sp>
    <dsp:sp modelId="{55CEF575-006A-4A53-A837-4401B048D602}">
      <dsp:nvSpPr>
        <dsp:cNvPr id="0" name=""/>
        <dsp:cNvSpPr/>
      </dsp:nvSpPr>
      <dsp:spPr>
        <a:xfrm>
          <a:off x="0" y="2159984"/>
          <a:ext cx="685799" cy="685799"/>
        </a:xfrm>
        <a:prstGeom prst="ellipse">
          <a:avLst/>
        </a:prstGeom>
        <a:blipFill>
          <a:blip xmlns:r="http://schemas.openxmlformats.org/officeDocument/2006/relationships" r:embed="rId3"/>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4701063-35C3-4CAD-8183-BA4C0C393080}">
      <dsp:nvSpPr>
        <dsp:cNvPr id="0" name=""/>
        <dsp:cNvSpPr/>
      </dsp:nvSpPr>
      <dsp:spPr>
        <a:xfrm>
          <a:off x="685800" y="2158269"/>
          <a:ext cx="1028700" cy="6857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GB" sz="1300" kern="1200"/>
            <a:t>Kitchen Assistant 1</a:t>
          </a:r>
        </a:p>
      </dsp:txBody>
      <dsp:txXfrm>
        <a:off x="685800" y="2158269"/>
        <a:ext cx="1028700" cy="685799"/>
      </dsp:txXfrm>
    </dsp:sp>
    <dsp:sp modelId="{1763625B-48C8-4815-8CF9-1F40DB2983BF}">
      <dsp:nvSpPr>
        <dsp:cNvPr id="0" name=""/>
        <dsp:cNvSpPr/>
      </dsp:nvSpPr>
      <dsp:spPr>
        <a:xfrm>
          <a:off x="1885950" y="2159984"/>
          <a:ext cx="685799" cy="685799"/>
        </a:xfrm>
        <a:prstGeom prst="ellipse">
          <a:avLst/>
        </a:prstGeom>
        <a:blipFill>
          <a:blip xmlns:r="http://schemas.openxmlformats.org/officeDocument/2006/relationships" r:embed="rId4"/>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12A0398-5A05-4ACB-A9A7-668DAC9DB02F}">
      <dsp:nvSpPr>
        <dsp:cNvPr id="0" name=""/>
        <dsp:cNvSpPr/>
      </dsp:nvSpPr>
      <dsp:spPr>
        <a:xfrm>
          <a:off x="2571750" y="2158269"/>
          <a:ext cx="1028700" cy="6857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GB" sz="1300" kern="1200"/>
            <a:t>Kitchen Assistant 2</a:t>
          </a:r>
        </a:p>
      </dsp:txBody>
      <dsp:txXfrm>
        <a:off x="2571750" y="2158269"/>
        <a:ext cx="1028700" cy="685799"/>
      </dsp:txXfrm>
    </dsp:sp>
    <dsp:sp modelId="{8287FF35-F543-405C-946E-2E11A9BF0511}">
      <dsp:nvSpPr>
        <dsp:cNvPr id="0" name=""/>
        <dsp:cNvSpPr/>
      </dsp:nvSpPr>
      <dsp:spPr>
        <a:xfrm>
          <a:off x="3771900" y="1258157"/>
          <a:ext cx="685799" cy="685799"/>
        </a:xfrm>
        <a:prstGeom prst="ellipse">
          <a:avLst/>
        </a:prstGeom>
        <a:blipFill>
          <a:blip xmlns:r="http://schemas.openxmlformats.org/officeDocument/2006/relationships" r:embed="rId5"/>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7A5FE8C-2B25-484F-9933-4D21B3D8E241}">
      <dsp:nvSpPr>
        <dsp:cNvPr id="0" name=""/>
        <dsp:cNvSpPr/>
      </dsp:nvSpPr>
      <dsp:spPr>
        <a:xfrm>
          <a:off x="4457699" y="1256442"/>
          <a:ext cx="1028700" cy="6857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GB" sz="1300" kern="1200"/>
            <a:t>Front-of-house Barista</a:t>
          </a:r>
        </a:p>
      </dsp:txBody>
      <dsp:txXfrm>
        <a:off x="4457699" y="1256442"/>
        <a:ext cx="1028700" cy="685799"/>
      </dsp:txXfrm>
    </dsp:sp>
    <dsp:sp modelId="{82D78C67-42FF-4B79-8DCC-18828EB58BE1}">
      <dsp:nvSpPr>
        <dsp:cNvPr id="0" name=""/>
        <dsp:cNvSpPr/>
      </dsp:nvSpPr>
      <dsp:spPr>
        <a:xfrm>
          <a:off x="3771900" y="2159984"/>
          <a:ext cx="685799" cy="685799"/>
        </a:xfrm>
        <a:prstGeom prst="ellipse">
          <a:avLst/>
        </a:prstGeom>
        <a:blipFill>
          <a:blip xmlns:r="http://schemas.openxmlformats.org/officeDocument/2006/relationships" r:embed="rId6"/>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100681C-AA58-45F2-9EE7-BB7B30E795B0}">
      <dsp:nvSpPr>
        <dsp:cNvPr id="0" name=""/>
        <dsp:cNvSpPr/>
      </dsp:nvSpPr>
      <dsp:spPr>
        <a:xfrm>
          <a:off x="4457699" y="2158269"/>
          <a:ext cx="1028700" cy="68579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l" defTabSz="577850">
            <a:lnSpc>
              <a:spcPct val="90000"/>
            </a:lnSpc>
            <a:spcBef>
              <a:spcPct val="0"/>
            </a:spcBef>
            <a:spcAft>
              <a:spcPct val="35000"/>
            </a:spcAft>
            <a:buNone/>
          </a:pPr>
          <a:r>
            <a:rPr lang="en-GB" sz="1300" kern="1200"/>
            <a:t>Barista 2</a:t>
          </a:r>
        </a:p>
      </dsp:txBody>
      <dsp:txXfrm>
        <a:off x="4457699" y="2158269"/>
        <a:ext cx="1028700" cy="685799"/>
      </dsp:txXfrm>
    </dsp:sp>
  </dsp:spTree>
</dsp:drawing>
</file>

<file path=word/diagrams/layout1.xml><?xml version="1.0" encoding="utf-8"?>
<dgm:layoutDef xmlns:dgm="http://schemas.openxmlformats.org/drawingml/2006/diagram" xmlns:a="http://schemas.openxmlformats.org/drawingml/2006/main" uniqueId="urn:microsoft.com/office/officeart/2009/layout/CirclePictureHierarchy">
  <dgm:title val=""/>
  <dgm:desc val=""/>
  <dgm:catLst>
    <dgm:cat type="hierarchy" pri="1750"/>
    <dgm:cat type="picture" pri="23000"/>
    <dgm:cat type="pictureconvert" pri="2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5"/>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h" for="ch" forName="image" refType="h" fact="0.8"/>
              <dgm:constr type="w" for="ch" forName="image" refType="h" refFor="ch" refForName="image"/>
              <dgm:constr type="t" for="ch" forName="image" refType="h" fact="0.1"/>
              <dgm:constr type="l" for="ch" forName="image"/>
              <dgm:constr type="w" for="ch" forName="text" refType="w" fact="0.6"/>
              <dgm:constr type="h" for="ch" forName="text" refType="h" fact="0.8"/>
              <dgm:constr type="t" for="ch" forName="text" refType="w" fact="0.04"/>
              <dgm:constr type="l" for="ch" forName="text" refType="w" fact="0.4"/>
            </dgm:constrLst>
            <dgm:ruleLst/>
            <dgm:layoutNode name="image" styleLbl="node0">
              <dgm:alg type="sp"/>
              <dgm:shape xmlns:r="http://schemas.openxmlformats.org/officeDocument/2006/relationships" type="ellipse" r:blip="" blipPhldr="1">
                <dgm:adjLst/>
              </dgm:shape>
              <dgm:presOf/>
              <dgm:constrLst/>
              <dgm:ruleLst/>
            </dgm:layoutNode>
            <dgm:layoutNode name="text"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image"/>
                    <dgm:param type="dstNode" val="image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h" for="ch" forName="image2" refType="h" fact="0.8"/>
                      <dgm:constr type="w" for="ch" forName="image2" refType="h" refFor="ch" refForName="image2"/>
                      <dgm:constr type="t" for="ch" forName="image2" refType="h" fact="0.1"/>
                      <dgm:constr type="l" for="ch" forName="image2"/>
                      <dgm:constr type="w" for="ch" forName="text2" refType="w" fact="0.6"/>
                      <dgm:constr type="h" for="ch" forName="text2" refType="h" fact="0.8"/>
                      <dgm:constr type="t" for="ch" forName="text2" refType="w" fact="0.04"/>
                      <dgm:constr type="l" for="ch" forName="text2" refType="w" fact="0.4"/>
                    </dgm:constrLst>
                    <dgm:ruleLst/>
                    <dgm:layoutNode name="image2">
                      <dgm:alg type="sp"/>
                      <dgm:shape xmlns:r="http://schemas.openxmlformats.org/officeDocument/2006/relationships" type="ellipse" r:blip="" blipPhldr="1">
                        <dgm:adjLst/>
                      </dgm:shape>
                      <dgm:presOf/>
                      <dgm:constrLst/>
                      <dgm:ruleLst/>
                    </dgm:layoutNode>
                    <dgm:layoutNode name="text2"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image2"/>
                            <dgm:param type="dstNode" val="image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h" for="ch" forName="image3" refType="h" fact="0.8"/>
                              <dgm:constr type="w" for="ch" forName="image3" refType="h" refFor="ch" refForName="image3"/>
                              <dgm:constr type="t" for="ch" forName="image3" refType="h" fact="0.1"/>
                              <dgm:constr type="l" for="ch" forName="image3"/>
                              <dgm:constr type="w" for="ch" forName="text3" refType="w" fact="0.6"/>
                              <dgm:constr type="h" for="ch" forName="text3" refType="h" fact="0.8"/>
                              <dgm:constr type="t" for="ch" forName="text3" refType="w" fact="0.04"/>
                              <dgm:constr type="l" for="ch" forName="text3" refType="w" fact="0.4"/>
                            </dgm:constrLst>
                            <dgm:ruleLst/>
                            <dgm:layoutNode name="image3">
                              <dgm:alg type="sp"/>
                              <dgm:shape xmlns:r="http://schemas.openxmlformats.org/officeDocument/2006/relationships" type="ellipse" r:blip="" blipPhldr="1">
                                <dgm:adjLst/>
                              </dgm:shape>
                              <dgm:presOf/>
                              <dgm:constrLst/>
                              <dgm:ruleLst/>
                            </dgm:layoutNode>
                            <dgm:layoutNode name="text3"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image3"/>
                                        <dgm:param type="dstNode" val="image4"/>
                                      </dgm:alg>
                                    </dgm:if>
                                    <dgm:else name="Name26">
                                      <dgm:alg type="conn">
                                        <dgm:param type="dim" val="1D"/>
                                        <dgm:param type="endSty" val="noArr"/>
                                        <dgm:param type="connRout" val="bend"/>
                                        <dgm:param type="bendPt" val="end"/>
                                        <dgm:param type="begPts" val="bCtr"/>
                                        <dgm:param type="endPts" val="tCtr"/>
                                        <dgm:param type="srcNode" val="image4"/>
                                        <dgm:param type="dstNode" val="image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h" for="ch" forName="image4" refType="h" fact="0.8"/>
                                      <dgm:constr type="w" for="ch" forName="image4" refType="h" refFor="ch" refForName="image4"/>
                                      <dgm:constr type="t" for="ch" forName="image4" refType="h" fact="0.1"/>
                                      <dgm:constr type="l" for="ch" forName="image4"/>
                                      <dgm:constr type="w" for="ch" forName="text4" refType="w" fact="0.6"/>
                                      <dgm:constr type="h" for="ch" forName="text4" refType="h" fact="0.8"/>
                                      <dgm:constr type="t" for="ch" forName="text4" refType="w" fact="0.04"/>
                                      <dgm:constr type="l" for="ch" forName="text4" refType="w" fact="0.4"/>
                                    </dgm:constrLst>
                                    <dgm:ruleLst/>
                                    <dgm:layoutNode name="image4">
                                      <dgm:alg type="sp"/>
                                      <dgm:shape xmlns:r="http://schemas.openxmlformats.org/officeDocument/2006/relationships" type="ellipse" r:blip="" blipPhldr="1">
                                        <dgm:adjLst/>
                                      </dgm:shape>
                                      <dgm:presOf/>
                                      <dgm:constrLst/>
                                      <dgm:ruleLst/>
                                    </dgm:layoutNode>
                                    <dgm:layoutNode name="text4"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11</Pages>
  <Words>2631</Words>
  <Characters>15001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007</dc:creator>
  <cp:keywords/>
  <dc:description/>
  <cp:lastModifiedBy>007</cp:lastModifiedBy>
  <cp:revision>2</cp:revision>
  <dcterms:created xsi:type="dcterms:W3CDTF">2026-06-19T16:29:00Z</dcterms:created>
  <dcterms:modified xsi:type="dcterms:W3CDTF">2026-06-19T20:03:00Z</dcterms:modified>
</cp:coreProperties>
</file>