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72BB9" w14:textId="25F345E9" w:rsidR="00F14BE3" w:rsidRPr="00CE6CFE" w:rsidRDefault="00CE6CFE" w:rsidP="00CE6CFE">
      <w:pPr>
        <w:pStyle w:val="Nornal"/>
        <w:rPr>
          <w:rStyle w:val="ui-provider"/>
          <w:rFonts w:ascii="Trebuchet MS" w:hAnsi="Trebuchet MS"/>
          <w:b/>
          <w:bCs/>
        </w:rPr>
      </w:pPr>
      <w:r w:rsidRPr="00CE6CFE">
        <w:rPr>
          <w:rStyle w:val="ui-provider"/>
          <w:rFonts w:ascii="Trebuchet MS" w:hAnsi="Trebuchet MS"/>
          <w:b/>
          <w:bCs/>
        </w:rPr>
        <w:t>C</w:t>
      </w:r>
      <w:r w:rsidR="00973781" w:rsidRPr="00CE6CFE">
        <w:rPr>
          <w:rStyle w:val="ui-provider"/>
          <w:rFonts w:ascii="Trebuchet MS" w:hAnsi="Trebuchet MS"/>
          <w:b/>
          <w:bCs/>
        </w:rPr>
        <w:t xml:space="preserve">ompetitive </w:t>
      </w:r>
      <w:proofErr w:type="spellStart"/>
      <w:r>
        <w:rPr>
          <w:rStyle w:val="ui-provider"/>
          <w:rFonts w:ascii="Trebuchet MS" w:hAnsi="Trebuchet MS"/>
          <w:b/>
          <w:bCs/>
        </w:rPr>
        <w:t>L</w:t>
      </w:r>
      <w:r w:rsidR="00973781" w:rsidRPr="00CE6CFE">
        <w:rPr>
          <w:rStyle w:val="ui-provider"/>
          <w:rFonts w:ascii="Trebuchet MS" w:hAnsi="Trebuchet MS"/>
          <w:b/>
          <w:bCs/>
        </w:rPr>
        <w:t>abour</w:t>
      </w:r>
      <w:proofErr w:type="spellEnd"/>
      <w:r w:rsidR="00973781" w:rsidRPr="00CE6CFE">
        <w:rPr>
          <w:rStyle w:val="ui-provider"/>
          <w:rFonts w:ascii="Trebuchet MS" w:hAnsi="Trebuchet MS"/>
          <w:b/>
          <w:bCs/>
        </w:rPr>
        <w:t xml:space="preserve"> </w:t>
      </w:r>
      <w:r>
        <w:rPr>
          <w:rStyle w:val="ui-provider"/>
          <w:rFonts w:ascii="Trebuchet MS" w:hAnsi="Trebuchet MS"/>
          <w:b/>
          <w:bCs/>
        </w:rPr>
        <w:t>M</w:t>
      </w:r>
      <w:r w:rsidR="00973781" w:rsidRPr="00CE6CFE">
        <w:rPr>
          <w:rStyle w:val="ui-provider"/>
          <w:rFonts w:ascii="Trebuchet MS" w:hAnsi="Trebuchet MS"/>
          <w:b/>
          <w:bCs/>
        </w:rPr>
        <w:t>arkets (AC 1.1)</w:t>
      </w:r>
    </w:p>
    <w:p w14:paraId="36C1F67D" w14:textId="77777777" w:rsidR="00C77BF0" w:rsidRPr="00E375FD"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a long-established national parcel and package delivery service, is currently facing challenges in attracting, recruiting, and retaining staff due to increased competition in the labour market. To strategically position itself in this competitive environment,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can implement several key strategies. Enhancing its employer brand is crucial; by promoting a positive image that highlights employee benefits, career development opportunities, and a supportive work culture,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can attract top talent (Scott, 2024). Utilising social media platforms, employee testimonials, and professional networks can amplify this message and reach a broader audience. Additionally, offering competitive compensation packages that include not only salary but also benefits such as health insurance, retirement plans, and performance bonuses can make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a more attractive employer (CIPD, 2023).</w:t>
      </w:r>
    </w:p>
    <w:p w14:paraId="4A19FD5D" w14:textId="77777777" w:rsidR="00C77BF0" w:rsidRPr="00E375FD"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E375FD">
        <w:rPr>
          <w:rFonts w:eastAsia="Times New Roman"/>
          <w:bdr w:val="none" w:sz="0" w:space="0" w:color="auto"/>
          <w:lang w:val="en-GB" w:eastAsia="en-GB"/>
        </w:rPr>
        <w:t>Implementing effective recruitment and retention strategies is essential. This includes streamlining the hiring process to reduce time-to-hire, providing comprehensive onboarding programmes to integrate new employees effectively, and offering continuous training and development opportunities to enhance skills and career progression (CIPD, 2024). Furthermore, fostering a positive work environment that encourages employee engagement and satisfaction can lead to higher retention rates (CIPD, 2022).</w:t>
      </w:r>
    </w:p>
    <w:p w14:paraId="6219BE76" w14:textId="77777777" w:rsidR="00C77BF0" w:rsidRPr="00E375FD"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E375FD">
        <w:rPr>
          <w:rFonts w:eastAsia="Times New Roman"/>
          <w:bdr w:val="none" w:sz="0" w:space="0" w:color="auto"/>
          <w:lang w:val="en-GB" w:eastAsia="en-GB"/>
        </w:rPr>
        <w:t xml:space="preserve">Adopting strategic workforce planning can help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anticipate future staffing needs and address potential skill gaps. By forecasting labour requirements based on business growth and market trends,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can proactively recruit and train employees to meet these demands (CIPD, 2024). This approach not only ensures a steady talent pipeline but also reduces the risks associated with sudden staff shortages.</w:t>
      </w:r>
    </w:p>
    <w:p w14:paraId="10ACA15E" w14:textId="77777777" w:rsidR="00C77BF0" w:rsidRPr="00E375FD"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E375FD">
        <w:rPr>
          <w:rFonts w:eastAsia="Times New Roman"/>
          <w:bdr w:val="none" w:sz="0" w:space="0" w:color="auto"/>
          <w:lang w:val="en-GB" w:eastAsia="en-GB"/>
        </w:rPr>
        <w:t>Lastly, embracing technological advancements can improve operational efficiency and attract tech-savvy employees. Investing in automation, data analytics, and digital tools can streamline processes and reduce manual workloads, making the company more appealing to potential candidates seeking innovative workplaces (Scott, 2024).</w:t>
      </w:r>
    </w:p>
    <w:p w14:paraId="49B74739" w14:textId="77777777" w:rsidR="00C77BF0" w:rsidRPr="00E375FD"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E375FD">
        <w:rPr>
          <w:rFonts w:eastAsia="Times New Roman"/>
          <w:bdr w:val="none" w:sz="0" w:space="0" w:color="auto"/>
          <w:lang w:val="en-GB" w:eastAsia="en-GB"/>
        </w:rPr>
        <w:t xml:space="preserve">In conclusion, by enhancing its employer brand, implementing effective recruitment and retention strategies, adopting strategic workforce planning, and embracing technological advancements, </w:t>
      </w:r>
      <w:proofErr w:type="spellStart"/>
      <w:r w:rsidRPr="00E375FD">
        <w:rPr>
          <w:rFonts w:eastAsia="Times New Roman"/>
          <w:bdr w:val="none" w:sz="0" w:space="0" w:color="auto"/>
          <w:lang w:val="en-GB" w:eastAsia="en-GB"/>
        </w:rPr>
        <w:t>ParcelCare</w:t>
      </w:r>
      <w:proofErr w:type="spellEnd"/>
      <w:r w:rsidRPr="00E375FD">
        <w:rPr>
          <w:rFonts w:eastAsia="Times New Roman"/>
          <w:bdr w:val="none" w:sz="0" w:space="0" w:color="auto"/>
          <w:lang w:val="en-GB" w:eastAsia="en-GB"/>
        </w:rPr>
        <w:t xml:space="preserve"> can strategically position itself to attract, recruit, and retain top talent in a competitive labour market.</w:t>
      </w:r>
    </w:p>
    <w:p w14:paraId="5C68B5C3" w14:textId="77777777" w:rsidR="00C77BF0" w:rsidRDefault="00C77BF0" w:rsidP="00C77BF0">
      <w:pPr>
        <w:pStyle w:val="Nornal"/>
        <w:rPr>
          <w:rFonts w:ascii="Trebuchet MS" w:hAnsi="Trebuchet MS"/>
        </w:rPr>
      </w:pPr>
    </w:p>
    <w:p w14:paraId="17B53319" w14:textId="1798B992" w:rsidR="00F14BE3" w:rsidRPr="003C31C3" w:rsidRDefault="003C31C3" w:rsidP="0035023A">
      <w:pPr>
        <w:pStyle w:val="Nornal"/>
        <w:rPr>
          <w:rStyle w:val="ui-provider"/>
          <w:rFonts w:ascii="Trebuchet MS" w:hAnsi="Trebuchet MS"/>
          <w:b/>
          <w:bCs/>
        </w:rPr>
      </w:pPr>
      <w:r w:rsidRPr="003C31C3">
        <w:rPr>
          <w:rStyle w:val="ui-provider"/>
          <w:rFonts w:ascii="Trebuchet MS" w:hAnsi="Trebuchet MS"/>
          <w:b/>
          <w:bCs/>
        </w:rPr>
        <w:t>C</w:t>
      </w:r>
      <w:r w:rsidR="00973781" w:rsidRPr="003C31C3">
        <w:rPr>
          <w:rStyle w:val="ui-provider"/>
          <w:rFonts w:ascii="Trebuchet MS" w:hAnsi="Trebuchet MS"/>
          <w:b/>
          <w:bCs/>
        </w:rPr>
        <w:t xml:space="preserve">hanging </w:t>
      </w:r>
      <w:proofErr w:type="spellStart"/>
      <w:r w:rsidR="00973781" w:rsidRPr="003C31C3">
        <w:rPr>
          <w:rStyle w:val="ui-provider"/>
          <w:rFonts w:ascii="Trebuchet MS" w:hAnsi="Trebuchet MS"/>
          <w:b/>
          <w:bCs/>
        </w:rPr>
        <w:t>labour</w:t>
      </w:r>
      <w:proofErr w:type="spellEnd"/>
      <w:r w:rsidR="00973781" w:rsidRPr="003C31C3">
        <w:rPr>
          <w:rStyle w:val="ui-provider"/>
          <w:rFonts w:ascii="Trebuchet MS" w:hAnsi="Trebuchet MS"/>
          <w:b/>
          <w:bCs/>
        </w:rPr>
        <w:t xml:space="preserve"> market conditions </w:t>
      </w:r>
      <w:r w:rsidR="0035023A" w:rsidRPr="003C31C3">
        <w:rPr>
          <w:rStyle w:val="ui-provider"/>
          <w:rFonts w:ascii="Trebuchet MS" w:hAnsi="Trebuchet MS"/>
          <w:b/>
          <w:bCs/>
        </w:rPr>
        <w:t>and</w:t>
      </w:r>
      <w:r w:rsidR="00973781" w:rsidRPr="003C31C3">
        <w:rPr>
          <w:rStyle w:val="ui-provider"/>
          <w:rFonts w:ascii="Trebuchet MS" w:hAnsi="Trebuchet MS"/>
          <w:b/>
          <w:bCs/>
        </w:rPr>
        <w:t xml:space="preserve"> resourcing</w:t>
      </w:r>
      <w:r w:rsidR="0035023A" w:rsidRPr="003C31C3">
        <w:rPr>
          <w:rStyle w:val="ui-provider"/>
          <w:rFonts w:ascii="Trebuchet MS" w:hAnsi="Trebuchet MS"/>
          <w:b/>
          <w:bCs/>
        </w:rPr>
        <w:t xml:space="preserve"> </w:t>
      </w:r>
      <w:r w:rsidR="00973781" w:rsidRPr="003C31C3">
        <w:rPr>
          <w:rStyle w:val="ui-provider"/>
          <w:rFonts w:ascii="Trebuchet MS" w:hAnsi="Trebuchet MS"/>
          <w:b/>
          <w:bCs/>
        </w:rPr>
        <w:t>(AC 1.2)</w:t>
      </w:r>
    </w:p>
    <w:p w14:paraId="032B91BB" w14:textId="77777777" w:rsidR="0035023A" w:rsidRPr="0035023A"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35023A">
        <w:rPr>
          <w:rFonts w:eastAsia="Times New Roman"/>
          <w:bdr w:val="none" w:sz="0" w:space="0" w:color="auto"/>
          <w:lang w:val="en-GB" w:eastAsia="en-GB"/>
        </w:rPr>
        <w:t xml:space="preserve">Changing labour market conditions have a significant impact on resourcing decisions at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influencing how the organisation attracts, recruits, and retains employees. In recent years, the parcel delivery sector has experienced rapid growth, driven by increasing e-commerce demand, but this growth has also intensified competition for skilled labour. New entrants to the market, along with competing organisations offering flexible working arrangements, higher pay, or enhanced benefits, have placed pressure on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to adapt its resourcing strategies (CIPD, 2023). This competitive labour environment means that traditional recruitment approaches may no longer be sufficient, necessitating more strategic and proactive workforce planning.</w:t>
      </w:r>
    </w:p>
    <w:p w14:paraId="39826BCE" w14:textId="77777777" w:rsidR="0035023A" w:rsidRPr="0035023A"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35023A">
        <w:rPr>
          <w:rFonts w:eastAsia="Times New Roman"/>
          <w:bdr w:val="none" w:sz="0" w:space="0" w:color="auto"/>
          <w:lang w:val="en-GB" w:eastAsia="en-GB"/>
        </w:rPr>
        <w:t xml:space="preserve">One of the primary impacts of changing labour market conditions is the need for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to adjust compensation and benefits packages. Tight labour markets often lead to wage inflation, particularly for roles that are in high demand, such as delivery drivers, warehouse operatives, and logistics </w:t>
      </w:r>
      <w:r w:rsidRPr="0035023A">
        <w:rPr>
          <w:rFonts w:eastAsia="Times New Roman"/>
          <w:bdr w:val="none" w:sz="0" w:space="0" w:color="auto"/>
          <w:lang w:val="en-GB" w:eastAsia="en-GB"/>
        </w:rPr>
        <w:lastRenderedPageBreak/>
        <w:t>coordinators (Armstrong &amp; Taylor, 2020). Failure to offer competitive salaries risks losing candidates to rival organisations and increases staff turnover, which can disrupt operations and increase recruitment costs. Consequently, resourcing decisions must include regular benchmarking against industry standards to ensure that remuneration remains attractive.</w:t>
      </w:r>
    </w:p>
    <w:p w14:paraId="5B6E9282" w14:textId="77777777" w:rsidR="0035023A" w:rsidRPr="0035023A"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35023A">
        <w:rPr>
          <w:rFonts w:eastAsia="Times New Roman"/>
          <w:bdr w:val="none" w:sz="0" w:space="0" w:color="auto"/>
          <w:lang w:val="en-GB" w:eastAsia="en-GB"/>
        </w:rPr>
        <w:t xml:space="preserve">In addition, changes in workforce demographics and employee expectations require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to reconsider its recruitment and retention strategies. Younger employees increasingly value flexible working, career development opportunities, and organisational culture, while older workers may prioritise job security and pension benefits (CIPD, 2022). To respond effectively,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must integrate diversity and inclusion initiatives into its resourcing practices and develop tailored retention strategies that meet the needs of different employee segments.</w:t>
      </w:r>
    </w:p>
    <w:p w14:paraId="3BF75972" w14:textId="77777777" w:rsidR="0035023A" w:rsidRPr="0035023A"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35023A">
        <w:rPr>
          <w:rFonts w:eastAsia="Times New Roman"/>
          <w:bdr w:val="none" w:sz="0" w:space="0" w:color="auto"/>
          <w:lang w:val="en-GB" w:eastAsia="en-GB"/>
        </w:rPr>
        <w:t xml:space="preserve">Labour market volatility also affects strategic workforce planning. Economic uncertainty, seasonal fluctuations, and regional differences in labour supply necessitate agile recruitment practices.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may need to use temporary staffing solutions, partnerships with staffing agencies, and digital recruitment platforms to quickly meet fluctuating demand (CIPD, 2024). Data-driven insights into labour market trends can support informed decision-making, enabling the company to forecast staffing needs, anticipate skill shortages, and reduce the risk of operational disruption.</w:t>
      </w:r>
    </w:p>
    <w:p w14:paraId="1B2F4A8D" w14:textId="77777777" w:rsidR="0035023A" w:rsidRPr="0035023A"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35023A">
        <w:rPr>
          <w:rFonts w:eastAsia="Times New Roman"/>
          <w:bdr w:val="none" w:sz="0" w:space="0" w:color="auto"/>
          <w:lang w:val="en-GB" w:eastAsia="en-GB"/>
        </w:rPr>
        <w:t xml:space="preserve">In conclusion, changing labour market conditions directly influence resourcing decisions at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by shaping compensation strategies, recruitment practices, retention approaches, and workforce planning. By responding proactively to these changes, leveraging market intelligence, and adopting flexible and inclusive resourcing strategies, </w:t>
      </w:r>
      <w:proofErr w:type="spellStart"/>
      <w:r w:rsidRPr="0035023A">
        <w:rPr>
          <w:rFonts w:eastAsia="Times New Roman"/>
          <w:bdr w:val="none" w:sz="0" w:space="0" w:color="auto"/>
          <w:lang w:val="en-GB" w:eastAsia="en-GB"/>
        </w:rPr>
        <w:t>ParcelCare</w:t>
      </w:r>
      <w:proofErr w:type="spellEnd"/>
      <w:r w:rsidRPr="0035023A">
        <w:rPr>
          <w:rFonts w:eastAsia="Times New Roman"/>
          <w:bdr w:val="none" w:sz="0" w:space="0" w:color="auto"/>
          <w:lang w:val="en-GB" w:eastAsia="en-GB"/>
        </w:rPr>
        <w:t xml:space="preserve"> can maintain a competitive edge in attracting and retaining the talent needed to support its growth and operational objectives.</w:t>
      </w:r>
    </w:p>
    <w:p w14:paraId="1B39B210" w14:textId="77777777" w:rsidR="0035023A" w:rsidRDefault="0035023A" w:rsidP="0035023A">
      <w:pPr>
        <w:pStyle w:val="Nornal"/>
        <w:rPr>
          <w:rFonts w:ascii="Trebuchet MS" w:hAnsi="Trebuchet MS"/>
        </w:rPr>
      </w:pPr>
    </w:p>
    <w:p w14:paraId="7DA1491E" w14:textId="049ED7C7" w:rsidR="0089162E" w:rsidRPr="003C31C3" w:rsidRDefault="003C31C3" w:rsidP="003C31C3">
      <w:pPr>
        <w:pStyle w:val="Nornal"/>
        <w:rPr>
          <w:rStyle w:val="ui-provider"/>
          <w:rFonts w:ascii="Trebuchet MS" w:hAnsi="Trebuchet MS"/>
          <w:b/>
          <w:bCs/>
        </w:rPr>
      </w:pPr>
      <w:r w:rsidRPr="003C31C3">
        <w:rPr>
          <w:rStyle w:val="ui-provider"/>
          <w:rFonts w:ascii="Trebuchet MS" w:hAnsi="Trebuchet MS"/>
          <w:b/>
          <w:bCs/>
        </w:rPr>
        <w:t>Impact</w:t>
      </w:r>
      <w:r w:rsidR="00973781" w:rsidRPr="003C31C3">
        <w:rPr>
          <w:rStyle w:val="ui-provider"/>
          <w:rFonts w:ascii="Trebuchet MS" w:hAnsi="Trebuchet MS"/>
          <w:b/>
          <w:bCs/>
        </w:rPr>
        <w:t xml:space="preserve"> of effective workforce planning</w:t>
      </w:r>
      <w:r w:rsidRPr="003C31C3">
        <w:rPr>
          <w:rStyle w:val="ui-provider"/>
          <w:rFonts w:ascii="Trebuchet MS" w:hAnsi="Trebuchet MS"/>
          <w:b/>
          <w:bCs/>
        </w:rPr>
        <w:t xml:space="preserve"> </w:t>
      </w:r>
      <w:r w:rsidR="00973781" w:rsidRPr="003C31C3">
        <w:rPr>
          <w:rStyle w:val="ui-provider"/>
          <w:rFonts w:ascii="Trebuchet MS" w:hAnsi="Trebuchet MS"/>
          <w:b/>
          <w:bCs/>
        </w:rPr>
        <w:t>(AC 2.1)</w:t>
      </w:r>
    </w:p>
    <w:p w14:paraId="156A3308"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t xml:space="preserve">Effective workforce planning is a strategic process that ensures an organisation has the right number of people, with the right skills, in the right roles at the right time. For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where operational efficiency depends heavily on maintaining adequate staffing levels across delivery, logistics, and administrative functions, implementing workforce planning could provide substantial benefits. The absence of structured workforce planning in the past may have contributed to current staffing challenges, including skills shortages, high turnover, and difficulties in meeting fluctuating demand. Introducing this activity would enable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to move from reactive to proactive management of its human resources (CIPD, 2024).</w:t>
      </w:r>
    </w:p>
    <w:p w14:paraId="2634758D"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t xml:space="preserve">One of the key impacts of effective workforce planning is improved organisational agility. By forecasting future workforce requirements and identifying potential skills gaps,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can prepare for both short-term operational needs and long-term strategic growth (Reilly, 2018). For example, analysing delivery volume data could help anticipate peak demand periods, ensuring sufficient staff availability without excessive reliance on costly agency workers. This not only improves productivity but also enhances service reliability, supporting the company’s reputation in a competitive parcel delivery market.</w:t>
      </w:r>
    </w:p>
    <w:p w14:paraId="458E6C2D"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t xml:space="preserve">Workforce planning also enhances talent management by aligning people strategies with business objectives. Through skills mapping and succession planning,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can identify critical roles and develop internal pipelines to fill them. This approach supports employee engagement and career development, helping reduce turnover and recruitment costs (Armstrong &amp; Taylor, 2020). In a labour market where retaining experienced logistics and delivery staff is increasingly difficult, having a clear strategy for internal progression and development is essential for maintaining operational continuity.</w:t>
      </w:r>
    </w:p>
    <w:p w14:paraId="03D8DEE8"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lastRenderedPageBreak/>
        <w:t xml:space="preserve">Moreover, effective workforce planning enables better financial and resource allocation. By aligning staffing levels with workload forecasts,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can optimise labour costs and avoid the inefficiencies associated with both understaffing and overstaffing (CIPD, 2022). The ability to make data-driven resourcing decisions can also improve budget accuracy and strengthen the business case for investments in recruitment, training, or automation.</w:t>
      </w:r>
    </w:p>
    <w:p w14:paraId="31EC149E"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t>Finally, workforce planning promotes diversity and inclusion by using data to ensure fair recruitment and development opportunities across all demographic groups. A diverse workforce enhances innovation, decision-making, and customer satisfaction—key competitive advantages in a customer-focused service industry (CIPD, 2023).</w:t>
      </w:r>
    </w:p>
    <w:p w14:paraId="48DFBCED" w14:textId="77777777" w:rsidR="00AC1D66" w:rsidRPr="00AC1D6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C1D66">
        <w:rPr>
          <w:rFonts w:eastAsia="Times New Roman"/>
          <w:bdr w:val="none" w:sz="0" w:space="0" w:color="auto"/>
          <w:lang w:val="en-GB" w:eastAsia="en-GB"/>
        </w:rPr>
        <w:t xml:space="preserve">In conclusion, effective workforce planning would provide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with greater agility, financial efficiency, and workforce stability. By anticipating future needs, aligning resources strategically, and fostering internal talent, </w:t>
      </w:r>
      <w:proofErr w:type="spellStart"/>
      <w:r w:rsidRPr="00AC1D66">
        <w:rPr>
          <w:rFonts w:eastAsia="Times New Roman"/>
          <w:bdr w:val="none" w:sz="0" w:space="0" w:color="auto"/>
          <w:lang w:val="en-GB" w:eastAsia="en-GB"/>
        </w:rPr>
        <w:t>ParcelCare</w:t>
      </w:r>
      <w:proofErr w:type="spellEnd"/>
      <w:r w:rsidRPr="00AC1D66">
        <w:rPr>
          <w:rFonts w:eastAsia="Times New Roman"/>
          <w:bdr w:val="none" w:sz="0" w:space="0" w:color="auto"/>
          <w:lang w:val="en-GB" w:eastAsia="en-GB"/>
        </w:rPr>
        <w:t xml:space="preserve"> can build a sustainable and resilient workforce capable of supporting its long-term success.</w:t>
      </w:r>
    </w:p>
    <w:p w14:paraId="55A4463C" w14:textId="77777777" w:rsidR="00AC1D66" w:rsidRDefault="00AC1D66" w:rsidP="00AC1D66">
      <w:pPr>
        <w:pStyle w:val="Nornal"/>
        <w:rPr>
          <w:rFonts w:ascii="Trebuchet MS" w:hAnsi="Trebuchet MS"/>
        </w:rPr>
      </w:pPr>
    </w:p>
    <w:p w14:paraId="53D97EC4" w14:textId="5B9939F6" w:rsidR="00F14BE3" w:rsidRPr="00EB3907" w:rsidRDefault="00EB3907" w:rsidP="00EB3907">
      <w:pPr>
        <w:pStyle w:val="Nornal"/>
        <w:rPr>
          <w:rStyle w:val="ui-provider"/>
          <w:rFonts w:ascii="Trebuchet MS" w:hAnsi="Trebuchet MS"/>
          <w:b/>
          <w:bCs/>
        </w:rPr>
      </w:pPr>
      <w:r w:rsidRPr="00EB3907">
        <w:rPr>
          <w:rStyle w:val="ui-provider"/>
          <w:rFonts w:ascii="Trebuchet MS" w:hAnsi="Trebuchet MS"/>
          <w:b/>
          <w:bCs/>
        </w:rPr>
        <w:t>T</w:t>
      </w:r>
      <w:r w:rsidR="00973781" w:rsidRPr="00EB3907">
        <w:rPr>
          <w:rStyle w:val="ui-provider"/>
          <w:rFonts w:ascii="Trebuchet MS" w:hAnsi="Trebuchet MS"/>
          <w:b/>
          <w:bCs/>
        </w:rPr>
        <w:t>echniques to support workforce planning (AC 2.2)</w:t>
      </w:r>
    </w:p>
    <w:p w14:paraId="146F86C9"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94146A">
        <w:rPr>
          <w:rFonts w:eastAsia="Times New Roman"/>
          <w:bdr w:val="none" w:sz="0" w:space="0" w:color="auto"/>
          <w:lang w:val="en-GB" w:eastAsia="en-GB"/>
        </w:rPr>
        <w:t xml:space="preserve">To effectively introduce workforce planning at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it is essential to evaluate the techniques that can support the process and ensure it delivers measurable outcomes. Workforce planning involves analysing current workforce capabilities, forecasting future needs, and implementing strategies to bridge any gaps. A range of analytical and strategic techniques can be used to make this process systematic, data-driven, and aligned with business objectives.</w:t>
      </w:r>
    </w:p>
    <w:p w14:paraId="15927B67"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94146A">
        <w:rPr>
          <w:rFonts w:eastAsia="Times New Roman"/>
          <w:bdr w:val="none" w:sz="0" w:space="0" w:color="auto"/>
          <w:lang w:val="en-GB" w:eastAsia="en-GB"/>
        </w:rPr>
        <w:t xml:space="preserve">One of the most fundamental techniques is </w:t>
      </w:r>
      <w:r w:rsidRPr="00596265">
        <w:rPr>
          <w:rFonts w:eastAsia="Times New Roman"/>
          <w:bdr w:val="none" w:sz="0" w:space="0" w:color="auto"/>
          <w:lang w:val="en-GB" w:eastAsia="en-GB"/>
        </w:rPr>
        <w:t>workforce supply and demand forecasting,</w:t>
      </w:r>
      <w:r w:rsidRPr="0094146A">
        <w:rPr>
          <w:rFonts w:eastAsia="Times New Roman"/>
          <w:bdr w:val="none" w:sz="0" w:space="0" w:color="auto"/>
          <w:lang w:val="en-GB" w:eastAsia="en-GB"/>
        </w:rPr>
        <w:t xml:space="preserve"> which compares the existing workforce (supply) with future organisational needs (demand). Using historical data on staff turnover, retirement rates, and business growth,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xml:space="preserve"> can predict workforce shortages or surpluses (CIPD, 2024). This technique allows HR and operational leaders to make evidence-based decisions regarding recruitment, redeployment, or upskilling. For instance, during seasonal peaks in parcel delivery, demand forecasting can help determine how many additional delivery drivers will be required, reducing reliance on last-minute agency hires and associated costs.</w:t>
      </w:r>
    </w:p>
    <w:p w14:paraId="2F94E29B"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596265">
        <w:rPr>
          <w:rFonts w:eastAsia="Times New Roman"/>
          <w:bdr w:val="none" w:sz="0" w:space="0" w:color="auto"/>
          <w:lang w:val="en-GB" w:eastAsia="en-GB"/>
        </w:rPr>
        <w:t>Skills audits and gap analysis</w:t>
      </w:r>
      <w:r w:rsidRPr="0094146A">
        <w:rPr>
          <w:rFonts w:eastAsia="Times New Roman"/>
          <w:bdr w:val="none" w:sz="0" w:space="0" w:color="auto"/>
          <w:lang w:val="en-GB" w:eastAsia="en-GB"/>
        </w:rPr>
        <w:t xml:space="preserve"> are also essential tools in workforce planning. By assessing current employee skills and comparing them with those needed for future roles,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xml:space="preserve"> can identify critical capability gaps (Reilly, 2018). Conducting regular skills audits will help the organisation prioritise training and development investments, ensuring employees are prepared for technological and operational changes, such as automation and digital logistics systems.</w:t>
      </w:r>
    </w:p>
    <w:p w14:paraId="7DC61305"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94146A">
        <w:rPr>
          <w:rFonts w:eastAsia="Times New Roman"/>
          <w:bdr w:val="none" w:sz="0" w:space="0" w:color="auto"/>
          <w:lang w:val="en-GB" w:eastAsia="en-GB"/>
        </w:rPr>
        <w:t xml:space="preserve">Another valuable technique </w:t>
      </w:r>
      <w:r w:rsidRPr="00596265">
        <w:rPr>
          <w:rFonts w:eastAsia="Times New Roman"/>
          <w:bdr w:val="none" w:sz="0" w:space="0" w:color="auto"/>
          <w:lang w:val="en-GB" w:eastAsia="en-GB"/>
        </w:rPr>
        <w:t>is scenario planning</w:t>
      </w:r>
      <w:r w:rsidRPr="0094146A">
        <w:rPr>
          <w:rFonts w:eastAsia="Times New Roman"/>
          <w:bdr w:val="none" w:sz="0" w:space="0" w:color="auto"/>
          <w:lang w:val="en-GB" w:eastAsia="en-GB"/>
        </w:rPr>
        <w:t xml:space="preserve">, which explores multiple possible futures based on external factors like economic shifts, technological advancements, or labour market trends (Armstrong &amp; Taylor, 2020). For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this could mean modelling how different scenarios—such as increased automation or labour shortages—might impact staffing needs. This proactive approach supports long-term resilience and helps leadership develop contingency plans for potential workforce disruptions.</w:t>
      </w:r>
    </w:p>
    <w:p w14:paraId="32D4A84B"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596265">
        <w:rPr>
          <w:rFonts w:eastAsia="Times New Roman"/>
          <w:bdr w:val="none" w:sz="0" w:space="0" w:color="auto"/>
          <w:lang w:val="en-GB" w:eastAsia="en-GB"/>
        </w:rPr>
        <w:t>Succession planning</w:t>
      </w:r>
      <w:r w:rsidRPr="0094146A">
        <w:rPr>
          <w:rFonts w:eastAsia="Times New Roman"/>
          <w:bdr w:val="none" w:sz="0" w:space="0" w:color="auto"/>
          <w:lang w:val="en-GB" w:eastAsia="en-GB"/>
        </w:rPr>
        <w:t xml:space="preserve"> also supports workforce planning by ensuring business continuity in critical roles. Identifying and developing internal talent to step into key positions reduces the risks associated with turnover and helps retain high-performing employees (CIPD, 2023). At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structured succession planning for logistics managers and team leaders could improve retention by providing clear career pathways.</w:t>
      </w:r>
    </w:p>
    <w:p w14:paraId="23491A4B"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94146A">
        <w:rPr>
          <w:rFonts w:eastAsia="Times New Roman"/>
          <w:bdr w:val="none" w:sz="0" w:space="0" w:color="auto"/>
          <w:lang w:val="en-GB" w:eastAsia="en-GB"/>
        </w:rPr>
        <w:lastRenderedPageBreak/>
        <w:t xml:space="preserve">Finally, </w:t>
      </w:r>
      <w:r w:rsidRPr="00135502">
        <w:rPr>
          <w:rFonts w:eastAsia="Times New Roman"/>
          <w:bdr w:val="none" w:sz="0" w:space="0" w:color="auto"/>
          <w:lang w:val="en-GB" w:eastAsia="en-GB"/>
        </w:rPr>
        <w:t>HR analytics and technology</w:t>
      </w:r>
      <w:r w:rsidRPr="0094146A">
        <w:rPr>
          <w:rFonts w:eastAsia="Times New Roman"/>
          <w:bdr w:val="none" w:sz="0" w:space="0" w:color="auto"/>
          <w:lang w:val="en-GB" w:eastAsia="en-GB"/>
        </w:rPr>
        <w:t xml:space="preserve"> play an increasingly important role. Using HR information systems (HRIS) and predictive analytics,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xml:space="preserve"> can monitor workforce trends, measure turnover, and track training effectiveness (CIPD, 2022). These insights enable data-driven decisions that align people planning with business goals.</w:t>
      </w:r>
    </w:p>
    <w:p w14:paraId="468268F1" w14:textId="77777777" w:rsidR="0094146A" w:rsidRP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94146A">
        <w:rPr>
          <w:rFonts w:eastAsia="Times New Roman"/>
          <w:bdr w:val="none" w:sz="0" w:space="0" w:color="auto"/>
          <w:lang w:val="en-GB" w:eastAsia="en-GB"/>
        </w:rPr>
        <w:t xml:space="preserve">In conclusion, by adopting techniques such as demand forecasting, skills gap analysis, scenario planning, succession planning, and HR analytics, </w:t>
      </w:r>
      <w:proofErr w:type="spellStart"/>
      <w:r w:rsidRPr="0094146A">
        <w:rPr>
          <w:rFonts w:eastAsia="Times New Roman"/>
          <w:bdr w:val="none" w:sz="0" w:space="0" w:color="auto"/>
          <w:lang w:val="en-GB" w:eastAsia="en-GB"/>
        </w:rPr>
        <w:t>ParcelCare</w:t>
      </w:r>
      <w:proofErr w:type="spellEnd"/>
      <w:r w:rsidRPr="0094146A">
        <w:rPr>
          <w:rFonts w:eastAsia="Times New Roman"/>
          <w:bdr w:val="none" w:sz="0" w:space="0" w:color="auto"/>
          <w:lang w:val="en-GB" w:eastAsia="en-GB"/>
        </w:rPr>
        <w:t xml:space="preserve"> can create a robust and proactive workforce planning process. These methods will enable the company to anticipate change, optimise talent utilisation, and strengthen organisational agility in a competitive market.</w:t>
      </w:r>
    </w:p>
    <w:p w14:paraId="2DD66A71" w14:textId="77777777" w:rsidR="0094146A" w:rsidRPr="0089162E" w:rsidRDefault="0094146A" w:rsidP="0094146A">
      <w:pPr>
        <w:pStyle w:val="Nornal"/>
        <w:rPr>
          <w:rFonts w:ascii="Trebuchet MS" w:hAnsi="Trebuchet MS"/>
        </w:rPr>
      </w:pPr>
    </w:p>
    <w:p w14:paraId="59E0F8AC" w14:textId="16EAEA37" w:rsidR="00F14BE3" w:rsidRPr="00A21825" w:rsidRDefault="00A21825" w:rsidP="00A21825">
      <w:pPr>
        <w:pStyle w:val="Nornal"/>
        <w:rPr>
          <w:rStyle w:val="ui-provider"/>
          <w:rFonts w:ascii="Trebuchet MS" w:hAnsi="Trebuchet MS"/>
          <w:b/>
          <w:bCs/>
        </w:rPr>
      </w:pPr>
      <w:r w:rsidRPr="00A21825">
        <w:rPr>
          <w:rStyle w:val="ui-provider"/>
          <w:rFonts w:ascii="Trebuchet MS" w:hAnsi="Trebuchet MS"/>
          <w:b/>
          <w:bCs/>
        </w:rPr>
        <w:t>R</w:t>
      </w:r>
      <w:r w:rsidR="00973781" w:rsidRPr="00A21825">
        <w:rPr>
          <w:rStyle w:val="ui-provider"/>
          <w:rFonts w:ascii="Trebuchet MS" w:hAnsi="Trebuchet MS"/>
          <w:b/>
          <w:bCs/>
        </w:rPr>
        <w:t xml:space="preserve">ecruitment </w:t>
      </w:r>
      <w:r w:rsidRPr="00A21825">
        <w:rPr>
          <w:rStyle w:val="ui-provider"/>
          <w:rFonts w:ascii="Trebuchet MS" w:hAnsi="Trebuchet MS"/>
          <w:b/>
          <w:bCs/>
        </w:rPr>
        <w:t xml:space="preserve">and selection </w:t>
      </w:r>
      <w:r w:rsidR="00973781" w:rsidRPr="00A21825">
        <w:rPr>
          <w:rStyle w:val="ui-provider"/>
          <w:rFonts w:ascii="Trebuchet MS" w:hAnsi="Trebuchet MS"/>
          <w:b/>
          <w:bCs/>
        </w:rPr>
        <w:t>methods (AC 2.3)</w:t>
      </w:r>
    </w:p>
    <w:p w14:paraId="7F257169" w14:textId="77777777" w:rsidR="00A21825" w:rsidRDefault="00A21825" w:rsidP="00A21825">
      <w:pPr>
        <w:pStyle w:val="NormalWeb"/>
      </w:pPr>
      <w:proofErr w:type="spellStart"/>
      <w:r>
        <w:t>ParcelCare’s</w:t>
      </w:r>
      <w:proofErr w:type="spellEnd"/>
      <w:r>
        <w:t xml:space="preserve"> current recruitment and selection methods—website job postings and line manager-led interviews—provide a sound foundation but could be enhanced by adopting additional approaches to reach a wider talent pool and ensure fairer, more effective selection. Evaluating alternative methods helps identify opportunities to improve both the quality and diversity of hires.</w:t>
      </w:r>
    </w:p>
    <w:p w14:paraId="5A7CB38B" w14:textId="77777777" w:rsidR="00A21825" w:rsidRDefault="00A21825" w:rsidP="00A21825">
      <w:pPr>
        <w:pStyle w:val="NormalWeb"/>
      </w:pPr>
      <w:r>
        <w:t xml:space="preserve">One effective </w:t>
      </w:r>
      <w:r w:rsidRPr="00135502">
        <w:rPr>
          <w:rStyle w:val="Strong"/>
          <w:b w:val="0"/>
          <w:bCs w:val="0"/>
        </w:rPr>
        <w:t>recruitment method</w:t>
      </w:r>
      <w:r w:rsidRPr="00135502">
        <w:rPr>
          <w:b/>
          <w:bCs/>
        </w:rPr>
        <w:t xml:space="preserve"> is </w:t>
      </w:r>
      <w:r w:rsidRPr="00135502">
        <w:rPr>
          <w:rStyle w:val="Strong"/>
          <w:b w:val="0"/>
          <w:bCs w:val="0"/>
        </w:rPr>
        <w:t>social media recruitment</w:t>
      </w:r>
      <w:r>
        <w:t xml:space="preserve">, which uses platforms such as LinkedIn, Facebook, and X (formerly Twitter) to attract candidates. The key strength of this method lies in its reach and speed; social media enables </w:t>
      </w:r>
      <w:proofErr w:type="spellStart"/>
      <w:r>
        <w:t>organisations</w:t>
      </w:r>
      <w:proofErr w:type="spellEnd"/>
      <w:r>
        <w:t xml:space="preserve"> to engage with passive candidates and build their employer brand at relatively low cost (CIPD, 2023). For </w:t>
      </w:r>
      <w:proofErr w:type="spellStart"/>
      <w:r>
        <w:t>ParcelCare</w:t>
      </w:r>
      <w:proofErr w:type="spellEnd"/>
      <w:r>
        <w:t xml:space="preserve">, this could help attract younger, tech-savvy applicants who may not actively search company websites. Social media also allows targeted advertising based on location, skills, or interests, increasing recruitment efficiency. However, its weaknesses include the potential for bias, as algorithms may </w:t>
      </w:r>
      <w:proofErr w:type="spellStart"/>
      <w:r>
        <w:t>favour</w:t>
      </w:r>
      <w:proofErr w:type="spellEnd"/>
      <w:r>
        <w:t xml:space="preserve"> certain demographics, and the risk of damaging the company’s reputation if communication is not managed professionally (Armstrong &amp; Taylor, 2020). Additionally, it may lead to a high volume of unsuitable applicants, increasing administrative workload.</w:t>
      </w:r>
    </w:p>
    <w:p w14:paraId="7D00B2A2" w14:textId="77777777" w:rsidR="00A21825" w:rsidRDefault="00A21825" w:rsidP="00A21825">
      <w:pPr>
        <w:pStyle w:val="NormalWeb"/>
      </w:pPr>
      <w:proofErr w:type="gramStart"/>
      <w:r>
        <w:t>Another recruitment</w:t>
      </w:r>
      <w:proofErr w:type="gramEnd"/>
      <w:r>
        <w:t xml:space="preserve"> method to consider is </w:t>
      </w:r>
      <w:r w:rsidRPr="00135502">
        <w:rPr>
          <w:rStyle w:val="Strong"/>
          <w:b w:val="0"/>
          <w:bCs w:val="0"/>
        </w:rPr>
        <w:t>employee referral schemes</w:t>
      </w:r>
      <w:r>
        <w:t xml:space="preserve">, where existing staff recommend potential candidates. This approach often leads to faster hires and higher retention, as referred candidates tend to fit better with company culture (Kaur, 2015). For </w:t>
      </w:r>
      <w:proofErr w:type="spellStart"/>
      <w:r>
        <w:t>ParcelCare</w:t>
      </w:r>
      <w:proofErr w:type="spellEnd"/>
      <w:r>
        <w:t xml:space="preserve">, this could reduce recruitment costs and attract applicants who already understand the nature of delivery and logistics work through their contacts. However, referral schemes can reinforce a lack of diversity if employees tend to refer </w:t>
      </w:r>
      <w:proofErr w:type="gramStart"/>
      <w:r>
        <w:t>people</w:t>
      </w:r>
      <w:proofErr w:type="gramEnd"/>
      <w:r>
        <w:t xml:space="preserve"> </w:t>
      </w:r>
      <w:proofErr w:type="gramStart"/>
      <w:r>
        <w:t>similar to</w:t>
      </w:r>
      <w:proofErr w:type="gramEnd"/>
      <w:r>
        <w:t xml:space="preserve"> themselves, and they may unintentionally perpetuate existing biases or limit innovation (CIPD, 2022).</w:t>
      </w:r>
    </w:p>
    <w:p w14:paraId="1ED1FA92" w14:textId="77777777" w:rsidR="00A21825" w:rsidRDefault="00A21825" w:rsidP="00A21825">
      <w:pPr>
        <w:pStyle w:val="NormalWeb"/>
      </w:pPr>
      <w:r>
        <w:t xml:space="preserve">In terms of </w:t>
      </w:r>
      <w:r w:rsidRPr="00135502">
        <w:rPr>
          <w:rStyle w:val="Strong"/>
          <w:b w:val="0"/>
          <w:bCs w:val="0"/>
        </w:rPr>
        <w:t>selection methods</w:t>
      </w:r>
      <w:r w:rsidRPr="00135502">
        <w:rPr>
          <w:b/>
          <w:bCs/>
        </w:rPr>
        <w:t xml:space="preserve">, </w:t>
      </w:r>
      <w:r w:rsidRPr="00135502">
        <w:rPr>
          <w:rStyle w:val="Strong"/>
          <w:b w:val="0"/>
          <w:bCs w:val="0"/>
        </w:rPr>
        <w:t>psychometric testing</w:t>
      </w:r>
      <w:r>
        <w:t xml:space="preserve"> is a useful tool to assess personality traits, cognitive ability, and job </w:t>
      </w:r>
      <w:proofErr w:type="gramStart"/>
      <w:r>
        <w:t>fit</w:t>
      </w:r>
      <w:proofErr w:type="gramEnd"/>
      <w:r>
        <w:t xml:space="preserve">. Its strength lies in providing objective, </w:t>
      </w:r>
      <w:proofErr w:type="spellStart"/>
      <w:r>
        <w:t>standardised</w:t>
      </w:r>
      <w:proofErr w:type="spellEnd"/>
      <w:r>
        <w:t xml:space="preserve"> data that helps predict future job performance (Anderson, 2011). For operational roles at </w:t>
      </w:r>
      <w:proofErr w:type="spellStart"/>
      <w:r>
        <w:t>ParcelCare</w:t>
      </w:r>
      <w:proofErr w:type="spellEnd"/>
      <w:r>
        <w:t>, aptitude tests could identify candidates with problem-solving and attention-to-detail skills. However, weaknesses include the potential for cultural bias and the cost of implementing tests reliably. Furthermore, psychometric results should complement, not replace, human judgment in selection decisions.</w:t>
      </w:r>
    </w:p>
    <w:p w14:paraId="7886877B" w14:textId="77777777" w:rsidR="00A21825" w:rsidRDefault="00A21825" w:rsidP="00A21825">
      <w:pPr>
        <w:pStyle w:val="NormalWeb"/>
      </w:pPr>
      <w:r>
        <w:t xml:space="preserve">Another valuable method is </w:t>
      </w:r>
      <w:r w:rsidRPr="00135502">
        <w:rPr>
          <w:rStyle w:val="Strong"/>
          <w:b w:val="0"/>
          <w:bCs w:val="0"/>
        </w:rPr>
        <w:t xml:space="preserve">assessment </w:t>
      </w:r>
      <w:proofErr w:type="spellStart"/>
      <w:r w:rsidRPr="00135502">
        <w:rPr>
          <w:rStyle w:val="Strong"/>
          <w:b w:val="0"/>
          <w:bCs w:val="0"/>
        </w:rPr>
        <w:t>centres</w:t>
      </w:r>
      <w:proofErr w:type="spellEnd"/>
      <w:r>
        <w:t xml:space="preserve">, which combine multiple exercises such as role plays, group discussions, and case studies. This holistic approach allows employers to evaluate a range of skills and </w:t>
      </w:r>
      <w:proofErr w:type="spellStart"/>
      <w:r>
        <w:t>behaviours</w:t>
      </w:r>
      <w:proofErr w:type="spellEnd"/>
      <w:r>
        <w:t xml:space="preserve"> in realistic scenarios (CIPD, 2024). For </w:t>
      </w:r>
      <w:proofErr w:type="spellStart"/>
      <w:r>
        <w:t>ParcelCare</w:t>
      </w:r>
      <w:proofErr w:type="spellEnd"/>
      <w:r>
        <w:t xml:space="preserve">, assessment </w:t>
      </w:r>
      <w:proofErr w:type="spellStart"/>
      <w:r>
        <w:t>centres</w:t>
      </w:r>
      <w:proofErr w:type="spellEnd"/>
      <w:r>
        <w:t xml:space="preserve"> could help identify leadership potential in team leader or supervisor roles. Their main weaknesses are cost and time; they require trained assessors and significant planning, making them less practical for high-volume recruitment.</w:t>
      </w:r>
    </w:p>
    <w:p w14:paraId="5C086EB8" w14:textId="77777777" w:rsidR="00A21825" w:rsidRDefault="00A21825" w:rsidP="00A21825">
      <w:pPr>
        <w:pStyle w:val="NormalWeb"/>
      </w:pPr>
      <w:r>
        <w:t xml:space="preserve">In summary, by incorporating social media and employee referrals into recruitment, and psychometric testing and assessment </w:t>
      </w:r>
      <w:proofErr w:type="spellStart"/>
      <w:r>
        <w:t>centres</w:t>
      </w:r>
      <w:proofErr w:type="spellEnd"/>
      <w:r>
        <w:t xml:space="preserve"> into selection, </w:t>
      </w:r>
      <w:proofErr w:type="spellStart"/>
      <w:r>
        <w:t>ParcelCare</w:t>
      </w:r>
      <w:proofErr w:type="spellEnd"/>
      <w:r>
        <w:t xml:space="preserve"> can improve candidate quality, fairness, and long-term retention.</w:t>
      </w:r>
    </w:p>
    <w:p w14:paraId="23116D9E" w14:textId="77777777" w:rsidR="00A21825" w:rsidRDefault="00A21825" w:rsidP="00A21825">
      <w:pPr>
        <w:pStyle w:val="Nornal"/>
        <w:rPr>
          <w:rFonts w:ascii="Trebuchet MS" w:hAnsi="Trebuchet MS"/>
        </w:rPr>
      </w:pPr>
    </w:p>
    <w:p w14:paraId="7A7ABC8C" w14:textId="77777777" w:rsidR="00135502" w:rsidRDefault="00135502" w:rsidP="00A21825">
      <w:pPr>
        <w:pStyle w:val="Nornal"/>
        <w:rPr>
          <w:rFonts w:ascii="Trebuchet MS" w:hAnsi="Trebuchet MS"/>
        </w:rPr>
      </w:pPr>
    </w:p>
    <w:p w14:paraId="26B0C5AA" w14:textId="493C0233" w:rsidR="00F14BE3" w:rsidRPr="0005054B" w:rsidRDefault="0005054B" w:rsidP="0005054B">
      <w:pPr>
        <w:pStyle w:val="Nornal"/>
        <w:rPr>
          <w:rStyle w:val="ui-provider"/>
          <w:rFonts w:ascii="Trebuchet MS" w:hAnsi="Trebuchet MS"/>
          <w:b/>
          <w:bCs/>
        </w:rPr>
      </w:pPr>
      <w:r w:rsidRPr="0005054B">
        <w:rPr>
          <w:rStyle w:val="ui-provider"/>
          <w:rFonts w:ascii="Trebuchet MS" w:hAnsi="Trebuchet MS"/>
          <w:b/>
          <w:bCs/>
        </w:rPr>
        <w:lastRenderedPageBreak/>
        <w:t>A</w:t>
      </w:r>
      <w:r w:rsidR="00973781" w:rsidRPr="0005054B">
        <w:rPr>
          <w:rStyle w:val="ui-provider"/>
          <w:rFonts w:ascii="Trebuchet MS" w:hAnsi="Trebuchet MS"/>
          <w:b/>
          <w:bCs/>
        </w:rPr>
        <w:t>voidable and unavoidable turnover and push and pull factor</w:t>
      </w:r>
      <w:r w:rsidRPr="0005054B">
        <w:rPr>
          <w:rStyle w:val="ui-provider"/>
          <w:rFonts w:ascii="Trebuchet MS" w:hAnsi="Trebuchet MS"/>
          <w:b/>
          <w:bCs/>
        </w:rPr>
        <w:t>s</w:t>
      </w:r>
      <w:r w:rsidR="00973781" w:rsidRPr="0005054B">
        <w:rPr>
          <w:rStyle w:val="ui-provider"/>
          <w:rFonts w:ascii="Trebuchet MS" w:hAnsi="Trebuchet MS"/>
          <w:b/>
          <w:bCs/>
        </w:rPr>
        <w:t xml:space="preserve"> (AC 3.1)</w:t>
      </w:r>
    </w:p>
    <w:p w14:paraId="22D6768F" w14:textId="77777777" w:rsidR="00216C8E" w:rsidRPr="002C564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C5646">
        <w:rPr>
          <w:rFonts w:eastAsia="Times New Roman"/>
          <w:bdr w:val="none" w:sz="0" w:space="0" w:color="auto"/>
          <w:lang w:val="en-GB" w:eastAsia="en-GB"/>
        </w:rPr>
        <w:t xml:space="preserve">Employee turnover is a key indicator of organisational health, and understanding its underlying causes is essential for effective people management. At </w:t>
      </w:r>
      <w:proofErr w:type="spellStart"/>
      <w:r w:rsidRPr="002C5646">
        <w:rPr>
          <w:rFonts w:eastAsia="Times New Roman"/>
          <w:bdr w:val="none" w:sz="0" w:space="0" w:color="auto"/>
          <w:lang w:val="en-GB" w:eastAsia="en-GB"/>
        </w:rPr>
        <w:t>ParcelCare</w:t>
      </w:r>
      <w:proofErr w:type="spellEnd"/>
      <w:r w:rsidRPr="002C5646">
        <w:rPr>
          <w:rFonts w:eastAsia="Times New Roman"/>
          <w:bdr w:val="none" w:sz="0" w:space="0" w:color="auto"/>
          <w:lang w:val="en-GB" w:eastAsia="en-GB"/>
        </w:rPr>
        <w:t>, turnover rates exceeding internal targets suggest underlying issues that need investigation. Differentiating between avoidable and unavoidable turnover, as well as push and pull factors, provides valuable insight into employee behaviour and supports targeted retention strategies.</w:t>
      </w:r>
    </w:p>
    <w:p w14:paraId="188EFE14" w14:textId="77777777" w:rsidR="00216C8E" w:rsidRPr="0005054B"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C5646">
        <w:rPr>
          <w:rFonts w:eastAsia="Times New Roman"/>
          <w:bdr w:val="none" w:sz="0" w:space="0" w:color="auto"/>
          <w:lang w:val="en-GB" w:eastAsia="en-GB"/>
        </w:rPr>
        <w:t>Avoidable turnover</w:t>
      </w:r>
      <w:r w:rsidRPr="0005054B">
        <w:rPr>
          <w:rFonts w:eastAsia="Times New Roman"/>
          <w:bdr w:val="none" w:sz="0" w:space="0" w:color="auto"/>
          <w:lang w:val="en-GB" w:eastAsia="en-GB"/>
        </w:rPr>
        <w:t xml:space="preserve"> refers to employee departures that could have been prevented through organisational action, such as improving working conditions, management practices, or career development opportunities. Examples include employees leaving due to low pay, poor management, or limited progression (Armstrong &amp; Taylor, 2020). For </w:t>
      </w:r>
      <w:proofErr w:type="spellStart"/>
      <w:r w:rsidRPr="0005054B">
        <w:rPr>
          <w:rFonts w:eastAsia="Times New Roman"/>
          <w:bdr w:val="none" w:sz="0" w:space="0" w:color="auto"/>
          <w:lang w:val="en-GB" w:eastAsia="en-GB"/>
        </w:rPr>
        <w:t>ParcelCare</w:t>
      </w:r>
      <w:proofErr w:type="spellEnd"/>
      <w:r w:rsidRPr="0005054B">
        <w:rPr>
          <w:rFonts w:eastAsia="Times New Roman"/>
          <w:bdr w:val="none" w:sz="0" w:space="0" w:color="auto"/>
          <w:lang w:val="en-GB" w:eastAsia="en-GB"/>
        </w:rPr>
        <w:t>, where frontline delivery and logistics roles can be demanding, avoidable turnover might stem from job dissatisfaction, lack of recognition, or insufficient support during peak workload periods. Addressing these issues through enhanced engagement initiatives, career pathways, and competitive pay structures could help reduce turnover rates.</w:t>
      </w:r>
    </w:p>
    <w:p w14:paraId="40B60C99" w14:textId="77777777" w:rsidR="00216C8E" w:rsidRPr="0005054B"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5054B">
        <w:rPr>
          <w:rFonts w:eastAsia="Times New Roman"/>
          <w:bdr w:val="none" w:sz="0" w:space="0" w:color="auto"/>
          <w:lang w:val="en-GB" w:eastAsia="en-GB"/>
        </w:rPr>
        <w:t xml:space="preserve">In contrast, </w:t>
      </w:r>
      <w:r w:rsidRPr="002C5646">
        <w:rPr>
          <w:rFonts w:eastAsia="Times New Roman"/>
          <w:bdr w:val="none" w:sz="0" w:space="0" w:color="auto"/>
          <w:lang w:val="en-GB" w:eastAsia="en-GB"/>
        </w:rPr>
        <w:t>unavoidable turnover</w:t>
      </w:r>
      <w:r w:rsidRPr="0005054B">
        <w:rPr>
          <w:rFonts w:eastAsia="Times New Roman"/>
          <w:bdr w:val="none" w:sz="0" w:space="0" w:color="auto"/>
          <w:lang w:val="en-GB" w:eastAsia="en-GB"/>
        </w:rPr>
        <w:t xml:space="preserve"> occurs when employees leave for reasons outside the employer’s control—such as retirement, relocation, or health issues (CIPD, 2023). While these departures are inevitable, analysing patterns in unavoidable turnover can still help with workforce planning. For instance, forecasting retirements or long-term absences allows </w:t>
      </w:r>
      <w:proofErr w:type="spellStart"/>
      <w:r w:rsidRPr="0005054B">
        <w:rPr>
          <w:rFonts w:eastAsia="Times New Roman"/>
          <w:bdr w:val="none" w:sz="0" w:space="0" w:color="auto"/>
          <w:lang w:val="en-GB" w:eastAsia="en-GB"/>
        </w:rPr>
        <w:t>ParcelCare</w:t>
      </w:r>
      <w:proofErr w:type="spellEnd"/>
      <w:r w:rsidRPr="0005054B">
        <w:rPr>
          <w:rFonts w:eastAsia="Times New Roman"/>
          <w:bdr w:val="none" w:sz="0" w:space="0" w:color="auto"/>
          <w:lang w:val="en-GB" w:eastAsia="en-GB"/>
        </w:rPr>
        <w:t xml:space="preserve"> to anticipate skills shortages and plan recruitment or training accordingly. Though unavoidable turnover cannot be fully prevented, its impact can be mitigated through proactive succession and talent planning.</w:t>
      </w:r>
    </w:p>
    <w:p w14:paraId="230E206D" w14:textId="77777777" w:rsidR="00216C8E" w:rsidRPr="0005054B"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5054B">
        <w:rPr>
          <w:rFonts w:eastAsia="Times New Roman"/>
          <w:bdr w:val="none" w:sz="0" w:space="0" w:color="auto"/>
          <w:lang w:val="en-GB" w:eastAsia="en-GB"/>
        </w:rPr>
        <w:t xml:space="preserve">The concepts of </w:t>
      </w:r>
      <w:r w:rsidRPr="002C5646">
        <w:rPr>
          <w:rFonts w:eastAsia="Times New Roman"/>
          <w:bdr w:val="none" w:sz="0" w:space="0" w:color="auto"/>
          <w:lang w:val="en-GB" w:eastAsia="en-GB"/>
        </w:rPr>
        <w:t>push and pull factors</w:t>
      </w:r>
      <w:r w:rsidRPr="0005054B">
        <w:rPr>
          <w:rFonts w:eastAsia="Times New Roman"/>
          <w:bdr w:val="none" w:sz="0" w:space="0" w:color="auto"/>
          <w:lang w:val="en-GB" w:eastAsia="en-GB"/>
        </w:rPr>
        <w:t xml:space="preserve"> provide further insight into why employees leave</w:t>
      </w:r>
      <w:r w:rsidRPr="002C5646">
        <w:rPr>
          <w:rFonts w:eastAsia="Times New Roman"/>
          <w:bdr w:val="none" w:sz="0" w:space="0" w:color="auto"/>
          <w:lang w:val="en-GB" w:eastAsia="en-GB"/>
        </w:rPr>
        <w:t>. Push factors</w:t>
      </w:r>
      <w:r w:rsidRPr="0005054B">
        <w:rPr>
          <w:rFonts w:eastAsia="Times New Roman"/>
          <w:bdr w:val="none" w:sz="0" w:space="0" w:color="auto"/>
          <w:lang w:val="en-GB" w:eastAsia="en-GB"/>
        </w:rPr>
        <w:t xml:space="preserve"> are internal organisational issues that drive employees away, such as poor leadership, lack of career opportunities, excessive workloads, or unsupportive workplace culture (Taylor, 2018). In </w:t>
      </w:r>
      <w:proofErr w:type="spellStart"/>
      <w:r w:rsidRPr="0005054B">
        <w:rPr>
          <w:rFonts w:eastAsia="Times New Roman"/>
          <w:bdr w:val="none" w:sz="0" w:space="0" w:color="auto"/>
          <w:lang w:val="en-GB" w:eastAsia="en-GB"/>
        </w:rPr>
        <w:t>ParcelCare’s</w:t>
      </w:r>
      <w:proofErr w:type="spellEnd"/>
      <w:r w:rsidRPr="0005054B">
        <w:rPr>
          <w:rFonts w:eastAsia="Times New Roman"/>
          <w:bdr w:val="none" w:sz="0" w:space="0" w:color="auto"/>
          <w:lang w:val="en-GB" w:eastAsia="en-GB"/>
        </w:rPr>
        <w:t xml:space="preserve"> context, high workloads during seasonal peaks or limited flexibility in shift patterns may contribute to employees feeling undervalued or burned out. Reducing push factors requires leadership development, fair workload distribution, and improved communication between managers and staff.</w:t>
      </w:r>
    </w:p>
    <w:p w14:paraId="6FFEBD14" w14:textId="77777777" w:rsidR="00216C8E" w:rsidRPr="0005054B"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5054B">
        <w:rPr>
          <w:rFonts w:eastAsia="Times New Roman"/>
          <w:bdr w:val="none" w:sz="0" w:space="0" w:color="auto"/>
          <w:lang w:val="en-GB" w:eastAsia="en-GB"/>
        </w:rPr>
        <w:t xml:space="preserve">Conversely, </w:t>
      </w:r>
      <w:r w:rsidRPr="008060F0">
        <w:rPr>
          <w:rFonts w:eastAsia="Times New Roman"/>
          <w:bdr w:val="none" w:sz="0" w:space="0" w:color="auto"/>
          <w:lang w:val="en-GB" w:eastAsia="en-GB"/>
        </w:rPr>
        <w:t>pull factors</w:t>
      </w:r>
      <w:r w:rsidRPr="0005054B">
        <w:rPr>
          <w:rFonts w:eastAsia="Times New Roman"/>
          <w:bdr w:val="none" w:sz="0" w:space="0" w:color="auto"/>
          <w:lang w:val="en-GB" w:eastAsia="en-GB"/>
        </w:rPr>
        <w:t xml:space="preserve"> are external attractions drawing employees toward other opportunities. These might include higher pay, better benefits, improved work-life balance, or opportunities for advancement elsewhere (CIPD, 2022). The logistics sector is highly competitive, and rival employers may offer more flexible working arrangements or performance incentives. While </w:t>
      </w:r>
      <w:proofErr w:type="spellStart"/>
      <w:r w:rsidRPr="0005054B">
        <w:rPr>
          <w:rFonts w:eastAsia="Times New Roman"/>
          <w:bdr w:val="none" w:sz="0" w:space="0" w:color="auto"/>
          <w:lang w:val="en-GB" w:eastAsia="en-GB"/>
        </w:rPr>
        <w:t>ParcelCare</w:t>
      </w:r>
      <w:proofErr w:type="spellEnd"/>
      <w:r w:rsidRPr="0005054B">
        <w:rPr>
          <w:rFonts w:eastAsia="Times New Roman"/>
          <w:bdr w:val="none" w:sz="0" w:space="0" w:color="auto"/>
          <w:lang w:val="en-GB" w:eastAsia="en-GB"/>
        </w:rPr>
        <w:t xml:space="preserve"> cannot control pull factors, it can counteract them by strengthening its employee value proposition—emphasising development, wellbeing, and belonging as key reasons to stay.</w:t>
      </w:r>
    </w:p>
    <w:p w14:paraId="1AA88D0C" w14:textId="77777777" w:rsidR="00216C8E" w:rsidRPr="0005054B"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5054B">
        <w:rPr>
          <w:rFonts w:eastAsia="Times New Roman"/>
          <w:bdr w:val="none" w:sz="0" w:space="0" w:color="auto"/>
          <w:lang w:val="en-GB" w:eastAsia="en-GB"/>
        </w:rPr>
        <w:t xml:space="preserve">In summary, distinguishing between avoidable and unavoidable turnover helps </w:t>
      </w:r>
      <w:proofErr w:type="spellStart"/>
      <w:r w:rsidRPr="0005054B">
        <w:rPr>
          <w:rFonts w:eastAsia="Times New Roman"/>
          <w:bdr w:val="none" w:sz="0" w:space="0" w:color="auto"/>
          <w:lang w:val="en-GB" w:eastAsia="en-GB"/>
        </w:rPr>
        <w:t>ParcelCare</w:t>
      </w:r>
      <w:proofErr w:type="spellEnd"/>
      <w:r w:rsidRPr="0005054B">
        <w:rPr>
          <w:rFonts w:eastAsia="Times New Roman"/>
          <w:bdr w:val="none" w:sz="0" w:space="0" w:color="auto"/>
          <w:lang w:val="en-GB" w:eastAsia="en-GB"/>
        </w:rPr>
        <w:t xml:space="preserve"> identify where interventions can make the most difference, while analysing push and pull factors clarifies what drives employees to leave or stay. A data-driven understanding of these factors will enable targeted retention strategies, ultimately reducing turnover and supporting workforce stability.</w:t>
      </w:r>
    </w:p>
    <w:p w14:paraId="5366AD21" w14:textId="77777777" w:rsidR="00216C8E" w:rsidRDefault="00216C8E" w:rsidP="00216C8E">
      <w:pPr>
        <w:pStyle w:val="Nornal"/>
        <w:rPr>
          <w:rFonts w:ascii="Trebuchet MS" w:hAnsi="Trebuchet MS"/>
        </w:rPr>
      </w:pPr>
    </w:p>
    <w:p w14:paraId="669BC2CD" w14:textId="6BABC0EE" w:rsidR="00F14BE3" w:rsidRPr="0036565C" w:rsidRDefault="0036565C" w:rsidP="00D13AAF">
      <w:pPr>
        <w:pStyle w:val="Nornal"/>
        <w:rPr>
          <w:rStyle w:val="ui-provider"/>
          <w:rFonts w:ascii="Trebuchet MS" w:hAnsi="Trebuchet MS"/>
          <w:b/>
          <w:bCs/>
        </w:rPr>
      </w:pPr>
      <w:r w:rsidRPr="0036565C">
        <w:rPr>
          <w:rStyle w:val="ui-provider"/>
          <w:rFonts w:ascii="Trebuchet MS" w:hAnsi="Trebuchet MS"/>
          <w:b/>
          <w:bCs/>
        </w:rPr>
        <w:t>Comparison of</w:t>
      </w:r>
      <w:r w:rsidR="00973781" w:rsidRPr="0036565C">
        <w:rPr>
          <w:rStyle w:val="ui-provider"/>
          <w:rFonts w:ascii="Trebuchet MS" w:hAnsi="Trebuchet MS"/>
          <w:b/>
          <w:bCs/>
        </w:rPr>
        <w:t xml:space="preserve"> retention approaches (AC 3.2)</w:t>
      </w:r>
    </w:p>
    <w:p w14:paraId="5762810C"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D13AAF">
        <w:rPr>
          <w:rFonts w:eastAsia="Times New Roman"/>
          <w:bdr w:val="none" w:sz="0" w:space="0" w:color="auto"/>
          <w:lang w:val="en-GB" w:eastAsia="en-GB"/>
        </w:rPr>
        <w:t xml:space="preserve">Retention of warehouse staff is a significant challenge for </w:t>
      </w:r>
      <w:proofErr w:type="spellStart"/>
      <w:r w:rsidRPr="00D13AAF">
        <w:rPr>
          <w:rFonts w:eastAsia="Times New Roman"/>
          <w:bdr w:val="none" w:sz="0" w:space="0" w:color="auto"/>
          <w:lang w:val="en-GB" w:eastAsia="en-GB"/>
        </w:rPr>
        <w:t>ParcelCare</w:t>
      </w:r>
      <w:proofErr w:type="spellEnd"/>
      <w:r w:rsidRPr="00D13AAF">
        <w:rPr>
          <w:rFonts w:eastAsia="Times New Roman"/>
          <w:bdr w:val="none" w:sz="0" w:space="0" w:color="auto"/>
          <w:lang w:val="en-GB" w:eastAsia="en-GB"/>
        </w:rPr>
        <w:t>, particularly given the high competition within the logistics and delivery sector. To address this issue, the organisation should adopt evidence-based retention approaches that improve employee engagement, satisfaction, and commitment. Four key methods—</w:t>
      </w:r>
      <w:r w:rsidRPr="008060F0">
        <w:rPr>
          <w:rFonts w:eastAsia="Times New Roman"/>
          <w:bdr w:val="none" w:sz="0" w:space="0" w:color="auto"/>
          <w:lang w:val="en-GB" w:eastAsia="en-GB"/>
        </w:rPr>
        <w:t>realistic job previews, induction, job enrichment</w:t>
      </w:r>
      <w:r w:rsidRPr="00D13AAF">
        <w:rPr>
          <w:rFonts w:eastAsia="Times New Roman"/>
          <w:bdr w:val="none" w:sz="0" w:space="0" w:color="auto"/>
          <w:lang w:val="en-GB" w:eastAsia="en-GB"/>
        </w:rPr>
        <w:t xml:space="preserve">, and </w:t>
      </w:r>
      <w:r w:rsidRPr="008060F0">
        <w:rPr>
          <w:rFonts w:eastAsia="Times New Roman"/>
          <w:bdr w:val="none" w:sz="0" w:space="0" w:color="auto"/>
          <w:lang w:val="en-GB" w:eastAsia="en-GB"/>
        </w:rPr>
        <w:t>reward</w:t>
      </w:r>
      <w:r w:rsidRPr="00D13AAF">
        <w:rPr>
          <w:rFonts w:eastAsia="Times New Roman"/>
          <w:bdr w:val="none" w:sz="0" w:space="0" w:color="auto"/>
          <w:lang w:val="en-GB" w:eastAsia="en-GB"/>
        </w:rPr>
        <w:t>—each offer different benefits and limitations when applied to improving staff retention.</w:t>
      </w:r>
    </w:p>
    <w:p w14:paraId="78FD94CE"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D13AAF">
        <w:rPr>
          <w:rFonts w:eastAsia="Times New Roman"/>
          <w:bdr w:val="none" w:sz="0" w:space="0" w:color="auto"/>
          <w:lang w:val="en-GB" w:eastAsia="en-GB"/>
        </w:rPr>
        <w:lastRenderedPageBreak/>
        <w:t xml:space="preserve">A </w:t>
      </w:r>
      <w:r w:rsidRPr="008060F0">
        <w:rPr>
          <w:rFonts w:eastAsia="Times New Roman"/>
          <w:bdr w:val="none" w:sz="0" w:space="0" w:color="auto"/>
          <w:lang w:val="en-GB" w:eastAsia="en-GB"/>
        </w:rPr>
        <w:t>realistic job preview (RJP)</w:t>
      </w:r>
      <w:r w:rsidRPr="00D13AAF">
        <w:rPr>
          <w:rFonts w:eastAsia="Times New Roman"/>
          <w:bdr w:val="none" w:sz="0" w:space="0" w:color="auto"/>
          <w:lang w:val="en-GB" w:eastAsia="en-GB"/>
        </w:rPr>
        <w:t xml:space="preserve"> involves providing potential employees with an accurate depiction of the job before they accept an offer. This includes both the positive and challenging aspects of the role, such as shift work, physical demands, and performance expectations (Phillips and Gully, 2015). The main strength of RJPs lies in managing candidate expectations and reducing early turnover by ensuring that employees know what to expect (CIPD, 2022). For </w:t>
      </w:r>
      <w:proofErr w:type="spellStart"/>
      <w:r w:rsidRPr="00D13AAF">
        <w:rPr>
          <w:rFonts w:eastAsia="Times New Roman"/>
          <w:bdr w:val="none" w:sz="0" w:space="0" w:color="auto"/>
          <w:lang w:val="en-GB" w:eastAsia="en-GB"/>
        </w:rPr>
        <w:t>ParcelCare</w:t>
      </w:r>
      <w:proofErr w:type="spellEnd"/>
      <w:r w:rsidRPr="00D13AAF">
        <w:rPr>
          <w:rFonts w:eastAsia="Times New Roman"/>
          <w:bdr w:val="none" w:sz="0" w:space="0" w:color="auto"/>
          <w:lang w:val="en-GB" w:eastAsia="en-GB"/>
        </w:rPr>
        <w:t>, this could involve offering job-shadowing opportunities or realistic videos of warehouse operations during recruitment. However, a potential weakness is that some candidates may be deterred by the honesty of the preview, potentially reducing applicant numbers. Despite this, those who do accept offers are likely to be more committed and resilient, leading to better long-term retention.</w:t>
      </w:r>
    </w:p>
    <w:p w14:paraId="33428ECF"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23652">
        <w:rPr>
          <w:rFonts w:eastAsia="Times New Roman"/>
          <w:bdr w:val="none" w:sz="0" w:space="0" w:color="auto"/>
          <w:lang w:val="en-GB" w:eastAsia="en-GB"/>
        </w:rPr>
        <w:t xml:space="preserve">Induction </w:t>
      </w:r>
      <w:r w:rsidRPr="00D13AAF">
        <w:rPr>
          <w:rFonts w:eastAsia="Times New Roman"/>
          <w:bdr w:val="none" w:sz="0" w:space="0" w:color="auto"/>
          <w:lang w:val="en-GB" w:eastAsia="en-GB"/>
        </w:rPr>
        <w:t>is another essential retention tool that supports employees during their transition into the organisation. A structured and engaging induction programme helps new hires feel welcomed, confident, and connected to the company’s culture (Armstrong and Taylor, 2020). For warehouse staff, this could include safety training, mentoring by experienced colleagues, and early performance feedback. Strong induction processes reduce anxiety, increase engagement, and can significantly lower turnover in the first six months of employment (CIPD, 2023). However, weak or inconsistent induction can lead to confusion, poor morale, and early resignations. Therefore, investment in standardised induction practices is essential for building workforce stability.</w:t>
      </w:r>
    </w:p>
    <w:p w14:paraId="1B6D6B4D"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023652">
        <w:rPr>
          <w:rFonts w:eastAsia="Times New Roman"/>
          <w:bdr w:val="none" w:sz="0" w:space="0" w:color="auto"/>
          <w:lang w:val="en-GB" w:eastAsia="en-GB"/>
        </w:rPr>
        <w:t xml:space="preserve">Job enrichment </w:t>
      </w:r>
      <w:r w:rsidRPr="00D13AAF">
        <w:rPr>
          <w:rFonts w:eastAsia="Times New Roman"/>
          <w:bdr w:val="none" w:sz="0" w:space="0" w:color="auto"/>
          <w:lang w:val="en-GB" w:eastAsia="en-GB"/>
        </w:rPr>
        <w:t>focuses on increasing job satisfaction by enhancing the scope, responsibility, and variety within a role (Herzberg, 1968). Applying job enrichment in a warehouse environment could involve introducing multi-skilling opportunities, allowing staff to rotate between tasks, or involving them in process improvement projects. This approach can enhance motivation, autonomy, and a sense of purpose, reducing boredom and turnover (Hackman and Oldham, 1976). The challenge, however, lies in balancing enrichment with operational efficiency—too much variety without adequate training could lead to inconsistencies in performance.</w:t>
      </w:r>
    </w:p>
    <w:p w14:paraId="4FBA231E"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D13AAF">
        <w:rPr>
          <w:rFonts w:eastAsia="Times New Roman"/>
          <w:bdr w:val="none" w:sz="0" w:space="0" w:color="auto"/>
          <w:lang w:val="en-GB" w:eastAsia="en-GB"/>
        </w:rPr>
        <w:t xml:space="preserve">Finally, </w:t>
      </w:r>
      <w:r w:rsidRPr="00023652">
        <w:rPr>
          <w:rFonts w:eastAsia="Times New Roman"/>
          <w:bdr w:val="none" w:sz="0" w:space="0" w:color="auto"/>
          <w:lang w:val="en-GB" w:eastAsia="en-GB"/>
        </w:rPr>
        <w:t>reward systems</w:t>
      </w:r>
      <w:r w:rsidRPr="00D13AAF">
        <w:rPr>
          <w:rFonts w:eastAsia="Times New Roman"/>
          <w:bdr w:val="none" w:sz="0" w:space="0" w:color="auto"/>
          <w:lang w:val="en-GB" w:eastAsia="en-GB"/>
        </w:rPr>
        <w:t xml:space="preserve"> play a critical role in retention by recognising and reinforcing positive performance. Competitive pay, performance bonuses, and non-financial rewards such as recognition programmes or wellbeing initiatives can increase employee satisfaction and loyalty (Armstrong and Taylor, 2020). For </w:t>
      </w:r>
      <w:proofErr w:type="spellStart"/>
      <w:r w:rsidRPr="00D13AAF">
        <w:rPr>
          <w:rFonts w:eastAsia="Times New Roman"/>
          <w:bdr w:val="none" w:sz="0" w:space="0" w:color="auto"/>
          <w:lang w:val="en-GB" w:eastAsia="en-GB"/>
        </w:rPr>
        <w:t>ParcelCare</w:t>
      </w:r>
      <w:proofErr w:type="spellEnd"/>
      <w:r w:rsidRPr="00D13AAF">
        <w:rPr>
          <w:rFonts w:eastAsia="Times New Roman"/>
          <w:bdr w:val="none" w:sz="0" w:space="0" w:color="auto"/>
          <w:lang w:val="en-GB" w:eastAsia="en-GB"/>
        </w:rPr>
        <w:t>, introducing attendance bonuses or employee-of-the-month schemes could enhance morale and demonstrate appreciation. However, over-reliance on financial incentives can reduce intrinsic motivation if not complemented by broader engagement strategies (Taylor, 2018).</w:t>
      </w:r>
    </w:p>
    <w:p w14:paraId="32E20DF1" w14:textId="77777777" w:rsidR="00D13AAF" w:rsidRPr="00D13AAF"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D13AAF">
        <w:rPr>
          <w:rFonts w:eastAsia="Times New Roman"/>
          <w:bdr w:val="none" w:sz="0" w:space="0" w:color="auto"/>
          <w:lang w:val="en-GB" w:eastAsia="en-GB"/>
        </w:rPr>
        <w:t xml:space="preserve">In summary, while each approach—realistic job previews, induction, job enrichment, and reward—has distinct advantages, the greatest retention impact occurs when they are integrated. A combination of transparent recruitment, supportive onboarding, engaging work design, and fair rewards will help </w:t>
      </w:r>
      <w:proofErr w:type="spellStart"/>
      <w:r w:rsidRPr="00D13AAF">
        <w:rPr>
          <w:rFonts w:eastAsia="Times New Roman"/>
          <w:bdr w:val="none" w:sz="0" w:space="0" w:color="auto"/>
          <w:lang w:val="en-GB" w:eastAsia="en-GB"/>
        </w:rPr>
        <w:t>ParcelCare</w:t>
      </w:r>
      <w:proofErr w:type="spellEnd"/>
      <w:r w:rsidRPr="00D13AAF">
        <w:rPr>
          <w:rFonts w:eastAsia="Times New Roman"/>
          <w:bdr w:val="none" w:sz="0" w:space="0" w:color="auto"/>
          <w:lang w:val="en-GB" w:eastAsia="en-GB"/>
        </w:rPr>
        <w:t xml:space="preserve"> build a loyal and stable warehouse workforce.</w:t>
      </w:r>
    </w:p>
    <w:p w14:paraId="53AB0B47" w14:textId="77777777" w:rsidR="00D13AAF" w:rsidRDefault="00D13AAF" w:rsidP="00D13AAF">
      <w:pPr>
        <w:pStyle w:val="Nornal"/>
        <w:rPr>
          <w:rFonts w:ascii="Trebuchet MS" w:hAnsi="Trebuchet MS"/>
        </w:rPr>
      </w:pPr>
    </w:p>
    <w:p w14:paraId="008D2D96" w14:textId="62BAFC4D" w:rsidR="00F14BE3" w:rsidRPr="009B2AE9" w:rsidRDefault="009B2AE9" w:rsidP="009B2AE9">
      <w:pPr>
        <w:pStyle w:val="Nornal"/>
        <w:rPr>
          <w:rStyle w:val="ui-provider"/>
          <w:rFonts w:ascii="Trebuchet MS" w:hAnsi="Trebuchet MS"/>
          <w:b/>
          <w:bCs/>
        </w:rPr>
      </w:pPr>
      <w:r w:rsidRPr="009B2AE9">
        <w:rPr>
          <w:rStyle w:val="ui-provider"/>
          <w:rFonts w:ascii="Trebuchet MS" w:hAnsi="Trebuchet MS"/>
          <w:b/>
          <w:bCs/>
        </w:rPr>
        <w:t>I</w:t>
      </w:r>
      <w:r w:rsidR="00973781" w:rsidRPr="009B2AE9">
        <w:rPr>
          <w:rStyle w:val="ui-provider"/>
          <w:rFonts w:ascii="Trebuchet MS" w:hAnsi="Trebuchet MS"/>
          <w:b/>
          <w:bCs/>
        </w:rPr>
        <w:t>mpact of dysfunctional employee turnover (AC 3.3)</w:t>
      </w:r>
    </w:p>
    <w:p w14:paraId="1260C74D" w14:textId="77777777" w:rsidR="00411919" w:rsidRDefault="00411919" w:rsidP="00411919">
      <w:pPr>
        <w:pStyle w:val="NormalWeb"/>
      </w:pPr>
      <w:r>
        <w:t xml:space="preserve">Dysfunctional employee turnover occurs when high-performing or experienced employees leave an </w:t>
      </w:r>
      <w:proofErr w:type="spellStart"/>
      <w:r>
        <w:t>organisation</w:t>
      </w:r>
      <w:proofErr w:type="spellEnd"/>
      <w:r>
        <w:t xml:space="preserve">, resulting in negative consequences for performance, morale, and profitability. For </w:t>
      </w:r>
      <w:proofErr w:type="spellStart"/>
      <w:r>
        <w:t>ParcelCare</w:t>
      </w:r>
      <w:proofErr w:type="spellEnd"/>
      <w:r>
        <w:t>, where operational efficiency depends on experienced warehouse and delivery staff, high levels of dysfunctional turnover can significantly disrupt service quality and increase costs. Understanding its impact is essential to persuading senior leaders to address this issue strategically.</w:t>
      </w:r>
    </w:p>
    <w:p w14:paraId="25CA82AE" w14:textId="77777777" w:rsidR="00411919" w:rsidRDefault="00411919" w:rsidP="00411919">
      <w:pPr>
        <w:pStyle w:val="NormalWeb"/>
      </w:pPr>
      <w:r>
        <w:t xml:space="preserve">One major impact of dysfunctional turnover is the </w:t>
      </w:r>
      <w:r w:rsidRPr="009A5712">
        <w:rPr>
          <w:rStyle w:val="Strong"/>
          <w:b w:val="0"/>
          <w:bCs w:val="0"/>
        </w:rPr>
        <w:t xml:space="preserve">loss of critical skills and </w:t>
      </w:r>
      <w:proofErr w:type="spellStart"/>
      <w:r w:rsidRPr="009A5712">
        <w:rPr>
          <w:rStyle w:val="Strong"/>
          <w:b w:val="0"/>
          <w:bCs w:val="0"/>
        </w:rPr>
        <w:t>organisational</w:t>
      </w:r>
      <w:proofErr w:type="spellEnd"/>
      <w:r w:rsidRPr="009A5712">
        <w:rPr>
          <w:rStyle w:val="Strong"/>
          <w:b w:val="0"/>
          <w:bCs w:val="0"/>
        </w:rPr>
        <w:t xml:space="preserve"> knowledge</w:t>
      </w:r>
      <w:r w:rsidRPr="009A5712">
        <w:rPr>
          <w:b/>
          <w:bCs/>
        </w:rPr>
        <w:t>.</w:t>
      </w:r>
      <w:r>
        <w:t xml:space="preserve"> When skilled employees leave, their experience, technical expertise, and understanding of operational processes are lost, which can reduce productivity and service reliability (Armstrong and Taylor, 2020). In </w:t>
      </w:r>
      <w:proofErr w:type="spellStart"/>
      <w:r>
        <w:t>ParcelCare’s</w:t>
      </w:r>
      <w:proofErr w:type="spellEnd"/>
      <w:r>
        <w:t xml:space="preserve"> </w:t>
      </w:r>
      <w:r>
        <w:lastRenderedPageBreak/>
        <w:t>context, the departure of experienced drivers or warehouse supervisors can lead to errors, delivery delays, and reduced safety compliance. Replacing such staff often requires extensive training, which diverts resources and time from other business priorities.</w:t>
      </w:r>
    </w:p>
    <w:p w14:paraId="65041F68" w14:textId="77777777" w:rsidR="00411919" w:rsidRDefault="00411919" w:rsidP="00411919">
      <w:pPr>
        <w:pStyle w:val="NormalWeb"/>
      </w:pPr>
      <w:r>
        <w:t xml:space="preserve">Another significant impact is </w:t>
      </w:r>
      <w:r w:rsidRPr="009A5712">
        <w:t xml:space="preserve">the </w:t>
      </w:r>
      <w:r w:rsidRPr="009A5712">
        <w:rPr>
          <w:rStyle w:val="Strong"/>
          <w:b w:val="0"/>
          <w:bCs w:val="0"/>
        </w:rPr>
        <w:t>increased financial cost</w:t>
      </w:r>
      <w:r>
        <w:t xml:space="preserve"> associated with recruitment, onboarding, and training new employees. The Chartered Institute of Personnel and Development (CIPD, 2023) estimates that turnover can cost between </w:t>
      </w:r>
      <w:proofErr w:type="gramStart"/>
      <w:r>
        <w:t>six and nine months’</w:t>
      </w:r>
      <w:proofErr w:type="gramEnd"/>
      <w:r>
        <w:t xml:space="preserve"> salary per employee when accounting for recruitment expenses and productivity loss. For a high-volume employer such as </w:t>
      </w:r>
      <w:proofErr w:type="spellStart"/>
      <w:r>
        <w:t>ParcelCare</w:t>
      </w:r>
      <w:proofErr w:type="spellEnd"/>
      <w:r>
        <w:t>, where workforce churn is common, these costs can accumulate rapidly, affecting overall profitability. In addition, constant recruitment cycles can place pressure on HR teams and line managers, reducing their capacity to focus on strategic initiatives.</w:t>
      </w:r>
    </w:p>
    <w:p w14:paraId="6A35BC95" w14:textId="77777777" w:rsidR="00411919" w:rsidRDefault="00411919" w:rsidP="00411919">
      <w:pPr>
        <w:pStyle w:val="NormalWeb"/>
      </w:pPr>
      <w:r>
        <w:t xml:space="preserve">Dysfunctional turnover also </w:t>
      </w:r>
      <w:r w:rsidRPr="009A5712">
        <w:rPr>
          <w:rStyle w:val="Strong"/>
          <w:b w:val="0"/>
          <w:bCs w:val="0"/>
        </w:rPr>
        <w:t>undermines team cohesion and morale</w:t>
      </w:r>
      <w:r>
        <w:t>. When valued colleagues leave, remaining employees may experience lower motivation and increased workloads, leading to burnout and further resignations—a phenomenon often described as the “turnover contagion effect” (Hom et al., 2017). This cycle can erode trust in leadership and damage the psychological contract between employer and employee, making retention increasingly difficult.</w:t>
      </w:r>
    </w:p>
    <w:p w14:paraId="2A909E3C" w14:textId="77777777" w:rsidR="00411919" w:rsidRDefault="00411919" w:rsidP="00411919">
      <w:pPr>
        <w:pStyle w:val="NormalWeb"/>
      </w:pPr>
      <w:r>
        <w:t xml:space="preserve">Furthermore, persistent turnover can </w:t>
      </w:r>
      <w:r w:rsidRPr="009A5712">
        <w:rPr>
          <w:rStyle w:val="Strong"/>
          <w:b w:val="0"/>
          <w:bCs w:val="0"/>
        </w:rPr>
        <w:t>damage employer brand and customer satisfaction</w:t>
      </w:r>
      <w:r>
        <w:t>. High attrition rates often signal instability, making it harder to attract quality candidates (CIPD, 2022). Customers may also experience inconsistent service, particularly if new or temporary staff lack the same level of competence as experienced workers. In service-based industries like logistics, where reliability is critical, the reputational cost of turnover can be substantial.</w:t>
      </w:r>
    </w:p>
    <w:p w14:paraId="0913322D" w14:textId="77777777" w:rsidR="00411919" w:rsidRDefault="00411919" w:rsidP="00411919">
      <w:pPr>
        <w:pStyle w:val="NormalWeb"/>
      </w:pPr>
      <w:r>
        <w:t xml:space="preserve">In summary, dysfunctional turnover at </w:t>
      </w:r>
      <w:proofErr w:type="spellStart"/>
      <w:r>
        <w:t>ParcelCare</w:t>
      </w:r>
      <w:proofErr w:type="spellEnd"/>
      <w:r>
        <w:t xml:space="preserve"> leads to knowledge loss, financial strain, reduced morale, and reputational risk. Addressing it through improved engagement, development opportunities, and retention strategies will not only enhance performance but also strengthen </w:t>
      </w:r>
      <w:proofErr w:type="spellStart"/>
      <w:r>
        <w:t>organisational</w:t>
      </w:r>
      <w:proofErr w:type="spellEnd"/>
      <w:r>
        <w:t xml:space="preserve"> resilience and competitive advantage.</w:t>
      </w:r>
    </w:p>
    <w:p w14:paraId="776B4244" w14:textId="77777777" w:rsidR="00411919" w:rsidRDefault="00411919" w:rsidP="00411919">
      <w:pPr>
        <w:pStyle w:val="Nornal"/>
        <w:rPr>
          <w:rFonts w:ascii="Trebuchet MS" w:hAnsi="Trebuchet MS"/>
        </w:rPr>
      </w:pPr>
    </w:p>
    <w:p w14:paraId="431A7150" w14:textId="26E711DE" w:rsidR="00F14BE3" w:rsidRPr="000F499F" w:rsidRDefault="000F499F" w:rsidP="00A42716">
      <w:pPr>
        <w:rPr>
          <w:rStyle w:val="ui-provider"/>
          <w:rFonts w:ascii="Trebuchet MS" w:hAnsi="Trebuchet MS"/>
          <w:b/>
          <w:bCs/>
        </w:rPr>
      </w:pPr>
      <w:r w:rsidRPr="000F499F">
        <w:rPr>
          <w:rStyle w:val="ui-provider"/>
          <w:rFonts w:ascii="Trebuchet MS" w:hAnsi="Trebuchet MS"/>
          <w:b/>
          <w:bCs/>
        </w:rPr>
        <w:t>Employment contracts</w:t>
      </w:r>
      <w:r w:rsidR="00973781" w:rsidRPr="000F499F">
        <w:rPr>
          <w:rStyle w:val="ui-provider"/>
          <w:rFonts w:ascii="Trebuchet MS" w:hAnsi="Trebuchet MS"/>
          <w:b/>
          <w:bCs/>
        </w:rPr>
        <w:t xml:space="preserve"> (AC 4.1)</w:t>
      </w:r>
    </w:p>
    <w:p w14:paraId="3FDAB305" w14:textId="77777777" w:rsidR="00A42716" w:rsidRPr="00A4271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42716">
        <w:rPr>
          <w:rFonts w:eastAsia="Times New Roman"/>
          <w:bdr w:val="none" w:sz="0" w:space="0" w:color="auto"/>
          <w:lang w:val="en-GB" w:eastAsia="en-GB"/>
        </w:rPr>
        <w:t xml:space="preserve">Permanent, full-time contracts remain the backbone of many logistics organisations and are highly suitable for </w:t>
      </w:r>
      <w:proofErr w:type="spellStart"/>
      <w:r w:rsidRPr="00A42716">
        <w:rPr>
          <w:rFonts w:eastAsia="Times New Roman"/>
          <w:bdr w:val="none" w:sz="0" w:space="0" w:color="auto"/>
          <w:lang w:val="en-GB" w:eastAsia="en-GB"/>
        </w:rPr>
        <w:t>ParcelCare’s</w:t>
      </w:r>
      <w:proofErr w:type="spellEnd"/>
      <w:r w:rsidRPr="00A42716">
        <w:rPr>
          <w:rFonts w:eastAsia="Times New Roman"/>
          <w:bdr w:val="none" w:sz="0" w:space="0" w:color="auto"/>
          <w:lang w:val="en-GB" w:eastAsia="en-GB"/>
        </w:rPr>
        <w:t xml:space="preserve"> delivery drivers, particularly in ensuring reliability, consistency, and workforce stability. These contracts typically include guaranteed hours, employee benefits, and job security, which can foster commitment, reduce turnover, and improve performance quality (Redman and Wilkinson, 2019). For </w:t>
      </w:r>
      <w:proofErr w:type="spellStart"/>
      <w:r w:rsidRPr="00A42716">
        <w:rPr>
          <w:rFonts w:eastAsia="Times New Roman"/>
          <w:bdr w:val="none" w:sz="0" w:space="0" w:color="auto"/>
          <w:lang w:val="en-GB" w:eastAsia="en-GB"/>
        </w:rPr>
        <w:t>ParcelCare</w:t>
      </w:r>
      <w:proofErr w:type="spellEnd"/>
      <w:r w:rsidRPr="00A42716">
        <w:rPr>
          <w:rFonts w:eastAsia="Times New Roman"/>
          <w:bdr w:val="none" w:sz="0" w:space="0" w:color="auto"/>
          <w:lang w:val="en-GB" w:eastAsia="en-GB"/>
        </w:rPr>
        <w:t>, maintaining a core team of full-time drivers ensures operational continuity, particularly for regular routes and service standards that rely on customer familiarity and trust. According to Marchington et al. (2021), such employment relationships strengthen organisational culture and encourage drivers to invest in their roles, promoting better health and safety compliance and long-term productivity. However, these contracts also limit flexibility; when delivery volumes fluctuate seasonally, the company may face higher labour costs and inefficiencies if full-time staff are underutilised.</w:t>
      </w:r>
    </w:p>
    <w:p w14:paraId="44129F02" w14:textId="77777777" w:rsidR="00A42716" w:rsidRPr="00A4271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42716">
        <w:rPr>
          <w:rFonts w:eastAsia="Times New Roman"/>
          <w:bdr w:val="none" w:sz="0" w:space="0" w:color="auto"/>
          <w:lang w:val="en-GB" w:eastAsia="en-GB"/>
        </w:rPr>
        <w:t>To address this</w:t>
      </w:r>
      <w:r w:rsidRPr="009A5712">
        <w:rPr>
          <w:rFonts w:eastAsia="Times New Roman"/>
          <w:bdr w:val="none" w:sz="0" w:space="0" w:color="auto"/>
          <w:lang w:val="en-GB" w:eastAsia="en-GB"/>
        </w:rPr>
        <w:t>, part-time contracts</w:t>
      </w:r>
      <w:r w:rsidRPr="00A42716">
        <w:rPr>
          <w:rFonts w:eastAsia="Times New Roman"/>
          <w:bdr w:val="none" w:sz="0" w:space="0" w:color="auto"/>
          <w:lang w:val="en-GB" w:eastAsia="en-GB"/>
        </w:rPr>
        <w:t xml:space="preserve"> could be introduced as a supplementary arrangement. Part-time employment allows </w:t>
      </w:r>
      <w:proofErr w:type="spellStart"/>
      <w:r w:rsidRPr="00A42716">
        <w:rPr>
          <w:rFonts w:eastAsia="Times New Roman"/>
          <w:bdr w:val="none" w:sz="0" w:space="0" w:color="auto"/>
          <w:lang w:val="en-GB" w:eastAsia="en-GB"/>
        </w:rPr>
        <w:t>ParcelCare</w:t>
      </w:r>
      <w:proofErr w:type="spellEnd"/>
      <w:r w:rsidRPr="00A42716">
        <w:rPr>
          <w:rFonts w:eastAsia="Times New Roman"/>
          <w:bdr w:val="none" w:sz="0" w:space="0" w:color="auto"/>
          <w:lang w:val="en-GB" w:eastAsia="en-GB"/>
        </w:rPr>
        <w:t xml:space="preserve"> to balance operational needs and cost management more effectively by employing drivers for fewer hours or specific shifts (Brewster et al., 2020). This approach can widen the organisation’s talent pool, attracting groups such as students, parents, or semi-retired workers seeking flexible employment. Furthermore, part-time contracts can help the organisation remain compliant with fair working practices while still adapting to periods of lower demand. However, potential drawbacks include challenges in scheduling, inconsistent workforce availability, and the need for additional administrative oversight. Employees on part-time contracts may also feel excluded from organisational communication or progression opportunities, potentially affecting engagement (Gennard and Judge, 2021).</w:t>
      </w:r>
    </w:p>
    <w:p w14:paraId="196AE18D" w14:textId="77777777" w:rsidR="00A42716" w:rsidRPr="00A4271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42716">
        <w:rPr>
          <w:rFonts w:eastAsia="Times New Roman"/>
          <w:bdr w:val="none" w:sz="0" w:space="0" w:color="auto"/>
          <w:lang w:val="en-GB" w:eastAsia="en-GB"/>
        </w:rPr>
        <w:lastRenderedPageBreak/>
        <w:t xml:space="preserve">Another option is </w:t>
      </w:r>
      <w:r w:rsidRPr="009A5712">
        <w:rPr>
          <w:rFonts w:eastAsia="Times New Roman"/>
          <w:bdr w:val="none" w:sz="0" w:space="0" w:color="auto"/>
          <w:lang w:val="en-GB" w:eastAsia="en-GB"/>
        </w:rPr>
        <w:t>agency contracts</w:t>
      </w:r>
      <w:r w:rsidRPr="00A42716">
        <w:rPr>
          <w:rFonts w:eastAsia="Times New Roman"/>
          <w:bdr w:val="none" w:sz="0" w:space="0" w:color="auto"/>
          <w:lang w:val="en-GB" w:eastAsia="en-GB"/>
        </w:rPr>
        <w:t xml:space="preserve">, where </w:t>
      </w:r>
      <w:proofErr w:type="spellStart"/>
      <w:r w:rsidRPr="00A42716">
        <w:rPr>
          <w:rFonts w:eastAsia="Times New Roman"/>
          <w:bdr w:val="none" w:sz="0" w:space="0" w:color="auto"/>
          <w:lang w:val="en-GB" w:eastAsia="en-GB"/>
        </w:rPr>
        <w:t>ParcelCare</w:t>
      </w:r>
      <w:proofErr w:type="spellEnd"/>
      <w:r w:rsidRPr="00A42716">
        <w:rPr>
          <w:rFonts w:eastAsia="Times New Roman"/>
          <w:bdr w:val="none" w:sz="0" w:space="0" w:color="auto"/>
          <w:lang w:val="en-GB" w:eastAsia="en-GB"/>
        </w:rPr>
        <w:t xml:space="preserve"> could use external staffing agencies to supply drivers during peak demand periods. This can provide immediate workforce flexibility, reduce recruitment lead times, and help the organisation respond swiftly to unpredictable surges in parcel volumes (Rees and Smith, 2021). Using agency drivers also allows </w:t>
      </w:r>
      <w:proofErr w:type="spellStart"/>
      <w:r w:rsidRPr="00A42716">
        <w:rPr>
          <w:rFonts w:eastAsia="Times New Roman"/>
          <w:bdr w:val="none" w:sz="0" w:space="0" w:color="auto"/>
          <w:lang w:val="en-GB" w:eastAsia="en-GB"/>
        </w:rPr>
        <w:t>ParcelCare</w:t>
      </w:r>
      <w:proofErr w:type="spellEnd"/>
      <w:r w:rsidRPr="00A42716">
        <w:rPr>
          <w:rFonts w:eastAsia="Times New Roman"/>
          <w:bdr w:val="none" w:sz="0" w:space="0" w:color="auto"/>
          <w:lang w:val="en-GB" w:eastAsia="en-GB"/>
        </w:rPr>
        <w:t xml:space="preserve"> to trial potential recruits before offering permanent positions, reducing hiring risks. However, agency contracts can increase overall costs due to agency fees and may lead to inconsistencies in service quality, as agency drivers might lack full familiarity with company processes or values. Furthermore, reliance on temporary labour could affect team cohesion and customer experience if turnover among agency staff is high.</w:t>
      </w:r>
    </w:p>
    <w:p w14:paraId="345B9F30" w14:textId="77777777" w:rsidR="00A42716" w:rsidRPr="00A4271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42716">
        <w:rPr>
          <w:rFonts w:eastAsia="Times New Roman"/>
          <w:bdr w:val="none" w:sz="0" w:space="0" w:color="auto"/>
          <w:lang w:val="en-GB" w:eastAsia="en-GB"/>
        </w:rPr>
        <w:t xml:space="preserve">In summary, while permanent, full-time contracts are crucial for operational consistency and workforce stability, incorporating part-time and agency contracts can provide </w:t>
      </w:r>
      <w:proofErr w:type="spellStart"/>
      <w:r w:rsidRPr="00A42716">
        <w:rPr>
          <w:rFonts w:eastAsia="Times New Roman"/>
          <w:bdr w:val="none" w:sz="0" w:space="0" w:color="auto"/>
          <w:lang w:val="en-GB" w:eastAsia="en-GB"/>
        </w:rPr>
        <w:t>ParcelCare</w:t>
      </w:r>
      <w:proofErr w:type="spellEnd"/>
      <w:r w:rsidRPr="00A42716">
        <w:rPr>
          <w:rFonts w:eastAsia="Times New Roman"/>
          <w:bdr w:val="none" w:sz="0" w:space="0" w:color="auto"/>
          <w:lang w:val="en-GB" w:eastAsia="en-GB"/>
        </w:rPr>
        <w:t xml:space="preserve"> with valuable flexibility to manage fluctuating demand. A blended approach—maintaining a full-time core workforce supported by part-time and agency drivers—could enhance efficiency, responsiveness, and cost-effectiveness.</w:t>
      </w:r>
    </w:p>
    <w:p w14:paraId="1EC2D5E5" w14:textId="77777777" w:rsidR="00A42716" w:rsidRPr="00A42716" w:rsidRDefault="00A42716" w:rsidP="00A42716">
      <w:pPr>
        <w:rPr>
          <w:rFonts w:ascii="Trebuchet MS" w:hAnsi="Trebuchet MS"/>
        </w:rPr>
      </w:pPr>
    </w:p>
    <w:p w14:paraId="6879EF24" w14:textId="77777777" w:rsidR="00F14BE3" w:rsidRDefault="00F14BE3">
      <w:pPr>
        <w:pStyle w:val="Body"/>
        <w:rPr>
          <w:rFonts w:ascii="Trebuchet MS" w:eastAsia="Trebuchet MS" w:hAnsi="Trebuchet MS" w:cs="Trebuchet MS"/>
        </w:rPr>
      </w:pPr>
    </w:p>
    <w:p w14:paraId="13A0FEB8" w14:textId="6D8FF441" w:rsidR="00F77873" w:rsidRPr="00A62B1B" w:rsidRDefault="00A62B1B" w:rsidP="002B63C6">
      <w:pPr>
        <w:pStyle w:val="Nornal"/>
        <w:rPr>
          <w:rFonts w:ascii="Trebuchet MS" w:hAnsi="Trebuchet MS"/>
          <w:b/>
          <w:bCs/>
        </w:rPr>
      </w:pPr>
      <w:r w:rsidRPr="00A62B1B">
        <w:rPr>
          <w:rStyle w:val="ui-provider"/>
          <w:rFonts w:ascii="Trebuchet MS" w:hAnsi="Trebuchet MS"/>
          <w:b/>
          <w:bCs/>
        </w:rPr>
        <w:t>B</w:t>
      </w:r>
      <w:r w:rsidR="00973781" w:rsidRPr="00A62B1B">
        <w:rPr>
          <w:rStyle w:val="ui-provider"/>
          <w:rFonts w:ascii="Trebuchet MS" w:hAnsi="Trebuchet MS"/>
          <w:b/>
          <w:bCs/>
        </w:rPr>
        <w:t>enefits of effective onboarding (AC 4.2)</w:t>
      </w:r>
    </w:p>
    <w:p w14:paraId="22588521" w14:textId="77777777" w:rsidR="00F77873" w:rsidRDefault="00F77873" w:rsidP="00F77873">
      <w:pPr>
        <w:pStyle w:val="NormalWeb"/>
      </w:pPr>
      <w:r>
        <w:t xml:space="preserve">Effective onboarding is a critical component of human resource management that directly influences employee engagement, retention, and productivity. For </w:t>
      </w:r>
      <w:proofErr w:type="spellStart"/>
      <w:r>
        <w:t>ParcelCare</w:t>
      </w:r>
      <w:proofErr w:type="spellEnd"/>
      <w:r>
        <w:t xml:space="preserve">, investing in a structured onboarding </w:t>
      </w:r>
      <w:proofErr w:type="spellStart"/>
      <w:r>
        <w:t>programme</w:t>
      </w:r>
      <w:proofErr w:type="spellEnd"/>
      <w:r>
        <w:t xml:space="preserve"> would help new employees integrate smoothly into the </w:t>
      </w:r>
      <w:proofErr w:type="spellStart"/>
      <w:r>
        <w:t>organisation’s</w:t>
      </w:r>
      <w:proofErr w:type="spellEnd"/>
      <w:r>
        <w:t xml:space="preserve"> culture, understand their roles, and perform effectively from the outset. According to Bauer (2019), onboarding goes beyond basic orientation—it provides new hires with the knowledge, resources, and support needed to succeed, shaping their long-term relationship with the </w:t>
      </w:r>
      <w:proofErr w:type="spellStart"/>
      <w:r>
        <w:t>organisation</w:t>
      </w:r>
      <w:proofErr w:type="spellEnd"/>
      <w:r>
        <w:t>.</w:t>
      </w:r>
    </w:p>
    <w:p w14:paraId="38F803E0" w14:textId="77777777" w:rsidR="00F77873" w:rsidRDefault="00F77873" w:rsidP="00F77873">
      <w:pPr>
        <w:pStyle w:val="NormalWeb"/>
      </w:pPr>
      <w:r>
        <w:t xml:space="preserve">One of the main benefits of effective onboarding is improved </w:t>
      </w:r>
      <w:r w:rsidRPr="009A5712">
        <w:rPr>
          <w:rStyle w:val="Strong"/>
          <w:b w:val="0"/>
          <w:bCs w:val="0"/>
        </w:rPr>
        <w:t>employee retention</w:t>
      </w:r>
      <w:r>
        <w:t xml:space="preserve">. New employees who experience structured and supportive onboarding are more likely to feel valued and committed to the </w:t>
      </w:r>
      <w:proofErr w:type="spellStart"/>
      <w:r>
        <w:t>organisation</w:t>
      </w:r>
      <w:proofErr w:type="spellEnd"/>
      <w:r>
        <w:t xml:space="preserve">. Research by the Society for Human Resource Management (SHRM, 2022) indicates that </w:t>
      </w:r>
      <w:proofErr w:type="spellStart"/>
      <w:r>
        <w:t>organisations</w:t>
      </w:r>
      <w:proofErr w:type="spellEnd"/>
      <w:r>
        <w:t xml:space="preserve"> with strong onboarding processes improve new hire retention by over 80%. For </w:t>
      </w:r>
      <w:proofErr w:type="spellStart"/>
      <w:r>
        <w:t>ParcelCare</w:t>
      </w:r>
      <w:proofErr w:type="spellEnd"/>
      <w:r>
        <w:t xml:space="preserve">, where turnover among delivery and warehouse staff has been high, a consistent onboarding </w:t>
      </w:r>
      <w:proofErr w:type="spellStart"/>
      <w:r>
        <w:t>programme</w:t>
      </w:r>
      <w:proofErr w:type="spellEnd"/>
      <w:r>
        <w:t xml:space="preserve"> could help reduce early attrition by ensuring employees feel prepared, connected, and supported in their roles.</w:t>
      </w:r>
    </w:p>
    <w:p w14:paraId="1DB98DC1" w14:textId="77777777" w:rsidR="00F77873" w:rsidRDefault="00F77873" w:rsidP="00F77873">
      <w:pPr>
        <w:pStyle w:val="NormalWeb"/>
      </w:pPr>
      <w:r>
        <w:t xml:space="preserve">Another benefit is enhanced </w:t>
      </w:r>
      <w:r w:rsidRPr="009A5712">
        <w:rPr>
          <w:rStyle w:val="Strong"/>
          <w:b w:val="0"/>
          <w:bCs w:val="0"/>
        </w:rPr>
        <w:t>employee performance and engagement</w:t>
      </w:r>
      <w:r>
        <w:t xml:space="preserve">. Clear role expectations, hands-on training, and early access to resources enable employees to become productive faster (Klein and Heuser, 2020). A well-designed onboarding process at </w:t>
      </w:r>
      <w:proofErr w:type="spellStart"/>
      <w:r>
        <w:t>ParcelCare</w:t>
      </w:r>
      <w:proofErr w:type="spellEnd"/>
      <w:r>
        <w:t xml:space="preserve"> could help new hires understand operational systems, safety protocols, and performance standards more effectively. Moreover, when employees are welcomed through structured social and cultural integration—such as team introductions or mentoring—they develop stronger relationships, improving collaboration and morale (Saks and Gruman, 2018).</w:t>
      </w:r>
    </w:p>
    <w:p w14:paraId="727FF5BC" w14:textId="77777777" w:rsidR="00F77873" w:rsidRDefault="00F77873" w:rsidP="00F77873">
      <w:pPr>
        <w:pStyle w:val="NormalWeb"/>
      </w:pPr>
      <w:r>
        <w:t xml:space="preserve">Effective onboarding also </w:t>
      </w:r>
      <w:r w:rsidRPr="009A5712">
        <w:t>strengthens</w:t>
      </w:r>
      <w:r w:rsidRPr="009A5712">
        <w:rPr>
          <w:b/>
          <w:bCs/>
        </w:rPr>
        <w:t xml:space="preserve"> </w:t>
      </w:r>
      <w:proofErr w:type="spellStart"/>
      <w:r w:rsidRPr="009A5712">
        <w:rPr>
          <w:rStyle w:val="Strong"/>
          <w:b w:val="0"/>
          <w:bCs w:val="0"/>
        </w:rPr>
        <w:t>organisational</w:t>
      </w:r>
      <w:proofErr w:type="spellEnd"/>
      <w:r w:rsidRPr="009A5712">
        <w:rPr>
          <w:rStyle w:val="Strong"/>
          <w:b w:val="0"/>
          <w:bCs w:val="0"/>
        </w:rPr>
        <w:t xml:space="preserve"> culture and employer branding</w:t>
      </w:r>
      <w:r>
        <w:t xml:space="preserve">. By embedding company values, service standards, and customer care principles from day one, </w:t>
      </w:r>
      <w:proofErr w:type="spellStart"/>
      <w:r>
        <w:t>ParcelCare</w:t>
      </w:r>
      <w:proofErr w:type="spellEnd"/>
      <w:r>
        <w:t xml:space="preserve"> can reinforce a consistent brand experience. According to Rees and Smith (2021), a positive initial experience increases the likelihood of employees becoming brand advocates, which enhances the </w:t>
      </w:r>
      <w:proofErr w:type="spellStart"/>
      <w:r>
        <w:t>organisation’s</w:t>
      </w:r>
      <w:proofErr w:type="spellEnd"/>
      <w:r>
        <w:t xml:space="preserve"> reputation in competitive </w:t>
      </w:r>
      <w:proofErr w:type="spellStart"/>
      <w:r>
        <w:t>labour</w:t>
      </w:r>
      <w:proofErr w:type="spellEnd"/>
      <w:r>
        <w:t xml:space="preserve"> markets. This is particularly important for </w:t>
      </w:r>
      <w:proofErr w:type="spellStart"/>
      <w:r>
        <w:t>ParcelCare</w:t>
      </w:r>
      <w:proofErr w:type="spellEnd"/>
      <w:r>
        <w:t xml:space="preserve"> as it competes for talent in a crowded logistics sector.</w:t>
      </w:r>
    </w:p>
    <w:p w14:paraId="32031839" w14:textId="77777777" w:rsidR="00F77873" w:rsidRDefault="00F77873" w:rsidP="00F77873">
      <w:pPr>
        <w:pStyle w:val="NormalWeb"/>
      </w:pPr>
      <w:r>
        <w:t xml:space="preserve">Lastly, well-planned onboarding supports </w:t>
      </w:r>
      <w:r w:rsidRPr="009A5712">
        <w:rPr>
          <w:rStyle w:val="Strong"/>
          <w:b w:val="0"/>
          <w:bCs w:val="0"/>
        </w:rPr>
        <w:t>compliance and risk reduction</w:t>
      </w:r>
      <w:r w:rsidRPr="009A5712">
        <w:rPr>
          <w:b/>
          <w:bCs/>
        </w:rPr>
        <w:t>.</w:t>
      </w:r>
      <w:r>
        <w:t xml:space="preserve"> </w:t>
      </w:r>
      <w:proofErr w:type="spellStart"/>
      <w:r>
        <w:t>Standardised</w:t>
      </w:r>
      <w:proofErr w:type="spellEnd"/>
      <w:r>
        <w:t xml:space="preserve"> processes ensure that essential legal, safety, and operational training is completed, </w:t>
      </w:r>
      <w:proofErr w:type="spellStart"/>
      <w:r>
        <w:t>minimising</w:t>
      </w:r>
      <w:proofErr w:type="spellEnd"/>
      <w:r>
        <w:t xml:space="preserve"> potential compliance issues (Brewster et al., 2020). In a logistics environment, where safety is paramount, a robust onboarding </w:t>
      </w:r>
      <w:proofErr w:type="spellStart"/>
      <w:r>
        <w:t>programme</w:t>
      </w:r>
      <w:proofErr w:type="spellEnd"/>
      <w:r>
        <w:t xml:space="preserve"> can reduce accidents and improve operational reliability.</w:t>
      </w:r>
    </w:p>
    <w:p w14:paraId="60401608" w14:textId="69673ACC" w:rsidR="0080596D" w:rsidRPr="0097536F" w:rsidRDefault="00F77873" w:rsidP="0097536F">
      <w:pPr>
        <w:pStyle w:val="NormalWeb"/>
      </w:pPr>
      <w:r>
        <w:t xml:space="preserve">In summary, effective onboarding is an investment in people and performance. By implementing a consistent, well-structured onboarding process, </w:t>
      </w:r>
      <w:proofErr w:type="spellStart"/>
      <w:r>
        <w:t>ParcelCare</w:t>
      </w:r>
      <w:proofErr w:type="spellEnd"/>
      <w:r>
        <w:t xml:space="preserve"> can reduce turnover, accelerate performance, strengthen its culture, and enhance its reputation as an employer of choice</w:t>
      </w:r>
      <w:r w:rsidR="0097536F">
        <w:t>.</w:t>
      </w:r>
    </w:p>
    <w:p w14:paraId="18047CFB" w14:textId="77777777" w:rsidR="0080596D" w:rsidRDefault="0080596D">
      <w:pPr>
        <w:pStyle w:val="Listparag"/>
        <w:spacing w:after="0" w:line="240" w:lineRule="auto"/>
        <w:rPr>
          <w:rFonts w:ascii="Trebuchet MS" w:eastAsia="Trebuchet MS" w:hAnsi="Trebuchet MS" w:cs="Trebuchet MS"/>
        </w:rPr>
      </w:pPr>
    </w:p>
    <w:p w14:paraId="227E5B28" w14:textId="77777777" w:rsidR="0080596D" w:rsidRDefault="0080596D">
      <w:pPr>
        <w:pStyle w:val="Listparag"/>
        <w:spacing w:after="0" w:line="240" w:lineRule="auto"/>
        <w:rPr>
          <w:rFonts w:ascii="Trebuchet MS" w:eastAsia="Trebuchet MS" w:hAnsi="Trebuchet MS" w:cs="Trebuchet MS"/>
        </w:rPr>
      </w:pPr>
    </w:p>
    <w:p w14:paraId="239C7883" w14:textId="77777777" w:rsidR="0015718D" w:rsidRDefault="0015718D" w:rsidP="0015718D">
      <w:pPr>
        <w:pStyle w:val="Listparag"/>
        <w:spacing w:after="0"/>
        <w:rPr>
          <w:rFonts w:ascii="Trebuchet MS" w:eastAsia="Trebuchet MS" w:hAnsi="Trebuchet MS" w:cs="Trebuchet MS"/>
          <w:b/>
          <w:bCs/>
          <w:lang w:val="en-GB"/>
        </w:rPr>
      </w:pPr>
      <w:r w:rsidRPr="0015718D">
        <w:rPr>
          <w:rFonts w:ascii="Trebuchet MS" w:eastAsia="Trebuchet MS" w:hAnsi="Trebuchet MS" w:cs="Trebuchet MS"/>
          <w:b/>
          <w:bCs/>
          <w:lang w:val="en-GB"/>
        </w:rPr>
        <w:t>References</w:t>
      </w:r>
    </w:p>
    <w:p w14:paraId="5F812F71" w14:textId="77777777" w:rsidR="009A5712" w:rsidRPr="0015718D" w:rsidRDefault="009A5712" w:rsidP="0015718D">
      <w:pPr>
        <w:pStyle w:val="Listparag"/>
        <w:spacing w:after="0"/>
        <w:rPr>
          <w:rFonts w:ascii="Trebuchet MS" w:eastAsia="Trebuchet MS" w:hAnsi="Trebuchet MS" w:cs="Trebuchet MS"/>
          <w:b/>
          <w:bCs/>
          <w:lang w:val="en-GB"/>
        </w:rPr>
      </w:pPr>
    </w:p>
    <w:p w14:paraId="44C7FE4D" w14:textId="77777777"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Anderson, N. (2011) </w:t>
      </w:r>
      <w:r w:rsidRPr="0015718D">
        <w:rPr>
          <w:rFonts w:ascii="Trebuchet MS" w:eastAsia="Trebuchet MS" w:hAnsi="Trebuchet MS" w:cs="Trebuchet MS"/>
          <w:i/>
          <w:iCs/>
          <w:lang w:val="en-GB"/>
        </w:rPr>
        <w:t>Handbook of Industrial, Work and Organizational Psychology</w:t>
      </w:r>
      <w:r w:rsidRPr="0015718D">
        <w:rPr>
          <w:rFonts w:ascii="Trebuchet MS" w:eastAsia="Trebuchet MS" w:hAnsi="Trebuchet MS" w:cs="Trebuchet MS"/>
          <w:lang w:val="en-GB"/>
        </w:rPr>
        <w:t xml:space="preserve">. 2nd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Sage.</w:t>
      </w:r>
    </w:p>
    <w:p w14:paraId="11C7D1BC" w14:textId="77777777" w:rsidR="0015718D" w:rsidRDefault="0015718D" w:rsidP="0015718D">
      <w:pPr>
        <w:pStyle w:val="Listparag"/>
        <w:spacing w:after="0"/>
        <w:rPr>
          <w:rFonts w:ascii="Trebuchet MS" w:eastAsia="Trebuchet MS" w:hAnsi="Trebuchet MS" w:cs="Trebuchet MS"/>
          <w:lang w:val="en-GB"/>
        </w:rPr>
      </w:pPr>
    </w:p>
    <w:p w14:paraId="4773991A" w14:textId="65232ED0"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Armstrong, M. and Taylor, S. (2020) </w:t>
      </w:r>
      <w:r w:rsidRPr="0015718D">
        <w:rPr>
          <w:rFonts w:ascii="Trebuchet MS" w:eastAsia="Trebuchet MS" w:hAnsi="Trebuchet MS" w:cs="Trebuchet MS"/>
          <w:i/>
          <w:iCs/>
          <w:lang w:val="en-GB"/>
        </w:rPr>
        <w:t>Armstrong’s Handbook of Human Resource Management Practice</w:t>
      </w:r>
      <w:r w:rsidRPr="0015718D">
        <w:rPr>
          <w:rFonts w:ascii="Trebuchet MS" w:eastAsia="Trebuchet MS" w:hAnsi="Trebuchet MS" w:cs="Trebuchet MS"/>
          <w:lang w:val="en-GB"/>
        </w:rPr>
        <w:t xml:space="preserve">. 15th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Kogan Page.</w:t>
      </w:r>
    </w:p>
    <w:p w14:paraId="75F9E654" w14:textId="77777777" w:rsidR="0015718D" w:rsidRDefault="0015718D" w:rsidP="0015718D">
      <w:pPr>
        <w:pStyle w:val="Listparag"/>
        <w:spacing w:after="0"/>
        <w:rPr>
          <w:rFonts w:ascii="Trebuchet MS" w:eastAsia="Trebuchet MS" w:hAnsi="Trebuchet MS" w:cs="Trebuchet MS"/>
          <w:lang w:val="en-GB"/>
        </w:rPr>
      </w:pPr>
    </w:p>
    <w:p w14:paraId="38C55F13" w14:textId="39C5D7F0"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Bauer, T.N. (2019) </w:t>
      </w:r>
      <w:r w:rsidRPr="0015718D">
        <w:rPr>
          <w:rFonts w:ascii="Trebuchet MS" w:eastAsia="Trebuchet MS" w:hAnsi="Trebuchet MS" w:cs="Trebuchet MS"/>
          <w:i/>
          <w:iCs/>
          <w:lang w:val="en-GB"/>
        </w:rPr>
        <w:t>Onboarding New Employees: Maximizing Success</w:t>
      </w:r>
      <w:r w:rsidRPr="0015718D">
        <w:rPr>
          <w:rFonts w:ascii="Trebuchet MS" w:eastAsia="Trebuchet MS" w:hAnsi="Trebuchet MS" w:cs="Trebuchet MS"/>
          <w:lang w:val="en-GB"/>
        </w:rPr>
        <w:t xml:space="preserve">. 2nd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Alexandria, VA: SHRM Foundation.</w:t>
      </w:r>
    </w:p>
    <w:p w14:paraId="79A199D4" w14:textId="77777777" w:rsidR="0015718D" w:rsidRDefault="0015718D" w:rsidP="0015718D">
      <w:pPr>
        <w:pStyle w:val="Listparag"/>
        <w:spacing w:after="0"/>
        <w:rPr>
          <w:rFonts w:ascii="Trebuchet MS" w:eastAsia="Trebuchet MS" w:hAnsi="Trebuchet MS" w:cs="Trebuchet MS"/>
          <w:lang w:val="en-GB"/>
        </w:rPr>
      </w:pPr>
    </w:p>
    <w:p w14:paraId="06DD3392" w14:textId="0F06240C"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Brewster, C., Chung, C. and Sparrow, P. (2020) </w:t>
      </w:r>
      <w:r w:rsidRPr="0015718D">
        <w:rPr>
          <w:rFonts w:ascii="Trebuchet MS" w:eastAsia="Trebuchet MS" w:hAnsi="Trebuchet MS" w:cs="Trebuchet MS"/>
          <w:i/>
          <w:iCs/>
          <w:lang w:val="en-GB"/>
        </w:rPr>
        <w:t>Contemporary Human Resource Management: Text and Cases</w:t>
      </w:r>
      <w:r w:rsidRPr="0015718D">
        <w:rPr>
          <w:rFonts w:ascii="Trebuchet MS" w:eastAsia="Trebuchet MS" w:hAnsi="Trebuchet MS" w:cs="Trebuchet MS"/>
          <w:lang w:val="en-GB"/>
        </w:rPr>
        <w:t xml:space="preserve">. 6th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Harlow: Pearson Education.</w:t>
      </w:r>
    </w:p>
    <w:p w14:paraId="1081B54E" w14:textId="77777777" w:rsidR="0015718D" w:rsidRDefault="0015718D" w:rsidP="0015718D">
      <w:pPr>
        <w:pStyle w:val="Listparag"/>
        <w:spacing w:after="0"/>
        <w:rPr>
          <w:rFonts w:ascii="Trebuchet MS" w:eastAsia="Trebuchet MS" w:hAnsi="Trebuchet MS" w:cs="Trebuchet MS"/>
          <w:lang w:val="en-GB"/>
        </w:rPr>
      </w:pPr>
    </w:p>
    <w:p w14:paraId="6F102F71" w14:textId="47974011"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(2022) </w:t>
      </w:r>
      <w:r w:rsidRPr="0015718D">
        <w:rPr>
          <w:rFonts w:ascii="Trebuchet MS" w:eastAsia="Trebuchet MS" w:hAnsi="Trebuchet MS" w:cs="Trebuchet MS"/>
          <w:i/>
          <w:iCs/>
          <w:lang w:val="en-GB"/>
        </w:rPr>
        <w:t>Labour Market Outlook: Summer 2022</w:t>
      </w:r>
      <w:r w:rsidRPr="0015718D">
        <w:rPr>
          <w:rFonts w:ascii="Trebuchet MS" w:eastAsia="Trebuchet MS" w:hAnsi="Trebuchet MS" w:cs="Trebuchet MS"/>
          <w:lang w:val="en-GB"/>
        </w:rPr>
        <w:t>. London: Chartered Institute of Personnel and Development.</w:t>
      </w:r>
    </w:p>
    <w:p w14:paraId="54493BB5" w14:textId="77777777" w:rsidR="0015718D" w:rsidRDefault="0015718D" w:rsidP="0015718D">
      <w:pPr>
        <w:pStyle w:val="Listparag"/>
        <w:spacing w:after="0"/>
        <w:rPr>
          <w:rFonts w:ascii="Trebuchet MS" w:eastAsia="Trebuchet MS" w:hAnsi="Trebuchet MS" w:cs="Trebuchet MS"/>
          <w:lang w:val="en-GB"/>
        </w:rPr>
      </w:pPr>
    </w:p>
    <w:p w14:paraId="5AF90639" w14:textId="5B151EBE"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(2022) </w:t>
      </w:r>
      <w:r w:rsidRPr="0015718D">
        <w:rPr>
          <w:rFonts w:ascii="Trebuchet MS" w:eastAsia="Trebuchet MS" w:hAnsi="Trebuchet MS" w:cs="Trebuchet MS"/>
          <w:i/>
          <w:iCs/>
          <w:lang w:val="en-GB"/>
        </w:rPr>
        <w:t>Resourcing and Talent Planning Survey 2022</w:t>
      </w:r>
      <w:r w:rsidRPr="0015718D">
        <w:rPr>
          <w:rFonts w:ascii="Trebuchet MS" w:eastAsia="Trebuchet MS" w:hAnsi="Trebuchet MS" w:cs="Trebuchet MS"/>
          <w:lang w:val="en-GB"/>
        </w:rPr>
        <w:t>. London: Chartered Institute of Personnel and Development.</w:t>
      </w:r>
    </w:p>
    <w:p w14:paraId="2EA4133D" w14:textId="77777777" w:rsidR="0015718D" w:rsidRDefault="0015718D" w:rsidP="0015718D">
      <w:pPr>
        <w:pStyle w:val="Listparag"/>
        <w:spacing w:after="0"/>
        <w:rPr>
          <w:rFonts w:ascii="Trebuchet MS" w:eastAsia="Trebuchet MS" w:hAnsi="Trebuchet MS" w:cs="Trebuchet MS"/>
          <w:lang w:val="en-GB"/>
        </w:rPr>
      </w:pPr>
    </w:p>
    <w:p w14:paraId="1E70A26F" w14:textId="1884830C"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(2023) </w:t>
      </w:r>
      <w:r w:rsidRPr="0015718D">
        <w:rPr>
          <w:rFonts w:ascii="Trebuchet MS" w:eastAsia="Trebuchet MS" w:hAnsi="Trebuchet MS" w:cs="Trebuchet MS"/>
          <w:i/>
          <w:iCs/>
          <w:lang w:val="en-GB"/>
        </w:rPr>
        <w:t>Employee Turnover and Retention Factsheet</w:t>
      </w:r>
      <w:r w:rsidRPr="0015718D">
        <w:rPr>
          <w:rFonts w:ascii="Trebuchet MS" w:eastAsia="Trebuchet MS" w:hAnsi="Trebuchet MS" w:cs="Trebuchet MS"/>
          <w:lang w:val="en-GB"/>
        </w:rPr>
        <w:t>. London: Chartered Institute of Personnel and Development.</w:t>
      </w:r>
    </w:p>
    <w:p w14:paraId="23FC9E26" w14:textId="77777777" w:rsidR="0015718D" w:rsidRDefault="0015718D" w:rsidP="0015718D">
      <w:pPr>
        <w:pStyle w:val="Listparag"/>
        <w:spacing w:after="0"/>
        <w:rPr>
          <w:rFonts w:ascii="Trebuchet MS" w:eastAsia="Trebuchet MS" w:hAnsi="Trebuchet MS" w:cs="Trebuchet MS"/>
          <w:lang w:val="en-GB"/>
        </w:rPr>
      </w:pPr>
    </w:p>
    <w:p w14:paraId="62143B1D" w14:textId="6782E79F"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(2023) </w:t>
      </w:r>
      <w:r w:rsidRPr="0015718D">
        <w:rPr>
          <w:rFonts w:ascii="Trebuchet MS" w:eastAsia="Trebuchet MS" w:hAnsi="Trebuchet MS" w:cs="Trebuchet MS"/>
          <w:i/>
          <w:iCs/>
          <w:lang w:val="en-GB"/>
        </w:rPr>
        <w:t>Employment Contracts Factsheet</w:t>
      </w:r>
      <w:r w:rsidRPr="0015718D">
        <w:rPr>
          <w:rFonts w:ascii="Trebuchet MS" w:eastAsia="Trebuchet MS" w:hAnsi="Trebuchet MS" w:cs="Trebuchet MS"/>
          <w:lang w:val="en-GB"/>
        </w:rPr>
        <w:t>. London: Chartered Institute of Personnel and Development.</w:t>
      </w:r>
    </w:p>
    <w:p w14:paraId="5112ABB2" w14:textId="77777777" w:rsidR="0015718D" w:rsidRDefault="0015718D" w:rsidP="0015718D">
      <w:pPr>
        <w:pStyle w:val="Listparag"/>
        <w:spacing w:after="0"/>
        <w:rPr>
          <w:rFonts w:ascii="Trebuchet MS" w:eastAsia="Trebuchet MS" w:hAnsi="Trebuchet MS" w:cs="Trebuchet MS"/>
          <w:lang w:val="en-GB"/>
        </w:rPr>
      </w:pPr>
    </w:p>
    <w:p w14:paraId="3D2CA99E" w14:textId="2D4BD40C"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(2023) </w:t>
      </w:r>
      <w:r w:rsidRPr="0015718D">
        <w:rPr>
          <w:rFonts w:ascii="Trebuchet MS" w:eastAsia="Trebuchet MS" w:hAnsi="Trebuchet MS" w:cs="Trebuchet MS"/>
          <w:i/>
          <w:iCs/>
          <w:lang w:val="en-GB"/>
        </w:rPr>
        <w:t>Recruitment and Retention in the Logistics Industry</w:t>
      </w:r>
      <w:r w:rsidRPr="0015718D">
        <w:rPr>
          <w:rFonts w:ascii="Trebuchet MS" w:eastAsia="Trebuchet MS" w:hAnsi="Trebuchet MS" w:cs="Trebuchet MS"/>
          <w:lang w:val="en-GB"/>
        </w:rPr>
        <w:t>. London: Chartered Institute of Personnel and Development.</w:t>
      </w:r>
    </w:p>
    <w:p w14:paraId="5DB11BBB" w14:textId="77777777" w:rsidR="0015718D" w:rsidRDefault="0015718D" w:rsidP="0015718D">
      <w:pPr>
        <w:pStyle w:val="Listparag"/>
        <w:spacing w:after="0"/>
        <w:rPr>
          <w:rFonts w:ascii="Trebuchet MS" w:eastAsia="Trebuchet MS" w:hAnsi="Trebuchet MS" w:cs="Trebuchet MS"/>
          <w:lang w:val="en-GB"/>
        </w:rPr>
      </w:pPr>
    </w:p>
    <w:p w14:paraId="7573E351" w14:textId="5451B59D"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(2023) </w:t>
      </w:r>
      <w:r w:rsidRPr="0015718D">
        <w:rPr>
          <w:rFonts w:ascii="Trebuchet MS" w:eastAsia="Trebuchet MS" w:hAnsi="Trebuchet MS" w:cs="Trebuchet MS"/>
          <w:i/>
          <w:iCs/>
          <w:lang w:val="en-GB"/>
        </w:rPr>
        <w:t>Recruitment: An Overview</w:t>
      </w:r>
      <w:r w:rsidRPr="0015718D">
        <w:rPr>
          <w:rFonts w:ascii="Trebuchet MS" w:eastAsia="Trebuchet MS" w:hAnsi="Trebuchet MS" w:cs="Trebuchet MS"/>
          <w:lang w:val="en-GB"/>
        </w:rPr>
        <w:t>. London: Chartered Institute of Personnel and Development.</w:t>
      </w:r>
    </w:p>
    <w:p w14:paraId="7F7C9AB6" w14:textId="77777777" w:rsidR="0015718D" w:rsidRDefault="0015718D" w:rsidP="0015718D">
      <w:pPr>
        <w:pStyle w:val="Listparag"/>
        <w:spacing w:after="0"/>
        <w:rPr>
          <w:rFonts w:ascii="Trebuchet MS" w:eastAsia="Trebuchet MS" w:hAnsi="Trebuchet MS" w:cs="Trebuchet MS"/>
          <w:lang w:val="en-GB"/>
        </w:rPr>
      </w:pPr>
    </w:p>
    <w:p w14:paraId="79E4A138" w14:textId="6E81AAA6"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(2023) </w:t>
      </w:r>
      <w:r w:rsidRPr="0015718D">
        <w:rPr>
          <w:rFonts w:ascii="Trebuchet MS" w:eastAsia="Trebuchet MS" w:hAnsi="Trebuchet MS" w:cs="Trebuchet MS"/>
          <w:i/>
          <w:iCs/>
          <w:lang w:val="en-GB"/>
        </w:rPr>
        <w:t>Workforce Planning and Diversity Report 2023</w:t>
      </w:r>
      <w:r w:rsidRPr="0015718D">
        <w:rPr>
          <w:rFonts w:ascii="Trebuchet MS" w:eastAsia="Trebuchet MS" w:hAnsi="Trebuchet MS" w:cs="Trebuchet MS"/>
          <w:lang w:val="en-GB"/>
        </w:rPr>
        <w:t>. London: Chartered Institute of Personnel and Development.</w:t>
      </w:r>
    </w:p>
    <w:p w14:paraId="6F0FFA42" w14:textId="77777777" w:rsidR="0015718D" w:rsidRDefault="0015718D" w:rsidP="0015718D">
      <w:pPr>
        <w:pStyle w:val="Listparag"/>
        <w:spacing w:after="0"/>
        <w:rPr>
          <w:rFonts w:ascii="Trebuchet MS" w:eastAsia="Trebuchet MS" w:hAnsi="Trebuchet MS" w:cs="Trebuchet MS"/>
          <w:lang w:val="en-GB"/>
        </w:rPr>
      </w:pPr>
    </w:p>
    <w:p w14:paraId="5309D8DB" w14:textId="6A48346C"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(2024) </w:t>
      </w:r>
      <w:r w:rsidRPr="0015718D">
        <w:rPr>
          <w:rFonts w:ascii="Trebuchet MS" w:eastAsia="Trebuchet MS" w:hAnsi="Trebuchet MS" w:cs="Trebuchet MS"/>
          <w:i/>
          <w:iCs/>
          <w:lang w:val="en-GB"/>
        </w:rPr>
        <w:t>Selection Methods Factsheet</w:t>
      </w:r>
      <w:r w:rsidRPr="0015718D">
        <w:rPr>
          <w:rFonts w:ascii="Trebuchet MS" w:eastAsia="Trebuchet MS" w:hAnsi="Trebuchet MS" w:cs="Trebuchet MS"/>
          <w:lang w:val="en-GB"/>
        </w:rPr>
        <w:t>. London: Chartered Institute of Personnel and Development.</w:t>
      </w:r>
    </w:p>
    <w:p w14:paraId="5BF284B2" w14:textId="77777777" w:rsidR="0015718D" w:rsidRDefault="0015718D" w:rsidP="0015718D">
      <w:pPr>
        <w:pStyle w:val="Listparag"/>
        <w:spacing w:after="0"/>
        <w:rPr>
          <w:rFonts w:ascii="Trebuchet MS" w:eastAsia="Trebuchet MS" w:hAnsi="Trebuchet MS" w:cs="Trebuchet MS"/>
          <w:lang w:val="en-GB"/>
        </w:rPr>
      </w:pPr>
    </w:p>
    <w:p w14:paraId="3BD1189C" w14:textId="5300ACD0"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CIPD. (2024) </w:t>
      </w:r>
      <w:r w:rsidRPr="0015718D">
        <w:rPr>
          <w:rFonts w:ascii="Trebuchet MS" w:eastAsia="Trebuchet MS" w:hAnsi="Trebuchet MS" w:cs="Trebuchet MS"/>
          <w:i/>
          <w:iCs/>
          <w:lang w:val="en-GB"/>
        </w:rPr>
        <w:t>Strategic Workforce Planning: A Guide</w:t>
      </w:r>
      <w:r w:rsidRPr="0015718D">
        <w:rPr>
          <w:rFonts w:ascii="Trebuchet MS" w:eastAsia="Trebuchet MS" w:hAnsi="Trebuchet MS" w:cs="Trebuchet MS"/>
          <w:lang w:val="en-GB"/>
        </w:rPr>
        <w:t>. London: Chartered Institute of Personnel and Development.</w:t>
      </w:r>
    </w:p>
    <w:p w14:paraId="13B864F0" w14:textId="77777777" w:rsidR="0015718D" w:rsidRDefault="0015718D" w:rsidP="0015718D">
      <w:pPr>
        <w:pStyle w:val="Listparag"/>
        <w:spacing w:after="0"/>
        <w:rPr>
          <w:rFonts w:ascii="Trebuchet MS" w:eastAsia="Trebuchet MS" w:hAnsi="Trebuchet MS" w:cs="Trebuchet MS"/>
          <w:lang w:val="en-GB"/>
        </w:rPr>
      </w:pPr>
    </w:p>
    <w:p w14:paraId="5FA9E459" w14:textId="01D99867"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Gennard, J. and Judge, G. (2021) </w:t>
      </w:r>
      <w:r w:rsidRPr="0015718D">
        <w:rPr>
          <w:rFonts w:ascii="Trebuchet MS" w:eastAsia="Trebuchet MS" w:hAnsi="Trebuchet MS" w:cs="Trebuchet MS"/>
          <w:i/>
          <w:iCs/>
          <w:lang w:val="en-GB"/>
        </w:rPr>
        <w:t>Employee Relations</w:t>
      </w:r>
      <w:r w:rsidRPr="0015718D">
        <w:rPr>
          <w:rFonts w:ascii="Trebuchet MS" w:eastAsia="Trebuchet MS" w:hAnsi="Trebuchet MS" w:cs="Trebuchet MS"/>
          <w:lang w:val="en-GB"/>
        </w:rPr>
        <w:t xml:space="preserve">. 7th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CIPD Publishing.</w:t>
      </w:r>
    </w:p>
    <w:p w14:paraId="6F658006" w14:textId="77777777" w:rsid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Hackman, J.R. and Oldham, G.R. (1976) ‘Motivation through the design of work: Test of a theory’, </w:t>
      </w:r>
    </w:p>
    <w:p w14:paraId="13AA15B5" w14:textId="2405038A"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i/>
          <w:iCs/>
          <w:lang w:val="en-GB"/>
        </w:rPr>
        <w:t xml:space="preserve">Organizational </w:t>
      </w:r>
      <w:proofErr w:type="spellStart"/>
      <w:r w:rsidRPr="0015718D">
        <w:rPr>
          <w:rFonts w:ascii="Trebuchet MS" w:eastAsia="Trebuchet MS" w:hAnsi="Trebuchet MS" w:cs="Trebuchet MS"/>
          <w:i/>
          <w:iCs/>
          <w:lang w:val="en-GB"/>
        </w:rPr>
        <w:t>Behavior</w:t>
      </w:r>
      <w:proofErr w:type="spellEnd"/>
      <w:r w:rsidRPr="0015718D">
        <w:rPr>
          <w:rFonts w:ascii="Trebuchet MS" w:eastAsia="Trebuchet MS" w:hAnsi="Trebuchet MS" w:cs="Trebuchet MS"/>
          <w:i/>
          <w:iCs/>
          <w:lang w:val="en-GB"/>
        </w:rPr>
        <w:t xml:space="preserve"> and Human Performance</w:t>
      </w:r>
      <w:r w:rsidRPr="0015718D">
        <w:rPr>
          <w:rFonts w:ascii="Trebuchet MS" w:eastAsia="Trebuchet MS" w:hAnsi="Trebuchet MS" w:cs="Trebuchet MS"/>
          <w:lang w:val="en-GB"/>
        </w:rPr>
        <w:t>, 16(2), pp. 250–279.</w:t>
      </w:r>
    </w:p>
    <w:p w14:paraId="642A5E9B" w14:textId="77777777" w:rsidR="0015718D" w:rsidRDefault="0015718D" w:rsidP="0015718D">
      <w:pPr>
        <w:pStyle w:val="Listparag"/>
        <w:spacing w:after="0"/>
        <w:rPr>
          <w:rFonts w:ascii="Trebuchet MS" w:eastAsia="Trebuchet MS" w:hAnsi="Trebuchet MS" w:cs="Trebuchet MS"/>
          <w:lang w:val="en-GB"/>
        </w:rPr>
      </w:pPr>
    </w:p>
    <w:p w14:paraId="7F0F7F64" w14:textId="23ED5D8B"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Herzberg, F. (1968) ‘One more time: How do you motivate employees?’, </w:t>
      </w:r>
      <w:r w:rsidRPr="0015718D">
        <w:rPr>
          <w:rFonts w:ascii="Trebuchet MS" w:eastAsia="Trebuchet MS" w:hAnsi="Trebuchet MS" w:cs="Trebuchet MS"/>
          <w:i/>
          <w:iCs/>
          <w:lang w:val="en-GB"/>
        </w:rPr>
        <w:t>Harvard Business Review</w:t>
      </w:r>
      <w:r w:rsidRPr="0015718D">
        <w:rPr>
          <w:rFonts w:ascii="Trebuchet MS" w:eastAsia="Trebuchet MS" w:hAnsi="Trebuchet MS" w:cs="Trebuchet MS"/>
          <w:lang w:val="en-GB"/>
        </w:rPr>
        <w:t>, 46(1), pp. 53–62.</w:t>
      </w:r>
    </w:p>
    <w:p w14:paraId="109719D7" w14:textId="77777777"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Hom, P.W., Lee, T.W., Shaw, J.D. and Hausknecht, J.P. (2017) ‘One hundred years of employee turnover theory and research’, </w:t>
      </w:r>
      <w:r w:rsidRPr="0015718D">
        <w:rPr>
          <w:rFonts w:ascii="Trebuchet MS" w:eastAsia="Trebuchet MS" w:hAnsi="Trebuchet MS" w:cs="Trebuchet MS"/>
          <w:i/>
          <w:iCs/>
          <w:lang w:val="en-GB"/>
        </w:rPr>
        <w:t>Journal of Applied Psychology</w:t>
      </w:r>
      <w:r w:rsidRPr="0015718D">
        <w:rPr>
          <w:rFonts w:ascii="Trebuchet MS" w:eastAsia="Trebuchet MS" w:hAnsi="Trebuchet MS" w:cs="Trebuchet MS"/>
          <w:lang w:val="en-GB"/>
        </w:rPr>
        <w:t>, 102(3), pp. 530–545.</w:t>
      </w:r>
    </w:p>
    <w:p w14:paraId="65AC3D7A" w14:textId="77777777" w:rsidR="0015718D" w:rsidRDefault="0015718D" w:rsidP="0015718D">
      <w:pPr>
        <w:pStyle w:val="Listparag"/>
        <w:spacing w:after="0"/>
        <w:rPr>
          <w:rFonts w:ascii="Trebuchet MS" w:eastAsia="Trebuchet MS" w:hAnsi="Trebuchet MS" w:cs="Trebuchet MS"/>
          <w:lang w:val="en-GB"/>
        </w:rPr>
      </w:pPr>
    </w:p>
    <w:p w14:paraId="0FC6FFFC" w14:textId="487C5A97"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Kaufman, B.E. (2015) </w:t>
      </w:r>
      <w:r w:rsidRPr="0015718D">
        <w:rPr>
          <w:rFonts w:ascii="Trebuchet MS" w:eastAsia="Trebuchet MS" w:hAnsi="Trebuchet MS" w:cs="Trebuchet MS"/>
          <w:i/>
          <w:iCs/>
          <w:lang w:val="en-GB"/>
        </w:rPr>
        <w:t>Theoretical Perspectives on Work and the Employment Relationship</w:t>
      </w:r>
      <w:r w:rsidRPr="0015718D">
        <w:rPr>
          <w:rFonts w:ascii="Trebuchet MS" w:eastAsia="Trebuchet MS" w:hAnsi="Trebuchet MS" w:cs="Trebuchet MS"/>
          <w:lang w:val="en-GB"/>
        </w:rPr>
        <w:t>. Champaign, IL: Industrial Relations Research Association.</w:t>
      </w:r>
    </w:p>
    <w:p w14:paraId="176DB625" w14:textId="77777777" w:rsidR="0015718D" w:rsidRDefault="0015718D" w:rsidP="0015718D">
      <w:pPr>
        <w:pStyle w:val="Listparag"/>
        <w:spacing w:after="0"/>
        <w:rPr>
          <w:rFonts w:ascii="Trebuchet MS" w:eastAsia="Trebuchet MS" w:hAnsi="Trebuchet MS" w:cs="Trebuchet MS"/>
          <w:lang w:val="en-GB"/>
        </w:rPr>
      </w:pPr>
    </w:p>
    <w:p w14:paraId="605726D5" w14:textId="1BBF5D5F"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Kaur, P. (2015) ‘Employee Referrals and Recruitment Effectiveness’, </w:t>
      </w:r>
      <w:r w:rsidRPr="0015718D">
        <w:rPr>
          <w:rFonts w:ascii="Trebuchet MS" w:eastAsia="Trebuchet MS" w:hAnsi="Trebuchet MS" w:cs="Trebuchet MS"/>
          <w:i/>
          <w:iCs/>
          <w:lang w:val="en-GB"/>
        </w:rPr>
        <w:t>International Journal of Human Resource Studies</w:t>
      </w:r>
      <w:r w:rsidRPr="0015718D">
        <w:rPr>
          <w:rFonts w:ascii="Trebuchet MS" w:eastAsia="Trebuchet MS" w:hAnsi="Trebuchet MS" w:cs="Trebuchet MS"/>
          <w:lang w:val="en-GB"/>
        </w:rPr>
        <w:t>, 5(3), pp. 80–93.</w:t>
      </w:r>
    </w:p>
    <w:p w14:paraId="53DCDCAC" w14:textId="77777777" w:rsidR="0015718D" w:rsidRDefault="0015718D" w:rsidP="0015718D">
      <w:pPr>
        <w:pStyle w:val="Listparag"/>
        <w:spacing w:after="0"/>
        <w:rPr>
          <w:rFonts w:ascii="Trebuchet MS" w:eastAsia="Trebuchet MS" w:hAnsi="Trebuchet MS" w:cs="Trebuchet MS"/>
          <w:lang w:val="en-GB"/>
        </w:rPr>
      </w:pPr>
    </w:p>
    <w:p w14:paraId="0A79B3BE" w14:textId="66F1587F"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Klein, H.J. and Heuser, A.E. (2020) </w:t>
      </w:r>
      <w:r w:rsidRPr="0015718D">
        <w:rPr>
          <w:rFonts w:ascii="Trebuchet MS" w:eastAsia="Trebuchet MS" w:hAnsi="Trebuchet MS" w:cs="Trebuchet MS"/>
          <w:i/>
          <w:iCs/>
          <w:lang w:val="en-GB"/>
        </w:rPr>
        <w:t>The Learning Outcomes of Organizational Socialization and Onboarding</w:t>
      </w:r>
      <w:r w:rsidRPr="0015718D">
        <w:rPr>
          <w:rFonts w:ascii="Trebuchet MS" w:eastAsia="Trebuchet MS" w:hAnsi="Trebuchet MS" w:cs="Trebuchet MS"/>
          <w:lang w:val="en-GB"/>
        </w:rPr>
        <w:t>. Oxford: Oxford University Press.</w:t>
      </w:r>
    </w:p>
    <w:p w14:paraId="4096283A" w14:textId="77777777" w:rsidR="0015718D" w:rsidRDefault="0015718D" w:rsidP="0015718D">
      <w:pPr>
        <w:pStyle w:val="Listparag"/>
        <w:spacing w:after="0"/>
        <w:rPr>
          <w:rFonts w:ascii="Trebuchet MS" w:eastAsia="Trebuchet MS" w:hAnsi="Trebuchet MS" w:cs="Trebuchet MS"/>
          <w:lang w:val="en-GB"/>
        </w:rPr>
      </w:pPr>
    </w:p>
    <w:p w14:paraId="79F124E3" w14:textId="5B0A98D6"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Marchington, M., Wilkinson, A., Donnelly, R. and </w:t>
      </w:r>
      <w:proofErr w:type="spellStart"/>
      <w:r w:rsidRPr="0015718D">
        <w:rPr>
          <w:rFonts w:ascii="Trebuchet MS" w:eastAsia="Trebuchet MS" w:hAnsi="Trebuchet MS" w:cs="Trebuchet MS"/>
          <w:lang w:val="en-GB"/>
        </w:rPr>
        <w:t>Kynighou</w:t>
      </w:r>
      <w:proofErr w:type="spellEnd"/>
      <w:r w:rsidRPr="0015718D">
        <w:rPr>
          <w:rFonts w:ascii="Trebuchet MS" w:eastAsia="Trebuchet MS" w:hAnsi="Trebuchet MS" w:cs="Trebuchet MS"/>
          <w:lang w:val="en-GB"/>
        </w:rPr>
        <w:t xml:space="preserve">, A. (2021) </w:t>
      </w:r>
      <w:r w:rsidRPr="0015718D">
        <w:rPr>
          <w:rFonts w:ascii="Trebuchet MS" w:eastAsia="Trebuchet MS" w:hAnsi="Trebuchet MS" w:cs="Trebuchet MS"/>
          <w:i/>
          <w:iCs/>
          <w:lang w:val="en-GB"/>
        </w:rPr>
        <w:t>Human Resource Management at Work</w:t>
      </w:r>
      <w:r w:rsidRPr="0015718D">
        <w:rPr>
          <w:rFonts w:ascii="Trebuchet MS" w:eastAsia="Trebuchet MS" w:hAnsi="Trebuchet MS" w:cs="Trebuchet MS"/>
          <w:lang w:val="en-GB"/>
        </w:rPr>
        <w:t xml:space="preserve">. 8th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CIPD Publishing.</w:t>
      </w:r>
    </w:p>
    <w:p w14:paraId="0E342316" w14:textId="77777777" w:rsidR="0015718D" w:rsidRDefault="0015718D" w:rsidP="0015718D">
      <w:pPr>
        <w:pStyle w:val="Listparag"/>
        <w:spacing w:after="0"/>
        <w:rPr>
          <w:rFonts w:ascii="Trebuchet MS" w:eastAsia="Trebuchet MS" w:hAnsi="Trebuchet MS" w:cs="Trebuchet MS"/>
          <w:lang w:val="en-GB"/>
        </w:rPr>
      </w:pPr>
    </w:p>
    <w:p w14:paraId="33210064" w14:textId="5B9214C8"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Phillips, J.M. and Gully, S.M. (2015) </w:t>
      </w:r>
      <w:r w:rsidRPr="0015718D">
        <w:rPr>
          <w:rFonts w:ascii="Trebuchet MS" w:eastAsia="Trebuchet MS" w:hAnsi="Trebuchet MS" w:cs="Trebuchet MS"/>
          <w:i/>
          <w:iCs/>
          <w:lang w:val="en-GB"/>
        </w:rPr>
        <w:t>Strategic Staffing</w:t>
      </w:r>
      <w:r w:rsidRPr="0015718D">
        <w:rPr>
          <w:rFonts w:ascii="Trebuchet MS" w:eastAsia="Trebuchet MS" w:hAnsi="Trebuchet MS" w:cs="Trebuchet MS"/>
          <w:lang w:val="en-GB"/>
        </w:rPr>
        <w:t xml:space="preserve">. 3rd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Harlow: Pearson Education.</w:t>
      </w:r>
    </w:p>
    <w:p w14:paraId="134C7739" w14:textId="77777777" w:rsidR="0015718D" w:rsidRDefault="0015718D" w:rsidP="0015718D">
      <w:pPr>
        <w:pStyle w:val="Listparag"/>
        <w:spacing w:after="0"/>
        <w:rPr>
          <w:rFonts w:ascii="Trebuchet MS" w:eastAsia="Trebuchet MS" w:hAnsi="Trebuchet MS" w:cs="Trebuchet MS"/>
          <w:lang w:val="en-GB"/>
        </w:rPr>
      </w:pPr>
    </w:p>
    <w:p w14:paraId="1418D3C6" w14:textId="0132C216"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Redman, T. and Wilkinson, A. (2019) </w:t>
      </w:r>
      <w:r w:rsidRPr="0015718D">
        <w:rPr>
          <w:rFonts w:ascii="Trebuchet MS" w:eastAsia="Trebuchet MS" w:hAnsi="Trebuchet MS" w:cs="Trebuchet MS"/>
          <w:i/>
          <w:iCs/>
          <w:lang w:val="en-GB"/>
        </w:rPr>
        <w:t>Contemporary Human Resource Management: Text and Cases</w:t>
      </w:r>
      <w:r w:rsidRPr="0015718D">
        <w:rPr>
          <w:rFonts w:ascii="Trebuchet MS" w:eastAsia="Trebuchet MS" w:hAnsi="Trebuchet MS" w:cs="Trebuchet MS"/>
          <w:lang w:val="en-GB"/>
        </w:rPr>
        <w:t xml:space="preserve">. 5th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Harlow: Pearson Education.</w:t>
      </w:r>
    </w:p>
    <w:p w14:paraId="7ED526DF" w14:textId="77777777" w:rsidR="0015718D" w:rsidRDefault="0015718D" w:rsidP="0015718D">
      <w:pPr>
        <w:pStyle w:val="Listparag"/>
        <w:spacing w:after="0"/>
        <w:rPr>
          <w:rFonts w:ascii="Trebuchet MS" w:eastAsia="Trebuchet MS" w:hAnsi="Trebuchet MS" w:cs="Trebuchet MS"/>
          <w:lang w:val="en-GB"/>
        </w:rPr>
      </w:pPr>
    </w:p>
    <w:p w14:paraId="1781056F" w14:textId="77868625"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Rees, G. and Smith, P. (2021) </w:t>
      </w:r>
      <w:r w:rsidRPr="0015718D">
        <w:rPr>
          <w:rFonts w:ascii="Trebuchet MS" w:eastAsia="Trebuchet MS" w:hAnsi="Trebuchet MS" w:cs="Trebuchet MS"/>
          <w:i/>
          <w:iCs/>
          <w:lang w:val="en-GB"/>
        </w:rPr>
        <w:t>Strategic Human Resource Management: An International Perspective</w:t>
      </w:r>
      <w:r w:rsidRPr="0015718D">
        <w:rPr>
          <w:rFonts w:ascii="Trebuchet MS" w:eastAsia="Trebuchet MS" w:hAnsi="Trebuchet MS" w:cs="Trebuchet MS"/>
          <w:lang w:val="en-GB"/>
        </w:rPr>
        <w:t xml:space="preserve">. 5th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Sage Publications.</w:t>
      </w:r>
    </w:p>
    <w:p w14:paraId="2A0652B2" w14:textId="77777777" w:rsidR="0015718D" w:rsidRDefault="0015718D" w:rsidP="0015718D">
      <w:pPr>
        <w:pStyle w:val="Listparag"/>
        <w:spacing w:after="0"/>
        <w:rPr>
          <w:rFonts w:ascii="Trebuchet MS" w:eastAsia="Trebuchet MS" w:hAnsi="Trebuchet MS" w:cs="Trebuchet MS"/>
          <w:lang w:val="en-GB"/>
        </w:rPr>
      </w:pPr>
    </w:p>
    <w:p w14:paraId="4BBA3722" w14:textId="5241311F"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Reilly, P. (2018) </w:t>
      </w:r>
      <w:r w:rsidRPr="0015718D">
        <w:rPr>
          <w:rFonts w:ascii="Trebuchet MS" w:eastAsia="Trebuchet MS" w:hAnsi="Trebuchet MS" w:cs="Trebuchet MS"/>
          <w:i/>
          <w:iCs/>
          <w:lang w:val="en-GB"/>
        </w:rPr>
        <w:t>Workforce Planning: A Practical Approach</w:t>
      </w:r>
      <w:r w:rsidRPr="0015718D">
        <w:rPr>
          <w:rFonts w:ascii="Trebuchet MS" w:eastAsia="Trebuchet MS" w:hAnsi="Trebuchet MS" w:cs="Trebuchet MS"/>
          <w:lang w:val="en-GB"/>
        </w:rPr>
        <w:t xml:space="preserve">. 2nd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Gower.</w:t>
      </w:r>
    </w:p>
    <w:p w14:paraId="4EBEC8E6" w14:textId="77777777" w:rsidR="00121027" w:rsidRDefault="00121027" w:rsidP="0015718D">
      <w:pPr>
        <w:pStyle w:val="Listparag"/>
        <w:spacing w:after="0"/>
        <w:rPr>
          <w:rFonts w:ascii="Trebuchet MS" w:eastAsia="Trebuchet MS" w:hAnsi="Trebuchet MS" w:cs="Trebuchet MS"/>
          <w:lang w:val="en-GB"/>
        </w:rPr>
      </w:pPr>
    </w:p>
    <w:p w14:paraId="41E1FBF4" w14:textId="5C94AD07"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Saks, A.M. and Gruman, J.A. (2018) ‘Socialization Resources Theory and Newcomer Adjustment and Socialization Outcomes’, </w:t>
      </w:r>
      <w:r w:rsidRPr="0015718D">
        <w:rPr>
          <w:rFonts w:ascii="Trebuchet MS" w:eastAsia="Trebuchet MS" w:hAnsi="Trebuchet MS" w:cs="Trebuchet MS"/>
          <w:i/>
          <w:iCs/>
          <w:lang w:val="en-GB"/>
        </w:rPr>
        <w:t>Frontiers in Psychology</w:t>
      </w:r>
      <w:r w:rsidRPr="0015718D">
        <w:rPr>
          <w:rFonts w:ascii="Trebuchet MS" w:eastAsia="Trebuchet MS" w:hAnsi="Trebuchet MS" w:cs="Trebuchet MS"/>
          <w:lang w:val="en-GB"/>
        </w:rPr>
        <w:t>, 9(305), pp. 1–12.</w:t>
      </w:r>
    </w:p>
    <w:p w14:paraId="65F0B2EE" w14:textId="77777777" w:rsidR="00121027" w:rsidRDefault="00121027" w:rsidP="0015718D">
      <w:pPr>
        <w:pStyle w:val="Listparag"/>
        <w:spacing w:after="0"/>
        <w:rPr>
          <w:rFonts w:ascii="Trebuchet MS" w:eastAsia="Trebuchet MS" w:hAnsi="Trebuchet MS" w:cs="Trebuchet MS"/>
          <w:lang w:val="en-GB"/>
        </w:rPr>
      </w:pPr>
    </w:p>
    <w:p w14:paraId="158B8900" w14:textId="082DF3DA"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Scott, S. (2024) ‘Employer Branding: Building a Competitive Advantage’, </w:t>
      </w:r>
      <w:r w:rsidRPr="0015718D">
        <w:rPr>
          <w:rFonts w:ascii="Trebuchet MS" w:eastAsia="Trebuchet MS" w:hAnsi="Trebuchet MS" w:cs="Trebuchet MS"/>
          <w:i/>
          <w:iCs/>
          <w:lang w:val="en-GB"/>
        </w:rPr>
        <w:t>HR Professionals Journal</w:t>
      </w:r>
      <w:r w:rsidRPr="0015718D">
        <w:rPr>
          <w:rFonts w:ascii="Trebuchet MS" w:eastAsia="Trebuchet MS" w:hAnsi="Trebuchet MS" w:cs="Trebuchet MS"/>
          <w:lang w:val="en-GB"/>
        </w:rPr>
        <w:t>, 12(3), pp. 45–56.</w:t>
      </w:r>
    </w:p>
    <w:p w14:paraId="4019D392" w14:textId="77777777" w:rsidR="00121027" w:rsidRDefault="00121027" w:rsidP="0015718D">
      <w:pPr>
        <w:pStyle w:val="Listparag"/>
        <w:spacing w:after="0"/>
        <w:rPr>
          <w:rFonts w:ascii="Trebuchet MS" w:eastAsia="Trebuchet MS" w:hAnsi="Trebuchet MS" w:cs="Trebuchet MS"/>
          <w:lang w:val="en-GB"/>
        </w:rPr>
      </w:pPr>
    </w:p>
    <w:p w14:paraId="251371CF" w14:textId="5E0D5244"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Society for Human Resource Management (SHRM). (2022) </w:t>
      </w:r>
      <w:r w:rsidRPr="0015718D">
        <w:rPr>
          <w:rFonts w:ascii="Trebuchet MS" w:eastAsia="Trebuchet MS" w:hAnsi="Trebuchet MS" w:cs="Trebuchet MS"/>
          <w:i/>
          <w:iCs/>
          <w:lang w:val="en-GB"/>
        </w:rPr>
        <w:t>Onboarding New Employees: Maximizing Success</w:t>
      </w:r>
      <w:r w:rsidRPr="0015718D">
        <w:rPr>
          <w:rFonts w:ascii="Trebuchet MS" w:eastAsia="Trebuchet MS" w:hAnsi="Trebuchet MS" w:cs="Trebuchet MS"/>
          <w:lang w:val="en-GB"/>
        </w:rPr>
        <w:t>. Alexandria, VA: SHRM.</w:t>
      </w:r>
    </w:p>
    <w:p w14:paraId="6D28AC6E" w14:textId="77777777" w:rsidR="00121027" w:rsidRDefault="00121027" w:rsidP="0015718D">
      <w:pPr>
        <w:pStyle w:val="Listparag"/>
        <w:spacing w:after="0"/>
        <w:rPr>
          <w:rFonts w:ascii="Trebuchet MS" w:eastAsia="Trebuchet MS" w:hAnsi="Trebuchet MS" w:cs="Trebuchet MS"/>
          <w:lang w:val="en-GB"/>
        </w:rPr>
      </w:pPr>
    </w:p>
    <w:p w14:paraId="7601DD80" w14:textId="39D64BDA"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Taylor, S. (2018) </w:t>
      </w:r>
      <w:r w:rsidRPr="0015718D">
        <w:rPr>
          <w:rFonts w:ascii="Trebuchet MS" w:eastAsia="Trebuchet MS" w:hAnsi="Trebuchet MS" w:cs="Trebuchet MS"/>
          <w:i/>
          <w:iCs/>
          <w:lang w:val="en-GB"/>
        </w:rPr>
        <w:t>Resourcing and Talent Management</w:t>
      </w:r>
      <w:r w:rsidRPr="0015718D">
        <w:rPr>
          <w:rFonts w:ascii="Trebuchet MS" w:eastAsia="Trebuchet MS" w:hAnsi="Trebuchet MS" w:cs="Trebuchet MS"/>
          <w:lang w:val="en-GB"/>
        </w:rPr>
        <w:t xml:space="preserve">. 8th </w:t>
      </w:r>
      <w:proofErr w:type="spellStart"/>
      <w:r w:rsidRPr="0015718D">
        <w:rPr>
          <w:rFonts w:ascii="Trebuchet MS" w:eastAsia="Trebuchet MS" w:hAnsi="Trebuchet MS" w:cs="Trebuchet MS"/>
          <w:lang w:val="en-GB"/>
        </w:rPr>
        <w:t>edn</w:t>
      </w:r>
      <w:proofErr w:type="spellEnd"/>
      <w:r w:rsidRPr="0015718D">
        <w:rPr>
          <w:rFonts w:ascii="Trebuchet MS" w:eastAsia="Trebuchet MS" w:hAnsi="Trebuchet MS" w:cs="Trebuchet MS"/>
          <w:lang w:val="en-GB"/>
        </w:rPr>
        <w:t>. London: CIPD Publishing.</w:t>
      </w:r>
    </w:p>
    <w:p w14:paraId="62A3D174" w14:textId="77777777" w:rsidR="00121027" w:rsidRDefault="00121027" w:rsidP="0015718D">
      <w:pPr>
        <w:pStyle w:val="Listparag"/>
        <w:spacing w:after="0"/>
        <w:rPr>
          <w:rFonts w:ascii="Trebuchet MS" w:eastAsia="Trebuchet MS" w:hAnsi="Trebuchet MS" w:cs="Trebuchet MS"/>
          <w:lang w:val="en-GB"/>
        </w:rPr>
      </w:pPr>
    </w:p>
    <w:p w14:paraId="409B6665" w14:textId="4C6BE7AE" w:rsidR="0015718D" w:rsidRPr="0015718D" w:rsidRDefault="0015718D" w:rsidP="0015718D">
      <w:pPr>
        <w:pStyle w:val="Listparag"/>
        <w:spacing w:after="0"/>
        <w:rPr>
          <w:rFonts w:ascii="Trebuchet MS" w:eastAsia="Trebuchet MS" w:hAnsi="Trebuchet MS" w:cs="Trebuchet MS"/>
          <w:lang w:val="en-GB"/>
        </w:rPr>
      </w:pPr>
      <w:r w:rsidRPr="0015718D">
        <w:rPr>
          <w:rFonts w:ascii="Trebuchet MS" w:eastAsia="Trebuchet MS" w:hAnsi="Trebuchet MS" w:cs="Trebuchet MS"/>
          <w:lang w:val="en-GB"/>
        </w:rPr>
        <w:t xml:space="preserve">Taylor Review. (2017) </w:t>
      </w:r>
      <w:r w:rsidRPr="0015718D">
        <w:rPr>
          <w:rFonts w:ascii="Trebuchet MS" w:eastAsia="Trebuchet MS" w:hAnsi="Trebuchet MS" w:cs="Trebuchet MS"/>
          <w:i/>
          <w:iCs/>
          <w:lang w:val="en-GB"/>
        </w:rPr>
        <w:t>Good Work: The Taylor Review of Modern Working Practices</w:t>
      </w:r>
      <w:r w:rsidRPr="0015718D">
        <w:rPr>
          <w:rFonts w:ascii="Trebuchet MS" w:eastAsia="Trebuchet MS" w:hAnsi="Trebuchet MS" w:cs="Trebuchet MS"/>
          <w:lang w:val="en-GB"/>
        </w:rPr>
        <w:t>. London: Department for Business, Energy &amp; Industrial Strategy.</w:t>
      </w:r>
    </w:p>
    <w:p w14:paraId="048C5953" w14:textId="77777777" w:rsidR="00F77873" w:rsidRPr="002E617F" w:rsidRDefault="00F77873" w:rsidP="002E617F">
      <w:pPr>
        <w:pStyle w:val="Listparag"/>
        <w:spacing w:after="0" w:line="240" w:lineRule="auto"/>
        <w:rPr>
          <w:rFonts w:ascii="Trebuchet MS" w:eastAsia="Trebuchet MS" w:hAnsi="Trebuchet MS" w:cs="Trebuchet MS"/>
        </w:rPr>
      </w:pPr>
    </w:p>
    <w:sectPr w:rsidR="00F77873" w:rsidRPr="002E617F">
      <w:headerReference w:type="default" r:id="rId7"/>
      <w:footerReference w:type="default" r:id="rId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932B5" w14:textId="77777777" w:rsidR="004F6E5E" w:rsidRDefault="004F6E5E">
      <w:r>
        <w:separator/>
      </w:r>
    </w:p>
  </w:endnote>
  <w:endnote w:type="continuationSeparator" w:id="0">
    <w:p w14:paraId="31EA0635" w14:textId="77777777" w:rsidR="004F6E5E" w:rsidRDefault="004F6E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3409E" w14:textId="77777777" w:rsidR="004F6E5E" w:rsidRDefault="004F6E5E">
      <w:r>
        <w:separator/>
      </w:r>
    </w:p>
  </w:footnote>
  <w:footnote w:type="continuationSeparator" w:id="0">
    <w:p w14:paraId="31374E48" w14:textId="77777777" w:rsidR="004F6E5E" w:rsidRDefault="004F6E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60A8C99B" w:rsidR="00F14BE3" w:rsidRPr="00BE45D5" w:rsidRDefault="00D721D7">
    <w:pPr>
      <w:pStyle w:val="Header"/>
      <w:tabs>
        <w:tab w:val="clear" w:pos="4513"/>
        <w:tab w:val="clear" w:pos="9026"/>
        <w:tab w:val="center" w:pos="3544"/>
        <w:tab w:val="right" w:pos="9839"/>
      </w:tabs>
      <w:rPr>
        <w:color w:val="004147" w:themeColor="accent2" w:themeShade="80"/>
      </w:rPr>
    </w:pPr>
    <w:r w:rsidRPr="00BE45D5">
      <w:rPr>
        <w:color w:val="004147" w:themeColor="accent2" w:themeShade="80"/>
        <w:u w:color="808080"/>
      </w:rPr>
      <w:t>5HR02 Talent Management and Workforce Planning</w:t>
    </w:r>
    <w:r w:rsidR="00973781" w:rsidRPr="00BE45D5">
      <w:rPr>
        <w:color w:val="004147" w:themeColor="accent2" w:themeShade="80"/>
        <w:u w:color="808080"/>
      </w:rPr>
      <w:t xml:space="preserve"> </w:t>
    </w:r>
    <w:r w:rsidR="00973781" w:rsidRPr="00BE45D5">
      <w:rPr>
        <w:color w:val="004147" w:themeColor="accent2" w:themeShade="80"/>
        <w:u w:color="808080"/>
      </w:rPr>
      <w:tab/>
    </w:r>
    <w:r w:rsidR="002E617F" w:rsidRPr="00BE45D5">
      <w:rPr>
        <w:rFonts w:ascii="Trebuchet MS" w:hAnsi="Trebuchet MS"/>
        <w:color w:val="004147" w:themeColor="accent2" w:themeShade="80"/>
        <w:u w:color="004146"/>
      </w:rPr>
      <w:t>Kelsea Peterson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23652"/>
    <w:rsid w:val="0005054B"/>
    <w:rsid w:val="000E58B7"/>
    <w:rsid w:val="000E6DAA"/>
    <w:rsid w:val="000F499F"/>
    <w:rsid w:val="00121027"/>
    <w:rsid w:val="00133C45"/>
    <w:rsid w:val="00135502"/>
    <w:rsid w:val="001461FE"/>
    <w:rsid w:val="0015718D"/>
    <w:rsid w:val="001A0F5D"/>
    <w:rsid w:val="001D0A5F"/>
    <w:rsid w:val="001E70E6"/>
    <w:rsid w:val="00216C8E"/>
    <w:rsid w:val="002B63C6"/>
    <w:rsid w:val="002C5646"/>
    <w:rsid w:val="002E617F"/>
    <w:rsid w:val="0035023A"/>
    <w:rsid w:val="0036565C"/>
    <w:rsid w:val="003C31C3"/>
    <w:rsid w:val="00411919"/>
    <w:rsid w:val="004B6654"/>
    <w:rsid w:val="004F6E5E"/>
    <w:rsid w:val="0058304F"/>
    <w:rsid w:val="00596265"/>
    <w:rsid w:val="006119DE"/>
    <w:rsid w:val="006A19C0"/>
    <w:rsid w:val="007B3234"/>
    <w:rsid w:val="007F15DD"/>
    <w:rsid w:val="0080596D"/>
    <w:rsid w:val="008060F0"/>
    <w:rsid w:val="0089162E"/>
    <w:rsid w:val="00926138"/>
    <w:rsid w:val="0094146A"/>
    <w:rsid w:val="00964BE6"/>
    <w:rsid w:val="00973781"/>
    <w:rsid w:val="0097536F"/>
    <w:rsid w:val="009A5712"/>
    <w:rsid w:val="009B2AE9"/>
    <w:rsid w:val="00A04A1D"/>
    <w:rsid w:val="00A21825"/>
    <w:rsid w:val="00A26B24"/>
    <w:rsid w:val="00A42716"/>
    <w:rsid w:val="00A62B1B"/>
    <w:rsid w:val="00A95A53"/>
    <w:rsid w:val="00AC1D66"/>
    <w:rsid w:val="00B74537"/>
    <w:rsid w:val="00BE45D5"/>
    <w:rsid w:val="00C27F00"/>
    <w:rsid w:val="00C77BF0"/>
    <w:rsid w:val="00CE6CFE"/>
    <w:rsid w:val="00D13AAF"/>
    <w:rsid w:val="00D168FE"/>
    <w:rsid w:val="00D721D7"/>
    <w:rsid w:val="00E127D9"/>
    <w:rsid w:val="00E375FD"/>
    <w:rsid w:val="00EB3907"/>
    <w:rsid w:val="00F14BE3"/>
    <w:rsid w:val="00F440E0"/>
    <w:rsid w:val="00F778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paragraph" w:styleId="Heading6">
    <w:name w:val="heading 6"/>
    <w:basedOn w:val="Normal"/>
    <w:next w:val="Normal"/>
    <w:link w:val="Heading6Char"/>
    <w:uiPriority w:val="9"/>
    <w:semiHidden/>
    <w:unhideWhenUsed/>
    <w:qFormat/>
    <w:rsid w:val="00A21825"/>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uiPriority w:val="99"/>
    <w:pPr>
      <w:spacing w:before="100" w:after="100" w:line="259" w:lineRule="auto"/>
    </w:pPr>
    <w:rPr>
      <w:rFonts w:cs="Arial Unicode MS"/>
      <w:color w:val="000000"/>
      <w:sz w:val="22"/>
      <w:szCs w:val="22"/>
      <w:u w:color="000000"/>
      <w:lang w:val="en-US"/>
    </w:rPr>
  </w:style>
  <w:style w:type="character" w:styleId="Strong">
    <w:name w:val="Strong"/>
    <w:basedOn w:val="DefaultParagraphFont"/>
    <w:uiPriority w:val="22"/>
    <w:qFormat/>
    <w:rsid w:val="0094146A"/>
    <w:rPr>
      <w:b/>
      <w:bCs/>
    </w:rPr>
  </w:style>
  <w:style w:type="character" w:customStyle="1" w:styleId="Heading6Char">
    <w:name w:val="Heading 6 Char"/>
    <w:basedOn w:val="DefaultParagraphFont"/>
    <w:link w:val="Heading6"/>
    <w:uiPriority w:val="9"/>
    <w:semiHidden/>
    <w:rsid w:val="00A21825"/>
    <w:rPr>
      <w:rFonts w:asciiTheme="majorHAnsi" w:eastAsiaTheme="majorEastAsia" w:hAnsiTheme="majorHAnsi" w:cstheme="majorBidi"/>
      <w:color w:val="28062E"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5513">
      <w:bodyDiv w:val="1"/>
      <w:marLeft w:val="0"/>
      <w:marRight w:val="0"/>
      <w:marTop w:val="0"/>
      <w:marBottom w:val="0"/>
      <w:divBdr>
        <w:top w:val="none" w:sz="0" w:space="0" w:color="auto"/>
        <w:left w:val="none" w:sz="0" w:space="0" w:color="auto"/>
        <w:bottom w:val="none" w:sz="0" w:space="0" w:color="auto"/>
        <w:right w:val="none" w:sz="0" w:space="0" w:color="auto"/>
      </w:divBdr>
    </w:div>
    <w:div w:id="44843132">
      <w:bodyDiv w:val="1"/>
      <w:marLeft w:val="0"/>
      <w:marRight w:val="0"/>
      <w:marTop w:val="0"/>
      <w:marBottom w:val="0"/>
      <w:divBdr>
        <w:top w:val="none" w:sz="0" w:space="0" w:color="auto"/>
        <w:left w:val="none" w:sz="0" w:space="0" w:color="auto"/>
        <w:bottom w:val="none" w:sz="0" w:space="0" w:color="auto"/>
        <w:right w:val="none" w:sz="0" w:space="0" w:color="auto"/>
      </w:divBdr>
    </w:div>
    <w:div w:id="85155374">
      <w:bodyDiv w:val="1"/>
      <w:marLeft w:val="0"/>
      <w:marRight w:val="0"/>
      <w:marTop w:val="0"/>
      <w:marBottom w:val="0"/>
      <w:divBdr>
        <w:top w:val="none" w:sz="0" w:space="0" w:color="auto"/>
        <w:left w:val="none" w:sz="0" w:space="0" w:color="auto"/>
        <w:bottom w:val="none" w:sz="0" w:space="0" w:color="auto"/>
        <w:right w:val="none" w:sz="0" w:space="0" w:color="auto"/>
      </w:divBdr>
    </w:div>
    <w:div w:id="235946239">
      <w:bodyDiv w:val="1"/>
      <w:marLeft w:val="0"/>
      <w:marRight w:val="0"/>
      <w:marTop w:val="0"/>
      <w:marBottom w:val="0"/>
      <w:divBdr>
        <w:top w:val="none" w:sz="0" w:space="0" w:color="auto"/>
        <w:left w:val="none" w:sz="0" w:space="0" w:color="auto"/>
        <w:bottom w:val="none" w:sz="0" w:space="0" w:color="auto"/>
        <w:right w:val="none" w:sz="0" w:space="0" w:color="auto"/>
      </w:divBdr>
    </w:div>
    <w:div w:id="241718241">
      <w:bodyDiv w:val="1"/>
      <w:marLeft w:val="0"/>
      <w:marRight w:val="0"/>
      <w:marTop w:val="0"/>
      <w:marBottom w:val="0"/>
      <w:divBdr>
        <w:top w:val="none" w:sz="0" w:space="0" w:color="auto"/>
        <w:left w:val="none" w:sz="0" w:space="0" w:color="auto"/>
        <w:bottom w:val="none" w:sz="0" w:space="0" w:color="auto"/>
        <w:right w:val="none" w:sz="0" w:space="0" w:color="auto"/>
      </w:divBdr>
    </w:div>
    <w:div w:id="267930129">
      <w:bodyDiv w:val="1"/>
      <w:marLeft w:val="0"/>
      <w:marRight w:val="0"/>
      <w:marTop w:val="0"/>
      <w:marBottom w:val="0"/>
      <w:divBdr>
        <w:top w:val="none" w:sz="0" w:space="0" w:color="auto"/>
        <w:left w:val="none" w:sz="0" w:space="0" w:color="auto"/>
        <w:bottom w:val="none" w:sz="0" w:space="0" w:color="auto"/>
        <w:right w:val="none" w:sz="0" w:space="0" w:color="auto"/>
      </w:divBdr>
      <w:divsChild>
        <w:div w:id="346491535">
          <w:marLeft w:val="0"/>
          <w:marRight w:val="0"/>
          <w:marTop w:val="0"/>
          <w:marBottom w:val="0"/>
          <w:divBdr>
            <w:top w:val="none" w:sz="0" w:space="0" w:color="auto"/>
            <w:left w:val="none" w:sz="0" w:space="0" w:color="auto"/>
            <w:bottom w:val="none" w:sz="0" w:space="0" w:color="auto"/>
            <w:right w:val="none" w:sz="0" w:space="0" w:color="auto"/>
          </w:divBdr>
          <w:divsChild>
            <w:div w:id="446856621">
              <w:marLeft w:val="0"/>
              <w:marRight w:val="0"/>
              <w:marTop w:val="0"/>
              <w:marBottom w:val="0"/>
              <w:divBdr>
                <w:top w:val="none" w:sz="0" w:space="0" w:color="auto"/>
                <w:left w:val="none" w:sz="0" w:space="0" w:color="auto"/>
                <w:bottom w:val="none" w:sz="0" w:space="0" w:color="auto"/>
                <w:right w:val="none" w:sz="0" w:space="0" w:color="auto"/>
              </w:divBdr>
              <w:divsChild>
                <w:div w:id="1458254061">
                  <w:marLeft w:val="0"/>
                  <w:marRight w:val="0"/>
                  <w:marTop w:val="0"/>
                  <w:marBottom w:val="0"/>
                  <w:divBdr>
                    <w:top w:val="none" w:sz="0" w:space="0" w:color="auto"/>
                    <w:left w:val="none" w:sz="0" w:space="0" w:color="auto"/>
                    <w:bottom w:val="none" w:sz="0" w:space="0" w:color="auto"/>
                    <w:right w:val="none" w:sz="0" w:space="0" w:color="auto"/>
                  </w:divBdr>
                  <w:divsChild>
                    <w:div w:id="239826861">
                      <w:marLeft w:val="0"/>
                      <w:marRight w:val="0"/>
                      <w:marTop w:val="0"/>
                      <w:marBottom w:val="0"/>
                      <w:divBdr>
                        <w:top w:val="none" w:sz="0" w:space="0" w:color="auto"/>
                        <w:left w:val="none" w:sz="0" w:space="0" w:color="auto"/>
                        <w:bottom w:val="none" w:sz="0" w:space="0" w:color="auto"/>
                        <w:right w:val="none" w:sz="0" w:space="0" w:color="auto"/>
                      </w:divBdr>
                      <w:divsChild>
                        <w:div w:id="390428357">
                          <w:marLeft w:val="0"/>
                          <w:marRight w:val="0"/>
                          <w:marTop w:val="0"/>
                          <w:marBottom w:val="0"/>
                          <w:divBdr>
                            <w:top w:val="none" w:sz="0" w:space="0" w:color="auto"/>
                            <w:left w:val="none" w:sz="0" w:space="0" w:color="auto"/>
                            <w:bottom w:val="none" w:sz="0" w:space="0" w:color="auto"/>
                            <w:right w:val="none" w:sz="0" w:space="0" w:color="auto"/>
                          </w:divBdr>
                          <w:divsChild>
                            <w:div w:id="205319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3031933">
      <w:bodyDiv w:val="1"/>
      <w:marLeft w:val="0"/>
      <w:marRight w:val="0"/>
      <w:marTop w:val="0"/>
      <w:marBottom w:val="0"/>
      <w:divBdr>
        <w:top w:val="none" w:sz="0" w:space="0" w:color="auto"/>
        <w:left w:val="none" w:sz="0" w:space="0" w:color="auto"/>
        <w:bottom w:val="none" w:sz="0" w:space="0" w:color="auto"/>
        <w:right w:val="none" w:sz="0" w:space="0" w:color="auto"/>
      </w:divBdr>
    </w:div>
    <w:div w:id="353113461">
      <w:bodyDiv w:val="1"/>
      <w:marLeft w:val="0"/>
      <w:marRight w:val="0"/>
      <w:marTop w:val="0"/>
      <w:marBottom w:val="0"/>
      <w:divBdr>
        <w:top w:val="none" w:sz="0" w:space="0" w:color="auto"/>
        <w:left w:val="none" w:sz="0" w:space="0" w:color="auto"/>
        <w:bottom w:val="none" w:sz="0" w:space="0" w:color="auto"/>
        <w:right w:val="none" w:sz="0" w:space="0" w:color="auto"/>
      </w:divBdr>
    </w:div>
    <w:div w:id="399668657">
      <w:bodyDiv w:val="1"/>
      <w:marLeft w:val="0"/>
      <w:marRight w:val="0"/>
      <w:marTop w:val="0"/>
      <w:marBottom w:val="0"/>
      <w:divBdr>
        <w:top w:val="none" w:sz="0" w:space="0" w:color="auto"/>
        <w:left w:val="none" w:sz="0" w:space="0" w:color="auto"/>
        <w:bottom w:val="none" w:sz="0" w:space="0" w:color="auto"/>
        <w:right w:val="none" w:sz="0" w:space="0" w:color="auto"/>
      </w:divBdr>
    </w:div>
    <w:div w:id="443617744">
      <w:bodyDiv w:val="1"/>
      <w:marLeft w:val="0"/>
      <w:marRight w:val="0"/>
      <w:marTop w:val="0"/>
      <w:marBottom w:val="0"/>
      <w:divBdr>
        <w:top w:val="none" w:sz="0" w:space="0" w:color="auto"/>
        <w:left w:val="none" w:sz="0" w:space="0" w:color="auto"/>
        <w:bottom w:val="none" w:sz="0" w:space="0" w:color="auto"/>
        <w:right w:val="none" w:sz="0" w:space="0" w:color="auto"/>
      </w:divBdr>
    </w:div>
    <w:div w:id="593825895">
      <w:bodyDiv w:val="1"/>
      <w:marLeft w:val="0"/>
      <w:marRight w:val="0"/>
      <w:marTop w:val="0"/>
      <w:marBottom w:val="0"/>
      <w:divBdr>
        <w:top w:val="none" w:sz="0" w:space="0" w:color="auto"/>
        <w:left w:val="none" w:sz="0" w:space="0" w:color="auto"/>
        <w:bottom w:val="none" w:sz="0" w:space="0" w:color="auto"/>
        <w:right w:val="none" w:sz="0" w:space="0" w:color="auto"/>
      </w:divBdr>
    </w:div>
    <w:div w:id="618798420">
      <w:bodyDiv w:val="1"/>
      <w:marLeft w:val="0"/>
      <w:marRight w:val="0"/>
      <w:marTop w:val="0"/>
      <w:marBottom w:val="0"/>
      <w:divBdr>
        <w:top w:val="none" w:sz="0" w:space="0" w:color="auto"/>
        <w:left w:val="none" w:sz="0" w:space="0" w:color="auto"/>
        <w:bottom w:val="none" w:sz="0" w:space="0" w:color="auto"/>
        <w:right w:val="none" w:sz="0" w:space="0" w:color="auto"/>
      </w:divBdr>
    </w:div>
    <w:div w:id="631789238">
      <w:bodyDiv w:val="1"/>
      <w:marLeft w:val="0"/>
      <w:marRight w:val="0"/>
      <w:marTop w:val="0"/>
      <w:marBottom w:val="0"/>
      <w:divBdr>
        <w:top w:val="none" w:sz="0" w:space="0" w:color="auto"/>
        <w:left w:val="none" w:sz="0" w:space="0" w:color="auto"/>
        <w:bottom w:val="none" w:sz="0" w:space="0" w:color="auto"/>
        <w:right w:val="none" w:sz="0" w:space="0" w:color="auto"/>
      </w:divBdr>
    </w:div>
    <w:div w:id="645400363">
      <w:bodyDiv w:val="1"/>
      <w:marLeft w:val="0"/>
      <w:marRight w:val="0"/>
      <w:marTop w:val="0"/>
      <w:marBottom w:val="0"/>
      <w:divBdr>
        <w:top w:val="none" w:sz="0" w:space="0" w:color="auto"/>
        <w:left w:val="none" w:sz="0" w:space="0" w:color="auto"/>
        <w:bottom w:val="none" w:sz="0" w:space="0" w:color="auto"/>
        <w:right w:val="none" w:sz="0" w:space="0" w:color="auto"/>
      </w:divBdr>
    </w:div>
    <w:div w:id="750275443">
      <w:bodyDiv w:val="1"/>
      <w:marLeft w:val="0"/>
      <w:marRight w:val="0"/>
      <w:marTop w:val="0"/>
      <w:marBottom w:val="0"/>
      <w:divBdr>
        <w:top w:val="none" w:sz="0" w:space="0" w:color="auto"/>
        <w:left w:val="none" w:sz="0" w:space="0" w:color="auto"/>
        <w:bottom w:val="none" w:sz="0" w:space="0" w:color="auto"/>
        <w:right w:val="none" w:sz="0" w:space="0" w:color="auto"/>
      </w:divBdr>
    </w:div>
    <w:div w:id="758990480">
      <w:bodyDiv w:val="1"/>
      <w:marLeft w:val="0"/>
      <w:marRight w:val="0"/>
      <w:marTop w:val="0"/>
      <w:marBottom w:val="0"/>
      <w:divBdr>
        <w:top w:val="none" w:sz="0" w:space="0" w:color="auto"/>
        <w:left w:val="none" w:sz="0" w:space="0" w:color="auto"/>
        <w:bottom w:val="none" w:sz="0" w:space="0" w:color="auto"/>
        <w:right w:val="none" w:sz="0" w:space="0" w:color="auto"/>
      </w:divBdr>
    </w:div>
    <w:div w:id="813596124">
      <w:bodyDiv w:val="1"/>
      <w:marLeft w:val="0"/>
      <w:marRight w:val="0"/>
      <w:marTop w:val="0"/>
      <w:marBottom w:val="0"/>
      <w:divBdr>
        <w:top w:val="none" w:sz="0" w:space="0" w:color="auto"/>
        <w:left w:val="none" w:sz="0" w:space="0" w:color="auto"/>
        <w:bottom w:val="none" w:sz="0" w:space="0" w:color="auto"/>
        <w:right w:val="none" w:sz="0" w:space="0" w:color="auto"/>
      </w:divBdr>
    </w:div>
    <w:div w:id="850338529">
      <w:bodyDiv w:val="1"/>
      <w:marLeft w:val="0"/>
      <w:marRight w:val="0"/>
      <w:marTop w:val="0"/>
      <w:marBottom w:val="0"/>
      <w:divBdr>
        <w:top w:val="none" w:sz="0" w:space="0" w:color="auto"/>
        <w:left w:val="none" w:sz="0" w:space="0" w:color="auto"/>
        <w:bottom w:val="none" w:sz="0" w:space="0" w:color="auto"/>
        <w:right w:val="none" w:sz="0" w:space="0" w:color="auto"/>
      </w:divBdr>
    </w:div>
    <w:div w:id="857157692">
      <w:bodyDiv w:val="1"/>
      <w:marLeft w:val="0"/>
      <w:marRight w:val="0"/>
      <w:marTop w:val="0"/>
      <w:marBottom w:val="0"/>
      <w:divBdr>
        <w:top w:val="none" w:sz="0" w:space="0" w:color="auto"/>
        <w:left w:val="none" w:sz="0" w:space="0" w:color="auto"/>
        <w:bottom w:val="none" w:sz="0" w:space="0" w:color="auto"/>
        <w:right w:val="none" w:sz="0" w:space="0" w:color="auto"/>
      </w:divBdr>
    </w:div>
    <w:div w:id="899824518">
      <w:bodyDiv w:val="1"/>
      <w:marLeft w:val="0"/>
      <w:marRight w:val="0"/>
      <w:marTop w:val="0"/>
      <w:marBottom w:val="0"/>
      <w:divBdr>
        <w:top w:val="none" w:sz="0" w:space="0" w:color="auto"/>
        <w:left w:val="none" w:sz="0" w:space="0" w:color="auto"/>
        <w:bottom w:val="none" w:sz="0" w:space="0" w:color="auto"/>
        <w:right w:val="none" w:sz="0" w:space="0" w:color="auto"/>
      </w:divBdr>
    </w:div>
    <w:div w:id="997343583">
      <w:bodyDiv w:val="1"/>
      <w:marLeft w:val="0"/>
      <w:marRight w:val="0"/>
      <w:marTop w:val="0"/>
      <w:marBottom w:val="0"/>
      <w:divBdr>
        <w:top w:val="none" w:sz="0" w:space="0" w:color="auto"/>
        <w:left w:val="none" w:sz="0" w:space="0" w:color="auto"/>
        <w:bottom w:val="none" w:sz="0" w:space="0" w:color="auto"/>
        <w:right w:val="none" w:sz="0" w:space="0" w:color="auto"/>
      </w:divBdr>
    </w:div>
    <w:div w:id="1037513819">
      <w:bodyDiv w:val="1"/>
      <w:marLeft w:val="0"/>
      <w:marRight w:val="0"/>
      <w:marTop w:val="0"/>
      <w:marBottom w:val="0"/>
      <w:divBdr>
        <w:top w:val="none" w:sz="0" w:space="0" w:color="auto"/>
        <w:left w:val="none" w:sz="0" w:space="0" w:color="auto"/>
        <w:bottom w:val="none" w:sz="0" w:space="0" w:color="auto"/>
        <w:right w:val="none" w:sz="0" w:space="0" w:color="auto"/>
      </w:divBdr>
    </w:div>
    <w:div w:id="1099761074">
      <w:bodyDiv w:val="1"/>
      <w:marLeft w:val="0"/>
      <w:marRight w:val="0"/>
      <w:marTop w:val="0"/>
      <w:marBottom w:val="0"/>
      <w:divBdr>
        <w:top w:val="none" w:sz="0" w:space="0" w:color="auto"/>
        <w:left w:val="none" w:sz="0" w:space="0" w:color="auto"/>
        <w:bottom w:val="none" w:sz="0" w:space="0" w:color="auto"/>
        <w:right w:val="none" w:sz="0" w:space="0" w:color="auto"/>
      </w:divBdr>
    </w:div>
    <w:div w:id="1112474671">
      <w:bodyDiv w:val="1"/>
      <w:marLeft w:val="0"/>
      <w:marRight w:val="0"/>
      <w:marTop w:val="0"/>
      <w:marBottom w:val="0"/>
      <w:divBdr>
        <w:top w:val="none" w:sz="0" w:space="0" w:color="auto"/>
        <w:left w:val="none" w:sz="0" w:space="0" w:color="auto"/>
        <w:bottom w:val="none" w:sz="0" w:space="0" w:color="auto"/>
        <w:right w:val="none" w:sz="0" w:space="0" w:color="auto"/>
      </w:divBdr>
      <w:divsChild>
        <w:div w:id="362436906">
          <w:marLeft w:val="0"/>
          <w:marRight w:val="0"/>
          <w:marTop w:val="0"/>
          <w:marBottom w:val="0"/>
          <w:divBdr>
            <w:top w:val="none" w:sz="0" w:space="0" w:color="auto"/>
            <w:left w:val="none" w:sz="0" w:space="0" w:color="auto"/>
            <w:bottom w:val="none" w:sz="0" w:space="0" w:color="auto"/>
            <w:right w:val="none" w:sz="0" w:space="0" w:color="auto"/>
          </w:divBdr>
          <w:divsChild>
            <w:div w:id="848909065">
              <w:marLeft w:val="0"/>
              <w:marRight w:val="0"/>
              <w:marTop w:val="0"/>
              <w:marBottom w:val="0"/>
              <w:divBdr>
                <w:top w:val="none" w:sz="0" w:space="0" w:color="auto"/>
                <w:left w:val="none" w:sz="0" w:space="0" w:color="auto"/>
                <w:bottom w:val="none" w:sz="0" w:space="0" w:color="auto"/>
                <w:right w:val="none" w:sz="0" w:space="0" w:color="auto"/>
              </w:divBdr>
              <w:divsChild>
                <w:div w:id="1728455330">
                  <w:marLeft w:val="0"/>
                  <w:marRight w:val="0"/>
                  <w:marTop w:val="0"/>
                  <w:marBottom w:val="0"/>
                  <w:divBdr>
                    <w:top w:val="none" w:sz="0" w:space="0" w:color="auto"/>
                    <w:left w:val="none" w:sz="0" w:space="0" w:color="auto"/>
                    <w:bottom w:val="none" w:sz="0" w:space="0" w:color="auto"/>
                    <w:right w:val="none" w:sz="0" w:space="0" w:color="auto"/>
                  </w:divBdr>
                  <w:divsChild>
                    <w:div w:id="1227839653">
                      <w:marLeft w:val="0"/>
                      <w:marRight w:val="0"/>
                      <w:marTop w:val="0"/>
                      <w:marBottom w:val="0"/>
                      <w:divBdr>
                        <w:top w:val="none" w:sz="0" w:space="0" w:color="auto"/>
                        <w:left w:val="none" w:sz="0" w:space="0" w:color="auto"/>
                        <w:bottom w:val="none" w:sz="0" w:space="0" w:color="auto"/>
                        <w:right w:val="none" w:sz="0" w:space="0" w:color="auto"/>
                      </w:divBdr>
                      <w:divsChild>
                        <w:div w:id="782071968">
                          <w:marLeft w:val="0"/>
                          <w:marRight w:val="0"/>
                          <w:marTop w:val="0"/>
                          <w:marBottom w:val="0"/>
                          <w:divBdr>
                            <w:top w:val="none" w:sz="0" w:space="0" w:color="auto"/>
                            <w:left w:val="none" w:sz="0" w:space="0" w:color="auto"/>
                            <w:bottom w:val="none" w:sz="0" w:space="0" w:color="auto"/>
                            <w:right w:val="none" w:sz="0" w:space="0" w:color="auto"/>
                          </w:divBdr>
                          <w:divsChild>
                            <w:div w:id="113143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305383">
      <w:bodyDiv w:val="1"/>
      <w:marLeft w:val="0"/>
      <w:marRight w:val="0"/>
      <w:marTop w:val="0"/>
      <w:marBottom w:val="0"/>
      <w:divBdr>
        <w:top w:val="none" w:sz="0" w:space="0" w:color="auto"/>
        <w:left w:val="none" w:sz="0" w:space="0" w:color="auto"/>
        <w:bottom w:val="none" w:sz="0" w:space="0" w:color="auto"/>
        <w:right w:val="none" w:sz="0" w:space="0" w:color="auto"/>
      </w:divBdr>
    </w:div>
    <w:div w:id="1420784242">
      <w:bodyDiv w:val="1"/>
      <w:marLeft w:val="0"/>
      <w:marRight w:val="0"/>
      <w:marTop w:val="0"/>
      <w:marBottom w:val="0"/>
      <w:divBdr>
        <w:top w:val="none" w:sz="0" w:space="0" w:color="auto"/>
        <w:left w:val="none" w:sz="0" w:space="0" w:color="auto"/>
        <w:bottom w:val="none" w:sz="0" w:space="0" w:color="auto"/>
        <w:right w:val="none" w:sz="0" w:space="0" w:color="auto"/>
      </w:divBdr>
    </w:div>
    <w:div w:id="1467580194">
      <w:bodyDiv w:val="1"/>
      <w:marLeft w:val="0"/>
      <w:marRight w:val="0"/>
      <w:marTop w:val="0"/>
      <w:marBottom w:val="0"/>
      <w:divBdr>
        <w:top w:val="none" w:sz="0" w:space="0" w:color="auto"/>
        <w:left w:val="none" w:sz="0" w:space="0" w:color="auto"/>
        <w:bottom w:val="none" w:sz="0" w:space="0" w:color="auto"/>
        <w:right w:val="none" w:sz="0" w:space="0" w:color="auto"/>
      </w:divBdr>
    </w:div>
    <w:div w:id="1607887571">
      <w:bodyDiv w:val="1"/>
      <w:marLeft w:val="0"/>
      <w:marRight w:val="0"/>
      <w:marTop w:val="0"/>
      <w:marBottom w:val="0"/>
      <w:divBdr>
        <w:top w:val="none" w:sz="0" w:space="0" w:color="auto"/>
        <w:left w:val="none" w:sz="0" w:space="0" w:color="auto"/>
        <w:bottom w:val="none" w:sz="0" w:space="0" w:color="auto"/>
        <w:right w:val="none" w:sz="0" w:space="0" w:color="auto"/>
      </w:divBdr>
    </w:div>
    <w:div w:id="1686133877">
      <w:bodyDiv w:val="1"/>
      <w:marLeft w:val="0"/>
      <w:marRight w:val="0"/>
      <w:marTop w:val="0"/>
      <w:marBottom w:val="0"/>
      <w:divBdr>
        <w:top w:val="none" w:sz="0" w:space="0" w:color="auto"/>
        <w:left w:val="none" w:sz="0" w:space="0" w:color="auto"/>
        <w:bottom w:val="none" w:sz="0" w:space="0" w:color="auto"/>
        <w:right w:val="none" w:sz="0" w:space="0" w:color="auto"/>
      </w:divBdr>
      <w:divsChild>
        <w:div w:id="1996298855">
          <w:marLeft w:val="0"/>
          <w:marRight w:val="0"/>
          <w:marTop w:val="0"/>
          <w:marBottom w:val="0"/>
          <w:divBdr>
            <w:top w:val="none" w:sz="0" w:space="0" w:color="auto"/>
            <w:left w:val="none" w:sz="0" w:space="0" w:color="auto"/>
            <w:bottom w:val="none" w:sz="0" w:space="0" w:color="auto"/>
            <w:right w:val="none" w:sz="0" w:space="0" w:color="auto"/>
          </w:divBdr>
          <w:divsChild>
            <w:div w:id="653608131">
              <w:marLeft w:val="0"/>
              <w:marRight w:val="0"/>
              <w:marTop w:val="0"/>
              <w:marBottom w:val="0"/>
              <w:divBdr>
                <w:top w:val="none" w:sz="0" w:space="0" w:color="auto"/>
                <w:left w:val="none" w:sz="0" w:space="0" w:color="auto"/>
                <w:bottom w:val="none" w:sz="0" w:space="0" w:color="auto"/>
                <w:right w:val="none" w:sz="0" w:space="0" w:color="auto"/>
              </w:divBdr>
              <w:divsChild>
                <w:div w:id="1119492776">
                  <w:marLeft w:val="0"/>
                  <w:marRight w:val="0"/>
                  <w:marTop w:val="0"/>
                  <w:marBottom w:val="0"/>
                  <w:divBdr>
                    <w:top w:val="none" w:sz="0" w:space="0" w:color="auto"/>
                    <w:left w:val="none" w:sz="0" w:space="0" w:color="auto"/>
                    <w:bottom w:val="none" w:sz="0" w:space="0" w:color="auto"/>
                    <w:right w:val="none" w:sz="0" w:space="0" w:color="auto"/>
                  </w:divBdr>
                  <w:divsChild>
                    <w:div w:id="1523547113">
                      <w:marLeft w:val="0"/>
                      <w:marRight w:val="0"/>
                      <w:marTop w:val="0"/>
                      <w:marBottom w:val="0"/>
                      <w:divBdr>
                        <w:top w:val="none" w:sz="0" w:space="0" w:color="auto"/>
                        <w:left w:val="none" w:sz="0" w:space="0" w:color="auto"/>
                        <w:bottom w:val="none" w:sz="0" w:space="0" w:color="auto"/>
                        <w:right w:val="none" w:sz="0" w:space="0" w:color="auto"/>
                      </w:divBdr>
                      <w:divsChild>
                        <w:div w:id="1673987912">
                          <w:marLeft w:val="0"/>
                          <w:marRight w:val="0"/>
                          <w:marTop w:val="0"/>
                          <w:marBottom w:val="0"/>
                          <w:divBdr>
                            <w:top w:val="none" w:sz="0" w:space="0" w:color="auto"/>
                            <w:left w:val="none" w:sz="0" w:space="0" w:color="auto"/>
                            <w:bottom w:val="none" w:sz="0" w:space="0" w:color="auto"/>
                            <w:right w:val="none" w:sz="0" w:space="0" w:color="auto"/>
                          </w:divBdr>
                          <w:divsChild>
                            <w:div w:id="2340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201768">
      <w:bodyDiv w:val="1"/>
      <w:marLeft w:val="0"/>
      <w:marRight w:val="0"/>
      <w:marTop w:val="0"/>
      <w:marBottom w:val="0"/>
      <w:divBdr>
        <w:top w:val="none" w:sz="0" w:space="0" w:color="auto"/>
        <w:left w:val="none" w:sz="0" w:space="0" w:color="auto"/>
        <w:bottom w:val="none" w:sz="0" w:space="0" w:color="auto"/>
        <w:right w:val="none" w:sz="0" w:space="0" w:color="auto"/>
      </w:divBdr>
    </w:div>
    <w:div w:id="1802069694">
      <w:bodyDiv w:val="1"/>
      <w:marLeft w:val="0"/>
      <w:marRight w:val="0"/>
      <w:marTop w:val="0"/>
      <w:marBottom w:val="0"/>
      <w:divBdr>
        <w:top w:val="none" w:sz="0" w:space="0" w:color="auto"/>
        <w:left w:val="none" w:sz="0" w:space="0" w:color="auto"/>
        <w:bottom w:val="none" w:sz="0" w:space="0" w:color="auto"/>
        <w:right w:val="none" w:sz="0" w:space="0" w:color="auto"/>
      </w:divBdr>
    </w:div>
    <w:div w:id="1967545714">
      <w:bodyDiv w:val="1"/>
      <w:marLeft w:val="0"/>
      <w:marRight w:val="0"/>
      <w:marTop w:val="0"/>
      <w:marBottom w:val="0"/>
      <w:divBdr>
        <w:top w:val="none" w:sz="0" w:space="0" w:color="auto"/>
        <w:left w:val="none" w:sz="0" w:space="0" w:color="auto"/>
        <w:bottom w:val="none" w:sz="0" w:space="0" w:color="auto"/>
        <w:right w:val="none" w:sz="0" w:space="0" w:color="auto"/>
      </w:divBdr>
    </w:div>
    <w:div w:id="2036274567">
      <w:bodyDiv w:val="1"/>
      <w:marLeft w:val="0"/>
      <w:marRight w:val="0"/>
      <w:marTop w:val="0"/>
      <w:marBottom w:val="0"/>
      <w:divBdr>
        <w:top w:val="none" w:sz="0" w:space="0" w:color="auto"/>
        <w:left w:val="none" w:sz="0" w:space="0" w:color="auto"/>
        <w:bottom w:val="none" w:sz="0" w:space="0" w:color="auto"/>
        <w:right w:val="none" w:sz="0" w:space="0" w:color="auto"/>
      </w:divBdr>
    </w:div>
    <w:div w:id="2044478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Metadata/LabelInfo.xml><?xml version="1.0" encoding="utf-8"?>
<clbl:labelList xmlns:clbl="http://schemas.microsoft.com/office/2020/mipLabelMetadata">
  <clbl:label id="{3cf1f214-12dc-4628-b93b-6ee6575cda47}" enabled="1" method="Privileged" siteId="{ddd66cce-ffe1-4029-967c-5e15ef73127f}" removed="0"/>
</clbl:labelList>
</file>

<file path=docProps/app.xml><?xml version="1.0" encoding="utf-8"?>
<Properties xmlns="http://schemas.openxmlformats.org/officeDocument/2006/extended-properties" xmlns:vt="http://schemas.openxmlformats.org/officeDocument/2006/docPropsVTypes">
  <Template>Normal</Template>
  <TotalTime>152</TotalTime>
  <Pages>10</Pages>
  <Words>4652</Words>
  <Characters>30567</Characters>
  <Application>Microsoft Office Word</Application>
  <DocSecurity>0</DocSecurity>
  <Lines>456</Lines>
  <Paragraphs>118</Paragraphs>
  <ScaleCrop>false</ScaleCrop>
  <Company>University of Wales Trinity Saint David</Company>
  <LinksUpToDate>false</LinksUpToDate>
  <CharactersWithSpaces>35101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Kelsea Peterson</cp:lastModifiedBy>
  <cp:revision>58</cp:revision>
  <dcterms:created xsi:type="dcterms:W3CDTF">2025-10-07T12:35:00Z</dcterms:created>
  <dcterms:modified xsi:type="dcterms:W3CDTF">2025-11-03T15:33:00Z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