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5333A" w14:textId="15C18E99" w:rsidR="00DB4D14" w:rsidRDefault="00DB4D14" w:rsidP="003A5942">
      <w:pPr>
        <w:spacing w:line="360" w:lineRule="auto"/>
        <w:jc w:val="center"/>
        <w:rPr>
          <w:rFonts w:ascii="Arial" w:hAnsi="Arial" w:cs="Arial"/>
          <w:b/>
          <w:bCs/>
          <w:sz w:val="32"/>
          <w:szCs w:val="32"/>
          <w:lang w:val="en-US"/>
        </w:rPr>
      </w:pPr>
      <w:r>
        <w:rPr>
          <w:noProof/>
        </w:rPr>
        <w:drawing>
          <wp:inline distT="0" distB="0" distL="0" distR="0" wp14:anchorId="3D883393" wp14:editId="201EA210">
            <wp:extent cx="2781300" cy="1485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2781300" cy="1485900"/>
                    </a:xfrm>
                    <a:prstGeom prst="rect">
                      <a:avLst/>
                    </a:prstGeom>
                    <a:noFill/>
                    <a:ln>
                      <a:noFill/>
                    </a:ln>
                  </pic:spPr>
                </pic:pic>
              </a:graphicData>
            </a:graphic>
          </wp:inline>
        </w:drawing>
      </w:r>
    </w:p>
    <w:p w14:paraId="350316F4" w14:textId="77777777" w:rsidR="00DB4D14" w:rsidRDefault="00DB4D14" w:rsidP="003A5942">
      <w:pPr>
        <w:spacing w:line="360" w:lineRule="auto"/>
        <w:jc w:val="center"/>
        <w:rPr>
          <w:rFonts w:ascii="Arial" w:hAnsi="Arial" w:cs="Arial"/>
          <w:b/>
          <w:bCs/>
          <w:sz w:val="32"/>
          <w:szCs w:val="32"/>
          <w:lang w:val="en-US"/>
        </w:rPr>
      </w:pPr>
    </w:p>
    <w:p w14:paraId="5B07C3C8" w14:textId="523C07F8" w:rsidR="00D142D0" w:rsidRPr="005D0DCA" w:rsidRDefault="00D142D0" w:rsidP="003A5942">
      <w:pPr>
        <w:spacing w:line="360" w:lineRule="auto"/>
        <w:jc w:val="center"/>
        <w:rPr>
          <w:rFonts w:ascii="Arial" w:hAnsi="Arial" w:cs="Arial"/>
          <w:b/>
          <w:bCs/>
          <w:sz w:val="32"/>
          <w:szCs w:val="32"/>
        </w:rPr>
      </w:pPr>
      <w:r w:rsidRPr="005D0DCA">
        <w:rPr>
          <w:rFonts w:ascii="Arial" w:hAnsi="Arial" w:cs="Arial"/>
          <w:b/>
          <w:bCs/>
          <w:sz w:val="32"/>
          <w:szCs w:val="32"/>
          <w:lang w:val="en-US"/>
        </w:rPr>
        <w:t>Student Name: Sediqa Rahimi</w:t>
      </w:r>
    </w:p>
    <w:p w14:paraId="53EEC631" w14:textId="77777777" w:rsidR="00D142D0" w:rsidRPr="005D0DCA" w:rsidRDefault="00D142D0" w:rsidP="003A5942">
      <w:pPr>
        <w:spacing w:line="360" w:lineRule="auto"/>
        <w:jc w:val="center"/>
        <w:rPr>
          <w:rFonts w:ascii="Arial" w:hAnsi="Arial" w:cs="Arial"/>
          <w:b/>
          <w:bCs/>
          <w:sz w:val="32"/>
          <w:szCs w:val="32"/>
        </w:rPr>
      </w:pPr>
      <w:r w:rsidRPr="005D0DCA">
        <w:rPr>
          <w:rFonts w:ascii="Arial" w:hAnsi="Arial" w:cs="Arial"/>
          <w:b/>
          <w:bCs/>
          <w:sz w:val="32"/>
          <w:szCs w:val="32"/>
          <w:lang w:val="en-US"/>
        </w:rPr>
        <w:t>Student Number: 2421927</w:t>
      </w:r>
    </w:p>
    <w:p w14:paraId="0A362D48" w14:textId="7E10939F" w:rsidR="00D142D0" w:rsidRPr="005D0DCA" w:rsidRDefault="00D142D0" w:rsidP="003A5942">
      <w:pPr>
        <w:spacing w:line="360" w:lineRule="auto"/>
        <w:jc w:val="center"/>
        <w:rPr>
          <w:rFonts w:ascii="Arial" w:hAnsi="Arial" w:cs="Arial"/>
          <w:b/>
          <w:bCs/>
          <w:sz w:val="32"/>
          <w:szCs w:val="32"/>
        </w:rPr>
      </w:pPr>
      <w:r w:rsidRPr="005D0DCA">
        <w:rPr>
          <w:rFonts w:ascii="Arial" w:hAnsi="Arial" w:cs="Arial"/>
          <w:b/>
          <w:bCs/>
          <w:sz w:val="32"/>
          <w:szCs w:val="32"/>
          <w:lang w:val="en-US"/>
        </w:rPr>
        <w:t>Module code: LCHS400</w:t>
      </w:r>
      <w:r>
        <w:rPr>
          <w:rFonts w:ascii="Arial" w:hAnsi="Arial" w:cs="Arial"/>
          <w:b/>
          <w:bCs/>
          <w:sz w:val="32"/>
          <w:szCs w:val="32"/>
          <w:lang w:val="en-US"/>
        </w:rPr>
        <w:t>3</w:t>
      </w:r>
    </w:p>
    <w:p w14:paraId="5B73D0B6" w14:textId="0C8FA0A2" w:rsidR="00D142D0" w:rsidRPr="00D142D0" w:rsidRDefault="00D142D0" w:rsidP="003A5942">
      <w:pPr>
        <w:spacing w:before="120" w:after="120"/>
        <w:jc w:val="center"/>
        <w:rPr>
          <w:rFonts w:ascii="Arial" w:hAnsi="Arial" w:cs="Arial"/>
          <w:b/>
          <w:sz w:val="32"/>
          <w:szCs w:val="32"/>
        </w:rPr>
      </w:pPr>
      <w:r w:rsidRPr="00D142D0">
        <w:rPr>
          <w:rFonts w:ascii="Arial" w:hAnsi="Arial" w:cs="Arial"/>
          <w:b/>
          <w:bCs/>
          <w:sz w:val="32"/>
          <w:szCs w:val="32"/>
          <w:lang w:val="en-US"/>
        </w:rPr>
        <w:t xml:space="preserve">Module Title: </w:t>
      </w:r>
      <w:r w:rsidRPr="00D142D0">
        <w:rPr>
          <w:rFonts w:ascii="Arial" w:hAnsi="Arial" w:cs="Arial"/>
          <w:b/>
          <w:bCs/>
          <w:sz w:val="32"/>
          <w:szCs w:val="32"/>
        </w:rPr>
        <w:t>Introduction to Health and Social Care</w:t>
      </w:r>
    </w:p>
    <w:p w14:paraId="051AC0BE" w14:textId="247323CA" w:rsidR="00D142D0" w:rsidRPr="005D0DCA" w:rsidRDefault="00D142D0" w:rsidP="003A5942">
      <w:pPr>
        <w:spacing w:line="360" w:lineRule="auto"/>
        <w:jc w:val="center"/>
        <w:rPr>
          <w:rFonts w:ascii="Arial" w:hAnsi="Arial" w:cs="Arial"/>
          <w:b/>
          <w:bCs/>
          <w:sz w:val="32"/>
          <w:szCs w:val="32"/>
        </w:rPr>
      </w:pPr>
      <w:r w:rsidRPr="005D0DCA">
        <w:rPr>
          <w:rFonts w:ascii="Arial" w:hAnsi="Arial" w:cs="Arial"/>
          <w:b/>
          <w:bCs/>
          <w:sz w:val="32"/>
          <w:szCs w:val="32"/>
          <w:lang w:val="en-US"/>
        </w:rPr>
        <w:t xml:space="preserve">Lecturer Name: </w:t>
      </w:r>
      <w:r w:rsidR="00DB4D14">
        <w:rPr>
          <w:rFonts w:ascii="Arial" w:hAnsi="Arial" w:cs="Arial"/>
          <w:b/>
          <w:bCs/>
          <w:sz w:val="32"/>
          <w:szCs w:val="32"/>
          <w:lang w:val="en-US"/>
        </w:rPr>
        <w:t>Zarah Ahmed</w:t>
      </w:r>
    </w:p>
    <w:p w14:paraId="6E60FEB4" w14:textId="77777777" w:rsidR="00D142D0" w:rsidRPr="005D0DCA" w:rsidRDefault="00D142D0" w:rsidP="003A5942">
      <w:pPr>
        <w:spacing w:line="360" w:lineRule="auto"/>
        <w:jc w:val="center"/>
        <w:rPr>
          <w:rFonts w:ascii="Arial" w:hAnsi="Arial" w:cs="Arial"/>
          <w:b/>
          <w:bCs/>
          <w:sz w:val="32"/>
          <w:szCs w:val="32"/>
          <w:lang w:val="en-US"/>
        </w:rPr>
      </w:pPr>
    </w:p>
    <w:p w14:paraId="1A183CC0" w14:textId="77777777" w:rsidR="00D142D0" w:rsidRPr="005D0DCA" w:rsidRDefault="00D142D0" w:rsidP="003A5942">
      <w:pPr>
        <w:spacing w:line="360" w:lineRule="auto"/>
        <w:jc w:val="center"/>
        <w:rPr>
          <w:rFonts w:ascii="Arial" w:hAnsi="Arial" w:cs="Arial"/>
          <w:b/>
          <w:bCs/>
          <w:sz w:val="32"/>
          <w:szCs w:val="32"/>
          <w:lang w:val="en-US"/>
        </w:rPr>
      </w:pPr>
    </w:p>
    <w:p w14:paraId="4CCC7C06" w14:textId="44C7C00C" w:rsidR="00DB4D14" w:rsidRDefault="00D142D0" w:rsidP="003A5942">
      <w:pPr>
        <w:spacing w:line="360" w:lineRule="auto"/>
        <w:jc w:val="center"/>
        <w:rPr>
          <w:rFonts w:ascii="Arial" w:hAnsi="Arial" w:cs="Arial"/>
          <w:b/>
          <w:sz w:val="32"/>
          <w:szCs w:val="32"/>
        </w:rPr>
      </w:pPr>
      <w:r w:rsidRPr="005D0DCA">
        <w:rPr>
          <w:rFonts w:ascii="Arial" w:hAnsi="Arial" w:cs="Arial"/>
          <w:b/>
          <w:sz w:val="32"/>
          <w:szCs w:val="32"/>
        </w:rPr>
        <w:t xml:space="preserve">Assignment Title: </w:t>
      </w:r>
      <w:r w:rsidR="00DB4D14" w:rsidRPr="00DB4D14">
        <w:rPr>
          <w:rFonts w:ascii="Arial" w:hAnsi="Arial" w:cs="Arial"/>
          <w:b/>
          <w:sz w:val="32"/>
          <w:szCs w:val="32"/>
        </w:rPr>
        <w:t>Written Assignment</w:t>
      </w:r>
    </w:p>
    <w:p w14:paraId="2EDF40E2" w14:textId="5AD21638" w:rsidR="00D142D0" w:rsidRPr="00DB4D14" w:rsidRDefault="00DB4D14" w:rsidP="003A5942">
      <w:pPr>
        <w:spacing w:line="360" w:lineRule="auto"/>
        <w:jc w:val="center"/>
        <w:rPr>
          <w:rFonts w:ascii="Arial" w:hAnsi="Arial" w:cs="Arial"/>
          <w:b/>
          <w:sz w:val="22"/>
          <w:szCs w:val="22"/>
        </w:rPr>
      </w:pPr>
      <w:r w:rsidRPr="00DB4D14">
        <w:rPr>
          <w:rFonts w:ascii="Arial" w:hAnsi="Arial" w:cs="Arial"/>
          <w:b/>
          <w:sz w:val="22"/>
          <w:szCs w:val="22"/>
        </w:rPr>
        <w:t>Task</w:t>
      </w:r>
      <w:r w:rsidR="000C0365">
        <w:rPr>
          <w:rFonts w:ascii="Arial" w:hAnsi="Arial" w:cs="Arial"/>
          <w:b/>
          <w:sz w:val="22"/>
          <w:szCs w:val="22"/>
        </w:rPr>
        <w:t>1</w:t>
      </w:r>
      <w:r w:rsidRPr="00DB4D14">
        <w:rPr>
          <w:rFonts w:ascii="Arial" w:hAnsi="Arial" w:cs="Arial"/>
          <w:b/>
          <w:sz w:val="22"/>
          <w:szCs w:val="22"/>
        </w:rPr>
        <w:t xml:space="preserve"> a &amp; Task 2</w:t>
      </w:r>
    </w:p>
    <w:p w14:paraId="303C7122" w14:textId="77777777" w:rsidR="00D142D0" w:rsidRDefault="00D142D0" w:rsidP="00DB4D14">
      <w:pPr>
        <w:jc w:val="both"/>
        <w:rPr>
          <w:b/>
          <w:bCs/>
        </w:rPr>
      </w:pPr>
    </w:p>
    <w:p w14:paraId="6451EB7B" w14:textId="77777777" w:rsidR="00D142D0" w:rsidRDefault="00D142D0" w:rsidP="00DB4D14">
      <w:pPr>
        <w:jc w:val="both"/>
        <w:rPr>
          <w:b/>
          <w:bCs/>
        </w:rPr>
      </w:pPr>
    </w:p>
    <w:p w14:paraId="31139DD1" w14:textId="77777777" w:rsidR="00D142D0" w:rsidRDefault="00D142D0" w:rsidP="00DB4D14">
      <w:pPr>
        <w:jc w:val="both"/>
        <w:rPr>
          <w:b/>
          <w:bCs/>
        </w:rPr>
      </w:pPr>
    </w:p>
    <w:p w14:paraId="71833B7E" w14:textId="77777777" w:rsidR="00DB4D14" w:rsidRDefault="00DB4D14" w:rsidP="00DB4D14">
      <w:pPr>
        <w:jc w:val="both"/>
        <w:rPr>
          <w:b/>
          <w:bCs/>
        </w:rPr>
      </w:pPr>
    </w:p>
    <w:p w14:paraId="3943D2E1" w14:textId="77777777" w:rsidR="00DB4D14" w:rsidRDefault="00DB4D14" w:rsidP="00DB4D14">
      <w:pPr>
        <w:jc w:val="both"/>
        <w:rPr>
          <w:b/>
          <w:bCs/>
        </w:rPr>
      </w:pPr>
    </w:p>
    <w:p w14:paraId="17AA534C" w14:textId="77777777" w:rsidR="00DB4D14" w:rsidRDefault="00DB4D14" w:rsidP="00DB4D14">
      <w:pPr>
        <w:jc w:val="both"/>
        <w:rPr>
          <w:b/>
          <w:bCs/>
        </w:rPr>
      </w:pPr>
    </w:p>
    <w:p w14:paraId="4AB7BB93" w14:textId="77777777" w:rsidR="00DB4D14" w:rsidRDefault="00DB4D14" w:rsidP="00DB4D14">
      <w:pPr>
        <w:jc w:val="both"/>
        <w:rPr>
          <w:b/>
          <w:bCs/>
        </w:rPr>
      </w:pPr>
    </w:p>
    <w:p w14:paraId="76ACC0E2" w14:textId="77777777" w:rsidR="00DB4D14" w:rsidRDefault="00DB4D14" w:rsidP="00DB4D14">
      <w:pPr>
        <w:jc w:val="both"/>
        <w:rPr>
          <w:b/>
          <w:bCs/>
        </w:rPr>
      </w:pPr>
    </w:p>
    <w:p w14:paraId="2B82FBEF" w14:textId="77777777" w:rsidR="00D142D0" w:rsidRDefault="00D142D0" w:rsidP="00DB4D14">
      <w:pPr>
        <w:jc w:val="both"/>
        <w:rPr>
          <w:b/>
          <w:bCs/>
        </w:rPr>
      </w:pPr>
    </w:p>
    <w:p w14:paraId="2EF2215A" w14:textId="589A1E23"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lastRenderedPageBreak/>
        <w:t>Task 1: Mini-Report on Community Mental Health Services in Sandwell</w:t>
      </w:r>
    </w:p>
    <w:p w14:paraId="19F63710"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b/>
          <w:bCs/>
          <w:sz w:val="22"/>
          <w:szCs w:val="22"/>
        </w:rPr>
        <w:t>To:</w:t>
      </w:r>
      <w:r w:rsidRPr="003A5942">
        <w:rPr>
          <w:rFonts w:ascii="Arial" w:hAnsi="Arial" w:cs="Arial"/>
          <w:sz w:val="22"/>
          <w:szCs w:val="22"/>
        </w:rPr>
        <w:t xml:space="preserve"> Councillor Ritchie Massey, Cabinet Member for Adult Services, Health and Wellbeing, Sandwell Metropolitan Borough Council</w:t>
      </w:r>
    </w:p>
    <w:p w14:paraId="15AB3197"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b/>
          <w:bCs/>
          <w:sz w:val="22"/>
          <w:szCs w:val="22"/>
        </w:rPr>
        <w:t>Subject:</w:t>
      </w:r>
      <w:r w:rsidRPr="003A5942">
        <w:rPr>
          <w:rFonts w:ascii="Arial" w:hAnsi="Arial" w:cs="Arial"/>
          <w:sz w:val="22"/>
          <w:szCs w:val="22"/>
        </w:rPr>
        <w:t xml:space="preserve"> Improving Community Mental Health Services in Sandwell</w:t>
      </w:r>
    </w:p>
    <w:p w14:paraId="639A19FD"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1. Introduction</w:t>
      </w:r>
    </w:p>
    <w:p w14:paraId="523EA4F7" w14:textId="49F7083A" w:rsidR="002B71BC" w:rsidRPr="003A5942" w:rsidRDefault="002B71BC" w:rsidP="003A5942">
      <w:pPr>
        <w:spacing w:line="360" w:lineRule="auto"/>
        <w:jc w:val="both"/>
        <w:rPr>
          <w:rFonts w:ascii="Arial" w:hAnsi="Arial" w:cs="Arial"/>
          <w:sz w:val="22"/>
          <w:szCs w:val="22"/>
        </w:rPr>
      </w:pPr>
      <w:r w:rsidRPr="003A5942">
        <w:rPr>
          <w:rFonts w:ascii="Arial" w:hAnsi="Arial" w:cs="Arial"/>
          <w:sz w:val="22"/>
          <w:szCs w:val="22"/>
        </w:rPr>
        <w:t>Community mental health services help people manage their mental health and improve their wellbeing. The Care Act 2014 says that local authorities must promote people's wellbeing (Care Act 2014, s. 1).</w:t>
      </w:r>
    </w:p>
    <w:p w14:paraId="29E3D83A" w14:textId="484B7DA2" w:rsidR="00E274A3" w:rsidRPr="003A5942" w:rsidRDefault="00E274A3" w:rsidP="003A5942">
      <w:pPr>
        <w:spacing w:line="360" w:lineRule="auto"/>
        <w:jc w:val="both"/>
        <w:rPr>
          <w:rFonts w:ascii="Arial" w:hAnsi="Arial" w:cs="Arial"/>
          <w:sz w:val="22"/>
          <w:szCs w:val="22"/>
        </w:rPr>
      </w:pPr>
    </w:p>
    <w:p w14:paraId="24EAF054"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Some people in Sandwell may find it difficult to get the mental health support they need. Long waiting times and a lack of clear information can make it harder for people to get help. When people do not receive support early, their mental health problems may become worse.</w:t>
      </w:r>
    </w:p>
    <w:p w14:paraId="6412966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This report explains how a shortage of community mental health services affects people in Sandwell. It also suggests ways to improve these services using the Care Act 2014.</w:t>
      </w:r>
    </w:p>
    <w:p w14:paraId="382045EE"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2. Impact of the Issue on the Community</w:t>
      </w:r>
    </w:p>
    <w:p w14:paraId="279B1A1F" w14:textId="77777777" w:rsidR="002B71BC" w:rsidRPr="003A5942" w:rsidRDefault="002B71BC" w:rsidP="003A5942">
      <w:pPr>
        <w:spacing w:line="360" w:lineRule="auto"/>
        <w:jc w:val="both"/>
        <w:rPr>
          <w:rFonts w:ascii="Arial" w:hAnsi="Arial" w:cs="Arial"/>
          <w:sz w:val="22"/>
          <w:szCs w:val="22"/>
        </w:rPr>
      </w:pPr>
      <w:r w:rsidRPr="003A5942">
        <w:rPr>
          <w:rFonts w:ascii="Arial" w:hAnsi="Arial" w:cs="Arial"/>
          <w:sz w:val="22"/>
          <w:szCs w:val="22"/>
        </w:rPr>
        <w:t>A shortage of support can affect people's daily lives and put pressure on families. Healthwatch Sandwell (2026) reported concerns about access to mental health support in the local area.</w:t>
      </w:r>
    </w:p>
    <w:p w14:paraId="79051E91" w14:textId="77777777" w:rsidR="002B71BC" w:rsidRPr="003A5942" w:rsidRDefault="002B71BC" w:rsidP="003A5942">
      <w:pPr>
        <w:spacing w:line="360" w:lineRule="auto"/>
        <w:jc w:val="both"/>
        <w:rPr>
          <w:rFonts w:ascii="Arial" w:hAnsi="Arial" w:cs="Arial"/>
          <w:sz w:val="22"/>
          <w:szCs w:val="22"/>
        </w:rPr>
      </w:pPr>
    </w:p>
    <w:p w14:paraId="102CCA6A"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For example, a person with depression may find it difficult to work, look after their children or complete everyday activities. They may feel lonely and lose confidence. Their physical health and quality of life may also become worse.</w:t>
      </w:r>
    </w:p>
    <w:p w14:paraId="215DF1EB"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Families and carers can also be affected. They may feel worried and tired when supporting someone with mental health problems. This can cause stress and difficulties in family relationships.</w:t>
      </w:r>
    </w:p>
    <w:p w14:paraId="2C167AB2"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A shortage of community support can also put pressure on other services, such as GPs, emergency departments and hospitals. If people receive help early, they may be less likely to reach a crisis.</w:t>
      </w:r>
    </w:p>
    <w:p w14:paraId="756DCC96"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The Care Act 2014 is important because it explains the responsibilities of local authorities in supporting people's wellbeing. Section 1 says that councils must consider people's mental health, emotional wellbeing, relationships and control over their daily lives (Care Act 2014, Section 1). This shows why suitable support is important for people in Sandwell.</w:t>
      </w:r>
    </w:p>
    <w:p w14:paraId="104E931A"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lastRenderedPageBreak/>
        <w:t>3. Recommended Response</w:t>
      </w:r>
    </w:p>
    <w:p w14:paraId="5069B484" w14:textId="77777777" w:rsidR="002B71BC" w:rsidRPr="003A5942" w:rsidRDefault="002B71BC" w:rsidP="003A5942">
      <w:pPr>
        <w:spacing w:line="360" w:lineRule="auto"/>
        <w:jc w:val="both"/>
        <w:rPr>
          <w:rFonts w:ascii="Arial" w:hAnsi="Arial" w:cs="Arial"/>
          <w:sz w:val="22"/>
          <w:szCs w:val="22"/>
        </w:rPr>
      </w:pPr>
      <w:r w:rsidRPr="003A5942">
        <w:rPr>
          <w:rFonts w:ascii="Arial" w:hAnsi="Arial" w:cs="Arial"/>
          <w:sz w:val="22"/>
          <w:szCs w:val="22"/>
        </w:rPr>
        <w:t>Sandwell Council should provide clear information about available services. Section 4 of the Care Act 2014 says that local authorities must provide information and advice about care and support (Care Act 2014, s. 4).</w:t>
      </w:r>
    </w:p>
    <w:p w14:paraId="7D080077" w14:textId="77777777" w:rsidR="002B71BC" w:rsidRPr="003A5942" w:rsidRDefault="002B71BC" w:rsidP="003A5942">
      <w:pPr>
        <w:spacing w:line="360" w:lineRule="auto"/>
        <w:jc w:val="both"/>
        <w:rPr>
          <w:rFonts w:ascii="Arial" w:hAnsi="Arial" w:cs="Arial"/>
          <w:sz w:val="22"/>
          <w:szCs w:val="22"/>
        </w:rPr>
      </w:pPr>
    </w:p>
    <w:p w14:paraId="64674DC0"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b/>
          <w:bCs/>
          <w:sz w:val="22"/>
          <w:szCs w:val="22"/>
        </w:rPr>
        <w:t>First, the council should provide more early support.</w:t>
      </w:r>
      <w:r w:rsidRPr="003A5942">
        <w:rPr>
          <w:rFonts w:ascii="Arial" w:hAnsi="Arial" w:cs="Arial"/>
          <w:sz w:val="22"/>
          <w:szCs w:val="22"/>
        </w:rPr>
        <w:t xml:space="preserve"> People should be able to get help before their mental health problems become serious. The council could support local wellbeing groups, counselling services and community activities. Section 2 of the Care Act 2014 explains that councils must take steps to prevent or delay people's need for care and support (Care Act 2014, Section 2). Early support may help people manage their problems and avoid needing more serious care.</w:t>
      </w:r>
    </w:p>
    <w:p w14:paraId="6A1E9D3B"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b/>
          <w:bCs/>
          <w:sz w:val="22"/>
          <w:szCs w:val="22"/>
        </w:rPr>
        <w:t>Second, the council should make information easier to find.</w:t>
      </w:r>
      <w:r w:rsidRPr="003A5942">
        <w:rPr>
          <w:rFonts w:ascii="Arial" w:hAnsi="Arial" w:cs="Arial"/>
          <w:sz w:val="22"/>
          <w:szCs w:val="22"/>
        </w:rPr>
        <w:t xml:space="preserve"> People need to know where to get help and how to contact services. Information should be available online, by telephone and in community centres. This would help people who do not use the internet or who find the system confusing. Section 4 of the Care Act 2014 says that local authorities must provide information and advice about care and support (Care Act 2014, Section 4).</w:t>
      </w:r>
    </w:p>
    <w:p w14:paraId="3382E28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b/>
          <w:bCs/>
          <w:sz w:val="22"/>
          <w:szCs w:val="22"/>
        </w:rPr>
        <w:t>Third, the council should improve teamwork between services.</w:t>
      </w:r>
      <w:r w:rsidRPr="003A5942">
        <w:rPr>
          <w:rFonts w:ascii="Arial" w:hAnsi="Arial" w:cs="Arial"/>
          <w:sz w:val="22"/>
          <w:szCs w:val="22"/>
        </w:rPr>
        <w:t xml:space="preserve"> Mental health workers, GPs, social workers and community organisations should work together. This could help people receive the right support without unnecessary delays. Section 3 of the Care Act 2014 supports working together and joining up care and health services when this improves people's wellbeing (Care Act 2014, Section 3).</w:t>
      </w:r>
    </w:p>
    <w:p w14:paraId="3F387BA7"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b/>
          <w:bCs/>
          <w:sz w:val="22"/>
          <w:szCs w:val="22"/>
        </w:rPr>
        <w:t>Fourth, the council should listen to local people.</w:t>
      </w:r>
      <w:r w:rsidRPr="003A5942">
        <w:rPr>
          <w:rFonts w:ascii="Arial" w:hAnsi="Arial" w:cs="Arial"/>
          <w:sz w:val="22"/>
          <w:szCs w:val="22"/>
        </w:rPr>
        <w:t xml:space="preserve"> It should ask residents, families and carers about their experiences and needs. The council should also check waiting times and ask people whether the services are helping them. This would help the council understand what needs to improve.</w:t>
      </w:r>
    </w:p>
    <w:p w14:paraId="74EC9B1E"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4. Conclusion</w:t>
      </w:r>
    </w:p>
    <w:p w14:paraId="3407CBDB"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In conclusion, community mental health services are important for people in Sandwell. Long waiting times and difficulties getting support can make mental health problems worse. They can also affect families and put pressure on hospitals and other services.</w:t>
      </w:r>
    </w:p>
    <w:p w14:paraId="2A24511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Sandwell Metropolitan Borough Council should provide more early support, make information easier to understand, improve teamwork between services and listen to local people. These actions could help people receive the right support at the right time.</w:t>
      </w:r>
    </w:p>
    <w:p w14:paraId="4E470870"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lastRenderedPageBreak/>
        <w:t>The Care Act 2014 provides an important legal framework for promoting wellbeing, preventing needs and improving access to care and support. Improving community mental health services would help people live healthier and more independent lives.</w:t>
      </w:r>
    </w:p>
    <w:p w14:paraId="7B5F713B"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This support can help people feel safer, improve their daily lives, and reduce pressure on families, hospitals and other local services.</w:t>
      </w:r>
    </w:p>
    <w:p w14:paraId="605F2450" w14:textId="77777777" w:rsidR="00E274A3" w:rsidRPr="003A5942" w:rsidRDefault="00E274A3" w:rsidP="003A5942">
      <w:pPr>
        <w:spacing w:line="360" w:lineRule="auto"/>
        <w:jc w:val="both"/>
        <w:rPr>
          <w:rFonts w:ascii="Arial" w:hAnsi="Arial" w:cs="Arial"/>
          <w:sz w:val="22"/>
          <w:szCs w:val="22"/>
        </w:rPr>
      </w:pPr>
    </w:p>
    <w:p w14:paraId="395F5683" w14:textId="77777777" w:rsidR="00E274A3" w:rsidRPr="003A5942" w:rsidRDefault="00E274A3" w:rsidP="003A5942">
      <w:pPr>
        <w:spacing w:line="360" w:lineRule="auto"/>
        <w:jc w:val="both"/>
        <w:rPr>
          <w:rFonts w:ascii="Arial" w:hAnsi="Arial" w:cs="Arial"/>
          <w:sz w:val="22"/>
          <w:szCs w:val="22"/>
        </w:rPr>
      </w:pPr>
    </w:p>
    <w:p w14:paraId="7BE7126A" w14:textId="77777777" w:rsidR="00E274A3" w:rsidRPr="003A5942" w:rsidRDefault="00E274A3" w:rsidP="003A5942">
      <w:pPr>
        <w:spacing w:line="360" w:lineRule="auto"/>
        <w:jc w:val="both"/>
        <w:rPr>
          <w:rFonts w:ascii="Arial" w:hAnsi="Arial" w:cs="Arial"/>
          <w:sz w:val="22"/>
          <w:szCs w:val="22"/>
        </w:rPr>
      </w:pPr>
    </w:p>
    <w:p w14:paraId="19EEF76D" w14:textId="2B303413" w:rsidR="00F573F2"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Task 2:</w:t>
      </w:r>
    </w:p>
    <w:p w14:paraId="782D4A20"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Ambulance Services: History, Development and Importance Today</w:t>
      </w:r>
    </w:p>
    <w:p w14:paraId="7C81AE89"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Introduction</w:t>
      </w:r>
    </w:p>
    <w:p w14:paraId="1611BE9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Ambulance services are an important part of the National Health Service (NHS) in England. They provide emergency medical help to people who are seriously ill or injured. Ambulance staff give treatment, help patients and take them to hospital when needed. This essay will explain the history of ambulance services, how they work today and how they improve people's quality of life.</w:t>
      </w:r>
    </w:p>
    <w:p w14:paraId="41C8CA2B"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1. History and Development of Ambulance Services</w:t>
      </w:r>
    </w:p>
    <w:p w14:paraId="4F00B960"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Ambulance services have changed a lot over time. In the past, people who were injured were often taken to hospital by the police, firefighters or taxi drivers. Early ambulances used horses to carry patients. This meant that travelling to hospital could be slow and difficult (London Ambulance Service, n.d.).</w:t>
      </w:r>
    </w:p>
    <w:p w14:paraId="69D464F9"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During the early twentieth century, motor ambulances began to replace horse-drawn vehicles. During the First and Second World Wars, ambulance services helped transport injured soldiers and civilians. These experiences showed the importance of organised emergency medical care (British Red Cross, n.d.).</w:t>
      </w:r>
    </w:p>
    <w:p w14:paraId="1432A124"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A major change happened in 1948 when the NHS was established. Healthcare became available through a national service, free at the point of use. The NHS Act 1946 also made ambulance provision part of the new health service. This helped develop more organised ambulance services across the country (NHS England, n.d.).</w:t>
      </w:r>
    </w:p>
    <w:p w14:paraId="755C9F24"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 xml:space="preserve">Ambulance services continued to develop. For example, the London Ambulance Service was formed in its present city-wide form in 1965. In 1996, it became an NHS trust (London </w:t>
      </w:r>
      <w:r w:rsidRPr="003A5942">
        <w:rPr>
          <w:rFonts w:ascii="Arial" w:hAnsi="Arial" w:cs="Arial"/>
          <w:sz w:val="22"/>
          <w:szCs w:val="22"/>
        </w:rPr>
        <w:lastRenderedPageBreak/>
        <w:t>Ambulance Service, n.d.). Today, ambulance services use modern vehicles, medical equipment and trained paramedics. These changes have helped staff provide treatment before patients reach hospital.</w:t>
      </w:r>
    </w:p>
    <w:p w14:paraId="7D5229B3"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2. How Ambulance Services Work Today</w:t>
      </w:r>
    </w:p>
    <w:p w14:paraId="5416C185"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Today, people can call 999 when they need emergency medical help. A call handler asks questions about the patient's condition and location. The information helps the ambulance service decide how quickly help is needed. The most serious emergencies are given the highest priority.</w:t>
      </w:r>
    </w:p>
    <w:p w14:paraId="080AF126"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Ambulance staff include paramedics, emergency medical technicians and call handlers. Paramedics can assess patients, give certain medicines and provide emergency treatment. Depending on the patient's condition, staff may take the person to hospital or provide treatment at home.</w:t>
      </w:r>
    </w:p>
    <w:p w14:paraId="26D1EC8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Ambulance services also work with other health services. For example, some patients can receive advice over the telephone or be directed to a more suitable service. NHS England explains that its “Hear and Treat” approach allows clinical staff to assess some patients over the phone instead of sending an ambulance when this is safe and appropriate (NHS England, 2025a).</w:t>
      </w:r>
    </w:p>
    <w:p w14:paraId="5E6B2FC9"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There are several strengths in the service. Trained staff can give urgent treatment, and modern equipment helps them respond to serious emergencies. Working with other health services can also help patients receive the right care.</w:t>
      </w:r>
    </w:p>
    <w:p w14:paraId="511515D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However, the service faces problems. High demand, staff shortages and delays transferring patients to hospital can affect ambulance availability. NHS England reported that the average response time for Category 2 calls was 31 minutes and 22 seconds in March 2025. This was above the 30-minute annual target (NHS England, 2025b). Category 2 calls include serious conditions such as suspected heart attacks and strokes.</w:t>
      </w:r>
    </w:p>
    <w:p w14:paraId="30F31765"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This shows that, although ambulance services provide important care, patients may sometimes wait too long. Delays can be dangerous for people who need urgent treatment. Better staffing, hospital capacity and teamwork between services are important to improve the service.</w:t>
      </w:r>
    </w:p>
    <w:p w14:paraId="78D54C10"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3. Importance for People's Quality of Life</w:t>
      </w:r>
    </w:p>
    <w:p w14:paraId="29D401DE"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Ambulance services can improve people's quality of life in several ways. First, they can save lives by giving quick treatment during emergencies such as heart attacks, strokes, serious injuries and breathing difficulties.</w:t>
      </w:r>
    </w:p>
    <w:p w14:paraId="45586575"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lastRenderedPageBreak/>
        <w:t>Second, ambulance staff can reduce pain and fear. Their training helps them assess patients, explain what is happening and provide care during a frightening situation. This can help patients and their families feel safer.</w:t>
      </w:r>
    </w:p>
    <w:p w14:paraId="6B39221A"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Third, ambulance services can support recovery. Early treatment may reduce the risk of serious complications and long-term health problems. For example, quick treatment for a stroke can improve a person's chances of recovery, although the outcome depends on the type and severity of the stroke.</w:t>
      </w:r>
    </w:p>
    <w:p w14:paraId="09DE2F2B"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However, the benefits depend on how quickly and safely patients receive care. Long waiting times may increase worry and can lead to worse outcomes. Therefore, ambulance services need enough trained staff, suitable equipment and good links with hospitals and community services.</w:t>
      </w:r>
    </w:p>
    <w:p w14:paraId="2BC43181" w14:textId="77777777" w:rsidR="00E274A3" w:rsidRPr="003A5942" w:rsidRDefault="00E274A3" w:rsidP="003A5942">
      <w:pPr>
        <w:spacing w:line="360" w:lineRule="auto"/>
        <w:jc w:val="both"/>
        <w:rPr>
          <w:rFonts w:ascii="Arial" w:hAnsi="Arial" w:cs="Arial"/>
          <w:b/>
          <w:bCs/>
          <w:sz w:val="22"/>
          <w:szCs w:val="22"/>
        </w:rPr>
      </w:pPr>
      <w:r w:rsidRPr="003A5942">
        <w:rPr>
          <w:rFonts w:ascii="Arial" w:hAnsi="Arial" w:cs="Arial"/>
          <w:b/>
          <w:bCs/>
          <w:sz w:val="22"/>
          <w:szCs w:val="22"/>
        </w:rPr>
        <w:t>Conclusion</w:t>
      </w:r>
    </w:p>
    <w:p w14:paraId="20ABF42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In conclusion, ambulance services have developed from basic patient transport into an important emergency healthcare service. The NHS has helped organise ambulance provision, while modern training and equipment allow staff to provide treatment before patients reach hospital.</w:t>
      </w:r>
    </w:p>
    <w:p w14:paraId="7FC1A71F"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The service saves lives, reduces suffering and supports recovery. However, high demand and delays remain important challenges. Improving staffing, hospital handovers and teamwork could help ambulance services provide safer and faster care for everyone who needs it.</w:t>
      </w:r>
    </w:p>
    <w:p w14:paraId="350AC05F" w14:textId="0A1F538A" w:rsidR="002B71BC" w:rsidRPr="003A5942" w:rsidRDefault="002B71BC" w:rsidP="003A5942">
      <w:pPr>
        <w:spacing w:line="360" w:lineRule="auto"/>
        <w:jc w:val="both"/>
        <w:rPr>
          <w:rFonts w:ascii="Arial" w:hAnsi="Arial" w:cs="Arial"/>
          <w:b/>
          <w:bCs/>
          <w:sz w:val="22"/>
          <w:szCs w:val="22"/>
        </w:rPr>
      </w:pPr>
      <w:r w:rsidRPr="003A5942">
        <w:rPr>
          <w:rFonts w:ascii="Arial" w:hAnsi="Arial" w:cs="Arial"/>
          <w:b/>
          <w:bCs/>
          <w:sz w:val="22"/>
          <w:szCs w:val="22"/>
        </w:rPr>
        <w:t>References</w:t>
      </w:r>
      <w:r w:rsidRPr="003A5942">
        <w:rPr>
          <w:rFonts w:ascii="Arial" w:hAnsi="Arial" w:cs="Arial"/>
          <w:b/>
          <w:bCs/>
          <w:sz w:val="22"/>
          <w:szCs w:val="22"/>
        </w:rPr>
        <w:t xml:space="preserve"> (Task1)</w:t>
      </w:r>
    </w:p>
    <w:p w14:paraId="7882BB26" w14:textId="77777777" w:rsidR="002B71BC" w:rsidRPr="003A5942" w:rsidRDefault="002B71BC" w:rsidP="003A5942">
      <w:pPr>
        <w:spacing w:line="360" w:lineRule="auto"/>
        <w:jc w:val="both"/>
        <w:rPr>
          <w:rFonts w:ascii="Arial" w:hAnsi="Arial" w:cs="Arial"/>
          <w:sz w:val="22"/>
          <w:szCs w:val="22"/>
        </w:rPr>
      </w:pPr>
      <w:r w:rsidRPr="003A5942">
        <w:rPr>
          <w:rFonts w:ascii="Arial" w:hAnsi="Arial" w:cs="Arial"/>
          <w:sz w:val="22"/>
          <w:szCs w:val="22"/>
        </w:rPr>
        <w:t xml:space="preserve">Care Act 2014. (2014) </w:t>
      </w:r>
      <w:r w:rsidRPr="003A5942">
        <w:rPr>
          <w:rFonts w:ascii="Arial" w:hAnsi="Arial" w:cs="Arial"/>
          <w:i/>
          <w:iCs/>
          <w:sz w:val="22"/>
          <w:szCs w:val="22"/>
        </w:rPr>
        <w:t>Care Act 2014, Part 1: Care and support</w:t>
      </w:r>
      <w:r w:rsidRPr="003A5942">
        <w:rPr>
          <w:rFonts w:ascii="Arial" w:hAnsi="Arial" w:cs="Arial"/>
          <w:sz w:val="22"/>
          <w:szCs w:val="22"/>
        </w:rPr>
        <w:t xml:space="preserve">. Available at: </w:t>
      </w:r>
      <w:hyperlink r:id="rId6" w:history="1">
        <w:r w:rsidRPr="003A5942">
          <w:rPr>
            <w:rStyle w:val="Hyperlink"/>
            <w:rFonts w:ascii="Arial" w:hAnsi="Arial" w:cs="Arial"/>
            <w:sz w:val="22"/>
            <w:szCs w:val="22"/>
          </w:rPr>
          <w:t>https://www.legislation.gov.uk/ukpga/2014/23/part/1</w:t>
        </w:r>
      </w:hyperlink>
      <w:r w:rsidRPr="003A5942">
        <w:rPr>
          <w:rFonts w:ascii="Arial" w:hAnsi="Arial" w:cs="Arial"/>
          <w:sz w:val="22"/>
          <w:szCs w:val="22"/>
        </w:rPr>
        <w:t xml:space="preserve"> (Accessed: 10 October 2026).</w:t>
      </w:r>
    </w:p>
    <w:p w14:paraId="4A529B50" w14:textId="77777777" w:rsidR="002B71BC" w:rsidRPr="003A5942" w:rsidRDefault="002B71BC" w:rsidP="003A5942">
      <w:pPr>
        <w:spacing w:line="360" w:lineRule="auto"/>
        <w:jc w:val="both"/>
        <w:rPr>
          <w:rFonts w:ascii="Arial" w:hAnsi="Arial" w:cs="Arial"/>
          <w:sz w:val="22"/>
          <w:szCs w:val="22"/>
        </w:rPr>
      </w:pPr>
      <w:r w:rsidRPr="003A5942">
        <w:rPr>
          <w:rFonts w:ascii="Arial" w:hAnsi="Arial" w:cs="Arial"/>
          <w:sz w:val="22"/>
          <w:szCs w:val="22"/>
        </w:rPr>
        <w:t xml:space="preserve">Healthwatch Sandwell. (2026) </w:t>
      </w:r>
      <w:r w:rsidRPr="003A5942">
        <w:rPr>
          <w:rFonts w:ascii="Arial" w:hAnsi="Arial" w:cs="Arial"/>
          <w:i/>
          <w:iCs/>
          <w:sz w:val="22"/>
          <w:szCs w:val="22"/>
        </w:rPr>
        <w:t>What People in Sandwell Say About Getting Mental Health Support June 2026</w:t>
      </w:r>
      <w:r w:rsidRPr="003A5942">
        <w:rPr>
          <w:rFonts w:ascii="Arial" w:hAnsi="Arial" w:cs="Arial"/>
          <w:sz w:val="22"/>
          <w:szCs w:val="22"/>
        </w:rPr>
        <w:t xml:space="preserve">. Published 14 September 2026. Available at: </w:t>
      </w:r>
      <w:hyperlink r:id="rId7" w:history="1">
        <w:r w:rsidRPr="003A5942">
          <w:rPr>
            <w:rStyle w:val="Hyperlink"/>
            <w:rFonts w:ascii="Arial" w:hAnsi="Arial" w:cs="Arial"/>
            <w:sz w:val="22"/>
            <w:szCs w:val="22"/>
          </w:rPr>
          <w:t>https://www.healthwatchsandwell.co.uk/report/2026-09-14/what-people-sandwell-say-about-getting-mental-health-support-june-2026</w:t>
        </w:r>
      </w:hyperlink>
      <w:r w:rsidRPr="003A5942">
        <w:rPr>
          <w:rFonts w:ascii="Arial" w:hAnsi="Arial" w:cs="Arial"/>
          <w:sz w:val="22"/>
          <w:szCs w:val="22"/>
        </w:rPr>
        <w:t xml:space="preserve"> (Accessed: 10 October 2026).</w:t>
      </w:r>
    </w:p>
    <w:p w14:paraId="5E1D254D" w14:textId="77777777" w:rsidR="002B71BC" w:rsidRPr="003A5942" w:rsidRDefault="002B71BC" w:rsidP="003A5942">
      <w:pPr>
        <w:spacing w:line="360" w:lineRule="auto"/>
        <w:jc w:val="both"/>
        <w:rPr>
          <w:rFonts w:ascii="Arial" w:hAnsi="Arial" w:cs="Arial"/>
          <w:sz w:val="22"/>
          <w:szCs w:val="22"/>
        </w:rPr>
      </w:pPr>
      <w:r w:rsidRPr="003A5942">
        <w:rPr>
          <w:rFonts w:ascii="Arial" w:hAnsi="Arial" w:cs="Arial"/>
          <w:sz w:val="22"/>
          <w:szCs w:val="22"/>
        </w:rPr>
        <w:t xml:space="preserve">Sandwell Metropolitan Borough Council. (2024) </w:t>
      </w:r>
      <w:r w:rsidRPr="003A5942">
        <w:rPr>
          <w:rFonts w:ascii="Arial" w:hAnsi="Arial" w:cs="Arial"/>
          <w:i/>
          <w:iCs/>
          <w:sz w:val="22"/>
          <w:szCs w:val="22"/>
        </w:rPr>
        <w:t>Sandwell Council launches Mental Health Strategy on World Mental Health Day</w:t>
      </w:r>
      <w:r w:rsidRPr="003A5942">
        <w:rPr>
          <w:rFonts w:ascii="Arial" w:hAnsi="Arial" w:cs="Arial"/>
          <w:sz w:val="22"/>
          <w:szCs w:val="22"/>
        </w:rPr>
        <w:t xml:space="preserve">. Available at: </w:t>
      </w:r>
      <w:hyperlink r:id="rId8" w:history="1">
        <w:r w:rsidRPr="003A5942">
          <w:rPr>
            <w:rStyle w:val="Hyperlink"/>
            <w:rFonts w:ascii="Arial" w:hAnsi="Arial" w:cs="Arial"/>
            <w:sz w:val="22"/>
            <w:szCs w:val="22"/>
          </w:rPr>
          <w:t>https://www.sandwell.gov.uk/news/article/498/sandwell-council-launches-mental-health-strategy-on-world-mental-health-day</w:t>
        </w:r>
      </w:hyperlink>
      <w:r w:rsidRPr="003A5942">
        <w:rPr>
          <w:rFonts w:ascii="Arial" w:hAnsi="Arial" w:cs="Arial"/>
          <w:sz w:val="22"/>
          <w:szCs w:val="22"/>
        </w:rPr>
        <w:t xml:space="preserve"> (Accessed: 10 October 2026).</w:t>
      </w:r>
    </w:p>
    <w:p w14:paraId="681416AA" w14:textId="215C0A1D" w:rsidR="002B71BC" w:rsidRPr="003A5942" w:rsidRDefault="002B71BC" w:rsidP="003A5942">
      <w:pPr>
        <w:spacing w:line="360" w:lineRule="auto"/>
        <w:jc w:val="both"/>
        <w:rPr>
          <w:rFonts w:ascii="Arial" w:hAnsi="Arial" w:cs="Arial"/>
          <w:b/>
          <w:bCs/>
          <w:sz w:val="22"/>
          <w:szCs w:val="22"/>
        </w:rPr>
      </w:pPr>
      <w:r w:rsidRPr="003A5942">
        <w:rPr>
          <w:rFonts w:ascii="Arial" w:hAnsi="Arial" w:cs="Arial"/>
          <w:b/>
          <w:bCs/>
          <w:sz w:val="22"/>
          <w:szCs w:val="22"/>
        </w:rPr>
        <w:t>References (Task</w:t>
      </w:r>
      <w:r w:rsidRPr="003A5942">
        <w:rPr>
          <w:rFonts w:ascii="Arial" w:hAnsi="Arial" w:cs="Arial"/>
          <w:b/>
          <w:bCs/>
          <w:sz w:val="22"/>
          <w:szCs w:val="22"/>
        </w:rPr>
        <w:t>2</w:t>
      </w:r>
      <w:r w:rsidRPr="003A5942">
        <w:rPr>
          <w:rFonts w:ascii="Arial" w:hAnsi="Arial" w:cs="Arial"/>
          <w:b/>
          <w:bCs/>
          <w:sz w:val="22"/>
          <w:szCs w:val="22"/>
        </w:rPr>
        <w:t>)</w:t>
      </w:r>
    </w:p>
    <w:p w14:paraId="6A075356" w14:textId="77777777" w:rsidR="002B71BC" w:rsidRPr="003A5942" w:rsidRDefault="002B71BC" w:rsidP="003A5942">
      <w:pPr>
        <w:spacing w:line="360" w:lineRule="auto"/>
        <w:jc w:val="both"/>
        <w:rPr>
          <w:rFonts w:ascii="Arial" w:hAnsi="Arial" w:cs="Arial"/>
          <w:b/>
          <w:bCs/>
          <w:sz w:val="22"/>
          <w:szCs w:val="22"/>
        </w:rPr>
      </w:pPr>
    </w:p>
    <w:p w14:paraId="6E6E21A2"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lastRenderedPageBreak/>
        <w:t xml:space="preserve">British Red Cross (n.d.) </w:t>
      </w:r>
      <w:r w:rsidRPr="003A5942">
        <w:rPr>
          <w:rFonts w:ascii="Arial" w:hAnsi="Arial" w:cs="Arial"/>
          <w:i/>
          <w:iCs/>
          <w:sz w:val="22"/>
          <w:szCs w:val="22"/>
        </w:rPr>
        <w:t>Transport during the First World War</w:t>
      </w:r>
      <w:r w:rsidRPr="003A5942">
        <w:rPr>
          <w:rFonts w:ascii="Arial" w:hAnsi="Arial" w:cs="Arial"/>
          <w:sz w:val="22"/>
          <w:szCs w:val="22"/>
        </w:rPr>
        <w:t xml:space="preserve">. Available at: </w:t>
      </w:r>
      <w:hyperlink r:id="rId9" w:history="1">
        <w:r w:rsidRPr="003A5942">
          <w:rPr>
            <w:rStyle w:val="Hyperlink"/>
            <w:rFonts w:ascii="Arial" w:hAnsi="Arial" w:cs="Arial"/>
            <w:sz w:val="22"/>
            <w:szCs w:val="22"/>
          </w:rPr>
          <w:t>https://vad.redcross.org.uk/medical-care-during-ww1/british-red-cross-transport-during-the-first-world-war</w:t>
        </w:r>
      </w:hyperlink>
      <w:r w:rsidRPr="003A5942">
        <w:rPr>
          <w:rFonts w:ascii="Arial" w:hAnsi="Arial" w:cs="Arial"/>
          <w:sz w:val="22"/>
          <w:szCs w:val="22"/>
        </w:rPr>
        <w:t xml:space="preserve"> (Accessed: 10 October 2026).</w:t>
      </w:r>
    </w:p>
    <w:p w14:paraId="120D4063"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 xml:space="preserve">London Ambulance Service (n.d.) </w:t>
      </w:r>
      <w:r w:rsidRPr="003A5942">
        <w:rPr>
          <w:rFonts w:ascii="Arial" w:hAnsi="Arial" w:cs="Arial"/>
          <w:i/>
          <w:iCs/>
          <w:sz w:val="22"/>
          <w:szCs w:val="22"/>
        </w:rPr>
        <w:t>Our history – a timeline</w:t>
      </w:r>
      <w:r w:rsidRPr="003A5942">
        <w:rPr>
          <w:rFonts w:ascii="Arial" w:hAnsi="Arial" w:cs="Arial"/>
          <w:sz w:val="22"/>
          <w:szCs w:val="22"/>
        </w:rPr>
        <w:t xml:space="preserve">. Available at: </w:t>
      </w:r>
      <w:hyperlink r:id="rId10" w:history="1">
        <w:r w:rsidRPr="003A5942">
          <w:rPr>
            <w:rStyle w:val="Hyperlink"/>
            <w:rFonts w:ascii="Arial" w:hAnsi="Arial" w:cs="Arial"/>
            <w:sz w:val="22"/>
            <w:szCs w:val="22"/>
          </w:rPr>
          <w:t>https://www.londonambulance.nhs.uk/about-us/our-history/our-history-a-timeline/</w:t>
        </w:r>
      </w:hyperlink>
      <w:r w:rsidRPr="003A5942">
        <w:rPr>
          <w:rFonts w:ascii="Arial" w:hAnsi="Arial" w:cs="Arial"/>
          <w:sz w:val="22"/>
          <w:szCs w:val="22"/>
        </w:rPr>
        <w:t xml:space="preserve"> (Accessed: 10 October 2026).</w:t>
      </w:r>
    </w:p>
    <w:p w14:paraId="216BC53F"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 xml:space="preserve">NHS England (n.d.) </w:t>
      </w:r>
      <w:r w:rsidRPr="003A5942">
        <w:rPr>
          <w:rFonts w:ascii="Arial" w:hAnsi="Arial" w:cs="Arial"/>
          <w:i/>
          <w:iCs/>
          <w:sz w:val="22"/>
          <w:szCs w:val="22"/>
        </w:rPr>
        <w:t>Milestones of the NHS</w:t>
      </w:r>
      <w:r w:rsidRPr="003A5942">
        <w:rPr>
          <w:rFonts w:ascii="Arial" w:hAnsi="Arial" w:cs="Arial"/>
          <w:sz w:val="22"/>
          <w:szCs w:val="22"/>
        </w:rPr>
        <w:t xml:space="preserve">. Available at: </w:t>
      </w:r>
      <w:hyperlink r:id="rId11" w:history="1">
        <w:r w:rsidRPr="003A5942">
          <w:rPr>
            <w:rStyle w:val="Hyperlink"/>
            <w:rFonts w:ascii="Arial" w:hAnsi="Arial" w:cs="Arial"/>
            <w:sz w:val="22"/>
            <w:szCs w:val="22"/>
          </w:rPr>
          <w:t>https://www.england.nhs.uk/about/nhs-history/</w:t>
        </w:r>
      </w:hyperlink>
      <w:r w:rsidRPr="003A5942">
        <w:rPr>
          <w:rFonts w:ascii="Arial" w:hAnsi="Arial" w:cs="Arial"/>
          <w:sz w:val="22"/>
          <w:szCs w:val="22"/>
        </w:rPr>
        <w:t xml:space="preserve"> (Accessed: 10 October 2026).</w:t>
      </w:r>
    </w:p>
    <w:p w14:paraId="3E7ACCF7"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 xml:space="preserve">NHS England (2025a) </w:t>
      </w:r>
      <w:r w:rsidRPr="003A5942">
        <w:rPr>
          <w:rFonts w:ascii="Arial" w:hAnsi="Arial" w:cs="Arial"/>
          <w:i/>
          <w:iCs/>
          <w:sz w:val="22"/>
          <w:szCs w:val="22"/>
        </w:rPr>
        <w:t>Operational performance update: March 2025</w:t>
      </w:r>
      <w:r w:rsidRPr="003A5942">
        <w:rPr>
          <w:rFonts w:ascii="Arial" w:hAnsi="Arial" w:cs="Arial"/>
          <w:sz w:val="22"/>
          <w:szCs w:val="22"/>
        </w:rPr>
        <w:t xml:space="preserve">. Available at: </w:t>
      </w:r>
      <w:hyperlink r:id="rId12" w:history="1">
        <w:r w:rsidRPr="003A5942">
          <w:rPr>
            <w:rStyle w:val="Hyperlink"/>
            <w:rFonts w:ascii="Arial" w:hAnsi="Arial" w:cs="Arial"/>
            <w:sz w:val="22"/>
            <w:szCs w:val="22"/>
          </w:rPr>
          <w:t>https://www.england.nhs.uk/long-read/operational-performance-update-march-2025/</w:t>
        </w:r>
      </w:hyperlink>
      <w:r w:rsidRPr="003A5942">
        <w:rPr>
          <w:rFonts w:ascii="Arial" w:hAnsi="Arial" w:cs="Arial"/>
          <w:sz w:val="22"/>
          <w:szCs w:val="22"/>
        </w:rPr>
        <w:t xml:space="preserve"> (Accessed: 10 October 2026).</w:t>
      </w:r>
    </w:p>
    <w:p w14:paraId="0815F9B9" w14:textId="77777777" w:rsidR="00E274A3" w:rsidRPr="003A5942" w:rsidRDefault="00E274A3" w:rsidP="003A5942">
      <w:pPr>
        <w:spacing w:line="360" w:lineRule="auto"/>
        <w:jc w:val="both"/>
        <w:rPr>
          <w:rFonts w:ascii="Arial" w:hAnsi="Arial" w:cs="Arial"/>
          <w:sz w:val="22"/>
          <w:szCs w:val="22"/>
        </w:rPr>
      </w:pPr>
      <w:r w:rsidRPr="003A5942">
        <w:rPr>
          <w:rFonts w:ascii="Arial" w:hAnsi="Arial" w:cs="Arial"/>
          <w:sz w:val="22"/>
          <w:szCs w:val="22"/>
        </w:rPr>
        <w:t xml:space="preserve">NHS England (2025b) </w:t>
      </w:r>
      <w:r w:rsidRPr="003A5942">
        <w:rPr>
          <w:rFonts w:ascii="Arial" w:hAnsi="Arial" w:cs="Arial"/>
          <w:i/>
          <w:iCs/>
          <w:sz w:val="22"/>
          <w:szCs w:val="22"/>
        </w:rPr>
        <w:t>Ambulance Quality Indicators Systems Indicators for March 2025</w:t>
      </w:r>
      <w:r w:rsidRPr="003A5942">
        <w:rPr>
          <w:rFonts w:ascii="Arial" w:hAnsi="Arial" w:cs="Arial"/>
          <w:sz w:val="22"/>
          <w:szCs w:val="22"/>
        </w:rPr>
        <w:t xml:space="preserve">. Available at: </w:t>
      </w:r>
      <w:hyperlink r:id="rId13" w:history="1">
        <w:r w:rsidRPr="003A5942">
          <w:rPr>
            <w:rStyle w:val="Hyperlink"/>
            <w:rFonts w:ascii="Arial" w:hAnsi="Arial" w:cs="Arial"/>
            <w:sz w:val="22"/>
            <w:szCs w:val="22"/>
          </w:rPr>
          <w:t>https://www.gov.uk/government/statistics/ambulance-quality-indicators-systems-indicators-for-march-2025</w:t>
        </w:r>
      </w:hyperlink>
      <w:r w:rsidRPr="003A5942">
        <w:rPr>
          <w:rFonts w:ascii="Arial" w:hAnsi="Arial" w:cs="Arial"/>
          <w:sz w:val="22"/>
          <w:szCs w:val="22"/>
        </w:rPr>
        <w:t xml:space="preserve"> (Accessed: 10 October 2026).</w:t>
      </w:r>
    </w:p>
    <w:p w14:paraId="4E19E774" w14:textId="77777777" w:rsidR="00E274A3" w:rsidRPr="003A5942" w:rsidRDefault="00E274A3" w:rsidP="003A5942">
      <w:pPr>
        <w:spacing w:line="360" w:lineRule="auto"/>
        <w:jc w:val="both"/>
        <w:rPr>
          <w:rFonts w:ascii="Arial" w:hAnsi="Arial" w:cs="Arial"/>
          <w:sz w:val="22"/>
          <w:szCs w:val="22"/>
        </w:rPr>
      </w:pPr>
    </w:p>
    <w:p w14:paraId="16EF5F72" w14:textId="77777777" w:rsidR="00E274A3" w:rsidRPr="003A5942" w:rsidRDefault="00E274A3" w:rsidP="003A5942">
      <w:pPr>
        <w:spacing w:line="360" w:lineRule="auto"/>
        <w:jc w:val="both"/>
        <w:rPr>
          <w:rFonts w:ascii="Arial" w:hAnsi="Arial" w:cs="Arial"/>
          <w:sz w:val="22"/>
          <w:szCs w:val="22"/>
        </w:rPr>
      </w:pPr>
    </w:p>
    <w:p w14:paraId="6D563D9F" w14:textId="77777777" w:rsidR="003A5942" w:rsidRPr="003A5942" w:rsidRDefault="003A5942" w:rsidP="003A5942">
      <w:pPr>
        <w:spacing w:line="360" w:lineRule="auto"/>
        <w:jc w:val="both"/>
        <w:rPr>
          <w:rFonts w:ascii="Arial" w:hAnsi="Arial" w:cs="Arial"/>
          <w:sz w:val="22"/>
          <w:szCs w:val="22"/>
        </w:rPr>
      </w:pPr>
    </w:p>
    <w:sectPr w:rsidR="003A5942" w:rsidRPr="003A59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4A3"/>
    <w:rsid w:val="000C0365"/>
    <w:rsid w:val="002B71BC"/>
    <w:rsid w:val="003A5942"/>
    <w:rsid w:val="00B109E9"/>
    <w:rsid w:val="00D142D0"/>
    <w:rsid w:val="00DB4D14"/>
    <w:rsid w:val="00E274A3"/>
    <w:rsid w:val="00F573F2"/>
    <w:rsid w:val="00FF4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AB605"/>
  <w15:chartTrackingRefBased/>
  <w15:docId w15:val="{80B0A8DF-A8CF-4AEB-B0DE-54FD4F215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4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74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4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4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4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4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4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4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4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4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74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4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4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4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4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4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4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4A3"/>
    <w:rPr>
      <w:rFonts w:eastAsiaTheme="majorEastAsia" w:cstheme="majorBidi"/>
      <w:color w:val="272727" w:themeColor="text1" w:themeTint="D8"/>
    </w:rPr>
  </w:style>
  <w:style w:type="paragraph" w:styleId="Title">
    <w:name w:val="Title"/>
    <w:basedOn w:val="Normal"/>
    <w:next w:val="Normal"/>
    <w:link w:val="TitleChar"/>
    <w:uiPriority w:val="10"/>
    <w:qFormat/>
    <w:rsid w:val="00E274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4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4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4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4A3"/>
    <w:pPr>
      <w:spacing w:before="160"/>
      <w:jc w:val="center"/>
    </w:pPr>
    <w:rPr>
      <w:i/>
      <w:iCs/>
      <w:color w:val="404040" w:themeColor="text1" w:themeTint="BF"/>
    </w:rPr>
  </w:style>
  <w:style w:type="character" w:customStyle="1" w:styleId="QuoteChar">
    <w:name w:val="Quote Char"/>
    <w:basedOn w:val="DefaultParagraphFont"/>
    <w:link w:val="Quote"/>
    <w:uiPriority w:val="29"/>
    <w:rsid w:val="00E274A3"/>
    <w:rPr>
      <w:i/>
      <w:iCs/>
      <w:color w:val="404040" w:themeColor="text1" w:themeTint="BF"/>
    </w:rPr>
  </w:style>
  <w:style w:type="paragraph" w:styleId="ListParagraph">
    <w:name w:val="List Paragraph"/>
    <w:basedOn w:val="Normal"/>
    <w:uiPriority w:val="34"/>
    <w:qFormat/>
    <w:rsid w:val="00E274A3"/>
    <w:pPr>
      <w:ind w:left="720"/>
      <w:contextualSpacing/>
    </w:pPr>
  </w:style>
  <w:style w:type="character" w:styleId="IntenseEmphasis">
    <w:name w:val="Intense Emphasis"/>
    <w:basedOn w:val="DefaultParagraphFont"/>
    <w:uiPriority w:val="21"/>
    <w:qFormat/>
    <w:rsid w:val="00E274A3"/>
    <w:rPr>
      <w:i/>
      <w:iCs/>
      <w:color w:val="0F4761" w:themeColor="accent1" w:themeShade="BF"/>
    </w:rPr>
  </w:style>
  <w:style w:type="paragraph" w:styleId="IntenseQuote">
    <w:name w:val="Intense Quote"/>
    <w:basedOn w:val="Normal"/>
    <w:next w:val="Normal"/>
    <w:link w:val="IntenseQuoteChar"/>
    <w:uiPriority w:val="30"/>
    <w:qFormat/>
    <w:rsid w:val="00E274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4A3"/>
    <w:rPr>
      <w:i/>
      <w:iCs/>
      <w:color w:val="0F4761" w:themeColor="accent1" w:themeShade="BF"/>
    </w:rPr>
  </w:style>
  <w:style w:type="character" w:styleId="IntenseReference">
    <w:name w:val="Intense Reference"/>
    <w:basedOn w:val="DefaultParagraphFont"/>
    <w:uiPriority w:val="32"/>
    <w:qFormat/>
    <w:rsid w:val="00E274A3"/>
    <w:rPr>
      <w:b/>
      <w:bCs/>
      <w:smallCaps/>
      <w:color w:val="0F4761" w:themeColor="accent1" w:themeShade="BF"/>
      <w:spacing w:val="5"/>
    </w:rPr>
  </w:style>
  <w:style w:type="character" w:styleId="Hyperlink">
    <w:name w:val="Hyperlink"/>
    <w:basedOn w:val="DefaultParagraphFont"/>
    <w:uiPriority w:val="99"/>
    <w:unhideWhenUsed/>
    <w:rsid w:val="00E274A3"/>
    <w:rPr>
      <w:color w:val="467886" w:themeColor="hyperlink"/>
      <w:u w:val="single"/>
    </w:rPr>
  </w:style>
  <w:style w:type="character" w:styleId="UnresolvedMention">
    <w:name w:val="Unresolved Mention"/>
    <w:basedOn w:val="DefaultParagraphFont"/>
    <w:uiPriority w:val="99"/>
    <w:semiHidden/>
    <w:unhideWhenUsed/>
    <w:rsid w:val="00E274A3"/>
    <w:rPr>
      <w:color w:val="605E5C"/>
      <w:shd w:val="clear" w:color="auto" w:fill="E1DFDD"/>
    </w:rPr>
  </w:style>
  <w:style w:type="paragraph" w:styleId="NormalWeb">
    <w:name w:val="Normal (Web)"/>
    <w:basedOn w:val="Normal"/>
    <w:uiPriority w:val="99"/>
    <w:semiHidden/>
    <w:unhideWhenUsed/>
    <w:rsid w:val="002B71B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ndwell.gov.uk/news/article/498/sandwell-council-launches-mental-health-strategy-on-world-mental-health-day" TargetMode="External"/><Relationship Id="rId13" Type="http://schemas.openxmlformats.org/officeDocument/2006/relationships/hyperlink" Target="https://www.gov.uk/government/statistics/ambulance-quality-indicators-systems-indicators-for-march-2025" TargetMode="External"/><Relationship Id="rId3" Type="http://schemas.openxmlformats.org/officeDocument/2006/relationships/webSettings" Target="webSettings.xml"/><Relationship Id="rId7" Type="http://schemas.openxmlformats.org/officeDocument/2006/relationships/hyperlink" Target="https://www.healthwatchsandwell.co.uk/report/2026-09-14/what-people-sandwell-say-about-getting-mental-health-support-june-2026" TargetMode="External"/><Relationship Id="rId12" Type="http://schemas.openxmlformats.org/officeDocument/2006/relationships/hyperlink" Target="https://www.england.nhs.uk/long-read/operational-performance-update-march-202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4/23/part/1" TargetMode="External"/><Relationship Id="rId11" Type="http://schemas.openxmlformats.org/officeDocument/2006/relationships/hyperlink" Target="https://www.england.nhs.uk/about/nhs-history/" TargetMode="External"/><Relationship Id="rId5" Type="http://schemas.openxmlformats.org/officeDocument/2006/relationships/image" Target="cid:image001.png@01D0EA4A.2BD679A0" TargetMode="External"/><Relationship Id="rId15" Type="http://schemas.openxmlformats.org/officeDocument/2006/relationships/theme" Target="theme/theme1.xml"/><Relationship Id="rId10" Type="http://schemas.openxmlformats.org/officeDocument/2006/relationships/hyperlink" Target="https://www.londonambulance.nhs.uk/about-us/our-history/our-history-a-timeline/" TargetMode="External"/><Relationship Id="rId4" Type="http://schemas.openxmlformats.org/officeDocument/2006/relationships/image" Target="media/image1.png"/><Relationship Id="rId9" Type="http://schemas.openxmlformats.org/officeDocument/2006/relationships/hyperlink" Target="https://vad.redcross.org.uk/medical-care-during-ww1/british-red-cross-transport-during-the-first-world-wa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160</TotalTime>
  <Pages>7</Pages>
  <Words>1938</Words>
  <Characters>11049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Sediqa Rahimi (2421927)</dc:creator>
  <cp:keywords/>
  <dc:description/>
  <cp:lastModifiedBy>Sediqa Rahimi (2421927)</cp:lastModifiedBy>
  <cp:revision>4</cp:revision>
  <dcterms:created xsi:type="dcterms:W3CDTF">2026-10-10T16:23:00Z</dcterms:created>
  <dcterms:modified xsi:type="dcterms:W3CDTF">2026-10-14T17:23:00Z</dcterms:modified>
</cp:coreProperties>
</file>