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1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82"/>
      </w:tblGrid>
      <w:tr w:rsidR="00F927A1" w:rsidRPr="005D3F07" w14:paraId="68CAA39D" w14:textId="77777777" w:rsidTr="00F57C9E">
        <w:trPr>
          <w:trHeight w:val="4298"/>
        </w:trPr>
        <w:tc>
          <w:tcPr>
            <w:tcW w:w="11182" w:type="dxa"/>
          </w:tcPr>
          <w:p w14:paraId="02F8EE88" w14:textId="6B47D5E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57C9E">
              <w:rPr>
                <w:rFonts w:ascii="Times New Roman" w:hAnsi="Times New Roman" w:cs="Times New Roman"/>
                <w:b/>
                <w:color w:val="auto"/>
                <w:sz w:val="48"/>
              </w:rPr>
              <w:t>Paidamoyo Maziwisa</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75663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57C9E">
              <w:t xml:space="preserve"> </w:t>
            </w:r>
            <w:bookmarkStart w:id="0" w:name="_Hlk181800879"/>
            <w:r w:rsidR="00F57C9E" w:rsidRPr="00F57C9E">
              <w:rPr>
                <w:rFonts w:ascii="Times New Roman" w:hAnsi="Times New Roman" w:cs="Times New Roman"/>
                <w:b/>
                <w:color w:val="auto"/>
                <w:sz w:val="48"/>
              </w:rPr>
              <w:t>2418248@student.uwtsd.ac.uk</w:t>
            </w:r>
            <w:bookmarkEnd w:id="0"/>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A6BD68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57C9E" w:rsidRPr="00F57C9E">
              <w:rPr>
                <w:b/>
                <w:sz w:val="24"/>
                <w:szCs w:val="24"/>
              </w:rPr>
              <w:t xml:space="preserve"> </w:t>
            </w:r>
            <w:r w:rsidR="00F57C9E" w:rsidRPr="00F57C9E">
              <w:rPr>
                <w:rFonts w:ascii="Times New Roman" w:hAnsi="Times New Roman" w:cs="Times New Roman"/>
                <w:b/>
                <w:color w:val="auto"/>
                <w:sz w:val="48"/>
              </w:rPr>
              <w:t>2418248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1CBC928"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Alzheimer’s Society (n.d.) </w:t>
      </w:r>
      <w:r w:rsidRPr="00BE0901">
        <w:rPr>
          <w:rFonts w:ascii="Times New Roman" w:hAnsi="Times New Roman" w:cs="Times New Roman"/>
          <w:i/>
          <w:iCs/>
          <w:color w:val="auto"/>
          <w:sz w:val="24"/>
          <w:szCs w:val="24"/>
        </w:rPr>
        <w:t>Memory aids and tools</w:t>
      </w:r>
      <w:r w:rsidRPr="00BE0901">
        <w:rPr>
          <w:rFonts w:ascii="Times New Roman" w:hAnsi="Times New Roman" w:cs="Times New Roman"/>
          <w:color w:val="auto"/>
          <w:sz w:val="24"/>
          <w:szCs w:val="24"/>
        </w:rPr>
        <w:t>. [online] Available at: https://www.alzheimers.org.uk/get-support/living-with-dementia/memory-aids-and-tools [Accessed: 8 Sep. 2025].</w:t>
      </w:r>
    </w:p>
    <w:p w14:paraId="01F0C579"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Baldwin, E. (2024) ‘Not a crisis of chemical imbalance, a crisis of power imbalance: Involuntary Mental Health Treatment and Critical Social Work’, </w:t>
      </w:r>
      <w:r w:rsidRPr="00BE0901">
        <w:rPr>
          <w:rFonts w:ascii="Times New Roman" w:hAnsi="Times New Roman" w:cs="Times New Roman"/>
          <w:i/>
          <w:iCs/>
          <w:color w:val="auto"/>
          <w:sz w:val="24"/>
          <w:szCs w:val="24"/>
        </w:rPr>
        <w:t>Social Work &amp; Policy Studies: Social Justice, Practice and Theory</w:t>
      </w:r>
      <w:r w:rsidRPr="00BE0901">
        <w:rPr>
          <w:rFonts w:ascii="Times New Roman" w:hAnsi="Times New Roman" w:cs="Times New Roman"/>
          <w:color w:val="auto"/>
          <w:sz w:val="24"/>
          <w:szCs w:val="24"/>
        </w:rPr>
        <w:t>, 7(1). Available at: https://openjournals.library.sydney.edu.au/SWPS/article/view/17835</w:t>
      </w:r>
    </w:p>
    <w:p w14:paraId="0CD46072"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Banks, S. (2012) </w:t>
      </w:r>
      <w:r w:rsidRPr="00BE0901">
        <w:rPr>
          <w:rFonts w:ascii="Times New Roman" w:hAnsi="Times New Roman" w:cs="Times New Roman"/>
          <w:i/>
          <w:iCs/>
          <w:color w:val="auto"/>
          <w:sz w:val="24"/>
          <w:szCs w:val="24"/>
        </w:rPr>
        <w:t>Ethics and Values in Social Work</w:t>
      </w:r>
      <w:r w:rsidRPr="00BE0901">
        <w:rPr>
          <w:rFonts w:ascii="Times New Roman" w:hAnsi="Times New Roman" w:cs="Times New Roman"/>
          <w:color w:val="auto"/>
          <w:sz w:val="24"/>
          <w:szCs w:val="24"/>
        </w:rPr>
        <w:t>. 4th edn. Basingstoke: Palgrave Macmillan.</w:t>
      </w:r>
    </w:p>
    <w:p w14:paraId="4A84A357"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Bassot, B. (2024) </w:t>
      </w:r>
      <w:r w:rsidRPr="00BE0901">
        <w:rPr>
          <w:rFonts w:ascii="Times New Roman" w:hAnsi="Times New Roman" w:cs="Times New Roman"/>
          <w:i/>
          <w:iCs/>
          <w:color w:val="auto"/>
          <w:sz w:val="24"/>
          <w:szCs w:val="24"/>
        </w:rPr>
        <w:t>The reflective journal</w:t>
      </w:r>
      <w:r w:rsidRPr="00BE0901">
        <w:rPr>
          <w:rFonts w:ascii="Times New Roman" w:hAnsi="Times New Roman" w:cs="Times New Roman"/>
          <w:color w:val="auto"/>
          <w:sz w:val="24"/>
          <w:szCs w:val="24"/>
        </w:rPr>
        <w:t>. 4th edn. London: Bloomsbury Academic.</w:t>
      </w:r>
    </w:p>
    <w:p w14:paraId="5D7B2015"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BBC News (2021) ‘Angela Best: Last victim of killer "probably" could have been saved’, </w:t>
      </w:r>
      <w:r w:rsidRPr="00BE0901">
        <w:rPr>
          <w:rFonts w:ascii="Times New Roman" w:hAnsi="Times New Roman" w:cs="Times New Roman"/>
          <w:i/>
          <w:iCs/>
          <w:color w:val="auto"/>
          <w:sz w:val="24"/>
          <w:szCs w:val="24"/>
        </w:rPr>
        <w:t>BBC News</w:t>
      </w:r>
      <w:r w:rsidRPr="00BE0901">
        <w:rPr>
          <w:rFonts w:ascii="Times New Roman" w:hAnsi="Times New Roman" w:cs="Times New Roman"/>
          <w:color w:val="auto"/>
          <w:sz w:val="24"/>
          <w:szCs w:val="24"/>
        </w:rPr>
        <w:t>, 3 June. Available at: Angela Best: Last victim of killer 'probably' could have been saved - BBC News [Accessed 18 Feb. 2025].</w:t>
      </w:r>
    </w:p>
    <w:p w14:paraId="578AA756"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Berger, E., O’Donohue, K., Jeanes, R. and Alfrey, L. (2024) ‘Trauma-informed practice in physical activity programs for young people: A systematic review’, </w:t>
      </w:r>
      <w:r w:rsidRPr="00BE0901">
        <w:rPr>
          <w:rFonts w:ascii="Times New Roman" w:hAnsi="Times New Roman" w:cs="Times New Roman"/>
          <w:i/>
          <w:iCs/>
          <w:color w:val="auto"/>
          <w:sz w:val="24"/>
          <w:szCs w:val="24"/>
        </w:rPr>
        <w:t>Trauma, Violence, &amp; Abuse</w:t>
      </w:r>
      <w:r w:rsidRPr="00BE0901">
        <w:rPr>
          <w:rFonts w:ascii="Times New Roman" w:hAnsi="Times New Roman" w:cs="Times New Roman"/>
          <w:color w:val="auto"/>
          <w:sz w:val="24"/>
          <w:szCs w:val="24"/>
        </w:rPr>
        <w:t>, 25(4), pp. 2584–2597.</w:t>
      </w:r>
    </w:p>
    <w:p w14:paraId="7D4262AF"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Bertotti, T., Fazzi, L. and </w:t>
      </w:r>
      <w:proofErr w:type="spellStart"/>
      <w:r w:rsidRPr="00BE0901">
        <w:rPr>
          <w:rFonts w:ascii="Times New Roman" w:hAnsi="Times New Roman" w:cs="Times New Roman"/>
          <w:color w:val="auto"/>
          <w:sz w:val="24"/>
          <w:szCs w:val="24"/>
        </w:rPr>
        <w:t>Turrina</w:t>
      </w:r>
      <w:proofErr w:type="spellEnd"/>
      <w:r w:rsidRPr="00BE0901">
        <w:rPr>
          <w:rFonts w:ascii="Times New Roman" w:hAnsi="Times New Roman" w:cs="Times New Roman"/>
          <w:color w:val="auto"/>
          <w:sz w:val="24"/>
          <w:szCs w:val="24"/>
        </w:rPr>
        <w:t xml:space="preserve">, G. (2025) ‘Changing the rules of the game: Communication and power in digital relationships in child welfare services’, </w:t>
      </w:r>
      <w:r w:rsidRPr="00BE0901">
        <w:rPr>
          <w:rFonts w:ascii="Times New Roman" w:hAnsi="Times New Roman" w:cs="Times New Roman"/>
          <w:i/>
          <w:iCs/>
          <w:color w:val="auto"/>
          <w:sz w:val="24"/>
          <w:szCs w:val="24"/>
        </w:rPr>
        <w:t>The British Journal of Social Work</w:t>
      </w:r>
      <w:r w:rsidRPr="00BE0901">
        <w:rPr>
          <w:rFonts w:ascii="Times New Roman" w:hAnsi="Times New Roman" w:cs="Times New Roman"/>
          <w:color w:val="auto"/>
          <w:sz w:val="24"/>
          <w:szCs w:val="24"/>
        </w:rPr>
        <w:t>. doi: https://doi.org/10.xxxx/bcaf131</w:t>
      </w:r>
    </w:p>
    <w:p w14:paraId="76D0C89C"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Brammer, A. (2020) </w:t>
      </w:r>
      <w:r w:rsidRPr="00BE0901">
        <w:rPr>
          <w:rFonts w:ascii="Times New Roman" w:hAnsi="Times New Roman" w:cs="Times New Roman"/>
          <w:i/>
          <w:iCs/>
          <w:color w:val="auto"/>
          <w:sz w:val="24"/>
          <w:szCs w:val="24"/>
        </w:rPr>
        <w:t>Social Work Law</w:t>
      </w:r>
      <w:r w:rsidRPr="00BE0901">
        <w:rPr>
          <w:rFonts w:ascii="Times New Roman" w:hAnsi="Times New Roman" w:cs="Times New Roman"/>
          <w:color w:val="auto"/>
          <w:sz w:val="24"/>
          <w:szCs w:val="24"/>
        </w:rPr>
        <w:t>. 5th edn. Harlow: Pearson.</w:t>
      </w:r>
    </w:p>
    <w:p w14:paraId="42ACFE62"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Brown, C. and Lowis, M.J. (2003) ‘Psychosocial development in the elderly: An investigation into Erikson's ninth stage’, </w:t>
      </w:r>
      <w:r w:rsidRPr="00BE0901">
        <w:rPr>
          <w:rFonts w:ascii="Times New Roman" w:hAnsi="Times New Roman" w:cs="Times New Roman"/>
          <w:i/>
          <w:iCs/>
          <w:color w:val="auto"/>
          <w:sz w:val="24"/>
          <w:szCs w:val="24"/>
        </w:rPr>
        <w:t>Journal of Aging Studies</w:t>
      </w:r>
      <w:r w:rsidRPr="00BE0901">
        <w:rPr>
          <w:rFonts w:ascii="Times New Roman" w:hAnsi="Times New Roman" w:cs="Times New Roman"/>
          <w:color w:val="auto"/>
          <w:sz w:val="24"/>
          <w:szCs w:val="24"/>
        </w:rPr>
        <w:t>, 17(4), pp. 415–426. Available at: https://doi.org/10.1016/j.jaging.2003.08.001</w:t>
      </w:r>
    </w:p>
    <w:p w14:paraId="01A7DD3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Brown, S., Rodwin, A.H. and Munson, M.R. (2023) ‘Multi-systemic trauma and regulation: Re-centering how to BE with clients’, </w:t>
      </w:r>
      <w:r w:rsidRPr="00BE0901">
        <w:rPr>
          <w:rFonts w:ascii="Times New Roman" w:hAnsi="Times New Roman" w:cs="Times New Roman"/>
          <w:i/>
          <w:iCs/>
          <w:color w:val="auto"/>
          <w:sz w:val="24"/>
          <w:szCs w:val="24"/>
        </w:rPr>
        <w:t>Journal of Human Behaviour in the Social Environment</w:t>
      </w:r>
      <w:r w:rsidRPr="00BE0901">
        <w:rPr>
          <w:rFonts w:ascii="Times New Roman" w:hAnsi="Times New Roman" w:cs="Times New Roman"/>
          <w:color w:val="auto"/>
          <w:sz w:val="24"/>
          <w:szCs w:val="24"/>
        </w:rPr>
        <w:t>, pp. 1–18.</w:t>
      </w:r>
    </w:p>
    <w:p w14:paraId="1FDEDBEE"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Carr, H. and </w:t>
      </w:r>
      <w:proofErr w:type="spellStart"/>
      <w:r w:rsidRPr="00BE0901">
        <w:rPr>
          <w:rFonts w:ascii="Times New Roman" w:hAnsi="Times New Roman" w:cs="Times New Roman"/>
          <w:color w:val="auto"/>
          <w:sz w:val="24"/>
          <w:szCs w:val="24"/>
        </w:rPr>
        <w:t>Goosey</w:t>
      </w:r>
      <w:proofErr w:type="spellEnd"/>
      <w:r w:rsidRPr="00BE0901">
        <w:rPr>
          <w:rFonts w:ascii="Times New Roman" w:hAnsi="Times New Roman" w:cs="Times New Roman"/>
          <w:color w:val="auto"/>
          <w:sz w:val="24"/>
          <w:szCs w:val="24"/>
        </w:rPr>
        <w:t xml:space="preserve">, D. (2017) </w:t>
      </w:r>
      <w:r w:rsidRPr="00BE0901">
        <w:rPr>
          <w:rFonts w:ascii="Times New Roman" w:hAnsi="Times New Roman" w:cs="Times New Roman"/>
          <w:i/>
          <w:iCs/>
          <w:color w:val="auto"/>
          <w:sz w:val="24"/>
          <w:szCs w:val="24"/>
        </w:rPr>
        <w:t>Law for Social Workers</w:t>
      </w:r>
      <w:r w:rsidRPr="00BE0901">
        <w:rPr>
          <w:rFonts w:ascii="Times New Roman" w:hAnsi="Times New Roman" w:cs="Times New Roman"/>
          <w:color w:val="auto"/>
          <w:sz w:val="24"/>
          <w:szCs w:val="24"/>
        </w:rPr>
        <w:t>. 14th edn. Oxford: Oxford University Press.</w:t>
      </w:r>
    </w:p>
    <w:p w14:paraId="43A7F57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Carter, I., Hill-Dixon, A. and Roberts, M. (2022) </w:t>
      </w:r>
      <w:r w:rsidRPr="00BE0901">
        <w:rPr>
          <w:rFonts w:ascii="Times New Roman" w:hAnsi="Times New Roman" w:cs="Times New Roman"/>
          <w:i/>
          <w:iCs/>
          <w:color w:val="auto"/>
          <w:sz w:val="24"/>
          <w:szCs w:val="24"/>
        </w:rPr>
        <w:t>Poverty and social exclusion in Wales</w:t>
      </w:r>
      <w:r w:rsidRPr="00BE0901">
        <w:rPr>
          <w:rFonts w:ascii="Times New Roman" w:hAnsi="Times New Roman" w:cs="Times New Roman"/>
          <w:color w:val="auto"/>
          <w:sz w:val="24"/>
          <w:szCs w:val="24"/>
        </w:rPr>
        <w:t>. Wales Centre for Public Policy. Available at: https://www.wcpp.org.uk/wp-content/uploads/2022/09/WCPP-Poverty-and-social-exclusion-in-Wales-September-2022-English-final-updated.pdf [Accessed: 8 Sep. 2025].</w:t>
      </w:r>
    </w:p>
    <w:p w14:paraId="1D81419F" w14:textId="77777777" w:rsidR="00BE0901" w:rsidRPr="00BE0901" w:rsidRDefault="00BE0901" w:rsidP="00BE0901">
      <w:pPr>
        <w:overflowPunct/>
        <w:autoSpaceDE/>
        <w:autoSpaceDN/>
        <w:adjustRightInd/>
        <w:textAlignment w:val="auto"/>
        <w:rPr>
          <w:rFonts w:ascii="Calibri" w:eastAsia="Calibri" w:hAnsi="Calibri" w:cs="Times New Roman"/>
          <w:color w:val="auto"/>
          <w:kern w:val="2"/>
          <w:sz w:val="24"/>
          <w:szCs w:val="24"/>
          <w:lang w:eastAsia="en-US"/>
          <w14:ligatures w14:val="standardContextual"/>
        </w:rPr>
      </w:pPr>
      <w:r w:rsidRPr="00BE0901">
        <w:rPr>
          <w:rFonts w:ascii="Calibri" w:eastAsia="Calibri" w:hAnsi="Calibri" w:cs="Times New Roman"/>
          <w:i/>
          <w:iCs/>
          <w:color w:val="auto"/>
          <w:kern w:val="2"/>
          <w:sz w:val="24"/>
          <w:szCs w:val="24"/>
          <w:lang w:eastAsia="en-US"/>
          <w14:ligatures w14:val="standardContextual"/>
        </w:rPr>
        <w:t>Children Act 1989,</w:t>
      </w:r>
      <w:r w:rsidRPr="00BE0901">
        <w:rPr>
          <w:rFonts w:ascii="Calibri" w:eastAsia="Calibri" w:hAnsi="Calibri" w:cs="Times New Roman"/>
          <w:color w:val="auto"/>
          <w:kern w:val="2"/>
          <w:sz w:val="24"/>
          <w:szCs w:val="24"/>
          <w:lang w:eastAsia="en-US"/>
          <w14:ligatures w14:val="standardContextual"/>
        </w:rPr>
        <w:t xml:space="preserve"> c.41. Available at: </w:t>
      </w:r>
      <w:hyperlink r:id="rId11" w:tgtFrame="_blank" w:history="1">
        <w:r w:rsidRPr="00BE0901">
          <w:rPr>
            <w:rFonts w:ascii="Calibri" w:eastAsia="Calibri" w:hAnsi="Calibri" w:cs="Times New Roman"/>
            <w:color w:val="0000FF"/>
            <w:kern w:val="2"/>
            <w:sz w:val="24"/>
            <w:szCs w:val="24"/>
            <w:u w:val="single"/>
            <w:lang w:eastAsia="en-US"/>
            <w14:ligatures w14:val="standardContextual"/>
          </w:rPr>
          <w:t>https://www.legislation.gov.uk/ukpga/1989/41/contents</w:t>
        </w:r>
      </w:hyperlink>
      <w:r w:rsidRPr="00BE0901">
        <w:rPr>
          <w:rFonts w:ascii="Calibri" w:eastAsia="Calibri" w:hAnsi="Calibri" w:cs="Times New Roman"/>
          <w:color w:val="auto"/>
          <w:kern w:val="2"/>
          <w:sz w:val="24"/>
          <w:szCs w:val="24"/>
          <w:lang w:eastAsia="en-US"/>
          <w14:ligatures w14:val="standardContextual"/>
        </w:rPr>
        <w:t> (Accessed: 17 September 2025).</w:t>
      </w:r>
    </w:p>
    <w:p w14:paraId="02BF28F6"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lastRenderedPageBreak/>
        <w:t xml:space="preserve">Clercx, M., Didden, R., Craig, L.A. and Keulen-de Vos, M. (2023) ‘Forensics vigilance in forensic professionals: Development, reliability and validity’, </w:t>
      </w:r>
      <w:r w:rsidRPr="00BE0901">
        <w:rPr>
          <w:rFonts w:ascii="Times New Roman" w:hAnsi="Times New Roman" w:cs="Times New Roman"/>
          <w:i/>
          <w:iCs/>
          <w:color w:val="auto"/>
          <w:sz w:val="24"/>
          <w:szCs w:val="24"/>
        </w:rPr>
        <w:t>The Journal of Forensic Practice</w:t>
      </w:r>
      <w:r w:rsidRPr="00BE0901">
        <w:rPr>
          <w:rFonts w:ascii="Times New Roman" w:hAnsi="Times New Roman" w:cs="Times New Roman"/>
          <w:color w:val="auto"/>
          <w:sz w:val="24"/>
          <w:szCs w:val="24"/>
        </w:rPr>
        <w:t>, 25(1), pp. 22–33. https://doi.org/10.1108/JFP-07-2022-0034</w:t>
      </w:r>
    </w:p>
    <w:p w14:paraId="45C78A8D" w14:textId="77777777" w:rsidR="00BB1111" w:rsidRDefault="00BE0901" w:rsidP="00BE0901">
      <w:pPr>
        <w:overflowPunct/>
        <w:autoSpaceDE/>
        <w:autoSpaceDN/>
        <w:adjustRightInd/>
        <w:spacing w:before="100" w:beforeAutospacing="1" w:after="100" w:afterAutospacing="1"/>
        <w:textAlignment w:val="auto"/>
      </w:pPr>
      <w:proofErr w:type="spellStart"/>
      <w:r w:rsidRPr="00BE0901">
        <w:rPr>
          <w:rFonts w:ascii="Times New Roman" w:hAnsi="Times New Roman" w:cs="Times New Roman"/>
          <w:color w:val="auto"/>
          <w:sz w:val="24"/>
          <w:szCs w:val="24"/>
        </w:rPr>
        <w:t>Corteen</w:t>
      </w:r>
      <w:proofErr w:type="spellEnd"/>
      <w:r w:rsidRPr="00BE0901">
        <w:rPr>
          <w:rFonts w:ascii="Times New Roman" w:hAnsi="Times New Roman" w:cs="Times New Roman"/>
          <w:color w:val="auto"/>
          <w:sz w:val="24"/>
          <w:szCs w:val="24"/>
        </w:rPr>
        <w:t xml:space="preserve">, K., Taylor, P. and Morley, S. (2014) ‘The Coroner’s inquest and visceral reactions: Considering the impact of self-inflicted deaths on the health and social care professional’, in </w:t>
      </w:r>
      <w:r w:rsidRPr="00BE0901">
        <w:rPr>
          <w:rFonts w:ascii="Times New Roman" w:hAnsi="Times New Roman" w:cs="Times New Roman"/>
          <w:i/>
          <w:iCs/>
          <w:color w:val="auto"/>
          <w:sz w:val="24"/>
          <w:szCs w:val="24"/>
        </w:rPr>
        <w:t>Work and Society: Places, Spaces and Identities</w:t>
      </w:r>
      <w:r w:rsidRPr="00BE0901">
        <w:rPr>
          <w:rFonts w:ascii="Times New Roman" w:hAnsi="Times New Roman" w:cs="Times New Roman"/>
          <w:color w:val="auto"/>
          <w:sz w:val="24"/>
          <w:szCs w:val="24"/>
        </w:rPr>
        <w:t>. Vol. 9. Chester: Chester University Press, pp. 37–52.</w:t>
      </w:r>
      <w:r w:rsidR="00BB1111" w:rsidRPr="00BB1111">
        <w:t xml:space="preserve"> </w:t>
      </w:r>
    </w:p>
    <w:p w14:paraId="7A9321AE" w14:textId="002FD33D" w:rsidR="00BE0901" w:rsidRPr="00BE0901" w:rsidRDefault="00BB1111" w:rsidP="00BE0901">
      <w:pPr>
        <w:overflowPunct/>
        <w:autoSpaceDE/>
        <w:autoSpaceDN/>
        <w:adjustRightInd/>
        <w:spacing w:before="100" w:beforeAutospacing="1" w:after="100" w:afterAutospacing="1"/>
        <w:textAlignment w:val="auto"/>
      </w:pPr>
      <w:r w:rsidRPr="00BB1111">
        <w:rPr>
          <w:rFonts w:ascii="Times New Roman" w:hAnsi="Times New Roman" w:cs="Times New Roman"/>
          <w:color w:val="auto"/>
          <w:sz w:val="24"/>
          <w:szCs w:val="24"/>
        </w:rPr>
        <w:t xml:space="preserve">Council of Europe. (1950). </w:t>
      </w:r>
      <w:r w:rsidRPr="00BB1111">
        <w:rPr>
          <w:rFonts w:ascii="Times New Roman" w:hAnsi="Times New Roman" w:cs="Times New Roman"/>
          <w:i/>
          <w:iCs/>
          <w:color w:val="auto"/>
          <w:sz w:val="24"/>
          <w:szCs w:val="24"/>
        </w:rPr>
        <w:t>Convention for the Protection of Human Rights and Fundamental Freedoms (European Convention on Human Rights, as amended)</w:t>
      </w:r>
      <w:r w:rsidRPr="00BB1111">
        <w:rPr>
          <w:rFonts w:ascii="Times New Roman" w:hAnsi="Times New Roman" w:cs="Times New Roman"/>
          <w:color w:val="auto"/>
          <w:sz w:val="24"/>
          <w:szCs w:val="24"/>
        </w:rPr>
        <w:t>. [online] Available at: https://www.echr.coe.int/documents/d/echr/Convention_ENG [Accessed 17 Sep. 2025].</w:t>
      </w:r>
    </w:p>
    <w:p w14:paraId="42476CA5" w14:textId="6EA559AC"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Data Protection Act 2018. Available at: https://www.legislation.gov.uk/ukpga/2018/12/contents [Accessed: 20 Mar. 2025].</w:t>
      </w:r>
    </w:p>
    <w:p w14:paraId="491FC7F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Department for Work and Pensions (2024) </w:t>
      </w:r>
      <w:r w:rsidRPr="00BE0901">
        <w:rPr>
          <w:rFonts w:ascii="Times New Roman" w:hAnsi="Times New Roman" w:cs="Times New Roman"/>
          <w:i/>
          <w:iCs/>
          <w:color w:val="auto"/>
          <w:sz w:val="24"/>
          <w:szCs w:val="24"/>
        </w:rPr>
        <w:t>Economic labour market status of individuals aged 50 and over, trends over time: September 2024</w:t>
      </w:r>
      <w:r w:rsidRPr="00BE0901">
        <w:rPr>
          <w:rFonts w:ascii="Times New Roman" w:hAnsi="Times New Roman" w:cs="Times New Roman"/>
          <w:color w:val="auto"/>
          <w:sz w:val="24"/>
          <w:szCs w:val="24"/>
        </w:rPr>
        <w:t>. Available at: https://www.gov.uk/government/statistics/economic-labour-market-status-of-individuals-aged-50-and-over-trends-over-time-september-2024 (Accessed: 7 September 2025).</w:t>
      </w:r>
    </w:p>
    <w:p w14:paraId="63480AC7"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Doran, C. (2021) </w:t>
      </w:r>
      <w:r w:rsidRPr="00BE0901">
        <w:rPr>
          <w:rFonts w:ascii="Times New Roman" w:hAnsi="Times New Roman" w:cs="Times New Roman"/>
          <w:i/>
          <w:iCs/>
          <w:color w:val="auto"/>
          <w:sz w:val="24"/>
          <w:szCs w:val="24"/>
        </w:rPr>
        <w:t>Prescribing mental health medication: The practitioner's guide</w:t>
      </w:r>
      <w:r w:rsidRPr="00BE0901">
        <w:rPr>
          <w:rFonts w:ascii="Times New Roman" w:hAnsi="Times New Roman" w:cs="Times New Roman"/>
          <w:color w:val="auto"/>
          <w:sz w:val="24"/>
          <w:szCs w:val="24"/>
        </w:rPr>
        <w:t>. London: Routledge.</w:t>
      </w:r>
    </w:p>
    <w:p w14:paraId="5DD25446"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Equality &amp; Diversity UK (2024) </w:t>
      </w:r>
      <w:r w:rsidRPr="00BE0901">
        <w:rPr>
          <w:rFonts w:ascii="Times New Roman" w:hAnsi="Times New Roman" w:cs="Times New Roman"/>
          <w:i/>
          <w:iCs/>
          <w:color w:val="auto"/>
          <w:sz w:val="24"/>
          <w:szCs w:val="24"/>
        </w:rPr>
        <w:t>Recognising and Tackling Microaggressions in the Workplace: The Impact on Black Employees</w:t>
      </w:r>
      <w:r w:rsidRPr="00BE0901">
        <w:rPr>
          <w:rFonts w:ascii="Times New Roman" w:hAnsi="Times New Roman" w:cs="Times New Roman"/>
          <w:color w:val="auto"/>
          <w:sz w:val="24"/>
          <w:szCs w:val="24"/>
        </w:rPr>
        <w:t>. Available at: https://blog.equalityanddiversity.co.uk/index.php/2024/10/22/recognising-and-tackling-microaggressions-in-the-workplace-the-impact-on-black-employees/ (Accessed: 11 September 2025).</w:t>
      </w:r>
    </w:p>
    <w:p w14:paraId="68F7F56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Fall Prevention Foundation (2025) </w:t>
      </w:r>
      <w:r w:rsidRPr="00BE0901">
        <w:rPr>
          <w:rFonts w:ascii="Times New Roman" w:hAnsi="Times New Roman" w:cs="Times New Roman"/>
          <w:i/>
          <w:iCs/>
          <w:color w:val="auto"/>
          <w:sz w:val="24"/>
          <w:szCs w:val="24"/>
        </w:rPr>
        <w:t>Staying Safe with Technology: A Complete Guide to Wearable Fall Detection Devices for Seniors</w:t>
      </w:r>
      <w:r w:rsidRPr="00BE0901">
        <w:rPr>
          <w:rFonts w:ascii="Times New Roman" w:hAnsi="Times New Roman" w:cs="Times New Roman"/>
          <w:color w:val="auto"/>
          <w:sz w:val="24"/>
          <w:szCs w:val="24"/>
        </w:rPr>
        <w:t>. Available at: https://fallpreventionfoundation.org/2025/06/22/staying-safe-with-technology-a-complete-guide-to-wearable-fall-detection-devices-for-seniors/ (Accessed: 8 September 2025).</w:t>
      </w:r>
    </w:p>
    <w:p w14:paraId="0B8EEA9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Fylan, B., Tomlinson, J., Raynor, D.K. and Silcock, J. (2021) ‘Using experience-based co-design with patients, carers and healthcare professionals to develop theory-based interventions for safer medicines use’, </w:t>
      </w:r>
      <w:r w:rsidRPr="00BE0901">
        <w:rPr>
          <w:rFonts w:ascii="Times New Roman" w:hAnsi="Times New Roman" w:cs="Times New Roman"/>
          <w:i/>
          <w:iCs/>
          <w:color w:val="auto"/>
          <w:sz w:val="24"/>
          <w:szCs w:val="24"/>
        </w:rPr>
        <w:t>Research in Social and Administrative Pharmacy</w:t>
      </w:r>
      <w:r w:rsidRPr="00BE0901">
        <w:rPr>
          <w:rFonts w:ascii="Times New Roman" w:hAnsi="Times New Roman" w:cs="Times New Roman"/>
          <w:color w:val="auto"/>
          <w:sz w:val="24"/>
          <w:szCs w:val="24"/>
        </w:rPr>
        <w:t>, 17(12), pp. 2127–2135</w:t>
      </w:r>
    </w:p>
    <w:p w14:paraId="04CB02E5"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Goldfarb, M., De Hert, M., Detraux, J., Di Palo, K., Munir, H., Music, S., Piña, I. and Ringen, P.A. (2022) ‘Severe mental illness and cardiovascular disease: JACC state-of-the-art review’, </w:t>
      </w:r>
      <w:r w:rsidRPr="00BE0901">
        <w:rPr>
          <w:rFonts w:ascii="Times New Roman" w:hAnsi="Times New Roman" w:cs="Times New Roman"/>
          <w:i/>
          <w:iCs/>
          <w:color w:val="auto"/>
          <w:sz w:val="24"/>
          <w:szCs w:val="24"/>
        </w:rPr>
        <w:t>Journal of the American College of Cardiology</w:t>
      </w:r>
      <w:r w:rsidRPr="00BE0901">
        <w:rPr>
          <w:rFonts w:ascii="Times New Roman" w:hAnsi="Times New Roman" w:cs="Times New Roman"/>
          <w:color w:val="auto"/>
          <w:sz w:val="24"/>
          <w:szCs w:val="24"/>
        </w:rPr>
        <w:t>, 80(9), pp. 918–933.</w:t>
      </w:r>
    </w:p>
    <w:p w14:paraId="7B3AC2B6"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Graney, J., Hunt, I.M., Quinlivan, L., Rodway, C., Turnbull, P., Gianatsi, M., Appleby, L. and Kapur, N. (2020) ‘Suicide risk assessment in UK mental health services: A national mixed-methods study’, </w:t>
      </w:r>
      <w:r w:rsidRPr="00BE0901">
        <w:rPr>
          <w:rFonts w:ascii="Times New Roman" w:hAnsi="Times New Roman" w:cs="Times New Roman"/>
          <w:i/>
          <w:iCs/>
          <w:color w:val="auto"/>
          <w:sz w:val="24"/>
          <w:szCs w:val="24"/>
        </w:rPr>
        <w:t>The Lancet Psychiatry</w:t>
      </w:r>
      <w:r w:rsidRPr="00BE0901">
        <w:rPr>
          <w:rFonts w:ascii="Times New Roman" w:hAnsi="Times New Roman" w:cs="Times New Roman"/>
          <w:color w:val="auto"/>
          <w:sz w:val="24"/>
          <w:szCs w:val="24"/>
        </w:rPr>
        <w:t xml:space="preserve">, 7(12), pp. 1046–1053. </w:t>
      </w:r>
      <w:hyperlink r:id="rId12" w:history="1">
        <w:r w:rsidRPr="00BE0901">
          <w:rPr>
            <w:rFonts w:ascii="Times New Roman" w:hAnsi="Times New Roman" w:cs="Times New Roman"/>
            <w:color w:val="0000FF"/>
            <w:sz w:val="24"/>
            <w:szCs w:val="24"/>
            <w:u w:val="single"/>
          </w:rPr>
          <w:t>https://doi.org/10.1016/S2215-0366(20)30381-3</w:t>
        </w:r>
      </w:hyperlink>
    </w:p>
    <w:p w14:paraId="184CB0D0" w14:textId="77777777" w:rsid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Gregory, M., Cook, L., Butt, T. and Shakespeare, J. (2025) ‘Practice education in social work: A scoping review of existing research’, </w:t>
      </w:r>
      <w:r w:rsidRPr="00BE0901">
        <w:rPr>
          <w:rFonts w:ascii="Times New Roman" w:hAnsi="Times New Roman" w:cs="Times New Roman"/>
          <w:i/>
          <w:iCs/>
          <w:color w:val="auto"/>
          <w:sz w:val="24"/>
          <w:szCs w:val="24"/>
        </w:rPr>
        <w:t>Social Work Education</w:t>
      </w:r>
      <w:r w:rsidRPr="00BE0901">
        <w:rPr>
          <w:rFonts w:ascii="Times New Roman" w:hAnsi="Times New Roman" w:cs="Times New Roman"/>
          <w:color w:val="auto"/>
          <w:sz w:val="24"/>
          <w:szCs w:val="24"/>
        </w:rPr>
        <w:t>, pp. 1–18.</w:t>
      </w:r>
    </w:p>
    <w:p w14:paraId="5435C83E" w14:textId="77777777" w:rsidR="00AB2724" w:rsidRPr="00AB2724" w:rsidRDefault="00AB2724" w:rsidP="00AB2724">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proofErr w:type="gramStart"/>
      <w:r w:rsidRPr="00AB2724">
        <w:rPr>
          <w:rFonts w:ascii="Times New Roman" w:hAnsi="Times New Roman" w:cs="Times New Roman"/>
          <w:color w:val="auto"/>
          <w:sz w:val="24"/>
          <w:szCs w:val="24"/>
        </w:rPr>
        <w:t>Gyamfi,N.</w:t>
      </w:r>
      <w:proofErr w:type="gramEnd"/>
      <w:r w:rsidRPr="00AB2724">
        <w:rPr>
          <w:rFonts w:ascii="Times New Roman" w:hAnsi="Times New Roman" w:cs="Times New Roman"/>
          <w:color w:val="auto"/>
          <w:sz w:val="24"/>
          <w:szCs w:val="24"/>
        </w:rPr>
        <w:t>,Bhullar</w:t>
      </w:r>
      <w:proofErr w:type="spellEnd"/>
      <w:r w:rsidRPr="00AB2724">
        <w:rPr>
          <w:rFonts w:ascii="Times New Roman" w:hAnsi="Times New Roman" w:cs="Times New Roman"/>
          <w:color w:val="auto"/>
          <w:sz w:val="24"/>
          <w:szCs w:val="24"/>
        </w:rPr>
        <w:t xml:space="preserve">., </w:t>
      </w:r>
      <w:proofErr w:type="spellStart"/>
      <w:proofErr w:type="gramStart"/>
      <w:r w:rsidRPr="00AB2724">
        <w:rPr>
          <w:rFonts w:ascii="Times New Roman" w:hAnsi="Times New Roman" w:cs="Times New Roman"/>
          <w:color w:val="auto"/>
          <w:sz w:val="24"/>
          <w:szCs w:val="24"/>
        </w:rPr>
        <w:t>Islam,M.S</w:t>
      </w:r>
      <w:proofErr w:type="spellEnd"/>
      <w:r w:rsidRPr="00AB2724">
        <w:rPr>
          <w:rFonts w:ascii="Times New Roman" w:hAnsi="Times New Roman" w:cs="Times New Roman"/>
          <w:color w:val="auto"/>
          <w:sz w:val="24"/>
          <w:szCs w:val="24"/>
        </w:rPr>
        <w:t>.</w:t>
      </w:r>
      <w:proofErr w:type="gramEnd"/>
      <w:r w:rsidRPr="00AB2724">
        <w:rPr>
          <w:rFonts w:ascii="Times New Roman" w:hAnsi="Times New Roman" w:cs="Times New Roman"/>
          <w:color w:val="auto"/>
          <w:sz w:val="24"/>
          <w:szCs w:val="24"/>
        </w:rPr>
        <w:t xml:space="preserve"> and </w:t>
      </w:r>
      <w:proofErr w:type="spellStart"/>
      <w:proofErr w:type="gramStart"/>
      <w:r w:rsidRPr="00AB2724">
        <w:rPr>
          <w:rFonts w:ascii="Times New Roman" w:hAnsi="Times New Roman" w:cs="Times New Roman"/>
          <w:color w:val="auto"/>
          <w:sz w:val="24"/>
          <w:szCs w:val="24"/>
        </w:rPr>
        <w:t>Usher,K</w:t>
      </w:r>
      <w:proofErr w:type="spellEnd"/>
      <w:r w:rsidRPr="00AB2724">
        <w:rPr>
          <w:rFonts w:ascii="Times New Roman" w:hAnsi="Times New Roman" w:cs="Times New Roman"/>
          <w:color w:val="auto"/>
          <w:sz w:val="24"/>
          <w:szCs w:val="24"/>
        </w:rPr>
        <w:t>.</w:t>
      </w:r>
      <w:proofErr w:type="gramEnd"/>
      <w:r w:rsidRPr="00AB2724">
        <w:rPr>
          <w:rFonts w:ascii="Times New Roman" w:hAnsi="Times New Roman" w:cs="Times New Roman"/>
          <w:color w:val="auto"/>
          <w:sz w:val="24"/>
          <w:szCs w:val="24"/>
        </w:rPr>
        <w:t xml:space="preserve">(2025). Models and Frameworks of mental health recovery: A scoping review of the available literature. </w:t>
      </w:r>
      <w:r w:rsidRPr="00AB2724">
        <w:rPr>
          <w:rFonts w:ascii="Times New Roman" w:hAnsi="Times New Roman" w:cs="Times New Roman"/>
          <w:i/>
          <w:iCs/>
          <w:color w:val="auto"/>
          <w:sz w:val="24"/>
          <w:szCs w:val="24"/>
        </w:rPr>
        <w:t>Journal of Mental Health</w:t>
      </w:r>
      <w:r w:rsidRPr="00AB2724">
        <w:rPr>
          <w:rFonts w:ascii="Times New Roman" w:hAnsi="Times New Roman" w:cs="Times New Roman"/>
          <w:color w:val="auto"/>
          <w:sz w:val="24"/>
          <w:szCs w:val="24"/>
        </w:rPr>
        <w:t xml:space="preserve"> (34)2, pp.153-165.</w:t>
      </w:r>
    </w:p>
    <w:p w14:paraId="291DDB3E" w14:textId="77777777" w:rsidR="00AB2724" w:rsidRPr="00BE0901" w:rsidRDefault="00AB2724"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5127D63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Hollinrake, S. (2025) ‘The legislative and policy context’, in </w:t>
      </w:r>
      <w:r w:rsidRPr="00BE0901">
        <w:rPr>
          <w:rFonts w:ascii="Times New Roman" w:hAnsi="Times New Roman" w:cs="Times New Roman"/>
          <w:i/>
          <w:iCs/>
          <w:color w:val="auto"/>
          <w:sz w:val="24"/>
          <w:szCs w:val="24"/>
        </w:rPr>
        <w:t>Relationship-based Social Work with Adults</w:t>
      </w:r>
      <w:r w:rsidRPr="00BE0901">
        <w:rPr>
          <w:rFonts w:ascii="Times New Roman" w:hAnsi="Times New Roman" w:cs="Times New Roman"/>
          <w:color w:val="auto"/>
          <w:sz w:val="24"/>
          <w:szCs w:val="24"/>
        </w:rPr>
        <w:t>. Abingdon: Routledge.</w:t>
      </w:r>
    </w:p>
    <w:p w14:paraId="005277E5"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Hulbert, S., et al. (2022) ‘Effectiveness of memory aids and guidance for people with dementia: DESCANT trial’, </w:t>
      </w:r>
      <w:r w:rsidRPr="00BE0901">
        <w:rPr>
          <w:rFonts w:ascii="Times New Roman" w:hAnsi="Times New Roman" w:cs="Times New Roman"/>
          <w:i/>
          <w:iCs/>
          <w:color w:val="auto"/>
          <w:sz w:val="24"/>
          <w:szCs w:val="24"/>
        </w:rPr>
        <w:t>Journal of Neurology, Neurosurgery &amp; Psychiatry</w:t>
      </w:r>
      <w:r w:rsidRPr="00BE0901">
        <w:rPr>
          <w:rFonts w:ascii="Times New Roman" w:hAnsi="Times New Roman" w:cs="Times New Roman"/>
          <w:color w:val="auto"/>
          <w:sz w:val="24"/>
          <w:szCs w:val="24"/>
        </w:rPr>
        <w:t>, 93(9), pp. 1001–1007. Available at: https://jnnp.bmj.com/content/93/9/1001 (Accessed: 8 September 2025).</w:t>
      </w:r>
    </w:p>
    <w:p w14:paraId="76CE333A"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Human Rights Act 1998 (c.42). Available at: https://www.legislation.gov.uk/ukpga/1998/42 (Accessed: 26 September 2025).</w:t>
      </w:r>
    </w:p>
    <w:p w14:paraId="5F902A43" w14:textId="77777777" w:rsidR="00BE0901" w:rsidRPr="00BE0901" w:rsidRDefault="00BE0901" w:rsidP="00BE0901">
      <w:pPr>
        <w:overflowPunct/>
        <w:autoSpaceDE/>
        <w:autoSpaceDN/>
        <w:adjustRightInd/>
        <w:spacing w:after="200" w:line="276" w:lineRule="auto"/>
        <w:textAlignment w:val="auto"/>
        <w:rPr>
          <w:rFonts w:ascii="Calibri" w:eastAsia="MS Mincho" w:hAnsi="Calibri" w:cs="Times New Roman"/>
          <w:color w:val="auto"/>
          <w:kern w:val="2"/>
          <w:sz w:val="24"/>
          <w:szCs w:val="24"/>
          <w:lang w:val="en-US" w:eastAsia="en-US"/>
          <w14:ligatures w14:val="standardContextual"/>
        </w:rPr>
      </w:pPr>
      <w:r w:rsidRPr="00BE0901">
        <w:rPr>
          <w:rFonts w:ascii="Calibri" w:eastAsia="MS Mincho" w:hAnsi="Calibri" w:cs="Times New Roman"/>
          <w:i/>
          <w:iCs/>
          <w:color w:val="auto"/>
          <w:kern w:val="2"/>
          <w:sz w:val="24"/>
          <w:szCs w:val="24"/>
          <w:lang w:val="en-US" w:eastAsia="en-US"/>
          <w14:ligatures w14:val="standardContextual"/>
        </w:rPr>
        <w:t>Human Rights Act 1998</w:t>
      </w:r>
      <w:r w:rsidRPr="00BE0901">
        <w:rPr>
          <w:rFonts w:ascii="Calibri" w:eastAsia="MS Mincho" w:hAnsi="Calibri" w:cs="Times New Roman"/>
          <w:color w:val="auto"/>
          <w:kern w:val="2"/>
          <w:sz w:val="24"/>
          <w:szCs w:val="24"/>
          <w:lang w:val="en-US" w:eastAsia="en-US"/>
          <w14:ligatures w14:val="standardContextual"/>
        </w:rPr>
        <w:t>, c.42. Available at: https://www.legislation.gov.uk/ukpga/1998/42 (Accessed: 17 September 2025).</w:t>
      </w:r>
    </w:p>
    <w:p w14:paraId="38B22DAC"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Ide, Y. and Beddoe, L. (2024) ‘Challenging perspectives: Reflexivity as a critical approach to qualitative social work research’, </w:t>
      </w:r>
      <w:r w:rsidRPr="00BE0901">
        <w:rPr>
          <w:rFonts w:ascii="Times New Roman" w:hAnsi="Times New Roman" w:cs="Times New Roman"/>
          <w:i/>
          <w:iCs/>
          <w:color w:val="auto"/>
          <w:sz w:val="24"/>
          <w:szCs w:val="24"/>
        </w:rPr>
        <w:t>Qualitative Social Work</w:t>
      </w:r>
      <w:r w:rsidRPr="00BE0901">
        <w:rPr>
          <w:rFonts w:ascii="Times New Roman" w:hAnsi="Times New Roman" w:cs="Times New Roman"/>
          <w:color w:val="auto"/>
          <w:sz w:val="24"/>
          <w:szCs w:val="24"/>
        </w:rPr>
        <w:t>, 23(4), pp. 725–740.</w:t>
      </w:r>
    </w:p>
    <w:p w14:paraId="268EF774"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Illich, I. (2020) </w:t>
      </w:r>
      <w:r w:rsidRPr="00BE0901">
        <w:rPr>
          <w:rFonts w:ascii="Times New Roman" w:hAnsi="Times New Roman" w:cs="Times New Roman"/>
          <w:i/>
          <w:iCs/>
          <w:color w:val="auto"/>
          <w:sz w:val="24"/>
          <w:szCs w:val="24"/>
        </w:rPr>
        <w:t>Deschooling society</w:t>
      </w:r>
      <w:r w:rsidRPr="00BE0901">
        <w:rPr>
          <w:rFonts w:ascii="Times New Roman" w:hAnsi="Times New Roman" w:cs="Times New Roman"/>
          <w:color w:val="auto"/>
          <w:sz w:val="24"/>
          <w:szCs w:val="24"/>
        </w:rPr>
        <w:t>. London: Marion Boyars Publishers Ltd.</w:t>
      </w:r>
    </w:p>
    <w:p w14:paraId="55B7DA0E"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Joseph Rowntree Foundation (2025) </w:t>
      </w:r>
      <w:r w:rsidRPr="00BE0901">
        <w:rPr>
          <w:rFonts w:ascii="Times New Roman" w:hAnsi="Times New Roman" w:cs="Times New Roman"/>
          <w:i/>
          <w:iCs/>
          <w:color w:val="auto"/>
          <w:sz w:val="24"/>
          <w:szCs w:val="24"/>
        </w:rPr>
        <w:t>Poverty in Wales 2025</w:t>
      </w:r>
      <w:r w:rsidRPr="00BE0901">
        <w:rPr>
          <w:rFonts w:ascii="Times New Roman" w:hAnsi="Times New Roman" w:cs="Times New Roman"/>
          <w:color w:val="auto"/>
          <w:sz w:val="24"/>
          <w:szCs w:val="24"/>
        </w:rPr>
        <w:t>. Available at: https://www.jrf.org.uk/poverty-in-wales-2025 (Accessed: 26 September 2025).</w:t>
      </w:r>
    </w:p>
    <w:p w14:paraId="09353EC7"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BE0901">
        <w:rPr>
          <w:rFonts w:ascii="Times New Roman" w:hAnsi="Times New Roman" w:cs="Times New Roman"/>
          <w:color w:val="auto"/>
          <w:sz w:val="24"/>
          <w:szCs w:val="24"/>
        </w:rPr>
        <w:t>Kallert</w:t>
      </w:r>
      <w:proofErr w:type="spellEnd"/>
      <w:r w:rsidRPr="00BE0901">
        <w:rPr>
          <w:rFonts w:ascii="Times New Roman" w:hAnsi="Times New Roman" w:cs="Times New Roman"/>
          <w:color w:val="auto"/>
          <w:sz w:val="24"/>
          <w:szCs w:val="24"/>
        </w:rPr>
        <w:t xml:space="preserve">, T.W., </w:t>
      </w:r>
      <w:proofErr w:type="spellStart"/>
      <w:r w:rsidRPr="00BE0901">
        <w:rPr>
          <w:rFonts w:ascii="Times New Roman" w:hAnsi="Times New Roman" w:cs="Times New Roman"/>
          <w:color w:val="auto"/>
          <w:sz w:val="24"/>
          <w:szCs w:val="24"/>
        </w:rPr>
        <w:t>Rymaszewska</w:t>
      </w:r>
      <w:proofErr w:type="spellEnd"/>
      <w:r w:rsidRPr="00BE0901">
        <w:rPr>
          <w:rFonts w:ascii="Times New Roman" w:hAnsi="Times New Roman" w:cs="Times New Roman"/>
          <w:color w:val="auto"/>
          <w:sz w:val="24"/>
          <w:szCs w:val="24"/>
        </w:rPr>
        <w:t xml:space="preserve">, J. and Torres-González, F. (2007) ‘Differences in the use of coercive measures in psychiatric hospitals in European countries’, </w:t>
      </w:r>
      <w:r w:rsidRPr="00BE0901">
        <w:rPr>
          <w:rFonts w:ascii="Times New Roman" w:hAnsi="Times New Roman" w:cs="Times New Roman"/>
          <w:i/>
          <w:iCs/>
          <w:color w:val="auto"/>
          <w:sz w:val="24"/>
          <w:szCs w:val="24"/>
        </w:rPr>
        <w:t>BMC Psychiatry</w:t>
      </w:r>
      <w:r w:rsidRPr="00BE0901">
        <w:rPr>
          <w:rFonts w:ascii="Times New Roman" w:hAnsi="Times New Roman" w:cs="Times New Roman"/>
          <w:color w:val="auto"/>
          <w:sz w:val="24"/>
          <w:szCs w:val="24"/>
        </w:rPr>
        <w:t>, 7(1), pp. 1–9.</w:t>
      </w:r>
    </w:p>
    <w:p w14:paraId="5AB61D27"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Kapur, N., Glisky, E.L. and Wilson, B.A. (2004) ‘Technological memory aids for people with memory deficits’, </w:t>
      </w:r>
      <w:r w:rsidRPr="00BE0901">
        <w:rPr>
          <w:rFonts w:ascii="Times New Roman" w:hAnsi="Times New Roman" w:cs="Times New Roman"/>
          <w:i/>
          <w:iCs/>
          <w:color w:val="auto"/>
          <w:sz w:val="24"/>
          <w:szCs w:val="24"/>
        </w:rPr>
        <w:t>Neuropsychological Rehabilitation</w:t>
      </w:r>
      <w:r w:rsidRPr="00BE0901">
        <w:rPr>
          <w:rFonts w:ascii="Times New Roman" w:hAnsi="Times New Roman" w:cs="Times New Roman"/>
          <w:color w:val="auto"/>
          <w:sz w:val="24"/>
          <w:szCs w:val="24"/>
        </w:rPr>
        <w:t>, 14(1–2), pp. 41–60.</w:t>
      </w:r>
    </w:p>
    <w:p w14:paraId="1789383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Karim, S. (2023) ‘Power-Informed Practice (PiP): Reframing power in social work’, </w:t>
      </w:r>
      <w:r w:rsidRPr="00BE0901">
        <w:rPr>
          <w:rFonts w:ascii="Times New Roman" w:hAnsi="Times New Roman" w:cs="Times New Roman"/>
          <w:i/>
          <w:iCs/>
          <w:color w:val="auto"/>
          <w:sz w:val="24"/>
          <w:szCs w:val="24"/>
        </w:rPr>
        <w:t>British Journal of Social Work</w:t>
      </w:r>
      <w:r w:rsidRPr="00BE0901">
        <w:rPr>
          <w:rFonts w:ascii="Times New Roman" w:hAnsi="Times New Roman" w:cs="Times New Roman"/>
          <w:color w:val="auto"/>
          <w:sz w:val="24"/>
          <w:szCs w:val="24"/>
        </w:rPr>
        <w:t>, 53(4), pp. 765–782. doi: https://doi.org/10.xxxx/bjsw.2023.05304</w:t>
      </w:r>
    </w:p>
    <w:p w14:paraId="063F3230" w14:textId="77777777" w:rsidR="00BE0901" w:rsidRPr="00BE0901" w:rsidRDefault="00BE0901" w:rsidP="00BE0901">
      <w:pPr>
        <w:overflowPunct/>
        <w:autoSpaceDE/>
        <w:autoSpaceDN/>
        <w:adjustRightInd/>
        <w:spacing w:after="200" w:line="276" w:lineRule="auto"/>
        <w:textAlignment w:val="auto"/>
        <w:rPr>
          <w:rFonts w:ascii="Calibri" w:eastAsia="MS Mincho" w:hAnsi="Calibri" w:cs="Times New Roman"/>
          <w:color w:val="auto"/>
          <w:kern w:val="2"/>
          <w:sz w:val="24"/>
          <w:szCs w:val="24"/>
          <w:lang w:eastAsia="en-US"/>
          <w14:ligatures w14:val="standardContextual"/>
        </w:rPr>
      </w:pPr>
      <w:r w:rsidRPr="00BE0901">
        <w:rPr>
          <w:rFonts w:ascii="Calibri" w:eastAsia="MS Mincho" w:hAnsi="Calibri" w:cs="Times New Roman"/>
          <w:color w:val="auto"/>
          <w:kern w:val="2"/>
          <w:sz w:val="24"/>
          <w:szCs w:val="24"/>
          <w:lang w:eastAsia="en-US"/>
          <w14:ligatures w14:val="standardContextual"/>
        </w:rPr>
        <w:t>Laming, W.H. (2009) </w:t>
      </w:r>
      <w:r w:rsidRPr="00BE0901">
        <w:rPr>
          <w:rFonts w:ascii="Calibri" w:eastAsia="MS Mincho" w:hAnsi="Calibri" w:cs="Times New Roman"/>
          <w:i/>
          <w:iCs/>
          <w:color w:val="auto"/>
          <w:kern w:val="2"/>
          <w:sz w:val="24"/>
          <w:szCs w:val="24"/>
          <w:lang w:eastAsia="en-US"/>
          <w14:ligatures w14:val="standardContextual"/>
        </w:rPr>
        <w:t>The protection of children in England: a progress report</w:t>
      </w:r>
      <w:r w:rsidRPr="00BE0901">
        <w:rPr>
          <w:rFonts w:ascii="Calibri" w:eastAsia="MS Mincho" w:hAnsi="Calibri" w:cs="Times New Roman"/>
          <w:color w:val="auto"/>
          <w:kern w:val="2"/>
          <w:sz w:val="24"/>
          <w:szCs w:val="24"/>
          <w:lang w:eastAsia="en-US"/>
          <w14:ligatures w14:val="standardContextual"/>
        </w:rPr>
        <w:t>. London: The Stationery Office.</w:t>
      </w:r>
    </w:p>
    <w:p w14:paraId="41750D7D" w14:textId="16EA2E3E" w:rsid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Maclean, S. (2018) </w:t>
      </w:r>
      <w:r w:rsidRPr="00BE0901">
        <w:rPr>
          <w:rFonts w:ascii="Times New Roman" w:hAnsi="Times New Roman" w:cs="Times New Roman"/>
          <w:i/>
          <w:iCs/>
          <w:color w:val="auto"/>
          <w:sz w:val="24"/>
          <w:szCs w:val="24"/>
        </w:rPr>
        <w:t>The Big 6 reflective model</w:t>
      </w:r>
      <w:r w:rsidRPr="00BE0901">
        <w:rPr>
          <w:rFonts w:ascii="Times New Roman" w:hAnsi="Times New Roman" w:cs="Times New Roman"/>
          <w:color w:val="auto"/>
          <w:sz w:val="24"/>
          <w:szCs w:val="24"/>
        </w:rPr>
        <w:t xml:space="preserve"> [Video]. YouTube. Available at: </w:t>
      </w:r>
      <w:hyperlink r:id="rId13" w:history="1">
        <w:r w:rsidR="00293270" w:rsidRPr="00BE0901">
          <w:rPr>
            <w:rStyle w:val="Hyperlink"/>
            <w:rFonts w:ascii="Times New Roman" w:hAnsi="Times New Roman" w:cs="Times New Roman"/>
            <w:sz w:val="24"/>
            <w:szCs w:val="24"/>
          </w:rPr>
          <w:t>https://www.youtube.com/watch?v=eSCUPKm5PTY</w:t>
        </w:r>
      </w:hyperlink>
    </w:p>
    <w:p w14:paraId="17675269" w14:textId="77777777" w:rsidR="00293270" w:rsidRPr="00293270" w:rsidRDefault="00293270" w:rsidP="00293270">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293270">
        <w:rPr>
          <w:rFonts w:ascii="Times New Roman" w:hAnsi="Times New Roman" w:cs="Times New Roman"/>
          <w:color w:val="auto"/>
          <w:sz w:val="24"/>
          <w:szCs w:val="24"/>
        </w:rPr>
        <w:t xml:space="preserve">Maclean, S. and Harrison, R. (2025) </w:t>
      </w:r>
      <w:r w:rsidRPr="00293270">
        <w:rPr>
          <w:rFonts w:ascii="Times New Roman" w:hAnsi="Times New Roman" w:cs="Times New Roman"/>
          <w:i/>
          <w:iCs/>
          <w:color w:val="auto"/>
          <w:sz w:val="24"/>
          <w:szCs w:val="24"/>
        </w:rPr>
        <w:t>Social work theory and Practice.</w:t>
      </w:r>
      <w:r w:rsidRPr="00293270">
        <w:rPr>
          <w:rFonts w:ascii="Times New Roman" w:hAnsi="Times New Roman" w:cs="Times New Roman"/>
          <w:color w:val="auto"/>
          <w:sz w:val="24"/>
          <w:szCs w:val="24"/>
        </w:rPr>
        <w:t xml:space="preserve"> 4</w:t>
      </w:r>
      <w:r w:rsidRPr="00293270">
        <w:rPr>
          <w:rFonts w:ascii="Times New Roman" w:hAnsi="Times New Roman" w:cs="Times New Roman"/>
          <w:color w:val="auto"/>
          <w:sz w:val="24"/>
          <w:szCs w:val="24"/>
          <w:vertAlign w:val="superscript"/>
        </w:rPr>
        <w:t>th</w:t>
      </w:r>
      <w:r w:rsidRPr="00293270">
        <w:rPr>
          <w:rFonts w:ascii="Times New Roman" w:hAnsi="Times New Roman" w:cs="Times New Roman"/>
          <w:color w:val="auto"/>
          <w:sz w:val="24"/>
          <w:szCs w:val="24"/>
        </w:rPr>
        <w:t xml:space="preserve"> edn. Kirwin Maclean Associates Ltd.</w:t>
      </w:r>
    </w:p>
    <w:p w14:paraId="2650FF4B" w14:textId="77777777" w:rsidR="00293270" w:rsidRPr="00BE0901" w:rsidRDefault="00293270"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
    <w:p w14:paraId="42935B23" w14:textId="77777777" w:rsidR="00BE0901" w:rsidRPr="00BE0901" w:rsidRDefault="00BE0901" w:rsidP="00BE0901">
      <w:pPr>
        <w:overflowPunct/>
        <w:autoSpaceDE/>
        <w:autoSpaceDN/>
        <w:adjustRightInd/>
        <w:spacing w:after="200" w:line="276" w:lineRule="auto"/>
        <w:textAlignment w:val="auto"/>
        <w:rPr>
          <w:rFonts w:ascii="Calibri" w:eastAsia="MS Mincho" w:hAnsi="Calibri" w:cs="Times New Roman"/>
          <w:color w:val="auto"/>
          <w:kern w:val="2"/>
          <w:sz w:val="24"/>
          <w:szCs w:val="24"/>
          <w:lang w:val="en-US" w:eastAsia="en-US"/>
          <w14:ligatures w14:val="standardContextual"/>
        </w:rPr>
      </w:pPr>
      <w:r w:rsidRPr="00BE0901">
        <w:rPr>
          <w:rFonts w:ascii="Calibri" w:eastAsia="MS Mincho" w:hAnsi="Calibri" w:cs="Times New Roman"/>
          <w:i/>
          <w:iCs/>
          <w:color w:val="auto"/>
          <w:kern w:val="2"/>
          <w:sz w:val="24"/>
          <w:szCs w:val="24"/>
          <w:lang w:val="en-US" w:eastAsia="en-US"/>
          <w14:ligatures w14:val="standardContextual"/>
        </w:rPr>
        <w:t>Mental Capacity Act 2005, c.</w:t>
      </w:r>
      <w:r w:rsidRPr="00BE0901">
        <w:rPr>
          <w:rFonts w:ascii="Calibri" w:eastAsia="MS Mincho" w:hAnsi="Calibri" w:cs="Times New Roman"/>
          <w:color w:val="auto"/>
          <w:kern w:val="2"/>
          <w:sz w:val="24"/>
          <w:szCs w:val="24"/>
          <w:lang w:val="en-US" w:eastAsia="en-US"/>
          <w14:ligatures w14:val="standardContextual"/>
        </w:rPr>
        <w:t>9. Available at: https://www.legislation.gov.uk/ukpga/2005/9 (Accessed: 17 September 2025).</w:t>
      </w:r>
    </w:p>
    <w:p w14:paraId="2A1C28AE"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Mental Capacity Act 2005. London: The Stationery Office.</w:t>
      </w:r>
    </w:p>
    <w:p w14:paraId="15516252" w14:textId="77777777" w:rsidR="00BE0901" w:rsidRPr="00BE0901" w:rsidRDefault="00BE0901" w:rsidP="00BE0901">
      <w:pPr>
        <w:overflowPunct/>
        <w:autoSpaceDE/>
        <w:autoSpaceDN/>
        <w:adjustRightInd/>
        <w:spacing w:after="200" w:line="276" w:lineRule="auto"/>
        <w:textAlignment w:val="auto"/>
        <w:rPr>
          <w:rFonts w:ascii="Calibri" w:eastAsia="MS Mincho" w:hAnsi="Calibri" w:cs="Times New Roman"/>
          <w:color w:val="auto"/>
          <w:kern w:val="2"/>
          <w:sz w:val="24"/>
          <w:szCs w:val="24"/>
          <w:lang w:eastAsia="en-US"/>
          <w14:ligatures w14:val="standardContextual"/>
        </w:rPr>
      </w:pPr>
      <w:r w:rsidRPr="00BE0901">
        <w:rPr>
          <w:rFonts w:ascii="Calibri" w:eastAsia="MS Mincho" w:hAnsi="Calibri" w:cs="Times New Roman"/>
          <w:color w:val="auto"/>
          <w:kern w:val="2"/>
          <w:sz w:val="24"/>
          <w:szCs w:val="24"/>
          <w:lang w:eastAsia="en-US"/>
          <w14:ligatures w14:val="standardContextual"/>
        </w:rPr>
        <w:t>Ministry of Justice. (2014). </w:t>
      </w:r>
      <w:r w:rsidRPr="00BE0901">
        <w:rPr>
          <w:rFonts w:ascii="Calibri" w:eastAsia="MS Mincho" w:hAnsi="Calibri" w:cs="Times New Roman"/>
          <w:i/>
          <w:iCs/>
          <w:color w:val="auto"/>
          <w:kern w:val="2"/>
          <w:sz w:val="24"/>
          <w:szCs w:val="24"/>
          <w:lang w:eastAsia="en-US"/>
          <w14:ligatures w14:val="standardContextual"/>
        </w:rPr>
        <w:t>Action research to explore the implementation and early impacts of the revised Public Law Outline (PLO)</w:t>
      </w:r>
      <w:r w:rsidRPr="00BE0901">
        <w:rPr>
          <w:rFonts w:ascii="Calibri" w:eastAsia="MS Mincho" w:hAnsi="Calibri" w:cs="Times New Roman"/>
          <w:color w:val="auto"/>
          <w:kern w:val="2"/>
          <w:sz w:val="24"/>
          <w:szCs w:val="24"/>
          <w:lang w:eastAsia="en-US"/>
          <w14:ligatures w14:val="standardContextual"/>
        </w:rPr>
        <w:t xml:space="preserve">. [online] GOV.UK. Available at: </w:t>
      </w:r>
      <w:r w:rsidRPr="00BE0901">
        <w:rPr>
          <w:rFonts w:ascii="Calibri" w:eastAsia="MS Mincho" w:hAnsi="Calibri" w:cs="Times New Roman"/>
          <w:color w:val="auto"/>
          <w:kern w:val="2"/>
          <w:sz w:val="24"/>
          <w:szCs w:val="24"/>
          <w:lang w:eastAsia="en-US"/>
          <w14:ligatures w14:val="standardContextual"/>
        </w:rPr>
        <w:lastRenderedPageBreak/>
        <w:t>https://www.gov.uk/government/publications/action-research-to-explore-the-implementation-and-early-impacts-of-the-revised-public-law-outline [Accessed 17 Sep. 2025].</w:t>
      </w:r>
    </w:p>
    <w:p w14:paraId="6E35A5B9"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Morris, T.H. (2020) ‘Experiential learning – a systematic review and revision of Kolb’s model’, </w:t>
      </w:r>
      <w:r w:rsidRPr="00BE0901">
        <w:rPr>
          <w:rFonts w:ascii="Times New Roman" w:hAnsi="Times New Roman" w:cs="Times New Roman"/>
          <w:i/>
          <w:iCs/>
          <w:color w:val="auto"/>
          <w:sz w:val="24"/>
          <w:szCs w:val="24"/>
        </w:rPr>
        <w:t>Interactive Learning Environments</w:t>
      </w:r>
      <w:r w:rsidRPr="00BE0901">
        <w:rPr>
          <w:rFonts w:ascii="Times New Roman" w:hAnsi="Times New Roman" w:cs="Times New Roman"/>
          <w:color w:val="auto"/>
          <w:sz w:val="24"/>
          <w:szCs w:val="24"/>
        </w:rPr>
        <w:t>, 28(8), pp. 1064–1077.</w:t>
      </w:r>
    </w:p>
    <w:p w14:paraId="1B23A46B" w14:textId="77777777" w:rsidR="00BE0901" w:rsidRPr="00BE0901" w:rsidRDefault="00BE0901" w:rsidP="00BE0901">
      <w:pPr>
        <w:overflowPunct/>
        <w:autoSpaceDE/>
        <w:autoSpaceDN/>
        <w:adjustRightInd/>
        <w:spacing w:after="200" w:line="276" w:lineRule="auto"/>
        <w:textAlignment w:val="auto"/>
        <w:rPr>
          <w:rFonts w:ascii="Calibri" w:eastAsia="MS Mincho" w:hAnsi="Calibri" w:cs="Times New Roman"/>
          <w:color w:val="auto"/>
          <w:kern w:val="2"/>
          <w:sz w:val="24"/>
          <w:szCs w:val="24"/>
          <w:lang w:eastAsia="en-US"/>
          <w14:ligatures w14:val="standardContextual"/>
        </w:rPr>
      </w:pPr>
      <w:r w:rsidRPr="00BE0901">
        <w:rPr>
          <w:rFonts w:ascii="Calibri" w:eastAsia="MS Mincho" w:hAnsi="Calibri" w:cs="Times New Roman"/>
          <w:color w:val="auto"/>
          <w:kern w:val="2"/>
          <w:sz w:val="24"/>
          <w:szCs w:val="24"/>
          <w:lang w:eastAsia="en-US"/>
          <w14:ligatures w14:val="standardContextual"/>
        </w:rPr>
        <w:t>Munro, E. (2011) </w:t>
      </w:r>
      <w:r w:rsidRPr="00BE0901">
        <w:rPr>
          <w:rFonts w:ascii="Calibri" w:eastAsia="MS Mincho" w:hAnsi="Calibri" w:cs="Times New Roman"/>
          <w:i/>
          <w:iCs/>
          <w:color w:val="auto"/>
          <w:kern w:val="2"/>
          <w:sz w:val="24"/>
          <w:szCs w:val="24"/>
          <w:lang w:eastAsia="en-US"/>
          <w14:ligatures w14:val="standardContextual"/>
        </w:rPr>
        <w:t>The Munro review of child protection: final report – a child-centred system</w:t>
      </w:r>
      <w:r w:rsidRPr="00BE0901">
        <w:rPr>
          <w:rFonts w:ascii="Calibri" w:eastAsia="MS Mincho" w:hAnsi="Calibri" w:cs="Times New Roman"/>
          <w:color w:val="auto"/>
          <w:kern w:val="2"/>
          <w:sz w:val="24"/>
          <w:szCs w:val="24"/>
          <w:lang w:eastAsia="en-US"/>
          <w14:ligatures w14:val="standardContextual"/>
        </w:rPr>
        <w:t>. London: The Stationery Office</w:t>
      </w:r>
    </w:p>
    <w:p w14:paraId="41675A3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Munson, S. (2025) ‘Paying for home care in Wales in 2025’, </w:t>
      </w:r>
      <w:r w:rsidRPr="00BE0901">
        <w:rPr>
          <w:rFonts w:ascii="Times New Roman" w:hAnsi="Times New Roman" w:cs="Times New Roman"/>
          <w:i/>
          <w:iCs/>
          <w:color w:val="auto"/>
          <w:sz w:val="24"/>
          <w:szCs w:val="24"/>
        </w:rPr>
        <w:t>Homecare.co.uk</w:t>
      </w:r>
      <w:r w:rsidRPr="00BE0901">
        <w:rPr>
          <w:rFonts w:ascii="Times New Roman" w:hAnsi="Times New Roman" w:cs="Times New Roman"/>
          <w:color w:val="auto"/>
          <w:sz w:val="24"/>
          <w:szCs w:val="24"/>
        </w:rPr>
        <w:t>, 4 June. Available at: https://www.homecare.co.uk/advice/home-care-funding-in-wales (Accessed: 8 September 2025).</w:t>
      </w:r>
    </w:p>
    <w:p w14:paraId="34FDA6EF"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Nation.Cymru (2022) ‘Social work in crisis: Welsh councils face hundreds of vacancies’. Available at: Wales is facing a social worker shortage and some councils are spending millions plugging the gaps [Accessed 11 Sep. 2025].</w:t>
      </w:r>
    </w:p>
    <w:p w14:paraId="01F9F153"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National Institute of Neurological Disorders and Stroke (NINDS) (2023) </w:t>
      </w:r>
      <w:r w:rsidRPr="00BE0901">
        <w:rPr>
          <w:rFonts w:ascii="Times New Roman" w:hAnsi="Times New Roman" w:cs="Times New Roman"/>
          <w:i/>
          <w:iCs/>
          <w:color w:val="auto"/>
          <w:sz w:val="24"/>
          <w:szCs w:val="24"/>
        </w:rPr>
        <w:t>Parkinson’s Disease: Hope Through Research</w:t>
      </w:r>
      <w:r w:rsidRPr="00BE0901">
        <w:rPr>
          <w:rFonts w:ascii="Times New Roman" w:hAnsi="Times New Roman" w:cs="Times New Roman"/>
          <w:color w:val="auto"/>
          <w:sz w:val="24"/>
          <w:szCs w:val="24"/>
        </w:rPr>
        <w:t>. Available at: https://www.ninds.nih.gov (Accessed: 8 September 2025).</w:t>
      </w:r>
    </w:p>
    <w:p w14:paraId="6CABB01A"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BE0901">
        <w:rPr>
          <w:rFonts w:ascii="Times New Roman" w:hAnsi="Times New Roman" w:cs="Times New Roman"/>
          <w:color w:val="auto"/>
          <w:sz w:val="24"/>
          <w:szCs w:val="24"/>
        </w:rPr>
        <w:t>NeuroLaunch</w:t>
      </w:r>
      <w:proofErr w:type="spellEnd"/>
      <w:r w:rsidRPr="00BE0901">
        <w:rPr>
          <w:rFonts w:ascii="Times New Roman" w:hAnsi="Times New Roman" w:cs="Times New Roman"/>
          <w:color w:val="auto"/>
          <w:sz w:val="24"/>
          <w:szCs w:val="24"/>
        </w:rPr>
        <w:t xml:space="preserve"> (2024) </w:t>
      </w:r>
      <w:r w:rsidRPr="00BE0901">
        <w:rPr>
          <w:rFonts w:ascii="Times New Roman" w:hAnsi="Times New Roman" w:cs="Times New Roman"/>
          <w:i/>
          <w:iCs/>
          <w:color w:val="auto"/>
          <w:sz w:val="24"/>
          <w:szCs w:val="24"/>
        </w:rPr>
        <w:t>Therapeutic Deception in Healthcare: Ethics and Implications</w:t>
      </w:r>
      <w:r w:rsidRPr="00BE0901">
        <w:rPr>
          <w:rFonts w:ascii="Times New Roman" w:hAnsi="Times New Roman" w:cs="Times New Roman"/>
          <w:color w:val="auto"/>
          <w:sz w:val="24"/>
          <w:szCs w:val="24"/>
        </w:rPr>
        <w:t>. Available at: https://neurolaunch.com/therapeutic-deception (Accessed: 24 September 2025).</w:t>
      </w:r>
    </w:p>
    <w:p w14:paraId="118FC312"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OECD (2024) </w:t>
      </w:r>
      <w:r w:rsidRPr="00BE0901">
        <w:rPr>
          <w:rFonts w:ascii="Times New Roman" w:hAnsi="Times New Roman" w:cs="Times New Roman"/>
          <w:i/>
          <w:iCs/>
          <w:color w:val="auto"/>
          <w:sz w:val="24"/>
          <w:szCs w:val="24"/>
        </w:rPr>
        <w:t>Regional Governance and Public Investment in Wales, United Kingdom: Moving Forward Together</w:t>
      </w:r>
      <w:r w:rsidRPr="00BE0901">
        <w:rPr>
          <w:rFonts w:ascii="Times New Roman" w:hAnsi="Times New Roman" w:cs="Times New Roman"/>
          <w:color w:val="auto"/>
          <w:sz w:val="24"/>
          <w:szCs w:val="24"/>
        </w:rPr>
        <w:t>. OECD Multi-level Governance Studies. Paris: OECD Publishing. Available at: https://www.gov.wales/sites/default/files/publications/2024-04/oecd-multi-level-governance-review-moving-forward-together.pdf [Accessed 6 Sep. 2025].</w:t>
      </w:r>
    </w:p>
    <w:p w14:paraId="533B4A0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O'Loughlin, M. and O'Loughlin, S. (2019) </w:t>
      </w:r>
      <w:r w:rsidRPr="00BE0901">
        <w:rPr>
          <w:rFonts w:ascii="Times New Roman" w:hAnsi="Times New Roman" w:cs="Times New Roman"/>
          <w:i/>
          <w:iCs/>
          <w:color w:val="auto"/>
          <w:sz w:val="24"/>
          <w:szCs w:val="24"/>
        </w:rPr>
        <w:t>Effective observation in social work practice</w:t>
      </w:r>
      <w:r w:rsidRPr="00BE0901">
        <w:rPr>
          <w:rFonts w:ascii="Times New Roman" w:hAnsi="Times New Roman" w:cs="Times New Roman"/>
          <w:color w:val="auto"/>
          <w:sz w:val="24"/>
          <w:szCs w:val="24"/>
        </w:rPr>
        <w:t>. London: SAGE Publications. Available at: https://sk.sagepub.com/book/mono/preview/effective-observation-in-social-work-practice.pdf</w:t>
      </w:r>
    </w:p>
    <w:p w14:paraId="2494BDA0"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Pascoe, K.M. (2022) ‘Remote service delivery during the COVID-19 pandemic: Questioning the impact of technology on relationship-based social work practice’, </w:t>
      </w:r>
      <w:r w:rsidRPr="00BE0901">
        <w:rPr>
          <w:rFonts w:ascii="Times New Roman" w:hAnsi="Times New Roman" w:cs="Times New Roman"/>
          <w:i/>
          <w:iCs/>
          <w:color w:val="auto"/>
          <w:sz w:val="24"/>
          <w:szCs w:val="24"/>
        </w:rPr>
        <w:t>The British Journal of Social Work</w:t>
      </w:r>
      <w:r w:rsidRPr="00BE0901">
        <w:rPr>
          <w:rFonts w:ascii="Times New Roman" w:hAnsi="Times New Roman" w:cs="Times New Roman"/>
          <w:color w:val="auto"/>
          <w:sz w:val="24"/>
          <w:szCs w:val="24"/>
        </w:rPr>
        <w:t>, 52(6), pp. 3268–3287. doi: https://doi.org/10.1093/bjsw/bcab242</w:t>
      </w:r>
    </w:p>
    <w:p w14:paraId="793B61F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Pascoe, K.M. (2025) ‘Four expressions of power: A framework for qualitative social work research’, </w:t>
      </w:r>
      <w:r w:rsidRPr="00BE0901">
        <w:rPr>
          <w:rFonts w:ascii="Times New Roman" w:hAnsi="Times New Roman" w:cs="Times New Roman"/>
          <w:i/>
          <w:iCs/>
          <w:color w:val="auto"/>
          <w:sz w:val="24"/>
          <w:szCs w:val="24"/>
        </w:rPr>
        <w:t>Journal of Social Work Inquiry</w:t>
      </w:r>
      <w:r w:rsidRPr="00BE0901">
        <w:rPr>
          <w:rFonts w:ascii="Times New Roman" w:hAnsi="Times New Roman" w:cs="Times New Roman"/>
          <w:color w:val="auto"/>
          <w:sz w:val="24"/>
          <w:szCs w:val="24"/>
        </w:rPr>
        <w:t>, 18(2), pp. 112–130. doi: https://doi.org/10.xxxx/jswi.2025.01802</w:t>
      </w:r>
    </w:p>
    <w:p w14:paraId="762B0FF5"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Pazer, S. (2024) ‘Digitalization in Social Work: Opportunities and Challenges for Practitioners’, </w:t>
      </w:r>
      <w:r w:rsidRPr="00BE0901">
        <w:rPr>
          <w:rFonts w:ascii="Times New Roman" w:hAnsi="Times New Roman" w:cs="Times New Roman"/>
          <w:i/>
          <w:iCs/>
          <w:color w:val="auto"/>
          <w:sz w:val="24"/>
          <w:szCs w:val="24"/>
        </w:rPr>
        <w:t>International Journal of Research Publication and Reviews</w:t>
      </w:r>
      <w:r w:rsidRPr="00BE0901">
        <w:rPr>
          <w:rFonts w:ascii="Times New Roman" w:hAnsi="Times New Roman" w:cs="Times New Roman"/>
          <w:color w:val="auto"/>
          <w:sz w:val="24"/>
          <w:szCs w:val="24"/>
        </w:rPr>
        <w:t>.</w:t>
      </w:r>
    </w:p>
    <w:p w14:paraId="6D101D51"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Phillips, J., Ainslie, S., Fowler, S. and Westaby, C. (2021) ‘“What does professional curiosity mean to you?”: An exploration of professional curiosity in probation’, </w:t>
      </w:r>
      <w:r w:rsidRPr="00BE0901">
        <w:rPr>
          <w:rFonts w:ascii="Times New Roman" w:hAnsi="Times New Roman" w:cs="Times New Roman"/>
          <w:i/>
          <w:iCs/>
          <w:color w:val="auto"/>
          <w:sz w:val="24"/>
          <w:szCs w:val="24"/>
        </w:rPr>
        <w:t>The British Journal of Social Work</w:t>
      </w:r>
      <w:r w:rsidRPr="00BE0901">
        <w:rPr>
          <w:rFonts w:ascii="Times New Roman" w:hAnsi="Times New Roman" w:cs="Times New Roman"/>
          <w:color w:val="auto"/>
          <w:sz w:val="24"/>
          <w:szCs w:val="24"/>
        </w:rPr>
        <w:t>, bcab019. https://academic.oup.com/bjsw/advance-article-abstract/doi/10.1093/bjsw/bcab019/61</w:t>
      </w:r>
    </w:p>
    <w:p w14:paraId="1E419B3F"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Prillinger, K., Goreis, A., Macura, S., Hajek Gross, C., Lozar, A., Fanninger, S., Mayer, A., Oppenauer, C., Plener, P.L. and Kothgassner, O.D. (2024) ‘A systematic review and meta-analysis on the efficacy of dialectical behaviour therapy variants for the treatment of post-traumatic stress disorder’, </w:t>
      </w:r>
      <w:r w:rsidRPr="00BE0901">
        <w:rPr>
          <w:rFonts w:ascii="Times New Roman" w:hAnsi="Times New Roman" w:cs="Times New Roman"/>
          <w:i/>
          <w:iCs/>
          <w:color w:val="auto"/>
          <w:sz w:val="24"/>
          <w:szCs w:val="24"/>
        </w:rPr>
        <w:t>European Journal of Psychotraumatology</w:t>
      </w:r>
      <w:r w:rsidRPr="00BE0901">
        <w:rPr>
          <w:rFonts w:ascii="Times New Roman" w:hAnsi="Times New Roman" w:cs="Times New Roman"/>
          <w:color w:val="auto"/>
          <w:sz w:val="24"/>
          <w:szCs w:val="24"/>
        </w:rPr>
        <w:t>, 15(1), p. 2406662.</w:t>
      </w:r>
    </w:p>
    <w:p w14:paraId="55ED8C3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lastRenderedPageBreak/>
        <w:t xml:space="preserve">Public Health Wales (2025) </w:t>
      </w:r>
      <w:r w:rsidRPr="00BE0901">
        <w:rPr>
          <w:rFonts w:ascii="Times New Roman" w:hAnsi="Times New Roman" w:cs="Times New Roman"/>
          <w:i/>
          <w:iCs/>
          <w:color w:val="auto"/>
          <w:sz w:val="24"/>
          <w:szCs w:val="24"/>
        </w:rPr>
        <w:t>Survey reveals decline in physical and mental health in Wales</w:t>
      </w:r>
      <w:r w:rsidRPr="00BE0901">
        <w:rPr>
          <w:rFonts w:ascii="Times New Roman" w:hAnsi="Times New Roman" w:cs="Times New Roman"/>
          <w:color w:val="auto"/>
          <w:sz w:val="24"/>
          <w:szCs w:val="24"/>
        </w:rPr>
        <w:t>. Available at: https://phw.nhs.wales/news/survey-reveals-decline-in-physical-and-mental-health-in-wales (Accessed: 8 September 2025).</w:t>
      </w:r>
    </w:p>
    <w:p w14:paraId="1529DD86"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Pulman, A. and Fenge, L.-A. (2024) ‘The evolving workplace: The possible impacts of hybrid working and hotdesking on retention of social workers’, </w:t>
      </w:r>
      <w:r w:rsidRPr="00BE0901">
        <w:rPr>
          <w:rFonts w:ascii="Times New Roman" w:hAnsi="Times New Roman" w:cs="Times New Roman"/>
          <w:i/>
          <w:iCs/>
          <w:color w:val="auto"/>
          <w:sz w:val="24"/>
          <w:szCs w:val="24"/>
        </w:rPr>
        <w:t>The British Journal of Social Work</w:t>
      </w:r>
      <w:r w:rsidRPr="00BE0901">
        <w:rPr>
          <w:rFonts w:ascii="Times New Roman" w:hAnsi="Times New Roman" w:cs="Times New Roman"/>
          <w:color w:val="auto"/>
          <w:sz w:val="24"/>
          <w:szCs w:val="24"/>
        </w:rPr>
        <w:t>, 54(8), pp. 3755–3772. doi: https://doi.org/10.1093/bjsw/bcae120</w:t>
      </w:r>
    </w:p>
    <w:p w14:paraId="02241D99"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Quality Care Group (2025) ‘UK social care sector at breaking point: funding and workforce crisis’. Available at: The Social Care Workforce Crisis in 2025: Challenges, Failures, and a Path Forward | Quality Care Group News [Accessed 11 Sep. 2025].</w:t>
      </w:r>
    </w:p>
    <w:p w14:paraId="3E9027BC"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Quinn, J., Prakash, A., Scott, J. and Prakash, A. (2022) ‘Optimising patient care in psychiatry–Focus on forensic psychiatry’, in </w:t>
      </w:r>
      <w:r w:rsidRPr="00BE0901">
        <w:rPr>
          <w:rFonts w:ascii="Times New Roman" w:hAnsi="Times New Roman" w:cs="Times New Roman"/>
          <w:i/>
          <w:iCs/>
          <w:color w:val="auto"/>
          <w:sz w:val="24"/>
          <w:szCs w:val="24"/>
        </w:rPr>
        <w:t>Handbook on Optimizing Patient Care in Psychiatry</w:t>
      </w:r>
      <w:r w:rsidRPr="00BE0901">
        <w:rPr>
          <w:rFonts w:ascii="Times New Roman" w:hAnsi="Times New Roman" w:cs="Times New Roman"/>
          <w:color w:val="auto"/>
          <w:sz w:val="24"/>
          <w:szCs w:val="24"/>
        </w:rPr>
        <w:t>, pp. 421–435.</w:t>
      </w:r>
    </w:p>
    <w:p w14:paraId="3B513722"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Raiefar, M., Hanbidge, A.S., Lorenzini, S.B. and Macgowan, M.J. (2024) ‘Comparative Efficacy of Online vs. Face-to-Face Group Interventions: A Systematic Review’, </w:t>
      </w:r>
      <w:r w:rsidRPr="00BE0901">
        <w:rPr>
          <w:rFonts w:ascii="Times New Roman" w:hAnsi="Times New Roman" w:cs="Times New Roman"/>
          <w:i/>
          <w:iCs/>
          <w:color w:val="auto"/>
          <w:sz w:val="24"/>
          <w:szCs w:val="24"/>
        </w:rPr>
        <w:t>Research on Social Work Practice</w:t>
      </w:r>
      <w:r w:rsidRPr="00BE0901">
        <w:rPr>
          <w:rFonts w:ascii="Times New Roman" w:hAnsi="Times New Roman" w:cs="Times New Roman"/>
          <w:color w:val="auto"/>
          <w:sz w:val="24"/>
          <w:szCs w:val="24"/>
        </w:rPr>
        <w:t>.</w:t>
      </w:r>
    </w:p>
    <w:p w14:paraId="35BCEA0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Reith-Hall, E. and Montgomery, L. (2022) ‘Effective communication skills training in social work education: A systematic review’, </w:t>
      </w:r>
      <w:r w:rsidRPr="00BE0901">
        <w:rPr>
          <w:rFonts w:ascii="Times New Roman" w:hAnsi="Times New Roman" w:cs="Times New Roman"/>
          <w:i/>
          <w:iCs/>
          <w:color w:val="auto"/>
          <w:sz w:val="24"/>
          <w:szCs w:val="24"/>
        </w:rPr>
        <w:t>Social Work Education</w:t>
      </w:r>
      <w:r w:rsidRPr="00BE0901">
        <w:rPr>
          <w:rFonts w:ascii="Times New Roman" w:hAnsi="Times New Roman" w:cs="Times New Roman"/>
          <w:color w:val="auto"/>
          <w:sz w:val="24"/>
          <w:szCs w:val="24"/>
        </w:rPr>
        <w:t>, 41(6), pp. 813–832. doi: https://doi.org/10.1080/02615479.2021.1954833</w:t>
      </w:r>
    </w:p>
    <w:p w14:paraId="2B6B87E8"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Riolo, A., </w:t>
      </w:r>
      <w:proofErr w:type="spellStart"/>
      <w:r w:rsidRPr="00BE0901">
        <w:rPr>
          <w:rFonts w:ascii="Times New Roman" w:hAnsi="Times New Roman" w:cs="Times New Roman"/>
          <w:color w:val="auto"/>
          <w:sz w:val="24"/>
          <w:szCs w:val="24"/>
        </w:rPr>
        <w:t>Babici</w:t>
      </w:r>
      <w:proofErr w:type="spellEnd"/>
      <w:r w:rsidRPr="00BE0901">
        <w:rPr>
          <w:rFonts w:ascii="Times New Roman" w:hAnsi="Times New Roman" w:cs="Times New Roman"/>
          <w:color w:val="auto"/>
          <w:sz w:val="24"/>
          <w:szCs w:val="24"/>
        </w:rPr>
        <w:t xml:space="preserve">, F. and Tassi, F. (2017) ‘Defensive psychiatry. An ethical perspective’, </w:t>
      </w:r>
      <w:r w:rsidRPr="00BE0901">
        <w:rPr>
          <w:rFonts w:ascii="Times New Roman" w:hAnsi="Times New Roman" w:cs="Times New Roman"/>
          <w:i/>
          <w:iCs/>
          <w:color w:val="auto"/>
          <w:sz w:val="24"/>
          <w:szCs w:val="24"/>
        </w:rPr>
        <w:t>European Psychiatry</w:t>
      </w:r>
      <w:r w:rsidRPr="00BE0901">
        <w:rPr>
          <w:rFonts w:ascii="Times New Roman" w:hAnsi="Times New Roman" w:cs="Times New Roman"/>
          <w:color w:val="auto"/>
          <w:sz w:val="24"/>
          <w:szCs w:val="24"/>
        </w:rPr>
        <w:t>, 41(S1), pp. S582–S582. doi: https://doi.org/10.1016/j.eurpsy.2017.01.876</w:t>
      </w:r>
    </w:p>
    <w:p w14:paraId="574995F0"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Rudge, S., Feigenbaum, J.D. and Fonagy, P. (2017) ‘Mechanisms of change in dialectical behaviour therapy and cognitive behaviour therapy for borderline personality disorder: A critical review of the literature’, </w:t>
      </w:r>
      <w:r w:rsidRPr="00BE0901">
        <w:rPr>
          <w:rFonts w:ascii="Times New Roman" w:hAnsi="Times New Roman" w:cs="Times New Roman"/>
          <w:i/>
          <w:iCs/>
          <w:color w:val="auto"/>
          <w:sz w:val="24"/>
          <w:szCs w:val="24"/>
        </w:rPr>
        <w:t>Journal of Mental Health</w:t>
      </w:r>
      <w:r w:rsidRPr="00BE0901">
        <w:rPr>
          <w:rFonts w:ascii="Times New Roman" w:hAnsi="Times New Roman" w:cs="Times New Roman"/>
          <w:color w:val="auto"/>
          <w:sz w:val="24"/>
          <w:szCs w:val="24"/>
        </w:rPr>
        <w:t>, 29(1), pp. 92–102. https://doi.org/10.1080/09638237.2017.1322185</w:t>
      </w:r>
    </w:p>
    <w:p w14:paraId="3D09FD0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Sasson, S. (2000) ‘Beneficence versus Respect for Autonomy: An Ethical Dilemma in Social Work Practice’, </w:t>
      </w:r>
      <w:r w:rsidRPr="00BE0901">
        <w:rPr>
          <w:rFonts w:ascii="Times New Roman" w:hAnsi="Times New Roman" w:cs="Times New Roman"/>
          <w:i/>
          <w:iCs/>
          <w:color w:val="auto"/>
          <w:sz w:val="24"/>
          <w:szCs w:val="24"/>
        </w:rPr>
        <w:t>Journal of Gerontological Social Work</w:t>
      </w:r>
      <w:r w:rsidRPr="00BE0901">
        <w:rPr>
          <w:rFonts w:ascii="Times New Roman" w:hAnsi="Times New Roman" w:cs="Times New Roman"/>
          <w:color w:val="auto"/>
          <w:sz w:val="24"/>
          <w:szCs w:val="24"/>
        </w:rPr>
        <w:t>, 33(1), pp. 5–16. https://doi.org/10.1300/J083v33n01_02</w:t>
      </w:r>
    </w:p>
    <w:p w14:paraId="433D5534"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Sicora, A. (2024) ‘Reflective practice in social work education: Learning from “difficult” experiences in field practice’, in </w:t>
      </w:r>
      <w:r w:rsidRPr="00BE0901">
        <w:rPr>
          <w:rFonts w:ascii="Times New Roman" w:hAnsi="Times New Roman" w:cs="Times New Roman"/>
          <w:i/>
          <w:iCs/>
          <w:color w:val="auto"/>
          <w:sz w:val="24"/>
          <w:szCs w:val="24"/>
        </w:rPr>
        <w:t>The Routledge International Handbook of Social Work Teaching</w:t>
      </w:r>
      <w:r w:rsidRPr="00BE0901">
        <w:rPr>
          <w:rFonts w:ascii="Times New Roman" w:hAnsi="Times New Roman" w:cs="Times New Roman"/>
          <w:color w:val="auto"/>
          <w:sz w:val="24"/>
          <w:szCs w:val="24"/>
        </w:rPr>
        <w:t>, pp. 294–309. London: Routledge.</w:t>
      </w:r>
    </w:p>
    <w:p w14:paraId="22FA8D4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Social Care Institute for Excellence (2023) </w:t>
      </w:r>
      <w:r w:rsidRPr="00BE0901">
        <w:rPr>
          <w:rFonts w:ascii="Times New Roman" w:hAnsi="Times New Roman" w:cs="Times New Roman"/>
          <w:i/>
          <w:iCs/>
          <w:color w:val="auto"/>
          <w:sz w:val="24"/>
          <w:szCs w:val="24"/>
        </w:rPr>
        <w:t>Multidisciplinary teams working for integrated care</w:t>
      </w:r>
      <w:r w:rsidRPr="00BE0901">
        <w:rPr>
          <w:rFonts w:ascii="Times New Roman" w:hAnsi="Times New Roman" w:cs="Times New Roman"/>
          <w:color w:val="auto"/>
          <w:sz w:val="24"/>
          <w:szCs w:val="24"/>
        </w:rPr>
        <w:t>. Available at: https://www.scie.org.uk/integrated-care/working/multidisciplinary-teams</w:t>
      </w:r>
    </w:p>
    <w:p w14:paraId="010B7B8C" w14:textId="77777777" w:rsidR="00BE0901" w:rsidRPr="00BE0901" w:rsidRDefault="00BE0901" w:rsidP="00BE0901">
      <w:pPr>
        <w:overflowPunct/>
        <w:autoSpaceDE/>
        <w:autoSpaceDN/>
        <w:adjustRightInd/>
        <w:jc w:val="both"/>
        <w:textAlignment w:val="auto"/>
        <w:rPr>
          <w:rFonts w:ascii="Calibri" w:eastAsia="Calibri" w:hAnsi="Calibri" w:cs="Times New Roman"/>
          <w:color w:val="auto"/>
          <w:kern w:val="2"/>
          <w:sz w:val="24"/>
          <w:szCs w:val="24"/>
          <w:lang w:eastAsia="en-US"/>
          <w14:ligatures w14:val="standardContextual"/>
        </w:rPr>
      </w:pPr>
      <w:r w:rsidRPr="00BE0901">
        <w:rPr>
          <w:rFonts w:ascii="Calibri" w:eastAsia="Calibri" w:hAnsi="Calibri" w:cs="Times New Roman"/>
          <w:color w:val="auto"/>
          <w:kern w:val="2"/>
          <w:sz w:val="24"/>
          <w:szCs w:val="24"/>
          <w:lang w:eastAsia="en-US"/>
          <w14:ligatures w14:val="standardContextual"/>
        </w:rPr>
        <w:t>Social Care Institute for Excellence (SCIE) (n.d.) </w:t>
      </w:r>
      <w:r w:rsidRPr="00BE0901">
        <w:rPr>
          <w:rFonts w:ascii="Calibri" w:eastAsia="Calibri" w:hAnsi="Calibri" w:cs="Times New Roman"/>
          <w:i/>
          <w:iCs/>
          <w:color w:val="auto"/>
          <w:kern w:val="2"/>
          <w:sz w:val="24"/>
          <w:szCs w:val="24"/>
          <w:lang w:eastAsia="en-US"/>
          <w14:ligatures w14:val="standardContextual"/>
        </w:rPr>
        <w:t>Assessing capacity</w:t>
      </w:r>
      <w:r w:rsidRPr="00BE0901">
        <w:rPr>
          <w:rFonts w:ascii="Calibri" w:eastAsia="Calibri" w:hAnsi="Calibri" w:cs="Times New Roman"/>
          <w:color w:val="auto"/>
          <w:kern w:val="2"/>
          <w:sz w:val="24"/>
          <w:szCs w:val="24"/>
          <w:lang w:eastAsia="en-US"/>
          <w14:ligatures w14:val="standardContextual"/>
        </w:rPr>
        <w:t>. Available at: </w:t>
      </w:r>
      <w:hyperlink r:id="rId14" w:tgtFrame="_blank" w:history="1">
        <w:r w:rsidRPr="00BE0901">
          <w:rPr>
            <w:rFonts w:ascii="Calibri" w:eastAsia="Calibri" w:hAnsi="Calibri" w:cs="Times New Roman"/>
            <w:color w:val="0000FF"/>
            <w:kern w:val="2"/>
            <w:sz w:val="24"/>
            <w:szCs w:val="24"/>
            <w:u w:val="single"/>
            <w:lang w:eastAsia="en-US"/>
            <w14:ligatures w14:val="standardContextual"/>
          </w:rPr>
          <w:t>https://www.scie.org.uk/mca/practice/assessing-capacity/</w:t>
        </w:r>
      </w:hyperlink>
      <w:r w:rsidRPr="00BE0901">
        <w:rPr>
          <w:rFonts w:ascii="Calibri" w:eastAsia="Calibri" w:hAnsi="Calibri" w:cs="Times New Roman"/>
          <w:color w:val="auto"/>
          <w:kern w:val="2"/>
          <w:sz w:val="24"/>
          <w:szCs w:val="24"/>
          <w:lang w:eastAsia="en-US"/>
          <w14:ligatures w14:val="standardContextual"/>
        </w:rPr>
        <w:t> (Accessed: 15 September 2025).</w:t>
      </w:r>
    </w:p>
    <w:p w14:paraId="308F62A8"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Social Care Wales (2011) </w:t>
      </w:r>
      <w:r w:rsidRPr="00BE0901">
        <w:rPr>
          <w:rFonts w:ascii="Times New Roman" w:hAnsi="Times New Roman" w:cs="Times New Roman"/>
          <w:i/>
          <w:iCs/>
          <w:color w:val="auto"/>
          <w:sz w:val="24"/>
          <w:szCs w:val="24"/>
        </w:rPr>
        <w:t>National Occupational Standards for Social Work</w:t>
      </w:r>
      <w:r w:rsidRPr="00BE0901">
        <w:rPr>
          <w:rFonts w:ascii="Times New Roman" w:hAnsi="Times New Roman" w:cs="Times New Roman"/>
          <w:color w:val="auto"/>
          <w:sz w:val="24"/>
          <w:szCs w:val="24"/>
        </w:rPr>
        <w:t>. Available at: https://socialcare.wales/nos-areas/social-work (Accessed: 10 September 2025).</w:t>
      </w:r>
    </w:p>
    <w:p w14:paraId="07C894B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Social Care Wales (2017) </w:t>
      </w:r>
      <w:r w:rsidRPr="00BE0901">
        <w:rPr>
          <w:rFonts w:ascii="Times New Roman" w:hAnsi="Times New Roman" w:cs="Times New Roman"/>
          <w:i/>
          <w:iCs/>
          <w:color w:val="auto"/>
          <w:sz w:val="24"/>
          <w:szCs w:val="24"/>
        </w:rPr>
        <w:t>Code of professional practice for social care</w:t>
      </w:r>
      <w:r w:rsidRPr="00BE0901">
        <w:rPr>
          <w:rFonts w:ascii="Times New Roman" w:hAnsi="Times New Roman" w:cs="Times New Roman"/>
          <w:color w:val="auto"/>
          <w:sz w:val="24"/>
          <w:szCs w:val="24"/>
        </w:rPr>
        <w:t>. Available at: https://socialcare.wales/cms_assets/file-uploads/Code-of-Professional-Practice-for-Social-Care.pdf</w:t>
      </w:r>
    </w:p>
    <w:p w14:paraId="34FEBD23"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lastRenderedPageBreak/>
        <w:t xml:space="preserve">Social Care Wales (2019) </w:t>
      </w:r>
      <w:r w:rsidRPr="00BE0901">
        <w:rPr>
          <w:rFonts w:ascii="Times New Roman" w:hAnsi="Times New Roman" w:cs="Times New Roman"/>
          <w:i/>
          <w:iCs/>
          <w:color w:val="auto"/>
          <w:sz w:val="24"/>
          <w:szCs w:val="24"/>
        </w:rPr>
        <w:t>Wales safeguarding procedures (Version 2.2.2)</w:t>
      </w:r>
      <w:r w:rsidRPr="00BE0901">
        <w:rPr>
          <w:rFonts w:ascii="Times New Roman" w:hAnsi="Times New Roman" w:cs="Times New Roman"/>
          <w:color w:val="auto"/>
          <w:sz w:val="24"/>
          <w:szCs w:val="24"/>
        </w:rPr>
        <w:t xml:space="preserve"> [Mobile app]. Google Play Store. Available at: https://play.google.com/store/apps/details?id=com.socialcarewales.safeguarding (Accessed: 8 September 2025).</w:t>
      </w:r>
    </w:p>
    <w:p w14:paraId="2BAAB8D4" w14:textId="77777777" w:rsidR="00BE0901" w:rsidRPr="00BE0901" w:rsidRDefault="00BE0901" w:rsidP="00BE0901">
      <w:pPr>
        <w:overflowPunct/>
        <w:autoSpaceDE/>
        <w:autoSpaceDN/>
        <w:adjustRightInd/>
        <w:spacing w:after="200" w:line="276" w:lineRule="auto"/>
        <w:textAlignment w:val="auto"/>
        <w:rPr>
          <w:rFonts w:ascii="Calibri" w:eastAsia="MS Mincho" w:hAnsi="Calibri" w:cs="Times New Roman"/>
          <w:color w:val="auto"/>
          <w:kern w:val="2"/>
          <w:sz w:val="24"/>
          <w:szCs w:val="24"/>
          <w:lang w:eastAsia="en-US"/>
          <w14:ligatures w14:val="standardContextual"/>
        </w:rPr>
      </w:pPr>
      <w:r w:rsidRPr="00BE0901">
        <w:rPr>
          <w:rFonts w:ascii="Calibri" w:eastAsia="MS Mincho" w:hAnsi="Calibri" w:cs="Times New Roman"/>
          <w:color w:val="auto"/>
          <w:kern w:val="2"/>
          <w:sz w:val="24"/>
          <w:szCs w:val="24"/>
          <w:lang w:eastAsia="en-US"/>
          <w14:ligatures w14:val="standardContextual"/>
        </w:rPr>
        <w:t>Social Care Wales (2025) </w:t>
      </w:r>
      <w:r w:rsidRPr="00BE0901">
        <w:rPr>
          <w:rFonts w:ascii="Calibri" w:eastAsia="MS Mincho" w:hAnsi="Calibri" w:cs="Times New Roman"/>
          <w:i/>
          <w:iCs/>
          <w:color w:val="auto"/>
          <w:kern w:val="2"/>
          <w:sz w:val="24"/>
          <w:szCs w:val="24"/>
          <w:lang w:eastAsia="en-US"/>
          <w14:ligatures w14:val="standardContextual"/>
        </w:rPr>
        <w:t>Overview of the Social Services and Well-being (Wales) Act 2014</w:t>
      </w:r>
      <w:r w:rsidRPr="00BE0901">
        <w:rPr>
          <w:rFonts w:ascii="Calibri" w:eastAsia="MS Mincho" w:hAnsi="Calibri" w:cs="Times New Roman"/>
          <w:color w:val="auto"/>
          <w:kern w:val="2"/>
          <w:sz w:val="24"/>
          <w:szCs w:val="24"/>
          <w:lang w:eastAsia="en-US"/>
          <w14:ligatures w14:val="standardContextual"/>
        </w:rPr>
        <w:t>. Available at: </w:t>
      </w:r>
      <w:hyperlink r:id="rId15" w:tgtFrame="_blank" w:history="1">
        <w:r w:rsidRPr="00BE0901">
          <w:rPr>
            <w:rFonts w:ascii="Calibri" w:eastAsia="MS Mincho" w:hAnsi="Calibri" w:cs="Times New Roman"/>
            <w:color w:val="0000FF"/>
            <w:kern w:val="2"/>
            <w:sz w:val="24"/>
            <w:szCs w:val="24"/>
            <w:u w:val="single"/>
            <w:lang w:eastAsia="en-US"/>
            <w14:ligatures w14:val="standardContextual"/>
          </w:rPr>
          <w:t>https://socialcare.wales/resources-guidance/information-and-learning-hub/sswbact/overview</w:t>
        </w:r>
      </w:hyperlink>
      <w:r w:rsidRPr="00BE0901">
        <w:rPr>
          <w:rFonts w:ascii="Calibri" w:eastAsia="MS Mincho" w:hAnsi="Calibri" w:cs="Times New Roman"/>
          <w:color w:val="auto"/>
          <w:kern w:val="2"/>
          <w:sz w:val="24"/>
          <w:szCs w:val="24"/>
          <w:lang w:eastAsia="en-US"/>
          <w14:ligatures w14:val="standardContextual"/>
        </w:rPr>
        <w:t> (Accessed: 17 September 2025).</w:t>
      </w:r>
    </w:p>
    <w:p w14:paraId="4F815553"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Social Care Wales and Urban Foresight (2024) ‘Attracting and retaining workers in social care: barriers and solutions’. Available at: Challenges-and-Priorities-for-Health-and-Social-Care-Wales-Briefing-Note-1.pdf [Accessed 11 Sep. 2025].</w:t>
      </w:r>
    </w:p>
    <w:p w14:paraId="2FB32B1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Social Services and Well-being (Wales) Act 2014. </w:t>
      </w:r>
      <w:r w:rsidRPr="00BE0901">
        <w:rPr>
          <w:rFonts w:ascii="Times New Roman" w:hAnsi="Times New Roman" w:cs="Times New Roman"/>
          <w:i/>
          <w:iCs/>
          <w:color w:val="auto"/>
          <w:sz w:val="24"/>
          <w:szCs w:val="24"/>
        </w:rPr>
        <w:t>The Essentials</w:t>
      </w:r>
      <w:r w:rsidRPr="00BE0901">
        <w:rPr>
          <w:rFonts w:ascii="Times New Roman" w:hAnsi="Times New Roman" w:cs="Times New Roman"/>
          <w:color w:val="auto"/>
          <w:sz w:val="24"/>
          <w:szCs w:val="24"/>
        </w:rPr>
        <w:t>. Available at: https://www.gov.wales/sites/default/files/publications/2019-05/social-services-and-well-being-wales-act-2014-the-essentials.pdf (Accessed: 26 September 2025).</w:t>
      </w:r>
    </w:p>
    <w:p w14:paraId="078973C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Social Work Portal (2025) </w:t>
      </w:r>
      <w:r w:rsidRPr="00BE0901">
        <w:rPr>
          <w:rFonts w:ascii="Times New Roman" w:hAnsi="Times New Roman" w:cs="Times New Roman"/>
          <w:i/>
          <w:iCs/>
          <w:color w:val="auto"/>
          <w:sz w:val="24"/>
          <w:szCs w:val="24"/>
        </w:rPr>
        <w:t>Anti-oppressive practice: A guide for social workers</w:t>
      </w:r>
      <w:r w:rsidRPr="00BE0901">
        <w:rPr>
          <w:rFonts w:ascii="Times New Roman" w:hAnsi="Times New Roman" w:cs="Times New Roman"/>
          <w:color w:val="auto"/>
          <w:sz w:val="24"/>
          <w:szCs w:val="24"/>
        </w:rPr>
        <w:t>. Available at: https://www.socialworkportal.com/anti-oppressive-practice-guide</w:t>
      </w:r>
    </w:p>
    <w:p w14:paraId="3F2BE313"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Storey, A. (2023) </w:t>
      </w:r>
      <w:r w:rsidRPr="00BE0901">
        <w:rPr>
          <w:rFonts w:ascii="Times New Roman" w:hAnsi="Times New Roman" w:cs="Times New Roman"/>
          <w:i/>
          <w:iCs/>
          <w:color w:val="auto"/>
          <w:sz w:val="24"/>
          <w:szCs w:val="24"/>
        </w:rPr>
        <w:t>Profile of the older population living in England and Wales in 2021 and changes since 2011</w:t>
      </w:r>
      <w:r w:rsidRPr="00BE0901">
        <w:rPr>
          <w:rFonts w:ascii="Times New Roman" w:hAnsi="Times New Roman" w:cs="Times New Roman"/>
          <w:color w:val="auto"/>
          <w:sz w:val="24"/>
          <w:szCs w:val="24"/>
        </w:rPr>
        <w:t>. London: Office for National Statistics.</w:t>
      </w:r>
    </w:p>
    <w:p w14:paraId="11B32FD0"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Sustrans Cymru (2022) ‘People in Wales facing transport poverty reality, says Sustrans report’. Available at: https://www.sustrans.org.uk/media-centre/news/people-in-wales-facing-transport-poverty-reality-says-sustrans-report</w:t>
      </w:r>
    </w:p>
    <w:p w14:paraId="223E0539"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Tamworth, M., Billings, J., Tekin, S., Pitman, A., Jacobson, J. and </w:t>
      </w:r>
      <w:proofErr w:type="spellStart"/>
      <w:r w:rsidRPr="00BE0901">
        <w:rPr>
          <w:rFonts w:ascii="Times New Roman" w:hAnsi="Times New Roman" w:cs="Times New Roman"/>
          <w:color w:val="auto"/>
          <w:sz w:val="24"/>
          <w:szCs w:val="24"/>
        </w:rPr>
        <w:t>Killaspy</w:t>
      </w:r>
      <w:proofErr w:type="spellEnd"/>
      <w:r w:rsidRPr="00BE0901">
        <w:rPr>
          <w:rFonts w:ascii="Times New Roman" w:hAnsi="Times New Roman" w:cs="Times New Roman"/>
          <w:color w:val="auto"/>
          <w:sz w:val="24"/>
          <w:szCs w:val="24"/>
        </w:rPr>
        <w:t xml:space="preserve">, H. (2025) ‘A systematic review and critique of publicly available guidance for mental health practitioners called to a coroner’s inquest’, </w:t>
      </w:r>
      <w:r w:rsidRPr="00BE0901">
        <w:rPr>
          <w:rFonts w:ascii="Times New Roman" w:hAnsi="Times New Roman" w:cs="Times New Roman"/>
          <w:i/>
          <w:iCs/>
          <w:color w:val="auto"/>
          <w:sz w:val="24"/>
          <w:szCs w:val="24"/>
        </w:rPr>
        <w:t>Psychiatry, Psychology and Law</w:t>
      </w:r>
      <w:r w:rsidRPr="00BE0901">
        <w:rPr>
          <w:rFonts w:ascii="Times New Roman" w:hAnsi="Times New Roman" w:cs="Times New Roman"/>
          <w:color w:val="auto"/>
          <w:sz w:val="24"/>
          <w:szCs w:val="24"/>
        </w:rPr>
        <w:t>, pp. 1–36.</w:t>
      </w:r>
    </w:p>
    <w:p w14:paraId="405B1A33"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BE0901">
        <w:rPr>
          <w:rFonts w:ascii="Times New Roman" w:hAnsi="Times New Roman" w:cs="Times New Roman"/>
          <w:color w:val="auto"/>
          <w:sz w:val="24"/>
          <w:szCs w:val="24"/>
        </w:rPr>
        <w:t>Tedam</w:t>
      </w:r>
      <w:proofErr w:type="spellEnd"/>
      <w:r w:rsidRPr="00BE0901">
        <w:rPr>
          <w:rFonts w:ascii="Times New Roman" w:hAnsi="Times New Roman" w:cs="Times New Roman"/>
          <w:color w:val="auto"/>
          <w:sz w:val="24"/>
          <w:szCs w:val="24"/>
        </w:rPr>
        <w:t xml:space="preserve">, P. (2021) ‘To Shield or Not to Shield? Black African Social Workers’ Experiences during COVID-19 in England’, </w:t>
      </w:r>
      <w:r w:rsidRPr="00BE0901">
        <w:rPr>
          <w:rFonts w:ascii="Times New Roman" w:hAnsi="Times New Roman" w:cs="Times New Roman"/>
          <w:i/>
          <w:iCs/>
          <w:color w:val="auto"/>
          <w:sz w:val="24"/>
          <w:szCs w:val="24"/>
        </w:rPr>
        <w:t>British Journal of Social Work</w:t>
      </w:r>
      <w:r w:rsidRPr="00BE0901">
        <w:rPr>
          <w:rFonts w:ascii="Times New Roman" w:hAnsi="Times New Roman" w:cs="Times New Roman"/>
          <w:color w:val="auto"/>
          <w:sz w:val="24"/>
          <w:szCs w:val="24"/>
        </w:rPr>
        <w:t>, 51(5), pp. 1720–1738. https://doi.org/10.1093/bjsw/bcab107 (Accessed: 11 September 2025).</w:t>
      </w:r>
    </w:p>
    <w:p w14:paraId="0208DCB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UK Care Guide (2025) </w:t>
      </w:r>
      <w:r w:rsidRPr="00BE0901">
        <w:rPr>
          <w:rFonts w:ascii="Times New Roman" w:hAnsi="Times New Roman" w:cs="Times New Roman"/>
          <w:i/>
          <w:iCs/>
          <w:color w:val="auto"/>
          <w:sz w:val="24"/>
          <w:szCs w:val="24"/>
        </w:rPr>
        <w:t xml:space="preserve">Live In Carer Costs – How To Find </w:t>
      </w:r>
      <w:proofErr w:type="gramStart"/>
      <w:r w:rsidRPr="00BE0901">
        <w:rPr>
          <w:rFonts w:ascii="Times New Roman" w:hAnsi="Times New Roman" w:cs="Times New Roman"/>
          <w:i/>
          <w:iCs/>
          <w:color w:val="auto"/>
          <w:sz w:val="24"/>
          <w:szCs w:val="24"/>
        </w:rPr>
        <w:t>24 Hour Live In</w:t>
      </w:r>
      <w:proofErr w:type="gramEnd"/>
      <w:r w:rsidRPr="00BE0901">
        <w:rPr>
          <w:rFonts w:ascii="Times New Roman" w:hAnsi="Times New Roman" w:cs="Times New Roman"/>
          <w:i/>
          <w:iCs/>
          <w:color w:val="auto"/>
          <w:sz w:val="24"/>
          <w:szCs w:val="24"/>
        </w:rPr>
        <w:t xml:space="preserve"> Care In September 2025</w:t>
      </w:r>
      <w:r w:rsidRPr="00BE0901">
        <w:rPr>
          <w:rFonts w:ascii="Times New Roman" w:hAnsi="Times New Roman" w:cs="Times New Roman"/>
          <w:color w:val="auto"/>
          <w:sz w:val="24"/>
          <w:szCs w:val="24"/>
        </w:rPr>
        <w:t>. Available at: https://www.ukcareguide.co.uk/live-in-carer-costs (Accessed: 8 September 2025).</w:t>
      </w:r>
    </w:p>
    <w:p w14:paraId="2908F9B5" w14:textId="77777777" w:rsidR="00BE0901" w:rsidRPr="00BE0901" w:rsidRDefault="00BE0901" w:rsidP="00BE0901">
      <w:pPr>
        <w:overflowPunct/>
        <w:autoSpaceDE/>
        <w:autoSpaceDN/>
        <w:adjustRightInd/>
        <w:spacing w:after="200" w:line="276" w:lineRule="auto"/>
        <w:textAlignment w:val="auto"/>
        <w:rPr>
          <w:rFonts w:ascii="Calibri" w:eastAsia="MS Mincho" w:hAnsi="Calibri" w:cs="Times New Roman"/>
          <w:color w:val="auto"/>
          <w:kern w:val="2"/>
          <w:sz w:val="24"/>
          <w:szCs w:val="24"/>
          <w:lang w:val="en-US" w:eastAsia="en-US"/>
          <w14:ligatures w14:val="standardContextual"/>
        </w:rPr>
      </w:pPr>
      <w:r w:rsidRPr="00BE0901">
        <w:rPr>
          <w:rFonts w:ascii="Calibri" w:eastAsia="MS Mincho" w:hAnsi="Calibri" w:cs="Times New Roman"/>
          <w:color w:val="auto"/>
          <w:kern w:val="2"/>
          <w:sz w:val="24"/>
          <w:szCs w:val="24"/>
          <w:lang w:val="en-US" w:eastAsia="en-US"/>
          <w14:ligatures w14:val="standardContextual"/>
        </w:rPr>
        <w:t>United Nations (1989) Convention on the Rights of the Child. Treaty no. 27531. United Nations Treaty Series, 1577, pp. 3–178. Available at: https://treaties.un.org/doc/Treaties/1990/09/19900902%2003-14%20AM/Ch_IV_11p.pdf (Accessed: 17 September 2025).</w:t>
      </w:r>
    </w:p>
    <w:p w14:paraId="58604D53"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Wales Centre for Public Policy (2023) ‘Social care in Wales: workforce challenges and funding pressures’. Available at: Social care workforce crisis in Wales: what is causing it and what is being done to fix it? | WCPP [Accessed 11 Sep. 2025].</w:t>
      </w:r>
    </w:p>
    <w:p w14:paraId="01835F52"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Well-being of Future Generations (Wales) Act 2015. </w:t>
      </w:r>
      <w:r w:rsidRPr="00BE0901">
        <w:rPr>
          <w:rFonts w:ascii="Times New Roman" w:hAnsi="Times New Roman" w:cs="Times New Roman"/>
          <w:i/>
          <w:iCs/>
          <w:color w:val="auto"/>
          <w:sz w:val="24"/>
          <w:szCs w:val="24"/>
        </w:rPr>
        <w:t>The Essentials</w:t>
      </w:r>
      <w:r w:rsidRPr="00BE0901">
        <w:rPr>
          <w:rFonts w:ascii="Times New Roman" w:hAnsi="Times New Roman" w:cs="Times New Roman"/>
          <w:color w:val="auto"/>
          <w:sz w:val="24"/>
          <w:szCs w:val="24"/>
        </w:rPr>
        <w:t>. Available at: https://www.gov.wales/well-being-future-generations-act-essentials-html (Accessed: 26 September 2025).</w:t>
      </w:r>
    </w:p>
    <w:p w14:paraId="27EC6B10"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lastRenderedPageBreak/>
        <w:t xml:space="preserve">Welsh Government (2010) </w:t>
      </w:r>
      <w:r w:rsidRPr="00BE0901">
        <w:rPr>
          <w:rFonts w:ascii="Times New Roman" w:hAnsi="Times New Roman" w:cs="Times New Roman"/>
          <w:i/>
          <w:iCs/>
          <w:color w:val="auto"/>
          <w:sz w:val="24"/>
          <w:szCs w:val="24"/>
        </w:rPr>
        <w:t>Mental Health (Wales) Measure 2010</w:t>
      </w:r>
      <w:r w:rsidRPr="00BE0901">
        <w:rPr>
          <w:rFonts w:ascii="Times New Roman" w:hAnsi="Times New Roman" w:cs="Times New Roman"/>
          <w:color w:val="auto"/>
          <w:sz w:val="24"/>
          <w:szCs w:val="24"/>
        </w:rPr>
        <w:t>. Available at: https://www.legislation.gov.uk/mwa/2010/7/contents [Accessed: 14 Sep. 2025]</w:t>
      </w:r>
    </w:p>
    <w:p w14:paraId="33D406FA" w14:textId="77777777" w:rsidR="00BE0901" w:rsidRPr="00BE0901" w:rsidRDefault="00BE0901" w:rsidP="00BE0901">
      <w:pPr>
        <w:overflowPunct/>
        <w:autoSpaceDE/>
        <w:autoSpaceDN/>
        <w:adjustRightInd/>
        <w:spacing w:after="200" w:line="276" w:lineRule="auto"/>
        <w:textAlignment w:val="auto"/>
        <w:rPr>
          <w:rFonts w:ascii="Calibri" w:eastAsia="MS Mincho" w:hAnsi="Calibri" w:cs="Times New Roman"/>
          <w:color w:val="auto"/>
          <w:kern w:val="2"/>
          <w:sz w:val="24"/>
          <w:szCs w:val="24"/>
          <w:lang w:val="en-US" w:eastAsia="en-US"/>
          <w14:ligatures w14:val="standardContextual"/>
        </w:rPr>
      </w:pPr>
      <w:r w:rsidRPr="00BE0901">
        <w:rPr>
          <w:rFonts w:ascii="Calibri" w:eastAsia="MS Mincho" w:hAnsi="Calibri" w:cs="Times New Roman"/>
          <w:color w:val="auto"/>
          <w:kern w:val="2"/>
          <w:sz w:val="24"/>
          <w:szCs w:val="24"/>
          <w:lang w:val="en-US" w:eastAsia="en-US"/>
          <w14:ligatures w14:val="standardContextual"/>
        </w:rPr>
        <w:t>Welsh Government (2011) Welsh Language (Wales) Measure 2011. Available at: https://wcva.cymru/welsh-language-standards/ (Accessed: 17 September 2025).</w:t>
      </w:r>
    </w:p>
    <w:p w14:paraId="681C72B5"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(2012) </w:t>
      </w:r>
      <w:r w:rsidRPr="00BE0901">
        <w:rPr>
          <w:rFonts w:ascii="Times New Roman" w:hAnsi="Times New Roman" w:cs="Times New Roman"/>
          <w:i/>
          <w:iCs/>
          <w:color w:val="auto"/>
          <w:sz w:val="24"/>
          <w:szCs w:val="24"/>
        </w:rPr>
        <w:t>More than just words: Strategic framework for Welsh language services in health, social services and social care</w:t>
      </w:r>
      <w:r w:rsidRPr="00BE0901">
        <w:rPr>
          <w:rFonts w:ascii="Times New Roman" w:hAnsi="Times New Roman" w:cs="Times New Roman"/>
          <w:color w:val="auto"/>
          <w:sz w:val="24"/>
          <w:szCs w:val="24"/>
        </w:rPr>
        <w:t>. Available at: https://gov.wales/sites/default/files/publications/2019-03/more-than-just-words.pdf</w:t>
      </w:r>
    </w:p>
    <w:p w14:paraId="26696FB2"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(2014) </w:t>
      </w:r>
      <w:r w:rsidRPr="00BE0901">
        <w:rPr>
          <w:rFonts w:ascii="Times New Roman" w:hAnsi="Times New Roman" w:cs="Times New Roman"/>
          <w:i/>
          <w:iCs/>
          <w:color w:val="auto"/>
          <w:sz w:val="24"/>
          <w:szCs w:val="24"/>
        </w:rPr>
        <w:t>Social Services and Well-being (Wales) Act 2014</w:t>
      </w:r>
      <w:r w:rsidRPr="00BE0901">
        <w:rPr>
          <w:rFonts w:ascii="Times New Roman" w:hAnsi="Times New Roman" w:cs="Times New Roman"/>
          <w:color w:val="auto"/>
          <w:sz w:val="24"/>
          <w:szCs w:val="24"/>
        </w:rPr>
        <w:t>. Available at: https://www.legislation.gov.uk/anaw/2014/4 [Accessed: 14 Sep. 2025]</w:t>
      </w:r>
    </w:p>
    <w:p w14:paraId="35EECB0B"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(2015) </w:t>
      </w:r>
      <w:r w:rsidRPr="00BE0901">
        <w:rPr>
          <w:rFonts w:ascii="Times New Roman" w:hAnsi="Times New Roman" w:cs="Times New Roman"/>
          <w:i/>
          <w:iCs/>
          <w:color w:val="auto"/>
          <w:sz w:val="24"/>
          <w:szCs w:val="24"/>
        </w:rPr>
        <w:t>Well-being of Future Generations (Wales) Act 2015</w:t>
      </w:r>
      <w:r w:rsidRPr="00BE0901">
        <w:rPr>
          <w:rFonts w:ascii="Times New Roman" w:hAnsi="Times New Roman" w:cs="Times New Roman"/>
          <w:color w:val="auto"/>
          <w:sz w:val="24"/>
          <w:szCs w:val="24"/>
        </w:rPr>
        <w:t>. Available at: https://www.legislation.gov.uk/anaw/2015/2/contents [Accessed: 14 Sep. 2025]</w:t>
      </w:r>
    </w:p>
    <w:p w14:paraId="24F0347F"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(2022) </w:t>
      </w:r>
      <w:r w:rsidRPr="00BE0901">
        <w:rPr>
          <w:rFonts w:ascii="Times New Roman" w:hAnsi="Times New Roman" w:cs="Times New Roman"/>
          <w:i/>
          <w:iCs/>
          <w:color w:val="auto"/>
          <w:sz w:val="24"/>
          <w:szCs w:val="24"/>
        </w:rPr>
        <w:t>Violence Against Women, Domestic Abuse and Sexual Violence: Strategy 2022 to 2026</w:t>
      </w:r>
      <w:r w:rsidRPr="00BE0901">
        <w:rPr>
          <w:rFonts w:ascii="Times New Roman" w:hAnsi="Times New Roman" w:cs="Times New Roman"/>
          <w:color w:val="auto"/>
          <w:sz w:val="24"/>
          <w:szCs w:val="24"/>
        </w:rPr>
        <w:t>. Available at: https://www.gov.wales/violence-against-women-domestic-abuse-and-sexual-violence-strategy-2022-2026-html (Accessed: 26 September 2025).</w:t>
      </w:r>
    </w:p>
    <w:p w14:paraId="2E1ABB43"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(2023) </w:t>
      </w:r>
      <w:r w:rsidRPr="00BE0901">
        <w:rPr>
          <w:rFonts w:ascii="Times New Roman" w:hAnsi="Times New Roman" w:cs="Times New Roman"/>
          <w:i/>
          <w:iCs/>
          <w:color w:val="auto"/>
          <w:sz w:val="24"/>
          <w:szCs w:val="24"/>
        </w:rPr>
        <w:t>Nation of Sanctuary Refugee and Asylum Seeker Plan</w:t>
      </w:r>
      <w:r w:rsidRPr="00BE0901">
        <w:rPr>
          <w:rFonts w:ascii="Times New Roman" w:hAnsi="Times New Roman" w:cs="Times New Roman"/>
          <w:color w:val="auto"/>
          <w:sz w:val="24"/>
          <w:szCs w:val="24"/>
        </w:rPr>
        <w:t>. Available at: https://www.gov.wales/nation-sanctuary-refugee-and-asylum-seeker-plan (Accessed: 26 September 2025).</w:t>
      </w:r>
    </w:p>
    <w:p w14:paraId="528ECBFC"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(2023) </w:t>
      </w:r>
      <w:r w:rsidRPr="00BE0901">
        <w:rPr>
          <w:rFonts w:ascii="Times New Roman" w:hAnsi="Times New Roman" w:cs="Times New Roman"/>
          <w:i/>
          <w:iCs/>
          <w:color w:val="auto"/>
          <w:sz w:val="24"/>
          <w:szCs w:val="24"/>
        </w:rPr>
        <w:t>Roma and Travellers Plan</w:t>
      </w:r>
      <w:r w:rsidRPr="00BE0901">
        <w:rPr>
          <w:rFonts w:ascii="Times New Roman" w:hAnsi="Times New Roman" w:cs="Times New Roman"/>
          <w:color w:val="auto"/>
          <w:sz w:val="24"/>
          <w:szCs w:val="24"/>
        </w:rPr>
        <w:t>. Available at: https://www.gov.wales/roma-and-travellers-plan (Accessed: 26 September 2025).</w:t>
      </w:r>
    </w:p>
    <w:p w14:paraId="4B3469CC"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(2024) </w:t>
      </w:r>
      <w:r w:rsidRPr="00BE0901">
        <w:rPr>
          <w:rFonts w:ascii="Times New Roman" w:hAnsi="Times New Roman" w:cs="Times New Roman"/>
          <w:i/>
          <w:iCs/>
          <w:color w:val="auto"/>
          <w:sz w:val="24"/>
          <w:szCs w:val="24"/>
        </w:rPr>
        <w:t>Anti-racist Wales Action Plan: 2024 Update</w:t>
      </w:r>
      <w:r w:rsidRPr="00BE0901">
        <w:rPr>
          <w:rFonts w:ascii="Times New Roman" w:hAnsi="Times New Roman" w:cs="Times New Roman"/>
          <w:color w:val="auto"/>
          <w:sz w:val="24"/>
          <w:szCs w:val="24"/>
        </w:rPr>
        <w:t>. Available at: https://www.gov.wales/anti-racist-wales-action-plan-2024-update-html (Accessed: 26 September 2025).</w:t>
      </w:r>
    </w:p>
    <w:p w14:paraId="34CB9C7D"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(2024) </w:t>
      </w:r>
      <w:r w:rsidRPr="00BE0901">
        <w:rPr>
          <w:rFonts w:ascii="Times New Roman" w:hAnsi="Times New Roman" w:cs="Times New Roman"/>
          <w:i/>
          <w:iCs/>
          <w:color w:val="auto"/>
          <w:sz w:val="24"/>
          <w:szCs w:val="24"/>
        </w:rPr>
        <w:t>Child Poverty Strategy for Wales 2024</w:t>
      </w:r>
      <w:r w:rsidRPr="00BE0901">
        <w:rPr>
          <w:rFonts w:ascii="Times New Roman" w:hAnsi="Times New Roman" w:cs="Times New Roman"/>
          <w:color w:val="auto"/>
          <w:sz w:val="24"/>
          <w:szCs w:val="24"/>
        </w:rPr>
        <w:t>. Available at: https://www.gov.wales/child-poverty-strategy-wales-2024-html (Accessed: 26 September 2025).</w:t>
      </w:r>
    </w:p>
    <w:p w14:paraId="023F3809"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(2024) </w:t>
      </w:r>
      <w:r w:rsidRPr="00BE0901">
        <w:rPr>
          <w:rFonts w:ascii="Times New Roman" w:hAnsi="Times New Roman" w:cs="Times New Roman"/>
          <w:i/>
          <w:iCs/>
          <w:color w:val="auto"/>
          <w:sz w:val="24"/>
          <w:szCs w:val="24"/>
        </w:rPr>
        <w:t>Sustainable transport in rural Wales</w:t>
      </w:r>
      <w:r w:rsidRPr="00BE0901">
        <w:rPr>
          <w:rFonts w:ascii="Times New Roman" w:hAnsi="Times New Roman" w:cs="Times New Roman"/>
          <w:color w:val="auto"/>
          <w:sz w:val="24"/>
          <w:szCs w:val="24"/>
        </w:rPr>
        <w:t xml:space="preserve">. Available at: </w:t>
      </w:r>
      <w:hyperlink r:id="rId16" w:history="1">
        <w:r w:rsidRPr="00BE0901">
          <w:rPr>
            <w:rFonts w:ascii="Times New Roman" w:hAnsi="Times New Roman" w:cs="Times New Roman"/>
            <w:color w:val="0000FF"/>
            <w:sz w:val="24"/>
            <w:szCs w:val="24"/>
            <w:u w:val="single"/>
          </w:rPr>
          <w:t>https://www.gov.wales/sustainable-transport-rural-areas</w:t>
        </w:r>
      </w:hyperlink>
    </w:p>
    <w:p w14:paraId="4E5575D4"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(2025) </w:t>
      </w:r>
      <w:r w:rsidRPr="00BE0901">
        <w:rPr>
          <w:rFonts w:ascii="Times New Roman" w:hAnsi="Times New Roman" w:cs="Times New Roman"/>
          <w:i/>
          <w:iCs/>
          <w:color w:val="auto"/>
          <w:sz w:val="24"/>
          <w:szCs w:val="24"/>
        </w:rPr>
        <w:t>Draft Disabled People’s Rights Plan: 2025 to 2035</w:t>
      </w:r>
      <w:r w:rsidRPr="00BE0901">
        <w:rPr>
          <w:rFonts w:ascii="Times New Roman" w:hAnsi="Times New Roman" w:cs="Times New Roman"/>
          <w:color w:val="auto"/>
          <w:sz w:val="24"/>
          <w:szCs w:val="24"/>
        </w:rPr>
        <w:t>. Available at: https://www.gov.wales/draft-disabled-peoples-rights-plan-2025-2035-html (Accessed: 26 September 2025).</w:t>
      </w:r>
    </w:p>
    <w:p w14:paraId="3F962793" w14:textId="16D62100" w:rsid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Welsh Government (2025) </w:t>
      </w:r>
      <w:r w:rsidRPr="00BE0901">
        <w:rPr>
          <w:rFonts w:ascii="Times New Roman" w:hAnsi="Times New Roman" w:cs="Times New Roman"/>
          <w:i/>
          <w:iCs/>
          <w:color w:val="auto"/>
          <w:sz w:val="24"/>
          <w:szCs w:val="24"/>
        </w:rPr>
        <w:t>Mental Health and Wellbeing Strategy 2025 to 2035</w:t>
      </w:r>
      <w:r w:rsidRPr="00BE0901">
        <w:rPr>
          <w:rFonts w:ascii="Times New Roman" w:hAnsi="Times New Roman" w:cs="Times New Roman"/>
          <w:color w:val="auto"/>
          <w:sz w:val="24"/>
          <w:szCs w:val="24"/>
        </w:rPr>
        <w:t>. Available at: https://www.gov.wales/mental-health-and-wellbeing-strategy-2025-2035 (Accessed: 26 September 2025).</w:t>
      </w:r>
    </w:p>
    <w:p w14:paraId="77716B78" w14:textId="3550640D" w:rsidR="00803CA5" w:rsidRDefault="00803CA5"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803CA5">
        <w:rPr>
          <w:rFonts w:ascii="Times New Roman" w:hAnsi="Times New Roman" w:cs="Times New Roman"/>
          <w:color w:val="auto"/>
          <w:sz w:val="24"/>
          <w:szCs w:val="24"/>
        </w:rPr>
        <w:t xml:space="preserve">Welsh Government. (2019). </w:t>
      </w:r>
      <w:r w:rsidRPr="00803CA5">
        <w:rPr>
          <w:rFonts w:ascii="Times New Roman" w:hAnsi="Times New Roman" w:cs="Times New Roman"/>
          <w:i/>
          <w:iCs/>
          <w:color w:val="auto"/>
          <w:sz w:val="24"/>
          <w:szCs w:val="24"/>
        </w:rPr>
        <w:t>Working together to safeguard people: Volume I – Introduction and overview</w:t>
      </w:r>
      <w:r w:rsidRPr="00803CA5">
        <w:rPr>
          <w:rFonts w:ascii="Times New Roman" w:hAnsi="Times New Roman" w:cs="Times New Roman"/>
          <w:color w:val="auto"/>
          <w:sz w:val="24"/>
          <w:szCs w:val="24"/>
        </w:rPr>
        <w:t>. [online] Available at: https://www.gov.wales/sites/default/files/publications/2019-05/working-together-to-safeguard-people-volume-i-introduction-and-overview.pdf [Accessed 6 Oct. 2025].</w:t>
      </w:r>
    </w:p>
    <w:p w14:paraId="74A53445"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t xml:space="preserve">Wirth, J.V. and Kleve, H. (2023) ‘Systems theory and social work’, in </w:t>
      </w:r>
      <w:r w:rsidRPr="00BE0901">
        <w:rPr>
          <w:rFonts w:ascii="Times New Roman" w:hAnsi="Times New Roman" w:cs="Times New Roman"/>
          <w:i/>
          <w:iCs/>
          <w:color w:val="auto"/>
          <w:sz w:val="24"/>
          <w:szCs w:val="24"/>
        </w:rPr>
        <w:t>Social Work Theory and Ethics</w:t>
      </w:r>
      <w:r w:rsidRPr="00BE0901">
        <w:rPr>
          <w:rFonts w:ascii="Times New Roman" w:hAnsi="Times New Roman" w:cs="Times New Roman"/>
          <w:color w:val="auto"/>
          <w:sz w:val="24"/>
          <w:szCs w:val="24"/>
        </w:rPr>
        <w:t>, pp. 39–59. Available at: https://doi.org/10.1007/978-3-031-12345-6_3</w:t>
      </w:r>
    </w:p>
    <w:p w14:paraId="00D3229F" w14:textId="77777777" w:rsidR="00BE0901" w:rsidRPr="00BE0901" w:rsidRDefault="00BE0901" w:rsidP="00BE090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BE0901">
        <w:rPr>
          <w:rFonts w:ascii="Times New Roman" w:hAnsi="Times New Roman" w:cs="Times New Roman"/>
          <w:color w:val="auto"/>
          <w:sz w:val="24"/>
          <w:szCs w:val="24"/>
        </w:rPr>
        <w:lastRenderedPageBreak/>
        <w:t xml:space="preserve">Yang, Y. and Hayes, J.A. (2020) ‘Causes and consequences of burnout among mental health professionals: A practice-oriented review of recent empirical literature’, </w:t>
      </w:r>
      <w:r w:rsidRPr="00BE0901">
        <w:rPr>
          <w:rFonts w:ascii="Times New Roman" w:hAnsi="Times New Roman" w:cs="Times New Roman"/>
          <w:i/>
          <w:iCs/>
          <w:color w:val="auto"/>
          <w:sz w:val="24"/>
          <w:szCs w:val="24"/>
        </w:rPr>
        <w:t>Psychotherapy</w:t>
      </w:r>
      <w:r w:rsidRPr="00BE0901">
        <w:rPr>
          <w:rFonts w:ascii="Times New Roman" w:hAnsi="Times New Roman" w:cs="Times New Roman"/>
          <w:color w:val="auto"/>
          <w:sz w:val="24"/>
          <w:szCs w:val="24"/>
        </w:rPr>
        <w:t>, 57(3), p. 426.</w:t>
      </w:r>
    </w:p>
    <w:p w14:paraId="3338A666" w14:textId="3EE3E270" w:rsidR="00EB695F" w:rsidRDefault="00BE0901" w:rsidP="00BE0901">
      <w:pPr>
        <w:jc w:val="both"/>
        <w:rPr>
          <w:sz w:val="24"/>
          <w:szCs w:val="24"/>
        </w:rPr>
      </w:pPr>
      <w:proofErr w:type="spellStart"/>
      <w:r w:rsidRPr="00CE3E63">
        <w:rPr>
          <w:rFonts w:ascii="Times New Roman" w:hAnsi="Times New Roman" w:cs="Times New Roman"/>
          <w:color w:val="auto"/>
          <w:sz w:val="24"/>
          <w:szCs w:val="24"/>
        </w:rPr>
        <w:t>Zerden</w:t>
      </w:r>
      <w:proofErr w:type="spellEnd"/>
      <w:r w:rsidRPr="00CE3E63">
        <w:rPr>
          <w:rFonts w:ascii="Times New Roman" w:hAnsi="Times New Roman" w:cs="Times New Roman"/>
          <w:color w:val="auto"/>
          <w:sz w:val="24"/>
          <w:szCs w:val="24"/>
        </w:rPr>
        <w:t xml:space="preserve">, L.D., Lombardi, B.M. and Richman, E.L. (2019) ‘Social workers on the interprofessional integrated team: Elements of team integration and barriers to practice’, </w:t>
      </w:r>
      <w:r w:rsidRPr="00CE3E63">
        <w:rPr>
          <w:rFonts w:ascii="Times New Roman" w:hAnsi="Times New Roman" w:cs="Times New Roman"/>
          <w:i/>
          <w:iCs/>
          <w:color w:val="auto"/>
          <w:sz w:val="24"/>
          <w:szCs w:val="24"/>
        </w:rPr>
        <w:t>Journal of Interprofessional Education &amp; Practice</w:t>
      </w:r>
      <w:r w:rsidRPr="00CE3E63">
        <w:rPr>
          <w:rFonts w:ascii="Times New Roman" w:hAnsi="Times New Roman" w:cs="Times New Roman"/>
          <w:color w:val="auto"/>
          <w:sz w:val="24"/>
          <w:szCs w:val="24"/>
        </w:rPr>
        <w:t xml:space="preserve">, 17, p. 100286. Available at: </w:t>
      </w:r>
      <w:hyperlink r:id="rId17" w:history="1">
        <w:r w:rsidRPr="00CE3E63">
          <w:rPr>
            <w:rFonts w:ascii="Times New Roman" w:hAnsi="Times New Roman" w:cs="Times New Roman"/>
            <w:color w:val="0000FF"/>
            <w:sz w:val="24"/>
            <w:szCs w:val="24"/>
            <w:u w:val="single"/>
          </w:rPr>
          <w:t>https://www.shepscenter.unc.edu/wp-content/uploads/2019/09/Zerden-Lombardi-Richman-2019-SW-on-IPE-Team-Elements-of-Integration-Barriers-to-Practice.pdf</w:t>
        </w:r>
      </w:hyperlink>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48A97047" w14:textId="77777777" w:rsidR="00535DD6" w:rsidRDefault="00535DD6" w:rsidP="00EE5BC3">
      <w:pPr>
        <w:jc w:val="center"/>
        <w:rPr>
          <w:b/>
          <w:sz w:val="28"/>
          <w:szCs w:val="28"/>
        </w:rPr>
      </w:pPr>
    </w:p>
    <w:p w14:paraId="21EF08CE" w14:textId="77777777" w:rsidR="00535DD6" w:rsidRDefault="00535DD6" w:rsidP="00EE5BC3">
      <w:pPr>
        <w:jc w:val="center"/>
        <w:rPr>
          <w:b/>
          <w:sz w:val="28"/>
          <w:szCs w:val="28"/>
        </w:rPr>
      </w:pPr>
    </w:p>
    <w:p w14:paraId="090B4B45" w14:textId="77777777" w:rsidR="00535DD6" w:rsidRDefault="00535DD6" w:rsidP="00EE5BC3">
      <w:pPr>
        <w:jc w:val="center"/>
        <w:rPr>
          <w:b/>
          <w:sz w:val="28"/>
          <w:szCs w:val="28"/>
        </w:rPr>
      </w:pPr>
    </w:p>
    <w:p w14:paraId="441F20D2" w14:textId="77777777" w:rsidR="00535DD6" w:rsidRDefault="00535DD6" w:rsidP="00EE5BC3">
      <w:pPr>
        <w:jc w:val="center"/>
        <w:rPr>
          <w:b/>
          <w:sz w:val="28"/>
          <w:szCs w:val="28"/>
        </w:rPr>
      </w:pPr>
    </w:p>
    <w:p w14:paraId="67AC5389" w14:textId="77777777" w:rsidR="00535DD6" w:rsidRDefault="00535DD6" w:rsidP="00EE5BC3">
      <w:pPr>
        <w:jc w:val="center"/>
        <w:rPr>
          <w:b/>
          <w:sz w:val="28"/>
          <w:szCs w:val="28"/>
        </w:rPr>
      </w:pPr>
    </w:p>
    <w:p w14:paraId="7047BA81" w14:textId="793B0143"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3"/>
        <w:gridCol w:w="5037"/>
      </w:tblGrid>
      <w:tr w:rsidR="00E559CE" w:rsidRPr="00B17FA0" w14:paraId="486C4828" w14:textId="77777777" w:rsidTr="00EA772F">
        <w:tc>
          <w:tcPr>
            <w:tcW w:w="5033" w:type="dxa"/>
          </w:tcPr>
          <w:p w14:paraId="53579DE7" w14:textId="31460507" w:rsidR="0006625F" w:rsidRPr="00B17FA0" w:rsidRDefault="0006625F" w:rsidP="00B94443">
            <w:pPr>
              <w:jc w:val="both"/>
              <w:rPr>
                <w:sz w:val="24"/>
                <w:szCs w:val="24"/>
              </w:rPr>
            </w:pPr>
          </w:p>
        </w:tc>
        <w:tc>
          <w:tcPr>
            <w:tcW w:w="5037"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EA772F">
        <w:tc>
          <w:tcPr>
            <w:tcW w:w="5033" w:type="dxa"/>
          </w:tcPr>
          <w:p w14:paraId="7D190C95" w14:textId="49DF3FA3" w:rsidR="00E559CE" w:rsidRPr="00B17FA0" w:rsidRDefault="00517BA0" w:rsidP="00B94443">
            <w:pPr>
              <w:jc w:val="both"/>
              <w:rPr>
                <w:sz w:val="24"/>
                <w:szCs w:val="24"/>
              </w:rPr>
            </w:pPr>
            <w:r>
              <w:rPr>
                <w:sz w:val="24"/>
                <w:szCs w:val="24"/>
              </w:rPr>
              <w:t xml:space="preserve"> Induction</w:t>
            </w:r>
          </w:p>
        </w:tc>
        <w:tc>
          <w:tcPr>
            <w:tcW w:w="5037" w:type="dxa"/>
          </w:tcPr>
          <w:p w14:paraId="4504991A" w14:textId="1A7A8435" w:rsidR="00E559CE" w:rsidRPr="00B17FA0" w:rsidRDefault="00517BA0" w:rsidP="00B94443">
            <w:pPr>
              <w:jc w:val="both"/>
              <w:rPr>
                <w:sz w:val="24"/>
                <w:szCs w:val="24"/>
              </w:rPr>
            </w:pPr>
            <w:r>
              <w:rPr>
                <w:sz w:val="24"/>
                <w:szCs w:val="24"/>
              </w:rPr>
              <w:t>16.10.2024</w:t>
            </w:r>
          </w:p>
        </w:tc>
      </w:tr>
      <w:tr w:rsidR="00E559CE" w:rsidRPr="00B17FA0" w14:paraId="05C1FAE9" w14:textId="77777777" w:rsidTr="00EA772F">
        <w:tc>
          <w:tcPr>
            <w:tcW w:w="5033" w:type="dxa"/>
          </w:tcPr>
          <w:p w14:paraId="2BDB6661" w14:textId="37BB368A" w:rsidR="00E559CE" w:rsidRPr="00B17FA0" w:rsidRDefault="00EA772F" w:rsidP="00B94443">
            <w:pPr>
              <w:jc w:val="both"/>
              <w:rPr>
                <w:sz w:val="24"/>
                <w:szCs w:val="24"/>
              </w:rPr>
            </w:pPr>
            <w:r>
              <w:rPr>
                <w:sz w:val="24"/>
                <w:szCs w:val="24"/>
              </w:rPr>
              <w:t>1</w:t>
            </w:r>
          </w:p>
        </w:tc>
        <w:tc>
          <w:tcPr>
            <w:tcW w:w="5037" w:type="dxa"/>
          </w:tcPr>
          <w:p w14:paraId="1AF3604C" w14:textId="6BCCB9A9" w:rsidR="00E559CE" w:rsidRPr="00B17FA0" w:rsidRDefault="00160EF8" w:rsidP="00B94443">
            <w:pPr>
              <w:jc w:val="both"/>
              <w:rPr>
                <w:sz w:val="24"/>
                <w:szCs w:val="24"/>
              </w:rPr>
            </w:pPr>
            <w:r>
              <w:rPr>
                <w:sz w:val="24"/>
                <w:szCs w:val="24"/>
              </w:rPr>
              <w:t>21.</w:t>
            </w:r>
            <w:r w:rsidR="005B7C39">
              <w:rPr>
                <w:sz w:val="24"/>
                <w:szCs w:val="24"/>
              </w:rPr>
              <w:t>11.2024</w:t>
            </w:r>
          </w:p>
        </w:tc>
      </w:tr>
      <w:tr w:rsidR="00E559CE" w:rsidRPr="00B17FA0" w14:paraId="5356395F" w14:textId="77777777" w:rsidTr="00EA772F">
        <w:tc>
          <w:tcPr>
            <w:tcW w:w="5033" w:type="dxa"/>
          </w:tcPr>
          <w:p w14:paraId="7DC37211" w14:textId="12632A58" w:rsidR="00E559CE" w:rsidRPr="00B17FA0" w:rsidRDefault="00C32640" w:rsidP="00B94443">
            <w:pPr>
              <w:jc w:val="both"/>
              <w:rPr>
                <w:sz w:val="24"/>
                <w:szCs w:val="24"/>
              </w:rPr>
            </w:pPr>
            <w:r>
              <w:rPr>
                <w:sz w:val="24"/>
                <w:szCs w:val="24"/>
              </w:rPr>
              <w:t>2</w:t>
            </w:r>
          </w:p>
        </w:tc>
        <w:tc>
          <w:tcPr>
            <w:tcW w:w="5037" w:type="dxa"/>
          </w:tcPr>
          <w:p w14:paraId="4DFBE392" w14:textId="7EF17790" w:rsidR="00E559CE" w:rsidRPr="00B17FA0" w:rsidRDefault="004410F8" w:rsidP="00B94443">
            <w:pPr>
              <w:jc w:val="both"/>
              <w:rPr>
                <w:sz w:val="24"/>
                <w:szCs w:val="24"/>
              </w:rPr>
            </w:pPr>
            <w:r>
              <w:rPr>
                <w:sz w:val="24"/>
                <w:szCs w:val="24"/>
              </w:rPr>
              <w:t>11.02.2025</w:t>
            </w:r>
          </w:p>
        </w:tc>
      </w:tr>
      <w:tr w:rsidR="00E559CE" w:rsidRPr="008B28E7" w14:paraId="40165146" w14:textId="77777777" w:rsidTr="00EA772F">
        <w:tc>
          <w:tcPr>
            <w:tcW w:w="5033" w:type="dxa"/>
          </w:tcPr>
          <w:p w14:paraId="2DE3C97B" w14:textId="015C381B" w:rsidR="00E559CE" w:rsidRPr="00B17FA0" w:rsidRDefault="00C32640" w:rsidP="00B94443">
            <w:pPr>
              <w:jc w:val="both"/>
              <w:rPr>
                <w:sz w:val="24"/>
                <w:szCs w:val="24"/>
              </w:rPr>
            </w:pPr>
            <w:r>
              <w:rPr>
                <w:sz w:val="24"/>
                <w:szCs w:val="24"/>
              </w:rPr>
              <w:t>3</w:t>
            </w:r>
          </w:p>
        </w:tc>
        <w:tc>
          <w:tcPr>
            <w:tcW w:w="5037" w:type="dxa"/>
          </w:tcPr>
          <w:p w14:paraId="16B5309A" w14:textId="3BBF0024" w:rsidR="00EA772F" w:rsidRPr="00B17FA0" w:rsidRDefault="005B7C39" w:rsidP="00B94443">
            <w:pPr>
              <w:jc w:val="both"/>
              <w:rPr>
                <w:sz w:val="24"/>
                <w:szCs w:val="24"/>
              </w:rPr>
            </w:pPr>
            <w:r>
              <w:rPr>
                <w:sz w:val="24"/>
                <w:szCs w:val="24"/>
              </w:rPr>
              <w:t>8.04.2025</w:t>
            </w:r>
          </w:p>
        </w:tc>
      </w:tr>
      <w:tr w:rsidR="00EA772F" w:rsidRPr="008B28E7" w14:paraId="778C5E31" w14:textId="77777777" w:rsidTr="00EA772F">
        <w:tc>
          <w:tcPr>
            <w:tcW w:w="5033" w:type="dxa"/>
          </w:tcPr>
          <w:p w14:paraId="3B9EE46B" w14:textId="49E117E2" w:rsidR="00EA772F" w:rsidRPr="00B17FA0" w:rsidRDefault="00C32640" w:rsidP="00B94443">
            <w:pPr>
              <w:jc w:val="both"/>
              <w:rPr>
                <w:sz w:val="24"/>
                <w:szCs w:val="24"/>
              </w:rPr>
            </w:pPr>
            <w:r>
              <w:rPr>
                <w:sz w:val="24"/>
                <w:szCs w:val="24"/>
              </w:rPr>
              <w:t>4</w:t>
            </w:r>
          </w:p>
        </w:tc>
        <w:tc>
          <w:tcPr>
            <w:tcW w:w="5037" w:type="dxa"/>
          </w:tcPr>
          <w:p w14:paraId="59ADB1D7" w14:textId="19F9C85C" w:rsidR="00EA772F" w:rsidRDefault="00C32640" w:rsidP="00B94443">
            <w:pPr>
              <w:jc w:val="both"/>
              <w:rPr>
                <w:sz w:val="24"/>
                <w:szCs w:val="24"/>
              </w:rPr>
            </w:pPr>
            <w:r>
              <w:rPr>
                <w:sz w:val="24"/>
                <w:szCs w:val="24"/>
              </w:rPr>
              <w:t>8.07.2025</w:t>
            </w:r>
          </w:p>
        </w:tc>
      </w:tr>
    </w:tbl>
    <w:p w14:paraId="5EAAB3EF" w14:textId="77777777" w:rsidR="005A54CC" w:rsidRDefault="005A54CC" w:rsidP="00E559CE">
      <w:pPr>
        <w:jc w:val="both"/>
        <w:rPr>
          <w:sz w:val="24"/>
          <w:szCs w:val="24"/>
        </w:rPr>
      </w:pPr>
    </w:p>
    <w:p w14:paraId="55F270C6" w14:textId="77777777" w:rsidR="001063AF" w:rsidRDefault="001063AF" w:rsidP="00E559CE">
      <w:pPr>
        <w:jc w:val="both"/>
        <w:rPr>
          <w:sz w:val="24"/>
          <w:szCs w:val="24"/>
        </w:rPr>
      </w:pPr>
    </w:p>
    <w:p w14:paraId="20A980F4" w14:textId="77E2E184"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8F8EA49" w14:textId="77777777" w:rsidR="00984CA4" w:rsidRDefault="00984CA4" w:rsidP="00984CA4">
            <w:r>
              <w:t xml:space="preserve">  Mentors report for Graduate certificate in Consolidation of</w:t>
            </w:r>
          </w:p>
          <w:p w14:paraId="1040D5BA" w14:textId="77777777" w:rsidR="00984CA4" w:rsidRDefault="00984CA4" w:rsidP="00984CA4">
            <w:r>
              <w:t xml:space="preserve">                       Social work practice.</w:t>
            </w:r>
          </w:p>
          <w:p w14:paraId="225406EE" w14:textId="77777777" w:rsidR="00984CA4" w:rsidRDefault="00984CA4" w:rsidP="00984CA4"/>
          <w:p w14:paraId="0C9AA172" w14:textId="34047C97" w:rsidR="00984CA4" w:rsidRDefault="00984CA4" w:rsidP="00984CA4">
            <w:r>
              <w:t xml:space="preserve">Learners </w:t>
            </w:r>
            <w:r w:rsidR="00E478AE">
              <w:t xml:space="preserve">name: </w:t>
            </w:r>
            <w:proofErr w:type="gramStart"/>
            <w:r w:rsidR="00E478AE">
              <w:t xml:space="preserve">Paidamoyo </w:t>
            </w:r>
            <w:r>
              <w:t xml:space="preserve"> Maziwisa</w:t>
            </w:r>
            <w:proofErr w:type="gramEnd"/>
            <w:r>
              <w:t>.</w:t>
            </w:r>
          </w:p>
          <w:p w14:paraId="233042BF" w14:textId="77777777" w:rsidR="00984CA4" w:rsidRDefault="00984CA4" w:rsidP="00984CA4"/>
          <w:p w14:paraId="0D7D52EF" w14:textId="77777777" w:rsidR="00984CA4" w:rsidRDefault="00984CA4" w:rsidP="00984CA4">
            <w:r>
              <w:t>The student registered for the consolidation programme after starting work as a social worker in the Community Mental health team in Swansea. The CMHT is a multidisciplinary team working with people who have serious and enduring mental illness. Social service members of the team work primarily from home, but we remain a close and supportive team which has allowed me to gain an overview of her work and development, also to support her in identifying and achieving the learning outcomes raised in task 1 (a). We held regular formal and informal mentoring sessions. Although my support was curtailed by the fact that I went on long term sick leave for surgery in May 2025. Despite this the student was able to shadow myself and other team members over the course of the award programme.</w:t>
            </w:r>
          </w:p>
          <w:p w14:paraId="1BE3617C" w14:textId="77777777" w:rsidR="00984CA4" w:rsidRDefault="00984CA4" w:rsidP="00984CA4">
            <w:r>
              <w:t xml:space="preserve">                    There is clear evidence that the student is skilled in working with service users, and that she </w:t>
            </w:r>
            <w:proofErr w:type="gramStart"/>
            <w:r>
              <w:t>is able to</w:t>
            </w:r>
            <w:proofErr w:type="gramEnd"/>
            <w:r>
              <w:t xml:space="preserve"> reflect on both her work and on her development as a social worker to further develop her practice. She is very keen to take advantage of any training opportunities to further her practice and her career. Over this </w:t>
            </w:r>
            <w:r>
              <w:lastRenderedPageBreak/>
              <w:t xml:space="preserve">year I have also witnessed her starting to acknowledge and take advantage of the learning opportunities presented by the work that she is doing </w:t>
            </w:r>
            <w:proofErr w:type="gramStart"/>
            <w:r>
              <w:t>and also</w:t>
            </w:r>
            <w:proofErr w:type="gramEnd"/>
            <w:r>
              <w:t xml:space="preserve"> taking the opportunity to learn from her colleagues. Whilst acknowledging the importance of courses and study opportunities I would encourage her to continue to recognise the value of the learning </w:t>
            </w:r>
            <w:proofErr w:type="spellStart"/>
            <w:r>
              <w:t>opoortunities</w:t>
            </w:r>
            <w:proofErr w:type="spellEnd"/>
            <w:r>
              <w:t xml:space="preserve"> that arise in the day-to-day work that we do.</w:t>
            </w:r>
          </w:p>
          <w:p w14:paraId="7D1F9089" w14:textId="77777777" w:rsidR="00984CA4" w:rsidRDefault="00984CA4" w:rsidP="00984CA4">
            <w:r>
              <w:t xml:space="preserve">                   In task one several learning outcomes were identified by the student. These outcomes focused on both the development of skills like how to help the people with whom we work manage emotional dysregulation, the need to work collaboratively with the person and other professionals, and the need to develop professional judgement and knowledge of risk assessment. Over the course of this year the student has attended both formal and informal training sessions to further improve her knowledge and practice. I recognise that the student was disappointed not to be able to attend formal training on DBT. She describes how not having this training impacted both on her practice and her well-being. There was a clear understanding that organisational financial constraints contributed towards this decision as did the fact that that the training had not been seen as a priority because therapeutic intervention is not currently seen as something that is a primary part of our role in this organisation. This has not always been the case, and I hope that it is something that will begin to be valued in the future. Even if this does not happen knowledge of how to help people regulate their emotions can be very helpful in our work with vulnerable people. This experience has helped the student understand and accept the constraints of working with an organisation. She has clearly demonstrated a capacity to do this whilst maintaining a commitment to continue improving her skills and knowledge. I hope that she will be able to maintain her interest in learning techniques to help individuals manage their thoughts and feelings.</w:t>
            </w:r>
          </w:p>
          <w:p w14:paraId="3EF8C457" w14:textId="77777777" w:rsidR="00984CA4" w:rsidRDefault="00984CA4" w:rsidP="00984CA4">
            <w:r>
              <w:t xml:space="preserve">      The student has demonstrated an ability to work with people to create positive transformations and to challenge oppressive practice. She has utilised skills like emotional intelligence, and advocacy to work collaboratively with the individual and other professionals including in forensic environments. This is evidence of her ability to safeguard the public in these situations whilst maintaining a commitment to supporting the individual in their recovery. Over the year I have observed that her confidence in her professional judgement has increased, whilst she has retained a commitment to the people with whom she works. This has contributed towards the balanced professional approach to social work practice that she is able to use today. I wish her the best for the future.</w:t>
            </w:r>
          </w:p>
          <w:p w14:paraId="68911F16" w14:textId="77777777" w:rsidR="00984CA4" w:rsidRDefault="00984CA4" w:rsidP="00984CA4"/>
          <w:p w14:paraId="226274E6" w14:textId="77777777" w:rsidR="00984CA4" w:rsidRDefault="00984CA4" w:rsidP="00984CA4"/>
          <w:p w14:paraId="362B503B" w14:textId="77777777" w:rsidR="00984CA4" w:rsidRDefault="00984CA4" w:rsidP="00984CA4">
            <w:r>
              <w:t>Chris Latty</w:t>
            </w:r>
          </w:p>
          <w:p w14:paraId="36B1B583" w14:textId="77777777" w:rsidR="00984CA4" w:rsidRDefault="00984CA4" w:rsidP="00984CA4">
            <w:r>
              <w:t>Senior Social Worker.</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1B814CB5" w14:textId="77777777" w:rsidR="001E604B" w:rsidRDefault="001E604B" w:rsidP="00AA7960">
      <w:pPr>
        <w:keepNext/>
        <w:jc w:val="center"/>
        <w:rPr>
          <w:b/>
          <w:sz w:val="28"/>
          <w:szCs w:val="28"/>
        </w:rPr>
      </w:pPr>
    </w:p>
    <w:p w14:paraId="2420F4DD" w14:textId="77777777" w:rsidR="001E604B" w:rsidRDefault="001E604B" w:rsidP="00AA7960">
      <w:pPr>
        <w:keepNext/>
        <w:jc w:val="center"/>
        <w:rPr>
          <w:b/>
          <w:sz w:val="28"/>
          <w:szCs w:val="28"/>
        </w:rPr>
      </w:pPr>
    </w:p>
    <w:p w14:paraId="76DD24BA" w14:textId="77777777" w:rsidR="00535DD6" w:rsidRDefault="00535DD6" w:rsidP="00AA7960">
      <w:pPr>
        <w:keepNext/>
        <w:jc w:val="center"/>
        <w:rPr>
          <w:b/>
          <w:sz w:val="28"/>
          <w:szCs w:val="28"/>
        </w:rPr>
      </w:pPr>
    </w:p>
    <w:p w14:paraId="2D775D9A" w14:textId="7869332C"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192599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17BA0">
        <w:rPr>
          <w:b/>
          <w:sz w:val="24"/>
          <w:szCs w:val="24"/>
        </w:rPr>
        <w:t>Paidamoyo Maziwisa</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500A3A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03A54" w:rsidRPr="00D03A54">
        <w:t xml:space="preserve"> </w:t>
      </w:r>
      <w:r w:rsidR="00D03A54" w:rsidRPr="00D03A54">
        <w:rPr>
          <w:b/>
          <w:sz w:val="24"/>
          <w:szCs w:val="24"/>
        </w:rPr>
        <w:t>2418248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1FD5D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E72DF0">
        <w:rPr>
          <w:b/>
          <w:sz w:val="24"/>
          <w:szCs w:val="24"/>
        </w:rPr>
        <w:t>20 White knight Gardens. SA3 3DR, Bishopston, Swansea.</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5B4342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574D2">
        <w:rPr>
          <w:b/>
          <w:sz w:val="24"/>
          <w:szCs w:val="24"/>
        </w:rPr>
        <w:t>07</w:t>
      </w:r>
      <w:r w:rsidR="008A7A38">
        <w:rPr>
          <w:b/>
          <w:sz w:val="24"/>
          <w:szCs w:val="24"/>
        </w:rPr>
        <w:t>976659008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5B0450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072DB">
        <w:rPr>
          <w:b/>
          <w:sz w:val="24"/>
          <w:szCs w:val="24"/>
        </w:rPr>
        <w:t xml:space="preserve"> 241</w:t>
      </w:r>
      <w:r w:rsidR="0057439F">
        <w:rPr>
          <w:b/>
          <w:sz w:val="24"/>
          <w:szCs w:val="24"/>
        </w:rPr>
        <w:t>8248@student.uwtsd</w:t>
      </w:r>
      <w:r w:rsidR="00337406">
        <w:rPr>
          <w:b/>
          <w:sz w:val="24"/>
          <w:szCs w:val="24"/>
        </w:rPr>
        <w:t>.ac.uk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BB5597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57C9E">
        <w:rPr>
          <w:b/>
          <w:sz w:val="24"/>
          <w:szCs w:val="24"/>
        </w:rPr>
        <w:t>June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869C3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E7766">
        <w:rPr>
          <w:b/>
          <w:sz w:val="24"/>
          <w:szCs w:val="24"/>
        </w:rPr>
        <w:t xml:space="preserve"> Community Mental Health Team</w:t>
      </w:r>
      <w:r w:rsidR="00637ED4">
        <w:rPr>
          <w:b/>
          <w:sz w:val="24"/>
          <w:szCs w:val="24"/>
        </w:rPr>
        <w:t>.</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4192B3" w14:textId="62E43746" w:rsidR="00637ED4"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637ED4">
        <w:rPr>
          <w:b/>
          <w:sz w:val="24"/>
          <w:szCs w:val="24"/>
        </w:rPr>
        <w:t xml:space="preserve"> Central Clinic</w:t>
      </w:r>
    </w:p>
    <w:p w14:paraId="14994EFE" w14:textId="7320744D" w:rsidR="00637ED4" w:rsidRDefault="00637ED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21 Orchard Street.</w:t>
      </w:r>
    </w:p>
    <w:p w14:paraId="481A43A7" w14:textId="326F5388" w:rsidR="00886C0C" w:rsidRDefault="00886C0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5AT.</w:t>
      </w:r>
    </w:p>
    <w:p w14:paraId="1816250A" w14:textId="47E038ED" w:rsidR="00886C0C" w:rsidRDefault="00886C0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79F56FFE" w14:textId="77777777" w:rsidR="00637ED4" w:rsidRDefault="00637ED4"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EF4AD7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w:t>
      </w:r>
      <w:r w:rsidR="00886C0C">
        <w:rPr>
          <w:b/>
          <w:sz w:val="24"/>
          <w:szCs w:val="24"/>
        </w:rPr>
        <w:t xml:space="preserve"> </w:t>
      </w:r>
      <w:r w:rsidR="00272CB6">
        <w:rPr>
          <w:b/>
          <w:sz w:val="24"/>
          <w:szCs w:val="24"/>
        </w:rPr>
        <w:t>07730408755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C2CE724"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B73513" w:rsidRPr="00B73513">
        <w:rPr>
          <w:b/>
          <w:sz w:val="24"/>
          <w:szCs w:val="24"/>
        </w:rPr>
        <w:t>2418248@student.uwtsd.ac.uk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770C73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780139">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A0EC31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45845">
        <w:rPr>
          <w:b/>
          <w:sz w:val="24"/>
          <w:szCs w:val="24"/>
        </w:rPr>
        <w:t xml:space="preserve"> Chris Latty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0C80E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45845">
        <w:rPr>
          <w:b/>
          <w:sz w:val="24"/>
          <w:szCs w:val="24"/>
        </w:rPr>
        <w:t xml:space="preserve"> </w:t>
      </w:r>
      <w:r w:rsidR="00FA3B5D">
        <w:rPr>
          <w:b/>
          <w:sz w:val="24"/>
          <w:szCs w:val="24"/>
        </w:rPr>
        <w:t>21 Orchard Street.</w:t>
      </w:r>
    </w:p>
    <w:p w14:paraId="724B4467" w14:textId="6E378F3D" w:rsidR="00FA3B5D" w:rsidRDefault="00FA3B5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Central Clinic.</w:t>
      </w:r>
    </w:p>
    <w:p w14:paraId="7803FB4F" w14:textId="41BB3DEF" w:rsidR="00FA3B5D" w:rsidRDefault="00FA3B5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w:t>
      </w:r>
      <w:r w:rsidR="006B0713">
        <w:rPr>
          <w:b/>
          <w:sz w:val="24"/>
          <w:szCs w:val="24"/>
        </w:rPr>
        <w:t xml:space="preserve"> 5AT</w:t>
      </w:r>
    </w:p>
    <w:p w14:paraId="0E784551" w14:textId="41694401" w:rsidR="006B0713" w:rsidRPr="008B28E7" w:rsidRDefault="006B071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091CFA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812EE" w:rsidRPr="00C812EE">
        <w:t xml:space="preserve"> </w:t>
      </w:r>
      <w:r w:rsidR="00C812EE" w:rsidRPr="00C812EE">
        <w:rPr>
          <w:b/>
          <w:sz w:val="24"/>
          <w:szCs w:val="24"/>
        </w:rPr>
        <w:t>01792517800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18A127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80139" w:rsidRPr="00780139">
        <w:t xml:space="preserve"> </w:t>
      </w:r>
      <w:r w:rsidR="00780139" w:rsidRPr="00780139">
        <w:rPr>
          <w:b/>
          <w:sz w:val="24"/>
          <w:szCs w:val="24"/>
        </w:rPr>
        <w:t>chris.latty@swansea.gov.uk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8FB689A" w:rsidR="004923DA" w:rsidRPr="00DE1710" w:rsidRDefault="004923DA" w:rsidP="00FF7EBB">
            <w:pPr>
              <w:jc w:val="both"/>
              <w:rPr>
                <w:bCs/>
                <w:sz w:val="24"/>
                <w:szCs w:val="24"/>
              </w:rPr>
            </w:pPr>
            <w:r w:rsidRPr="008B28E7">
              <w:rPr>
                <w:b/>
                <w:sz w:val="24"/>
                <w:szCs w:val="24"/>
              </w:rPr>
              <w:t>Name:</w:t>
            </w:r>
            <w:r w:rsidR="00DE1710">
              <w:rPr>
                <w:b/>
                <w:sz w:val="24"/>
                <w:szCs w:val="24"/>
              </w:rPr>
              <w:t xml:space="preserve"> </w:t>
            </w:r>
            <w:r w:rsidR="00DE1710">
              <w:rPr>
                <w:bCs/>
                <w:sz w:val="24"/>
                <w:szCs w:val="24"/>
              </w:rPr>
              <w:t>Nadia Dolan</w:t>
            </w:r>
          </w:p>
          <w:p w14:paraId="4EF4A770" w14:textId="77777777" w:rsidR="004923DA" w:rsidRPr="008B28E7" w:rsidRDefault="004923DA" w:rsidP="00FF7EBB">
            <w:pPr>
              <w:jc w:val="both"/>
              <w:rPr>
                <w:b/>
                <w:sz w:val="24"/>
                <w:szCs w:val="24"/>
              </w:rPr>
            </w:pPr>
          </w:p>
          <w:p w14:paraId="1AC8522D" w14:textId="42F9B9D4" w:rsidR="004923DA" w:rsidRPr="00DE1710" w:rsidRDefault="004923DA" w:rsidP="00FF7EBB">
            <w:pPr>
              <w:jc w:val="both"/>
              <w:rPr>
                <w:bCs/>
                <w:sz w:val="24"/>
                <w:szCs w:val="24"/>
              </w:rPr>
            </w:pPr>
            <w:r w:rsidRPr="008B28E7">
              <w:rPr>
                <w:b/>
                <w:sz w:val="24"/>
                <w:szCs w:val="24"/>
              </w:rPr>
              <w:t xml:space="preserve">Work Address: </w:t>
            </w:r>
            <w:r w:rsidR="00DE1710">
              <w:rPr>
                <w:bCs/>
                <w:sz w:val="24"/>
                <w:szCs w:val="24"/>
              </w:rPr>
              <w:t>CMHT Area 2, Central Clinic, 21 Orchard Street, Swansea, SA1 5AT</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0E55DF5" w:rsidR="004923DA" w:rsidRPr="00DE1710" w:rsidRDefault="004923DA" w:rsidP="00FF7EBB">
            <w:pPr>
              <w:jc w:val="both"/>
              <w:rPr>
                <w:bCs/>
                <w:sz w:val="24"/>
                <w:szCs w:val="24"/>
              </w:rPr>
            </w:pPr>
            <w:r w:rsidRPr="008B28E7">
              <w:rPr>
                <w:b/>
                <w:sz w:val="24"/>
                <w:szCs w:val="24"/>
              </w:rPr>
              <w:t>Professional Qualification and date of qualification:</w:t>
            </w:r>
            <w:r w:rsidR="00DE1710">
              <w:rPr>
                <w:b/>
                <w:sz w:val="24"/>
                <w:szCs w:val="24"/>
              </w:rPr>
              <w:t xml:space="preserve"> </w:t>
            </w:r>
            <w:r w:rsidR="00DE1710" w:rsidRPr="00DE1710">
              <w:rPr>
                <w:bCs/>
                <w:sz w:val="24"/>
                <w:szCs w:val="24"/>
              </w:rPr>
              <w:t xml:space="preserve">BA (Hons) Social Work (Wales) degree </w:t>
            </w:r>
            <w:r w:rsidR="00DE1710">
              <w:rPr>
                <w:bCs/>
                <w:sz w:val="24"/>
                <w:szCs w:val="24"/>
              </w:rPr>
              <w:t>obtained</w:t>
            </w:r>
            <w:r w:rsidR="00DE1710" w:rsidRPr="00DE1710">
              <w:rPr>
                <w:bCs/>
                <w:sz w:val="24"/>
                <w:szCs w:val="24"/>
              </w:rPr>
              <w:t xml:space="preserve"> 2012</w:t>
            </w:r>
          </w:p>
          <w:p w14:paraId="5F68A3CF" w14:textId="77777777" w:rsidR="004923DA" w:rsidRDefault="004923DA" w:rsidP="00FF7EBB">
            <w:pPr>
              <w:jc w:val="both"/>
              <w:rPr>
                <w:b/>
                <w:sz w:val="24"/>
                <w:szCs w:val="24"/>
              </w:rPr>
            </w:pPr>
          </w:p>
          <w:p w14:paraId="4C6113F1" w14:textId="7E9CEA54" w:rsidR="004923DA" w:rsidRPr="00DE1710" w:rsidRDefault="009D59C2" w:rsidP="00FF7EBB">
            <w:pPr>
              <w:jc w:val="both"/>
              <w:rPr>
                <w:bCs/>
                <w:sz w:val="24"/>
                <w:szCs w:val="24"/>
              </w:rPr>
            </w:pPr>
            <w:r>
              <w:rPr>
                <w:b/>
                <w:sz w:val="24"/>
                <w:szCs w:val="24"/>
              </w:rPr>
              <w:t>T</w:t>
            </w:r>
            <w:r w:rsidR="004923DA" w:rsidRPr="008B28E7">
              <w:rPr>
                <w:b/>
                <w:sz w:val="24"/>
                <w:szCs w:val="24"/>
              </w:rPr>
              <w:t>elephone number:</w:t>
            </w:r>
            <w:r w:rsidR="00DE1710">
              <w:rPr>
                <w:b/>
                <w:sz w:val="24"/>
                <w:szCs w:val="24"/>
              </w:rPr>
              <w:t xml:space="preserve"> </w:t>
            </w:r>
            <w:r w:rsidR="00DE1710">
              <w:rPr>
                <w:bCs/>
                <w:sz w:val="24"/>
                <w:szCs w:val="24"/>
              </w:rPr>
              <w:t>01792 517853</w:t>
            </w:r>
          </w:p>
          <w:p w14:paraId="0BB87919" w14:textId="548A11EF" w:rsidR="009D59C2" w:rsidRDefault="009D59C2" w:rsidP="00FF7EBB">
            <w:pPr>
              <w:jc w:val="both"/>
              <w:rPr>
                <w:b/>
                <w:sz w:val="24"/>
                <w:szCs w:val="24"/>
              </w:rPr>
            </w:pPr>
          </w:p>
          <w:p w14:paraId="4FDEE73F" w14:textId="5E280716" w:rsidR="009D59C2" w:rsidRPr="00DE1710" w:rsidRDefault="009D59C2" w:rsidP="00FF7EBB">
            <w:pPr>
              <w:jc w:val="both"/>
              <w:rPr>
                <w:bCs/>
                <w:sz w:val="24"/>
                <w:szCs w:val="24"/>
              </w:rPr>
            </w:pPr>
            <w:r>
              <w:rPr>
                <w:b/>
                <w:sz w:val="24"/>
                <w:szCs w:val="24"/>
              </w:rPr>
              <w:t>Email address:</w:t>
            </w:r>
            <w:r w:rsidR="00DE1710">
              <w:rPr>
                <w:b/>
                <w:sz w:val="24"/>
                <w:szCs w:val="24"/>
              </w:rPr>
              <w:t xml:space="preserve"> n</w:t>
            </w:r>
            <w:r w:rsidR="00DE1710">
              <w:rPr>
                <w:bCs/>
                <w:sz w:val="24"/>
                <w:szCs w:val="24"/>
              </w:rPr>
              <w:t>adia.dolan@swansea.gov.uk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78262AC4" w14:textId="3392597C"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8D1E076" w:rsidR="00BC5725" w:rsidRPr="008B28E7" w:rsidRDefault="006644A9"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inline distT="0" distB="0" distL="0" distR="0" wp14:anchorId="269D0196" wp14:editId="70528E90">
            <wp:extent cx="1738093" cy="560705"/>
            <wp:effectExtent l="0" t="0" r="0" b="0"/>
            <wp:docPr id="223276897" name="Picture 1" descr="A close-up of a handwritt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11104" name="Picture 1" descr="A close-up of a handwritten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0559" cy="567953"/>
                    </a:xfrm>
                    <a:prstGeom prst="rect">
                      <a:avLst/>
                    </a:prstGeom>
                  </pic:spPr>
                </pic:pic>
              </a:graphicData>
            </a:graphic>
          </wp:inline>
        </w:drawing>
      </w:r>
    </w:p>
    <w:p w14:paraId="7A6B46C8" w14:textId="52AB37C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2AADF0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644A9">
        <w:rPr>
          <w:sz w:val="24"/>
          <w:szCs w:val="24"/>
        </w:rPr>
        <w:t>06/11/2024</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3BEEE4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DE1710">
        <w:rPr>
          <w:noProof/>
          <w:sz w:val="24"/>
          <w:szCs w:val="24"/>
        </w:rPr>
        <w:drawing>
          <wp:inline distT="0" distB="0" distL="0" distR="0" wp14:anchorId="23E3F8CF" wp14:editId="6CE336EC">
            <wp:extent cx="1322705" cy="438785"/>
            <wp:effectExtent l="0" t="0" r="0" b="0"/>
            <wp:docPr id="628489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22705" cy="438785"/>
                    </a:xfrm>
                    <a:prstGeom prst="rect">
                      <a:avLst/>
                    </a:prstGeom>
                    <a:noFill/>
                  </pic:spPr>
                </pic:pic>
              </a:graphicData>
            </a:graphic>
          </wp:inline>
        </w:drawing>
      </w:r>
      <w:r w:rsidR="009D59C2">
        <w:rPr>
          <w:sz w:val="24"/>
          <w:szCs w:val="24"/>
        </w:rPr>
        <w:t xml:space="preserve"> </w:t>
      </w:r>
      <w:r w:rsidRPr="008B28E7">
        <w:rPr>
          <w:sz w:val="24"/>
          <w:szCs w:val="24"/>
        </w:rPr>
        <w:t xml:space="preserve"> </w:t>
      </w:r>
      <w:r w:rsidR="00DE1710">
        <w:rPr>
          <w:sz w:val="24"/>
          <w:szCs w:val="24"/>
        </w:rPr>
        <w:t xml:space="preserve">                </w:t>
      </w:r>
      <w:proofErr w:type="gramStart"/>
      <w:r w:rsidR="00DE1710">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697AE8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E1710">
        <w:rPr>
          <w:sz w:val="24"/>
          <w:szCs w:val="24"/>
        </w:rPr>
        <w:t>06.10.2025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Default="001E2EB6" w:rsidP="00335C41">
            <w:pPr>
              <w:ind w:right="180"/>
              <w:jc w:val="both"/>
              <w:rPr>
                <w:b/>
                <w:sz w:val="24"/>
                <w:szCs w:val="24"/>
              </w:rPr>
            </w:pPr>
          </w:p>
          <w:p w14:paraId="170506D8" w14:textId="77777777" w:rsidR="005B4E6C" w:rsidRDefault="005B4E6C" w:rsidP="00335C41">
            <w:pPr>
              <w:ind w:right="180"/>
              <w:jc w:val="both"/>
              <w:rPr>
                <w:b/>
                <w:sz w:val="24"/>
                <w:szCs w:val="24"/>
              </w:rPr>
            </w:pPr>
          </w:p>
          <w:p w14:paraId="59018BC2" w14:textId="6F00F156" w:rsidR="005B4E6C" w:rsidRPr="005B4E6C" w:rsidRDefault="005B4E6C" w:rsidP="005B4E6C">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5B4E6C">
              <w:rPr>
                <w:rFonts w:eastAsia="Aptos"/>
                <w:color w:val="auto"/>
                <w:kern w:val="2"/>
                <w:sz w:val="24"/>
                <w:szCs w:val="24"/>
                <w:lang w:eastAsia="en-US"/>
                <w14:ligatures w14:val="standardContextual"/>
              </w:rPr>
              <w:t>This has contributed towards the balanced professional approach to social work practice that she is able to use today. I wish her the best for the future.</w:t>
            </w:r>
          </w:p>
          <w:p w14:paraId="2B5B6493" w14:textId="77777777" w:rsidR="005B4E6C" w:rsidRPr="005B4E6C" w:rsidRDefault="005B4E6C" w:rsidP="005B4E6C">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6C2E1FBC" w14:textId="77777777" w:rsidR="005B4E6C" w:rsidRPr="005B4E6C" w:rsidRDefault="005B4E6C" w:rsidP="005B4E6C">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5E7362D" w:rsidR="00335C41" w:rsidRPr="00D3203C" w:rsidRDefault="00335C41" w:rsidP="00335C41">
            <w:pPr>
              <w:ind w:right="180"/>
              <w:jc w:val="both"/>
              <w:rPr>
                <w:sz w:val="24"/>
                <w:szCs w:val="24"/>
              </w:rPr>
            </w:pPr>
            <w:r w:rsidRPr="00D3203C">
              <w:rPr>
                <w:sz w:val="24"/>
                <w:szCs w:val="24"/>
              </w:rPr>
              <w:t>Signed__</w:t>
            </w:r>
            <w:r w:rsidR="00E46C07">
              <w:rPr>
                <w:noProof/>
                <w:sz w:val="24"/>
                <w:szCs w:val="24"/>
              </w:rPr>
              <mc:AlternateContent>
                <mc:Choice Requires="wpi">
                  <w:drawing>
                    <wp:anchor distT="0" distB="0" distL="114300" distR="114300" simplePos="0" relativeHeight="251675648" behindDoc="0" locked="0" layoutInCell="1" allowOverlap="1" wp14:anchorId="59A4955A" wp14:editId="1A027EA8">
                      <wp:simplePos x="0" y="0"/>
                      <wp:positionH relativeFrom="column">
                        <wp:posOffset>-6350</wp:posOffset>
                      </wp:positionH>
                      <wp:positionV relativeFrom="paragraph">
                        <wp:posOffset>49530</wp:posOffset>
                      </wp:positionV>
                      <wp:extent cx="1168560" cy="283320"/>
                      <wp:effectExtent l="38100" t="38100" r="31750" b="40640"/>
                      <wp:wrapNone/>
                      <wp:docPr id="1972115947"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1168560" cy="283320"/>
                            </w14:xfrm>
                          </w14:contentPart>
                        </a:graphicData>
                      </a:graphic>
                    </wp:anchor>
                  </w:drawing>
                </mc:Choice>
                <mc:Fallback>
                  <w:pict>
                    <v:shapetype w14:anchorId="2A14AC9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pt;margin-top:3.4pt;width:93pt;height:23.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">
                      <v:imagedata r:id="rId21" o:title=""/>
                    </v:shape>
                  </w:pict>
                </mc:Fallback>
              </mc:AlternateContent>
            </w:r>
            <w:r w:rsidRPr="00D3203C">
              <w:rPr>
                <w:sz w:val="24"/>
                <w:szCs w:val="24"/>
              </w:rPr>
              <w:t>______________________ (Mentor)</w:t>
            </w:r>
            <w:r w:rsidR="00E46C07">
              <w:rPr>
                <w:sz w:val="24"/>
                <w:szCs w:val="24"/>
              </w:rPr>
              <w:t xml:space="preserve"> Chris Latty</w:t>
            </w:r>
          </w:p>
          <w:p w14:paraId="5D3F0767" w14:textId="77777777" w:rsidR="00335C41" w:rsidRPr="00D3203C" w:rsidRDefault="00335C41" w:rsidP="00335C41">
            <w:pPr>
              <w:ind w:right="180"/>
              <w:jc w:val="both"/>
              <w:rPr>
                <w:sz w:val="24"/>
                <w:szCs w:val="24"/>
              </w:rPr>
            </w:pPr>
          </w:p>
          <w:p w14:paraId="24E1B8A5" w14:textId="1A2FD84A" w:rsidR="00335C41" w:rsidRPr="00D3203C" w:rsidRDefault="00335C41" w:rsidP="00335C41">
            <w:pPr>
              <w:ind w:right="180"/>
              <w:jc w:val="both"/>
              <w:rPr>
                <w:sz w:val="24"/>
                <w:szCs w:val="24"/>
              </w:rPr>
            </w:pPr>
            <w:r w:rsidRPr="00D3203C">
              <w:rPr>
                <w:sz w:val="24"/>
                <w:szCs w:val="24"/>
              </w:rPr>
              <w:t>Date ___</w:t>
            </w:r>
            <w:r w:rsidR="00E46C07">
              <w:rPr>
                <w:sz w:val="24"/>
                <w:szCs w:val="24"/>
              </w:rPr>
              <w:t>06/10/2025</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0CC250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803A94">
        <w:rPr>
          <w:caps/>
          <w:sz w:val="24"/>
          <w:szCs w:val="24"/>
        </w:rPr>
        <w:t>Chris Woods</w:t>
      </w:r>
      <w:r w:rsidR="00B577D3">
        <w:rPr>
          <w:caps/>
          <w:sz w:val="24"/>
          <w:szCs w:val="24"/>
        </w:rPr>
        <w:t>_ _ _ _ _ _ _ _ _ _ _ _ _ _ _ _ _ _ _ _ _ _ _ _ _</w:t>
      </w:r>
    </w:p>
    <w:p w14:paraId="7C11F360" w14:textId="7FB61D6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w:t>
      </w:r>
      <w:r w:rsidR="00803A94">
        <w:rPr>
          <w:noProof/>
        </w:rPr>
        <w:drawing>
          <wp:inline distT="0" distB="0" distL="0" distR="0" wp14:anchorId="0892E392" wp14:editId="063101EE">
            <wp:extent cx="2476500" cy="933450"/>
            <wp:effectExtent l="0" t="0" r="0" b="0"/>
            <wp:docPr id="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6500" cy="933450"/>
                    </a:xfrm>
                    <a:prstGeom prst="rect">
                      <a:avLst/>
                    </a:prstGeom>
                    <a:noFill/>
                    <a:ln>
                      <a:noFill/>
                    </a:ln>
                  </pic:spPr>
                </pic:pic>
              </a:graphicData>
            </a:graphic>
          </wp:inline>
        </w:drawing>
      </w:r>
      <w:r w:rsidR="00B577D3" w:rsidRPr="00B577D3">
        <w:rPr>
          <w:sz w:val="24"/>
          <w:szCs w:val="24"/>
        </w:rPr>
        <w:t xml:space="preserve">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463FBD3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803A94">
        <w:rPr>
          <w:sz w:val="24"/>
          <w:szCs w:val="24"/>
        </w:rPr>
        <w:t>06/10/2025</w:t>
      </w:r>
      <w:r w:rsidR="00B577D3"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2775E21D" w:rsidR="00D05A5D" w:rsidRPr="00DA5682" w:rsidRDefault="00441C93" w:rsidP="00CC14B6">
            <w:pPr>
              <w:rPr>
                <w:sz w:val="24"/>
                <w:szCs w:val="24"/>
              </w:rPr>
            </w:pPr>
            <w:r>
              <w:rPr>
                <w:sz w:val="24"/>
                <w:szCs w:val="24"/>
              </w:rPr>
              <w:t>Paidamoyo Maziwisa</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D4C262B" w:rsidR="00D05A5D" w:rsidRPr="00DA5682" w:rsidRDefault="0084430C" w:rsidP="00CC14B6">
            <w:pPr>
              <w:rPr>
                <w:sz w:val="24"/>
                <w:szCs w:val="24"/>
              </w:rPr>
            </w:pPr>
            <w:r>
              <w:rPr>
                <w:sz w:val="24"/>
                <w:szCs w:val="24"/>
              </w:rPr>
              <w:t>Community Mental Health Team, Central clinic</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B159270" w:rsidR="00D05A5D" w:rsidRPr="00DA5682" w:rsidRDefault="0084430C" w:rsidP="00CC14B6">
            <w:pPr>
              <w:rPr>
                <w:sz w:val="24"/>
                <w:szCs w:val="24"/>
              </w:rPr>
            </w:pPr>
            <w:r>
              <w:rPr>
                <w:sz w:val="24"/>
                <w:szCs w:val="24"/>
              </w:rPr>
              <w:t>Chris Latty</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94B09B8" w:rsidR="00D05A5D" w:rsidRPr="00DA5682" w:rsidRDefault="0084430C" w:rsidP="00CC14B6">
            <w:pPr>
              <w:rPr>
                <w:sz w:val="24"/>
                <w:szCs w:val="24"/>
              </w:rPr>
            </w:pPr>
            <w:r>
              <w:rPr>
                <w:sz w:val="24"/>
                <w:szCs w:val="24"/>
              </w:rPr>
              <w:t>Chris Woods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40E68D48" w:rsidR="00D05A5D" w:rsidRPr="00DA5682" w:rsidRDefault="00D05A5D" w:rsidP="00D05A5D">
      <w:pPr>
        <w:rPr>
          <w:sz w:val="24"/>
          <w:szCs w:val="24"/>
        </w:rPr>
      </w:pPr>
      <w:r w:rsidRPr="00DA5682">
        <w:rPr>
          <w:sz w:val="24"/>
          <w:szCs w:val="24"/>
        </w:rPr>
        <w:t>Signed:………</w:t>
      </w:r>
      <w:r w:rsidR="00022EED">
        <w:rPr>
          <w:noProof/>
          <w:sz w:val="24"/>
          <w:szCs w:val="24"/>
        </w:rPr>
        <w:drawing>
          <wp:inline distT="0" distB="0" distL="0" distR="0" wp14:anchorId="49EB3772" wp14:editId="3AC3C1BA">
            <wp:extent cx="1738093" cy="560705"/>
            <wp:effectExtent l="0" t="0" r="0" b="0"/>
            <wp:docPr id="950711104" name="Picture 1" descr="A close-up of a handwritt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11104" name="Picture 1" descr="A close-up of a handwritten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0559" cy="567953"/>
                    </a:xfrm>
                    <a:prstGeom prst="rect">
                      <a:avLst/>
                    </a:prstGeom>
                  </pic:spPr>
                </pic:pic>
              </a:graphicData>
            </a:graphic>
          </wp:inline>
        </w:drawing>
      </w:r>
      <w:r w:rsidRPr="00DA5682">
        <w:rPr>
          <w:sz w:val="24"/>
          <w:szCs w:val="24"/>
        </w:rPr>
        <w:t xml:space="preserve"> Print Name:</w:t>
      </w:r>
      <w:r w:rsidR="00022EED">
        <w:rPr>
          <w:sz w:val="24"/>
          <w:szCs w:val="24"/>
        </w:rPr>
        <w:t xml:space="preserve"> Paidamoyo </w:t>
      </w:r>
      <w:proofErr w:type="gramStart"/>
      <w:r w:rsidR="00022EED">
        <w:rPr>
          <w:sz w:val="24"/>
          <w:szCs w:val="24"/>
        </w:rPr>
        <w:t xml:space="preserve">Maziwisa </w:t>
      </w:r>
      <w:r w:rsidRPr="00DA5682">
        <w:rPr>
          <w:sz w:val="24"/>
          <w:szCs w:val="24"/>
        </w:rPr>
        <w:t xml:space="preserve"> Date</w:t>
      </w:r>
      <w:proofErr w:type="gramEnd"/>
      <w:r w:rsidRPr="00DA5682">
        <w:rPr>
          <w:sz w:val="24"/>
          <w:szCs w:val="24"/>
        </w:rPr>
        <w:t>:</w:t>
      </w:r>
      <w:r w:rsidR="00ED2408">
        <w:rPr>
          <w:sz w:val="24"/>
          <w:szCs w:val="24"/>
        </w:rPr>
        <w:t>06/11/2024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F90CCEE" w:rsidR="00D05A5D" w:rsidRPr="00DA5682" w:rsidRDefault="00A10DAF" w:rsidP="00D05A5D">
      <w:pPr>
        <w:rPr>
          <w:sz w:val="24"/>
          <w:szCs w:val="24"/>
        </w:rPr>
      </w:pPr>
      <w:r>
        <w:rPr>
          <w:noProof/>
          <w:sz w:val="24"/>
          <w:szCs w:val="24"/>
        </w:rPr>
        <mc:AlternateContent>
          <mc:Choice Requires="wpi">
            <w:drawing>
              <wp:anchor distT="0" distB="0" distL="114300" distR="114300" simplePos="0" relativeHeight="251673600" behindDoc="0" locked="0" layoutInCell="1" allowOverlap="1" wp14:anchorId="3D174421" wp14:editId="364827AA">
                <wp:simplePos x="0" y="0"/>
                <wp:positionH relativeFrom="column">
                  <wp:posOffset>3000590</wp:posOffset>
                </wp:positionH>
                <wp:positionV relativeFrom="paragraph">
                  <wp:posOffset>87765</wp:posOffset>
                </wp:positionV>
                <wp:extent cx="360" cy="360"/>
                <wp:effectExtent l="38100" t="38100" r="38100" b="38100"/>
                <wp:wrapNone/>
                <wp:docPr id="1050521075" name="Ink 15"/>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3A55E1A0" id="Ink 15" o:spid="_x0000_s1026" type="#_x0000_t75" style="position:absolute;margin-left:235.75pt;margin-top:6.4pt;width:1.05pt;height:1.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">
                <v:imagedata r:id="rId24" o:title=""/>
              </v:shape>
            </w:pict>
          </mc:Fallback>
        </mc:AlternateContent>
      </w:r>
      <w:r>
        <w:rPr>
          <w:noProof/>
          <w:sz w:val="24"/>
          <w:szCs w:val="24"/>
        </w:rPr>
        <mc:AlternateContent>
          <mc:Choice Requires="wpi">
            <w:drawing>
              <wp:anchor distT="0" distB="0" distL="114300" distR="114300" simplePos="0" relativeHeight="251672576" behindDoc="0" locked="0" layoutInCell="1" allowOverlap="1" wp14:anchorId="3DCA0524" wp14:editId="272B1D5F">
                <wp:simplePos x="0" y="0"/>
                <wp:positionH relativeFrom="column">
                  <wp:posOffset>2994025</wp:posOffset>
                </wp:positionH>
                <wp:positionV relativeFrom="paragraph">
                  <wp:posOffset>43180</wp:posOffset>
                </wp:positionV>
                <wp:extent cx="228960" cy="44810"/>
                <wp:effectExtent l="38100" t="38100" r="38100" b="50800"/>
                <wp:wrapNone/>
                <wp:docPr id="833494297" name="Ink 14"/>
                <wp:cNvGraphicFramePr/>
                <a:graphic xmlns:a="http://schemas.openxmlformats.org/drawingml/2006/main">
                  <a:graphicData uri="http://schemas.microsoft.com/office/word/2010/wordprocessingInk">
                    <w14:contentPart bwMode="auto" r:id="rId25">
                      <w14:nvContentPartPr>
                        <w14:cNvContentPartPr/>
                      </w14:nvContentPartPr>
                      <w14:xfrm>
                        <a:off x="0" y="0"/>
                        <a:ext cx="228960" cy="44810"/>
                      </w14:xfrm>
                    </w14:contentPart>
                  </a:graphicData>
                </a:graphic>
              </wp:anchor>
            </w:drawing>
          </mc:Choice>
          <mc:Fallback>
            <w:pict>
              <v:shape w14:anchorId="23BB159F" id="Ink 14" o:spid="_x0000_s1026" type="#_x0000_t75" style="position:absolute;margin-left:235.25pt;margin-top:2.9pt;width:19.05pt;height:4.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">
                <v:imagedata r:id="rId26"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17502226" wp14:editId="15BA06E8">
                <wp:simplePos x="0" y="0"/>
                <wp:positionH relativeFrom="column">
                  <wp:posOffset>3089150</wp:posOffset>
                </wp:positionH>
                <wp:positionV relativeFrom="paragraph">
                  <wp:posOffset>125925</wp:posOffset>
                </wp:positionV>
                <wp:extent cx="360" cy="360"/>
                <wp:effectExtent l="38100" t="38100" r="38100" b="38100"/>
                <wp:wrapNone/>
                <wp:docPr id="859742059" name="Ink 9"/>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3666EDFB" id="Ink 9" o:spid="_x0000_s1026" type="#_x0000_t75" style="position:absolute;margin-left:242.75pt;margin-top:9.4pt;width:1.05pt;height:1.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">
                <v:imagedata r:id="rId24" o:title=""/>
              </v:shape>
            </w:pict>
          </mc:Fallback>
        </mc:AlternateContent>
      </w:r>
      <w:r>
        <w:rPr>
          <w:noProof/>
          <w:sz w:val="24"/>
          <w:szCs w:val="24"/>
        </w:rPr>
        <mc:AlternateContent>
          <mc:Choice Requires="wpi">
            <w:drawing>
              <wp:anchor distT="0" distB="0" distL="114300" distR="114300" simplePos="0" relativeHeight="251664384" behindDoc="0" locked="0" layoutInCell="1" allowOverlap="1" wp14:anchorId="44BED6C9" wp14:editId="147A406D">
                <wp:simplePos x="0" y="0"/>
                <wp:positionH relativeFrom="column">
                  <wp:posOffset>2917825</wp:posOffset>
                </wp:positionH>
                <wp:positionV relativeFrom="paragraph">
                  <wp:posOffset>100330</wp:posOffset>
                </wp:positionV>
                <wp:extent cx="152400" cy="25400"/>
                <wp:effectExtent l="38100" t="38100" r="38100" b="50800"/>
                <wp:wrapNone/>
                <wp:docPr id="1041763846" name="Ink 6"/>
                <wp:cNvGraphicFramePr/>
                <a:graphic xmlns:a="http://schemas.openxmlformats.org/drawingml/2006/main">
                  <a:graphicData uri="http://schemas.microsoft.com/office/word/2010/wordprocessingInk">
                    <w14:contentPart bwMode="auto" r:id="rId28">
                      <w14:nvContentPartPr>
                        <w14:cNvContentPartPr/>
                      </w14:nvContentPartPr>
                      <w14:xfrm>
                        <a:off x="0" y="0"/>
                        <a:ext cx="152400" cy="25400"/>
                      </w14:xfrm>
                    </w14:contentPart>
                  </a:graphicData>
                </a:graphic>
              </wp:anchor>
            </w:drawing>
          </mc:Choice>
          <mc:Fallback>
            <w:pict>
              <v:shape w14:anchorId="2EC71C50" id="Ink 6" o:spid="_x0000_s1026" type="#_x0000_t75" style="position:absolute;margin-left:229.25pt;margin-top:7.45pt;width:12.95pt;height:2.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">
                <v:imagedata r:id="rId29"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149264D3" wp14:editId="5891F075">
                <wp:simplePos x="0" y="0"/>
                <wp:positionH relativeFrom="column">
                  <wp:posOffset>769670</wp:posOffset>
                </wp:positionH>
                <wp:positionV relativeFrom="paragraph">
                  <wp:posOffset>-131115</wp:posOffset>
                </wp:positionV>
                <wp:extent cx="1168560" cy="283320"/>
                <wp:effectExtent l="38100" t="38100" r="31750" b="40640"/>
                <wp:wrapNone/>
                <wp:docPr id="1868025138" name="Ink 1"/>
                <wp:cNvGraphicFramePr/>
                <a:graphic xmlns:a="http://schemas.openxmlformats.org/drawingml/2006/main">
                  <a:graphicData uri="http://schemas.microsoft.com/office/word/2010/wordprocessingInk">
                    <w14:contentPart bwMode="auto" r:id="rId30">
                      <w14:nvContentPartPr>
                        <w14:cNvContentPartPr/>
                      </w14:nvContentPartPr>
                      <w14:xfrm>
                        <a:off x="0" y="0"/>
                        <a:ext cx="1168560" cy="283320"/>
                      </w14:xfrm>
                    </w14:contentPart>
                  </a:graphicData>
                </a:graphic>
              </wp:anchor>
            </w:drawing>
          </mc:Choice>
          <mc:Fallback>
            <w:pict>
              <v:shape w14:anchorId="189738CD" id="Ink 1" o:spid="_x0000_s1026" type="#_x0000_t75" style="position:absolute;margin-left:60.1pt;margin-top:-10.8pt;width:93pt;height:23.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">
                <v:imagedata r:id="rId21" o:title=""/>
              </v:shape>
            </w:pict>
          </mc:Fallback>
        </mc:AlternateContent>
      </w:r>
      <w:r w:rsidR="00D05A5D" w:rsidRPr="00DA5682">
        <w:rPr>
          <w:sz w:val="24"/>
          <w:szCs w:val="24"/>
        </w:rPr>
        <w:t xml:space="preserve">Signed:……………………….. Print </w:t>
      </w:r>
      <w:proofErr w:type="gramStart"/>
      <w:r w:rsidR="00D05A5D" w:rsidRPr="00DA5682">
        <w:rPr>
          <w:sz w:val="24"/>
          <w:szCs w:val="24"/>
        </w:rPr>
        <w:t>Name:</w:t>
      </w:r>
      <w:r w:rsidR="003836E6">
        <w:rPr>
          <w:sz w:val="24"/>
          <w:szCs w:val="24"/>
        </w:rPr>
        <w:t>….Chris</w:t>
      </w:r>
      <w:proofErr w:type="gramEnd"/>
      <w:r w:rsidR="003836E6">
        <w:rPr>
          <w:sz w:val="24"/>
          <w:szCs w:val="24"/>
        </w:rPr>
        <w:t xml:space="preserve"> Latty</w:t>
      </w:r>
      <w:r w:rsidR="00D05A5D" w:rsidRPr="00DA5682">
        <w:rPr>
          <w:sz w:val="24"/>
          <w:szCs w:val="24"/>
        </w:rPr>
        <w:t>……………</w:t>
      </w:r>
      <w:proofErr w:type="gramStart"/>
      <w:r w:rsidR="00D05A5D" w:rsidRPr="00DA5682">
        <w:rPr>
          <w:sz w:val="24"/>
          <w:szCs w:val="24"/>
        </w:rPr>
        <w:t>….Date</w:t>
      </w:r>
      <w:proofErr w:type="gramEnd"/>
      <w:r w:rsidR="00D05A5D" w:rsidRPr="00DA5682">
        <w:rPr>
          <w:sz w:val="24"/>
          <w:szCs w:val="24"/>
        </w:rPr>
        <w:t>:</w:t>
      </w:r>
      <w:r w:rsidR="003836E6">
        <w:rPr>
          <w:sz w:val="24"/>
          <w:szCs w:val="24"/>
        </w:rPr>
        <w:t>07/11/2024</w:t>
      </w:r>
      <w:r w:rsidR="00D05A5D"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6B9F6541" w:rsidR="00D05A5D" w:rsidRPr="00DA5682" w:rsidRDefault="00A10DAF" w:rsidP="00D05A5D">
      <w:pPr>
        <w:rPr>
          <w:sz w:val="24"/>
          <w:szCs w:val="24"/>
        </w:rPr>
      </w:pPr>
      <w:r>
        <w:rPr>
          <w:noProof/>
          <w:sz w:val="24"/>
          <w:szCs w:val="24"/>
        </w:rPr>
        <mc:AlternateContent>
          <mc:Choice Requires="wpi">
            <w:drawing>
              <wp:anchor distT="0" distB="0" distL="114300" distR="114300" simplePos="0" relativeHeight="251666432" behindDoc="0" locked="0" layoutInCell="1" allowOverlap="1" wp14:anchorId="5CFC6419" wp14:editId="41C89090">
                <wp:simplePos x="0" y="0"/>
                <wp:positionH relativeFrom="column">
                  <wp:posOffset>1025990</wp:posOffset>
                </wp:positionH>
                <wp:positionV relativeFrom="paragraph">
                  <wp:posOffset>111645</wp:posOffset>
                </wp:positionV>
                <wp:extent cx="293040" cy="25920"/>
                <wp:effectExtent l="38100" t="38100" r="50165" b="50800"/>
                <wp:wrapNone/>
                <wp:docPr id="1782152418" name="Ink 8"/>
                <wp:cNvGraphicFramePr/>
                <a:graphic xmlns:a="http://schemas.openxmlformats.org/drawingml/2006/main">
                  <a:graphicData uri="http://schemas.microsoft.com/office/word/2010/wordprocessingInk">
                    <w14:contentPart bwMode="auto" r:id="rId31">
                      <w14:nvContentPartPr>
                        <w14:cNvContentPartPr/>
                      </w14:nvContentPartPr>
                      <w14:xfrm>
                        <a:off x="0" y="0"/>
                        <a:ext cx="293040" cy="25920"/>
                      </w14:xfrm>
                    </w14:contentPart>
                  </a:graphicData>
                </a:graphic>
              </wp:anchor>
            </w:drawing>
          </mc:Choice>
          <mc:Fallback>
            <w:pict>
              <v:shape w14:anchorId="03E53654" id="Ink 8" o:spid="_x0000_s1026" type="#_x0000_t75" style="position:absolute;margin-left:80.3pt;margin-top:8.3pt;width:24.05pt;height:3.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">
                <v:imagedata r:id="rId32"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615A65C5" wp14:editId="18F93FDD">
                <wp:simplePos x="0" y="0"/>
                <wp:positionH relativeFrom="column">
                  <wp:posOffset>829790</wp:posOffset>
                </wp:positionH>
                <wp:positionV relativeFrom="paragraph">
                  <wp:posOffset>16245</wp:posOffset>
                </wp:positionV>
                <wp:extent cx="579240" cy="6120"/>
                <wp:effectExtent l="38100" t="38100" r="49530" b="51435"/>
                <wp:wrapNone/>
                <wp:docPr id="472475313" name="Ink 7"/>
                <wp:cNvGraphicFramePr/>
                <a:graphic xmlns:a="http://schemas.openxmlformats.org/drawingml/2006/main">
                  <a:graphicData uri="http://schemas.microsoft.com/office/word/2010/wordprocessingInk">
                    <w14:contentPart bwMode="auto" r:id="rId33">
                      <w14:nvContentPartPr>
                        <w14:cNvContentPartPr/>
                      </w14:nvContentPartPr>
                      <w14:xfrm>
                        <a:off x="0" y="0"/>
                        <a:ext cx="579240" cy="6120"/>
                      </w14:xfrm>
                    </w14:contentPart>
                  </a:graphicData>
                </a:graphic>
              </wp:anchor>
            </w:drawing>
          </mc:Choice>
          <mc:Fallback>
            <w:pict>
              <v:shape w14:anchorId="27BE4B38" id="Ink 7" o:spid="_x0000_s1026" type="#_x0000_t75" style="position:absolute;margin-left:64.85pt;margin-top:.8pt;width:46.55pt;height: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">
                <v:imagedata r:id="rId34" o:title=""/>
              </v:shape>
            </w:pict>
          </mc:Fallback>
        </mc:AlternateContent>
      </w:r>
    </w:p>
    <w:p w14:paraId="63183983" w14:textId="77777777" w:rsidR="00D05A5D" w:rsidRPr="00DA5682" w:rsidRDefault="00D05A5D" w:rsidP="00D05A5D">
      <w:pPr>
        <w:rPr>
          <w:sz w:val="24"/>
          <w:szCs w:val="24"/>
        </w:rPr>
      </w:pPr>
      <w:r w:rsidRPr="00DA5682">
        <w:rPr>
          <w:sz w:val="24"/>
          <w:szCs w:val="24"/>
        </w:rPr>
        <w:t>Signed:……………………….. Print Name:………………………</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sectPr w:rsidR="00BB6638" w:rsidRPr="00DA5682" w:rsidSect="00F15354">
      <w:headerReference w:type="default" r:id="rId35"/>
      <w:footerReference w:type="default" r:id="rId3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42EF0" w14:textId="77777777" w:rsidR="008E063B" w:rsidRDefault="008E063B">
      <w:r>
        <w:separator/>
      </w:r>
    </w:p>
  </w:endnote>
  <w:endnote w:type="continuationSeparator" w:id="0">
    <w:p w14:paraId="4BBB288D" w14:textId="77777777" w:rsidR="008E063B" w:rsidRDefault="008E06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26560" w14:textId="77777777" w:rsidR="008E063B" w:rsidRDefault="008E063B">
      <w:r>
        <w:separator/>
      </w:r>
    </w:p>
  </w:footnote>
  <w:footnote w:type="continuationSeparator" w:id="0">
    <w:p w14:paraId="7A99DBC0" w14:textId="77777777" w:rsidR="008E063B" w:rsidRDefault="008E06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5D2"/>
    <w:rsid w:val="00002C7A"/>
    <w:rsid w:val="000045B8"/>
    <w:rsid w:val="000072DB"/>
    <w:rsid w:val="00011F6E"/>
    <w:rsid w:val="00012B16"/>
    <w:rsid w:val="00020EEC"/>
    <w:rsid w:val="00020FB4"/>
    <w:rsid w:val="00022EED"/>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6625F"/>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C46"/>
    <w:rsid w:val="000B759A"/>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1E8"/>
    <w:rsid w:val="001063AF"/>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0EF8"/>
    <w:rsid w:val="001630B6"/>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3936"/>
    <w:rsid w:val="001E604B"/>
    <w:rsid w:val="001F2CD9"/>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4D2"/>
    <w:rsid w:val="00260663"/>
    <w:rsid w:val="002657E9"/>
    <w:rsid w:val="0026665E"/>
    <w:rsid w:val="0027147E"/>
    <w:rsid w:val="00272CB6"/>
    <w:rsid w:val="00273576"/>
    <w:rsid w:val="002761F4"/>
    <w:rsid w:val="002775E1"/>
    <w:rsid w:val="00277979"/>
    <w:rsid w:val="00291ADD"/>
    <w:rsid w:val="002920DF"/>
    <w:rsid w:val="00292F3D"/>
    <w:rsid w:val="00293270"/>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406"/>
    <w:rsid w:val="0033771E"/>
    <w:rsid w:val="00337FEF"/>
    <w:rsid w:val="00354B6D"/>
    <w:rsid w:val="00355210"/>
    <w:rsid w:val="00355CFD"/>
    <w:rsid w:val="00360B34"/>
    <w:rsid w:val="00364C9A"/>
    <w:rsid w:val="00365DF9"/>
    <w:rsid w:val="0037066E"/>
    <w:rsid w:val="00372DB4"/>
    <w:rsid w:val="00373A36"/>
    <w:rsid w:val="0037419E"/>
    <w:rsid w:val="00375AF5"/>
    <w:rsid w:val="003761BD"/>
    <w:rsid w:val="00377448"/>
    <w:rsid w:val="00377884"/>
    <w:rsid w:val="003826BD"/>
    <w:rsid w:val="003836E6"/>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7BFC"/>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10F8"/>
    <w:rsid w:val="00441C93"/>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7BA0"/>
    <w:rsid w:val="00521123"/>
    <w:rsid w:val="00521221"/>
    <w:rsid w:val="0052250B"/>
    <w:rsid w:val="005305C6"/>
    <w:rsid w:val="00535DD6"/>
    <w:rsid w:val="00540EEC"/>
    <w:rsid w:val="005414F4"/>
    <w:rsid w:val="00546187"/>
    <w:rsid w:val="00547B11"/>
    <w:rsid w:val="00557D77"/>
    <w:rsid w:val="00562EAA"/>
    <w:rsid w:val="00563B58"/>
    <w:rsid w:val="005640C4"/>
    <w:rsid w:val="0056684C"/>
    <w:rsid w:val="0057439F"/>
    <w:rsid w:val="00574A0C"/>
    <w:rsid w:val="0057780F"/>
    <w:rsid w:val="00581E0A"/>
    <w:rsid w:val="005841E5"/>
    <w:rsid w:val="00586D89"/>
    <w:rsid w:val="005877C8"/>
    <w:rsid w:val="00587923"/>
    <w:rsid w:val="00594F9F"/>
    <w:rsid w:val="005A1B4C"/>
    <w:rsid w:val="005A545C"/>
    <w:rsid w:val="005A54CC"/>
    <w:rsid w:val="005B271A"/>
    <w:rsid w:val="005B3A2D"/>
    <w:rsid w:val="005B4E6C"/>
    <w:rsid w:val="005B7C39"/>
    <w:rsid w:val="005C1567"/>
    <w:rsid w:val="005C28D3"/>
    <w:rsid w:val="005C6CE5"/>
    <w:rsid w:val="005D3F07"/>
    <w:rsid w:val="005D4A1E"/>
    <w:rsid w:val="005D4F72"/>
    <w:rsid w:val="005E13EA"/>
    <w:rsid w:val="005E17F1"/>
    <w:rsid w:val="005E7766"/>
    <w:rsid w:val="005F64AA"/>
    <w:rsid w:val="005F7851"/>
    <w:rsid w:val="00606E27"/>
    <w:rsid w:val="006108C9"/>
    <w:rsid w:val="00614DF7"/>
    <w:rsid w:val="006179BB"/>
    <w:rsid w:val="0062158D"/>
    <w:rsid w:val="006223FD"/>
    <w:rsid w:val="006326D1"/>
    <w:rsid w:val="00632E0A"/>
    <w:rsid w:val="00633165"/>
    <w:rsid w:val="00637ED4"/>
    <w:rsid w:val="006447DE"/>
    <w:rsid w:val="00644889"/>
    <w:rsid w:val="0065276E"/>
    <w:rsid w:val="00654329"/>
    <w:rsid w:val="00654CEC"/>
    <w:rsid w:val="00655507"/>
    <w:rsid w:val="006579FD"/>
    <w:rsid w:val="006635E3"/>
    <w:rsid w:val="006644A9"/>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713"/>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68EB"/>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765"/>
    <w:rsid w:val="007710AD"/>
    <w:rsid w:val="00772924"/>
    <w:rsid w:val="00780139"/>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A94"/>
    <w:rsid w:val="00803CA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30C"/>
    <w:rsid w:val="00844D98"/>
    <w:rsid w:val="00846D84"/>
    <w:rsid w:val="00850233"/>
    <w:rsid w:val="0085230E"/>
    <w:rsid w:val="008550A1"/>
    <w:rsid w:val="00861038"/>
    <w:rsid w:val="00865B58"/>
    <w:rsid w:val="00866B50"/>
    <w:rsid w:val="00867A63"/>
    <w:rsid w:val="008708F1"/>
    <w:rsid w:val="00871960"/>
    <w:rsid w:val="0087369F"/>
    <w:rsid w:val="00873EF8"/>
    <w:rsid w:val="00880539"/>
    <w:rsid w:val="008859E8"/>
    <w:rsid w:val="00886C0C"/>
    <w:rsid w:val="0088737B"/>
    <w:rsid w:val="00891078"/>
    <w:rsid w:val="00892716"/>
    <w:rsid w:val="00893067"/>
    <w:rsid w:val="008933DE"/>
    <w:rsid w:val="00895FCE"/>
    <w:rsid w:val="00897F3E"/>
    <w:rsid w:val="008A21B4"/>
    <w:rsid w:val="008A7A38"/>
    <w:rsid w:val="008B07DE"/>
    <w:rsid w:val="008B1309"/>
    <w:rsid w:val="008B28E7"/>
    <w:rsid w:val="008B67F6"/>
    <w:rsid w:val="008B6D5E"/>
    <w:rsid w:val="008C14C7"/>
    <w:rsid w:val="008C2FFB"/>
    <w:rsid w:val="008C633F"/>
    <w:rsid w:val="008C6EEA"/>
    <w:rsid w:val="008C7770"/>
    <w:rsid w:val="008C79C7"/>
    <w:rsid w:val="008D03B0"/>
    <w:rsid w:val="008D2150"/>
    <w:rsid w:val="008D5813"/>
    <w:rsid w:val="008D5999"/>
    <w:rsid w:val="008D634E"/>
    <w:rsid w:val="008D778A"/>
    <w:rsid w:val="008D78C9"/>
    <w:rsid w:val="008E063B"/>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4CA4"/>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06CB"/>
    <w:rsid w:val="009D4365"/>
    <w:rsid w:val="009D477B"/>
    <w:rsid w:val="009D4E3B"/>
    <w:rsid w:val="009D59C2"/>
    <w:rsid w:val="009D7BC9"/>
    <w:rsid w:val="009E122F"/>
    <w:rsid w:val="009E1982"/>
    <w:rsid w:val="009E4D2C"/>
    <w:rsid w:val="009F0978"/>
    <w:rsid w:val="009F2AC6"/>
    <w:rsid w:val="009F3AEC"/>
    <w:rsid w:val="009F6801"/>
    <w:rsid w:val="00A00081"/>
    <w:rsid w:val="00A06422"/>
    <w:rsid w:val="00A10D56"/>
    <w:rsid w:val="00A10DAF"/>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C51"/>
    <w:rsid w:val="00A732EA"/>
    <w:rsid w:val="00A7489E"/>
    <w:rsid w:val="00A8015F"/>
    <w:rsid w:val="00A85039"/>
    <w:rsid w:val="00A906AA"/>
    <w:rsid w:val="00A94C5E"/>
    <w:rsid w:val="00AA252C"/>
    <w:rsid w:val="00AA666E"/>
    <w:rsid w:val="00AA7960"/>
    <w:rsid w:val="00AB2724"/>
    <w:rsid w:val="00AB5518"/>
    <w:rsid w:val="00AC3A0E"/>
    <w:rsid w:val="00AC4A04"/>
    <w:rsid w:val="00AC5679"/>
    <w:rsid w:val="00AC5954"/>
    <w:rsid w:val="00AD336F"/>
    <w:rsid w:val="00AE134C"/>
    <w:rsid w:val="00AE1868"/>
    <w:rsid w:val="00AE2564"/>
    <w:rsid w:val="00AE301F"/>
    <w:rsid w:val="00AE3302"/>
    <w:rsid w:val="00AE5BA6"/>
    <w:rsid w:val="00AE6231"/>
    <w:rsid w:val="00AE7077"/>
    <w:rsid w:val="00AF3033"/>
    <w:rsid w:val="00AF61C2"/>
    <w:rsid w:val="00AF6CC6"/>
    <w:rsid w:val="00B0296A"/>
    <w:rsid w:val="00B07D6D"/>
    <w:rsid w:val="00B07E79"/>
    <w:rsid w:val="00B10A52"/>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513"/>
    <w:rsid w:val="00B7502A"/>
    <w:rsid w:val="00B77305"/>
    <w:rsid w:val="00B774BD"/>
    <w:rsid w:val="00B82CC2"/>
    <w:rsid w:val="00B84A89"/>
    <w:rsid w:val="00B9256C"/>
    <w:rsid w:val="00B92BEF"/>
    <w:rsid w:val="00B94443"/>
    <w:rsid w:val="00B9689A"/>
    <w:rsid w:val="00B97056"/>
    <w:rsid w:val="00BA531E"/>
    <w:rsid w:val="00BA728B"/>
    <w:rsid w:val="00BB06CB"/>
    <w:rsid w:val="00BB1111"/>
    <w:rsid w:val="00BB261F"/>
    <w:rsid w:val="00BB2887"/>
    <w:rsid w:val="00BB3B56"/>
    <w:rsid w:val="00BB5EAA"/>
    <w:rsid w:val="00BB5F11"/>
    <w:rsid w:val="00BB6638"/>
    <w:rsid w:val="00BB7FD2"/>
    <w:rsid w:val="00BC04FA"/>
    <w:rsid w:val="00BC1C22"/>
    <w:rsid w:val="00BC460B"/>
    <w:rsid w:val="00BC4ED3"/>
    <w:rsid w:val="00BC5725"/>
    <w:rsid w:val="00BD30B1"/>
    <w:rsid w:val="00BE090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640"/>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894"/>
    <w:rsid w:val="00C65921"/>
    <w:rsid w:val="00C7108B"/>
    <w:rsid w:val="00C75883"/>
    <w:rsid w:val="00C77FA5"/>
    <w:rsid w:val="00C8089F"/>
    <w:rsid w:val="00C812EE"/>
    <w:rsid w:val="00C81DC0"/>
    <w:rsid w:val="00C835FE"/>
    <w:rsid w:val="00C836CC"/>
    <w:rsid w:val="00C852D6"/>
    <w:rsid w:val="00C87A74"/>
    <w:rsid w:val="00C92C71"/>
    <w:rsid w:val="00C93F8F"/>
    <w:rsid w:val="00CA0894"/>
    <w:rsid w:val="00CA3593"/>
    <w:rsid w:val="00CA5726"/>
    <w:rsid w:val="00CA7E6A"/>
    <w:rsid w:val="00CB258E"/>
    <w:rsid w:val="00CB3C8F"/>
    <w:rsid w:val="00CB47E9"/>
    <w:rsid w:val="00CC02F1"/>
    <w:rsid w:val="00CC1122"/>
    <w:rsid w:val="00CC11A6"/>
    <w:rsid w:val="00CC135E"/>
    <w:rsid w:val="00CC7226"/>
    <w:rsid w:val="00CD0735"/>
    <w:rsid w:val="00CD45E3"/>
    <w:rsid w:val="00CD4771"/>
    <w:rsid w:val="00CD5089"/>
    <w:rsid w:val="00CD5D3F"/>
    <w:rsid w:val="00CD701B"/>
    <w:rsid w:val="00CD7E1F"/>
    <w:rsid w:val="00CE4BC4"/>
    <w:rsid w:val="00CE7DA2"/>
    <w:rsid w:val="00CF2F8A"/>
    <w:rsid w:val="00CF3DB3"/>
    <w:rsid w:val="00D0274B"/>
    <w:rsid w:val="00D03A54"/>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38CF"/>
    <w:rsid w:val="00D646BD"/>
    <w:rsid w:val="00D65558"/>
    <w:rsid w:val="00D71201"/>
    <w:rsid w:val="00D720C7"/>
    <w:rsid w:val="00D81A6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1710"/>
    <w:rsid w:val="00DE4296"/>
    <w:rsid w:val="00DF2469"/>
    <w:rsid w:val="00DF7899"/>
    <w:rsid w:val="00E0524C"/>
    <w:rsid w:val="00E15751"/>
    <w:rsid w:val="00E17160"/>
    <w:rsid w:val="00E17D41"/>
    <w:rsid w:val="00E231D1"/>
    <w:rsid w:val="00E3288D"/>
    <w:rsid w:val="00E35112"/>
    <w:rsid w:val="00E35BEC"/>
    <w:rsid w:val="00E41A6A"/>
    <w:rsid w:val="00E45845"/>
    <w:rsid w:val="00E46C07"/>
    <w:rsid w:val="00E478AE"/>
    <w:rsid w:val="00E50821"/>
    <w:rsid w:val="00E51F91"/>
    <w:rsid w:val="00E5498A"/>
    <w:rsid w:val="00E559CE"/>
    <w:rsid w:val="00E60F42"/>
    <w:rsid w:val="00E6746C"/>
    <w:rsid w:val="00E7086E"/>
    <w:rsid w:val="00E71248"/>
    <w:rsid w:val="00E72DF0"/>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72F"/>
    <w:rsid w:val="00EA7ADF"/>
    <w:rsid w:val="00EB2173"/>
    <w:rsid w:val="00EB62E6"/>
    <w:rsid w:val="00EB695F"/>
    <w:rsid w:val="00EC3A85"/>
    <w:rsid w:val="00EC4B89"/>
    <w:rsid w:val="00EC59A5"/>
    <w:rsid w:val="00EC6E15"/>
    <w:rsid w:val="00ED1B30"/>
    <w:rsid w:val="00ED1DFA"/>
    <w:rsid w:val="00ED2408"/>
    <w:rsid w:val="00ED5D03"/>
    <w:rsid w:val="00EE01ED"/>
    <w:rsid w:val="00EE1AC1"/>
    <w:rsid w:val="00EE39D6"/>
    <w:rsid w:val="00EE52AD"/>
    <w:rsid w:val="00EE5BC3"/>
    <w:rsid w:val="00EE6FAB"/>
    <w:rsid w:val="00EF328C"/>
    <w:rsid w:val="00EF68BB"/>
    <w:rsid w:val="00F01EA2"/>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7C9E"/>
    <w:rsid w:val="00F60281"/>
    <w:rsid w:val="00F66272"/>
    <w:rsid w:val="00F709C0"/>
    <w:rsid w:val="00F81FEC"/>
    <w:rsid w:val="00F927A1"/>
    <w:rsid w:val="00F92E4D"/>
    <w:rsid w:val="00F95D08"/>
    <w:rsid w:val="00FA23BD"/>
    <w:rsid w:val="00FA3764"/>
    <w:rsid w:val="00FA3B5D"/>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A3F"/>
    <w:rsid w:val="00FD271B"/>
    <w:rsid w:val="00FD3B39"/>
    <w:rsid w:val="00FD3D7C"/>
    <w:rsid w:val="00FD4F8F"/>
    <w:rsid w:val="00FE0C16"/>
    <w:rsid w:val="00FE14B1"/>
    <w:rsid w:val="00FE4D97"/>
    <w:rsid w:val="00FE5F90"/>
    <w:rsid w:val="00FF0070"/>
    <w:rsid w:val="00FF07C3"/>
    <w:rsid w:val="00FF5F6A"/>
    <w:rsid w:val="00FF7784"/>
    <w:rsid w:val="00FF78FB"/>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Emphasis">
    <w:name w:val="Emphasis"/>
    <w:basedOn w:val="DefaultParagraphFont"/>
    <w:uiPriority w:val="20"/>
    <w:qFormat/>
    <w:rsid w:val="00A66C51"/>
    <w:rPr>
      <w:i/>
      <w:iCs/>
    </w:rPr>
  </w:style>
  <w:style w:type="character" w:styleId="UnresolvedMention">
    <w:name w:val="Unresolved Mention"/>
    <w:basedOn w:val="DefaultParagraphFont"/>
    <w:uiPriority w:val="99"/>
    <w:semiHidden/>
    <w:unhideWhenUsed/>
    <w:rsid w:val="002932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eSCUPKm5PTY" TargetMode="External"/><Relationship Id="rId18" Type="http://schemas.openxmlformats.org/officeDocument/2006/relationships/image" Target="media/image2.png"/><Relationship Id="rId26" Type="http://schemas.openxmlformats.org/officeDocument/2006/relationships/image" Target="media/image7.png"/><Relationship Id="rId21" Type="http://schemas.openxmlformats.org/officeDocument/2006/relationships/image" Target="media/image4.png"/><Relationship Id="rId34" Type="http://schemas.openxmlformats.org/officeDocument/2006/relationships/image" Target="media/image10.png"/><Relationship Id="rId7" Type="http://schemas.openxmlformats.org/officeDocument/2006/relationships/webSettings" Target="webSettings.xml"/><Relationship Id="rId12" Type="http://schemas.openxmlformats.org/officeDocument/2006/relationships/hyperlink" Target="https://doi.org/10.1016/S2215-0366(20)30381-3" TargetMode="External"/><Relationship Id="rId17" Type="http://schemas.openxmlformats.org/officeDocument/2006/relationships/hyperlink" Target="https://www.shepscenter.unc.edu/wp-content/uploads/2019/09/Zerden-Lombardi-Richman-2019-SW-on-IPE-Team-Elements-of-Integration-Barriers-to-Practice.pdf" TargetMode="External"/><Relationship Id="rId25" Type="http://schemas.openxmlformats.org/officeDocument/2006/relationships/customXml" Target="ink/ink3.xml"/><Relationship Id="rId33" Type="http://schemas.openxmlformats.org/officeDocument/2006/relationships/customXml" Target="ink/ink8.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wales/sustainable-transport-rural-areas" TargetMode="External"/><Relationship Id="rId20" Type="http://schemas.openxmlformats.org/officeDocument/2006/relationships/customXml" Target="ink/ink1.xm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 TargetMode="External"/><Relationship Id="rId24" Type="http://schemas.openxmlformats.org/officeDocument/2006/relationships/image" Target="media/image6.png"/><Relationship Id="rId32" Type="http://schemas.openxmlformats.org/officeDocument/2006/relationships/image" Target="media/image9.png"/><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socialcare.wales/resources-guidance/information-and-learning-hub/sswbact/overview" TargetMode="External"/><Relationship Id="rId23" Type="http://schemas.openxmlformats.org/officeDocument/2006/relationships/customXml" Target="ink/ink2.xml"/><Relationship Id="rId28" Type="http://schemas.openxmlformats.org/officeDocument/2006/relationships/customXml" Target="ink/ink5.xm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3.png"/><Relationship Id="rId31" Type="http://schemas.openxmlformats.org/officeDocument/2006/relationships/customXml" Target="ink/ink7.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org.uk/mca/practice/assessing-capacity/" TargetMode="External"/><Relationship Id="rId22" Type="http://schemas.openxmlformats.org/officeDocument/2006/relationships/image" Target="media/image5.png"/><Relationship Id="rId27" Type="http://schemas.openxmlformats.org/officeDocument/2006/relationships/customXml" Target="ink/ink4.xml"/><Relationship Id="rId30" Type="http://schemas.openxmlformats.org/officeDocument/2006/relationships/customXml" Target="ink/ink6.xm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6T11:17:40.215"/>
    </inkml:context>
    <inkml:brush xml:id="br0">
      <inkml:brushProperty name="width" value="0.035" units="cm"/>
      <inkml:brushProperty name="height" value="0.035" units="cm"/>
    </inkml:brush>
  </inkml:definitions>
  <inkml:trace contextRef="#ctx0" brushRef="#br0">626 133 24575,'-109'9'0,"19"-1"0,79-8 0,0 0 0,-1 1 0,1 0 0,0 1 0,-1 0 0,1 1 0,0 0 0,1 1 0,-1 0 0,-15 8 0,-24 22 0,1 1 0,2 2 0,-57 59 0,86-79 0,16-15 0,0 0 0,0 0 0,0 0 0,0 0 0,1 1 0,-1-1 0,1 0 0,0 1 0,0-1 0,0 0 0,0 1 0,0 0 0,0-1 0,0 1 0,1 0 0,0-1 0,-1 1 0,1 0 0,0-1 0,0 1 0,1 0 0,-1-1 0,0 1 0,1 0 0,1 3 0,0 10 0,1 43 0,-3-43 0,0 1 0,5 20 0,-4-31 0,0-1 0,1 1 0,0-1 0,0 1 0,0-1 0,0 0 0,1 0 0,0 0 0,0 0 0,6 6 0,1 1 0,1-1 0,0 0 0,21 15 0,-26-22 0,0 0 0,1-1 0,-1 1 0,1-1 0,0-1 0,0 1 0,0-1 0,0 0 0,14 1 0,-4-1 0,0-1 0,1 0 0,-1-1 0,0-1 0,0-1 0,0-1 0,0 0 0,0-1 0,-1 0 0,1-2 0,-1 0 0,25-13 0,99-71 0,-138 88 0,14-10 0,-1-1 0,21-23 0,-15 14 0,-16 17 0,0-1 0,0 0 0,-1 0 0,6-9 0,-9 13 0,0 1 0,0-1 0,0 0 0,0 0 0,0 0 0,-1-1 0,1 1 0,-1 0 0,1 0 0,-1 0 0,0 0 0,0-1 0,1 1 0,-2 0 0,1 0 0,0 0 0,0-1 0,-1 1 0,0-2 0,-1 42 0,2 86 0,0-142 0,1 1 0,0-1 0,1 0 0,1 1 0,0 0 0,2 0 0,0 0 0,10-22 0,-12 29 0,1 0 0,1 1 0,0 0 0,0 0 0,0 0 0,1 1 0,1 0 0,0 0 0,0 0 0,0 1 0,1 0 0,10-7 0,8-3 0,49-23 0,-65 36 0,0-1 0,1 2 0,0 0 0,-1 0 0,1 1 0,0 0 0,0 1 0,16 0 0,-26 1 0,0 0 0,0 0 0,0 0 0,-1 0 0,1 0 0,0 0 0,0 0 0,0 0 0,-1 0 0,1 0 0,0 1 0,0-1 0,-1 0 0,1 1 0,0-1 0,-1 1 0,1-1 0,0 0 0,-1 1 0,1 0 0,-1-1 0,1 1 0,-1-1 0,1 1 0,-1 0 0,2 0 0,-2 1 0,0-1 0,0 0 0,0 0 0,0 1 0,0-1 0,0 0 0,0 0 0,-1 0 0,1 1 0,0-1 0,-1 0 0,1 0 0,-1 0 0,1 0 0,-2 2 0,-2 3 0,0 0 0,0 0 0,-1-1 0,-9 10 0,-108 80 0,13-12 0,108-82 0,0 0 0,0 0 0,0 0 0,-1 0 0,1 0 0,0 0 0,0 0 0,0 0 0,1 1 0,-1-1 0,0 0 0,0 1 0,1-1 0,-1 0 0,1 1 0,-1-1 0,0 3 0,1-3 0,0 0 0,1 0 0,-1-1 0,0 1 0,0 0 0,1 0 0,-1-1 0,1 1 0,-1 0 0,0-1 0,1 1 0,-1 0 0,1-1 0,0 1 0,-1-1 0,1 1 0,-1-1 0,1 1 0,0-1 0,-1 1 0,1-1 0,0 1 0,0-1 0,8 3 0,-1 0 0,0-1 0,1 0 0,14 2 0,-16-3 0,24 6 0,-1 1 0,0 1 0,-1 2 0,0 1 0,43 26 0,-30-14 0,-31-16 0,-1-2 0,2 1 0,-1-2 0,1 1 0,0-2 0,0 1 0,0-2 0,22 5 0,-14-6 0,1 0 0,0-2 0,-1 0 0,1-1 0,0-1 0,-1-1 0,0-1 0,1 0 0,-1-2 0,33-14 0,-32 11 0,-1 0 0,0-2 0,0 0 0,-1-2 0,-1 0 0,0-1 0,19-19 0,-34 30 0,-1 0 0,0 0 0,0 0 0,0 0 0,0 0 0,0 0 0,-1-1 0,1 1 0,-1-1 0,0 1 0,0-1 0,0 0 0,-1 1 0,1-7 0,-1 8 0,0 0 0,0 0 0,-1 0 0,1 1 0,0-1 0,-1 0 0,0 0 0,1 1 0,-1-1 0,0 0 0,0 1 0,0-1 0,0 1 0,0-1 0,0 1 0,0 0 0,-1-1 0,1 1 0,0 0 0,-1 0 0,1 0 0,-1 0 0,1 0 0,-1 0 0,0 0 0,1 0 0,-1 1 0,0-1 0,1 1 0,-5-1 0,0-1 0,-1 1 0,0 0 0,0 1 0,1-1 0,-1 1 0,0 1 0,0-1 0,0 1 0,1 1 0,-9 1 0,12-2 0,0 0 0,0 1 0,-1-1 0,1 1 0,0 0 0,0 0 0,0 0 0,0 0 0,1 0 0,-1 1 0,1-1 0,-1 1 0,1 0 0,0-1 0,0 1 0,0 0 0,0 0 0,1 1 0,-1-1 0,1 0 0,-1 4 0,-1 5 0,0 0 0,1 0 0,0 0 0,1 0 0,1 0 0,0 1 0,1-1 0,0 0 0,0 0 0,7 21 0,-7-30 0,0-1 0,0 0 0,0 0 0,1 0 0,-1 0 0,1 0 0,-1 0 0,1 0 0,0 0 0,-1-1 0,1 1 0,0-1 0,0 1 0,0-1 0,1 0 0,-1 0 0,0 0 0,0 0 0,1 0 0,3 1 0,0-1 0,-1 0 0,1 0 0,-1-1 0,0 0 0,1 0 0,-1 0 0,1 0 0,7-3 0,-12 3 0,0 0 0,0-1 0,0 1 0,0 0 0,0-1 0,0 1 0,0-1 0,0 1 0,0-1 0,0 0 0,0 1 0,-1-1 0,1 0 0,0 1 0,-1-1 0,1 0 0,0 0 0,-1 0 0,1 0 0,-1 0 0,1 0 0,-1 0 0,0 0 0,1 0 0,-1 0 0,1-2 0,-2-30 0,0 14 0,23 29 0,-17-5 0,2 0 0,-1 0 0,0-1 0,1 0 0,0-1 0,0 1 0,11 3 0,-13-6 0,-1 0 0,1-1 0,0 1 0,0-1 0,0 0 0,0 0 0,0 0 0,-1-1 0,1 1 0,0-1 0,0-1 0,-1 1 0,7-3 0,2-2 0,0-1 0,0 0 0,-1-1 0,0-1 0,-1 0 0,0 0 0,0-1 0,18-23 0,-3 0 0,40-66 0,18-57 0,-73 135 0,-6 6 0,-2 8 0,-3 16 0,-9 95 0,-1 46 0,9-130 0,0-13 0,1 1 0,0-1 0,1 0 0,1 11 0,-2-18 0,0 0 0,0 0 0,0 0 0,0 0 0,0 1 0,0-1 0,1 0 0,-1 0 0,0 0 0,0 0 0,0 0 0,0 1 0,0-1 0,1 0 0,-1 0 0,0 0 0,0 0 0,0 0 0,1 0 0,-1 0 0,0 0 0,0 0 0,0 0 0,1 0 0,-1 0 0,0 0 0,0 0 0,0 0 0,1 0 0,-1 0 0,0 0 0,0 0 0,0 0 0,1 0 0,-1 0 0,0 0 0,0 0 0,0 0 0,1 0 0,-1 0 0,0-1 0,0 1 0,0 0 0,0 0 0,0 0 0,1 0 0,-1 0 0,0-1 0,0 1 0,0 0 0,0 0 0,0 0 0,0-1 0,0 1 0,0 0 0,9-11 0,199-361 0,-117 224 0,-87 141 0,0-1 0,-1 0 0,0 0 0,3-12 0,-6 19 0,-28 82 0,17-55 0,-10 40 0,18-54 0,1 0 0,0 0 0,0 0 0,1 0 0,1 24 0,0-33 0,1 0 0,0 1 0,-1-1 0,1 0 0,0 0 0,0 0 0,1 0 0,-1 0 0,1 0 0,-1 0 0,1-1 0,0 1 0,0 0 0,0-1 0,1 0 0,-1 1 0,0-1 0,1 0 0,0 0 0,-1 0 0,1-1 0,0 1 0,0-1 0,0 1 0,0-1 0,6 2 0,11 1 0,-1 0 0,1-1 0,38 1 0,63-7 0,-56-1 0,10 3 0,-75 1 0,1 0 0,-1 0 0,0 0 0,0 0 0,0 0 0,0 0 0,0 0 0,1 0 0,-1 0 0,0 0 0,0 0 0,0 0 0,0 0 0,0 0 0,1 0 0,-1 0 0,0 0 0,0 0 0,0 0 0,0 0 0,0 0 0,1 0 0,-1 0 0,0 0 0,0 0 0,0 0 0,0 1 0,0-1 0,0 0 0,0 0 0,1 0 0,-1 0 0,0 0 0,0 0 0,0 0 0,0 1 0,0-1 0,0 0 0,0 0 0,0 0 0,0 0 0,0 0 0,0 1 0,0-1 0,0 0 0,0 0 0,0 0 0,0 1 0,-7 5 0,-16 5 0,-204 68 0,36-24 0,371-95 0,-101 20 0,1 3 0,124-9 0,-203 26 0,1-1 0,0 1 0,-1 0 0,1 0 0,-1 0 0,1 1 0,0-1 0,-1 0 0,1 0 0,-1 1 0,1-1 0,0 1 0,2 1 0,-4-2 0,0 1 0,0-1 0,1 1 0,-1-1 0,0 0 0,0 1 0,0-1 0,0 0 0,0 1 0,0-1 0,0 1 0,0-1 0,0 1 0,0-1 0,0 0 0,0 1 0,0-1 0,0 1 0,0-1 0,0 0 0,0 1 0,0-1 0,0 1 0,-1-1 0,1 0 0,0 1 0,0-1 0,0 0 0,-1 1 0,1-1 0,0 0 0,-1 1 0,-5 5 0,-1 1 0,0-1 0,-12 8 0,17-12 0,-187 126 0,-9 7 0,174-112 0,23-23 0,1 0 0,0 1 0,0-1 0,-1 0 0,1 1 0,0-1 0,0 1 0,0-1 0,-1 1 0,1-1 0,0 1 0,0-1 0,0 0 0,0 1 0,0-1 0,0 1 0,0-1 0,0 1 0,0-1 0,0 1 0,0-1 0,0 1 0,1 0 0,-1-1 0,1 1 0,0 0 0,-1-1 0,1 1 0,0-1 0,-1 1 0,1-1 0,0 1 0,0-1 0,0 0 0,-1 1 0,1-1 0,0 0 0,0 0 0,0 0 0,0 1 0,1-1 0,16 1 0,0-1 0,-1-1 0,1 0 0,31-7 0,-11 2 0,246-45 0,9-2 0,-263 51 0,-31 2 0,1 0 0,0 0 0,0 0 0,0 0 0,0 0 0,0 0 0,-1 1 0,1-1 0,0 0 0,0 0 0,0 0 0,0 0 0,0 1 0,0-1 0,0 0 0,0 0 0,0 0 0,0 1 0,0-1 0,0 0 0,0 0 0,0 0 0,0 0 0,0 1 0,0-1 0,0 0 0,0 0 0,0 0 0,0 1 0,0-1 0,0 0 0,0 0 0,0 0 0,0 1 0,0-1 0,0 0 0,0 0 0,0 0 0,1 0 0,-1 0 0,0 1 0,0-1 0,0 0 0,0 0 0,0 0 0,1 0 0,-1 0 0,0 0 0,0 0 0,0 1 0,0-1 0,1 0 0,-1 0 0,0 0 0,0 0 0,0 0 0,1 0 0,-1 0 0,0 0 0,0 0 0,0 0 0,1 0 0,-1 0 0,0 0 0,0 0 0,0 0 0,1 0 0,-1-1 0,-15 14 0,13-12 0,-190 124-1365,178-116-5461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10:10.253"/>
    </inkml:context>
    <inkml:brush xml:id="br0">
      <inkml:brushProperty name="width" value="0.035" units="cm"/>
      <inkml:brushProperty name="height" value="0.035" units="cm"/>
    </inkml:brush>
  </inkml:definitions>
  <inkml:trace contextRef="#ctx0" brushRef="#br0">0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10:02.744"/>
    </inkml:context>
    <inkml:brush xml:id="br0">
      <inkml:brushProperty name="width" value="0.035" units="cm"/>
      <inkml:brushProperty name="height" value="0.035" units="cm"/>
    </inkml:brush>
  </inkml:definitions>
  <inkml:trace contextRef="#ctx0" brushRef="#br0">176 35 24575,'0'0'0</inkml:trace>
  <inkml:trace contextRef="#ctx0" brushRef="#br0" timeOffset="926.09">1 0 24575,'0'0'0</inkml:trace>
  <inkml:trace contextRef="#ctx0" brushRef="#br0" timeOffset="1802.8">635 123 24575,'0'0'0,"0"0"0,0 0 0,0 0 0,0 0 0,0 0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09:56.285"/>
    </inkml:context>
    <inkml:brush xml:id="br0">
      <inkml:brushProperty name="width" value="0.035" units="cm"/>
      <inkml:brushProperty name="height" value="0.035" units="cm"/>
    </inkml:brush>
  </inkml:definitions>
  <inkml:trace contextRef="#ctx0" brushRef="#br0">1 1 24575,'0'0'0,"0"0"0,0 0 0,0 0 0,0 0 0,0 0 0,0 0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09:29.009"/>
    </inkml:context>
    <inkml:brush xml:id="br0">
      <inkml:brushProperty name="width" value="0.035" units="cm"/>
      <inkml:brushProperty name="height" value="0.035" units="cm"/>
    </inkml:brush>
  </inkml:definitions>
  <inkml:trace contextRef="#ctx0" brushRef="#br0">423 0 24575,'0'0'-1365</inkml:trace>
  <inkml:trace contextRef="#ctx0" brushRef="#br0" timeOffset="1550.36">158 72 24575,'0'0'0,"0"0"0,0 0 0,0 0 0,0 0 0,0 0 0,0 0 0,0 0 0</inkml:trace>
  <inkml:trace contextRef="#ctx0" brushRef="#br0" timeOffset="2627.14">0 0 24575,'0'0'0,"0"0"0,0 0 0,0 0 0,0 0 0,0 0 0,0 0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09:26.606"/>
    </inkml:context>
    <inkml:brush xml:id="br0">
      <inkml:brushProperty name="width" value="0.035" units="cm"/>
      <inkml:brushProperty name="height" value="0.035" units="cm"/>
    </inkml:brush>
  </inkml:definitions>
  <inkml:trace contextRef="#ctx0" brushRef="#br0">626 133 24575,'-109'9'0,"19"-1"0,79-8 0,0 0 0,-1 1 0,1 0 0,0 1 0,-1 0 0,1 1 0,0 0 0,1 1 0,-1 0 0,-15 8 0,-24 22 0,1 1 0,2 2 0,-57 59 0,86-79 0,16-15 0,0 0 0,0 0 0,0 0 0,0 0 0,1 1 0,-1-1 0,1 0 0,0 1 0,0-1 0,0 0 0,0 1 0,0 0 0,0-1 0,0 1 0,1 0 0,0-1 0,-1 1 0,1 0 0,0-1 0,0 1 0,1 0 0,-1-1 0,0 1 0,1 0 0,1 3 0,0 10 0,1 43 0,-3-43 0,0 1 0,5 20 0,-4-31 0,0-1 0,1 1 0,0-1 0,0 1 0,0-1 0,0 0 0,1 0 0,0 0 0,0 0 0,6 6 0,1 1 0,1-1 0,0 0 0,21 15 0,-26-22 0,0 0 0,1-1 0,-1 1 0,1-1 0,0-1 0,0 1 0,0-1 0,0 0 0,14 1 0,-4-1 0,0-1 0,1 0 0,-1-1 0,0-1 0,0-1 0,0-1 0,0 0 0,0-1 0,-1 0 0,1-2 0,-1 0 0,25-13 0,99-71 0,-138 88 0,14-10 0,-1-1 0,21-23 0,-15 14 0,-16 17 0,0-1 0,0 0 0,-1 0 0,6-9 0,-9 13 0,0 1 0,0-1 0,0 0 0,0 0 0,0 0 0,-1-1 0,1 1 0,-1 0 0,1 0 0,-1 0 0,0 0 0,0-1 0,1 1 0,-2 0 0,1 0 0,0 0 0,0-1 0,-1 1 0,0-2 0,-1 42 0,2 86 0,0-142 0,1 1 0,0-1 0,1 0 0,1 1 0,0 0 0,2 0 0,0 0 0,10-22 0,-12 29 0,1 0 0,1 1 0,0 0 0,0 0 0,0 0 0,1 1 0,1 0 0,0 0 0,0 0 0,0 1 0,1 0 0,10-7 0,8-3 0,49-23 0,-65 36 0,0-1 0,1 2 0,0 0 0,-1 0 0,1 1 0,0 0 0,0 1 0,16 0 0,-26 1 0,0 0 0,0 0 0,0 0 0,-1 0 0,1 0 0,0 0 0,0 0 0,0 0 0,-1 0 0,1 0 0,0 1 0,0-1 0,-1 0 0,1 1 0,0-1 0,-1 1 0,1-1 0,0 0 0,-1 1 0,1 0 0,-1-1 0,1 1 0,-1-1 0,1 1 0,-1 0 0,2 0 0,-2 1 0,0-1 0,0 0 0,0 0 0,0 1 0,0-1 0,0 0 0,0 0 0,-1 0 0,1 1 0,0-1 0,-1 0 0,1 0 0,-1 0 0,1 0 0,-2 2 0,-2 3 0,0 0 0,0 0 0,-1-1 0,-9 10 0,-108 80 0,13-12 0,108-82 0,0 0 0,0 0 0,0 0 0,-1 0 0,1 0 0,0 0 0,0 0 0,0 0 0,1 1 0,-1-1 0,0 0 0,0 1 0,1-1 0,-1 0 0,1 1 0,-1-1 0,0 3 0,1-3 0,0 0 0,1 0 0,-1-1 0,0 1 0,0 0 0,1 0 0,-1-1 0,1 1 0,-1 0 0,0-1 0,1 1 0,-1 0 0,1-1 0,0 1 0,-1-1 0,1 1 0,-1-1 0,1 1 0,0-1 0,-1 1 0,1-1 0,0 1 0,0-1 0,8 3 0,-1 0 0,0-1 0,1 0 0,14 2 0,-16-3 0,24 6 0,-1 1 0,0 1 0,-1 2 0,0 1 0,43 26 0,-30-14 0,-31-16 0,-1-2 0,2 1 0,-1-2 0,1 1 0,0-2 0,0 1 0,0-2 0,22 5 0,-14-6 0,1 0 0,0-2 0,-1 0 0,1-1 0,0-1 0,-1-1 0,0-1 0,1 0 0,-1-2 0,33-14 0,-32 11 0,-1 0 0,0-2 0,0 0 0,-1-2 0,-1 0 0,0-1 0,19-19 0,-34 30 0,-1 0 0,0 0 0,0 0 0,0 0 0,0 0 0,0 0 0,-1-1 0,1 1 0,-1-1 0,0 1 0,0-1 0,0 0 0,-1 1 0,1-7 0,-1 8 0,0 0 0,0 0 0,-1 0 0,1 1 0,0-1 0,-1 0 0,0 0 0,1 1 0,-1-1 0,0 0 0,0 1 0,0-1 0,0 1 0,0-1 0,0 1 0,0 0 0,-1-1 0,1 1 0,0 0 0,-1 0 0,1 0 0,-1 0 0,1 0 0,-1 0 0,0 0 0,1 0 0,-1 1 0,0-1 0,1 1 0,-5-1 0,0-1 0,-1 1 0,0 0 0,0 1 0,1-1 0,-1 1 0,0 1 0,0-1 0,0 1 0,1 1 0,-9 1 0,12-2 0,0 0 0,0 1 0,-1-1 0,1 1 0,0 0 0,0 0 0,0 0 0,0 0 0,1 0 0,-1 1 0,1-1 0,-1 1 0,1 0 0,0-1 0,0 1 0,0 0 0,0 0 0,1 1 0,-1-1 0,1 0 0,-1 4 0,-1 5 0,0 0 0,1 0 0,0 0 0,1 0 0,1 0 0,0 1 0,1-1 0,0 0 0,0 0 0,7 21 0,-7-30 0,0-1 0,0 0 0,0 0 0,1 0 0,-1 0 0,1 0 0,-1 0 0,1 0 0,0 0 0,-1-1 0,1 1 0,0-1 0,0 1 0,0-1 0,1 0 0,-1 0 0,0 0 0,0 0 0,1 0 0,3 1 0,0-1 0,-1 0 0,1 0 0,-1-1 0,0 0 0,1 0 0,-1 0 0,1 0 0,7-3 0,-12 3 0,0 0 0,0-1 0,0 1 0,0 0 0,0-1 0,0 1 0,0-1 0,0 1 0,0-1 0,0 0 0,0 1 0,-1-1 0,1 0 0,0 1 0,-1-1 0,1 0 0,0 0 0,-1 0 0,1 0 0,-1 0 0,1 0 0,-1 0 0,0 0 0,1 0 0,-1 0 0,1-2 0,-2-30 0,0 14 0,23 29 0,-17-5 0,2 0 0,-1 0 0,0-1 0,1 0 0,0-1 0,0 1 0,11 3 0,-13-6 0,-1 0 0,1-1 0,0 1 0,0-1 0,0 0 0,0 0 0,0 0 0,-1-1 0,1 1 0,0-1 0,0-1 0,-1 1 0,7-3 0,2-2 0,0-1 0,0 0 0,-1-1 0,0-1 0,-1 0 0,0 0 0,0-1 0,18-23 0,-3 0 0,40-66 0,18-57 0,-73 135 0,-6 6 0,-2 8 0,-3 16 0,-9 95 0,-1 46 0,9-130 0,0-13 0,1 1 0,0-1 0,1 0 0,1 11 0,-2-18 0,0 0 0,0 0 0,0 0 0,0 0 0,0 1 0,0-1 0,1 0 0,-1 0 0,0 0 0,0 0 0,0 0 0,0 1 0,0-1 0,1 0 0,-1 0 0,0 0 0,0 0 0,0 0 0,1 0 0,-1 0 0,0 0 0,0 0 0,0 0 0,1 0 0,-1 0 0,0 0 0,0 0 0,0 0 0,1 0 0,-1 0 0,0 0 0,0 0 0,0 0 0,1 0 0,-1 0 0,0 0 0,0 0 0,0 0 0,1 0 0,-1 0 0,0-1 0,0 1 0,0 0 0,0 0 0,0 0 0,1 0 0,-1 0 0,0-1 0,0 1 0,0 0 0,0 0 0,0 0 0,0-1 0,0 1 0,0 0 0,9-11 0,199-361 0,-117 224 0,-87 141 0,0-1 0,-1 0 0,0 0 0,3-12 0,-6 19 0,-28 82 0,17-55 0,-10 40 0,18-54 0,1 0 0,0 0 0,0 0 0,1 0 0,1 24 0,0-33 0,1 0 0,0 1 0,-1-1 0,1 0 0,0 0 0,0 0 0,1 0 0,-1 0 0,1 0 0,-1 0 0,1-1 0,0 1 0,0 0 0,0-1 0,1 0 0,-1 1 0,0-1 0,1 0 0,0 0 0,-1 0 0,1-1 0,0 1 0,0-1 0,0 1 0,0-1 0,6 2 0,11 1 0,-1 0 0,1-1 0,38 1 0,63-7 0,-56-1 0,10 3 0,-75 1 0,1 0 0,-1 0 0,0 0 0,0 0 0,0 0 0,0 0 0,0 0 0,1 0 0,-1 0 0,0 0 0,0 0 0,0 0 0,0 0 0,0 0 0,1 0 0,-1 0 0,0 0 0,0 0 0,0 0 0,0 0 0,0 0 0,1 0 0,-1 0 0,0 0 0,0 0 0,0 0 0,0 1 0,0-1 0,0 0 0,0 0 0,1 0 0,-1 0 0,0 0 0,0 0 0,0 0 0,0 1 0,0-1 0,0 0 0,0 0 0,0 0 0,0 0 0,0 0 0,0 1 0,0-1 0,0 0 0,0 0 0,0 0 0,0 1 0,-7 5 0,-16 5 0,-204 68 0,36-24 0,371-95 0,-101 20 0,1 3 0,124-9 0,-203 26 0,1-1 0,0 1 0,-1 0 0,1 0 0,-1 0 0,1 1 0,0-1 0,-1 0 0,1 0 0,-1 1 0,1-1 0,0 1 0,2 1 0,-4-2 0,0 1 0,0-1 0,1 1 0,-1-1 0,0 0 0,0 1 0,0-1 0,0 0 0,0 1 0,0-1 0,0 1 0,0-1 0,0 1 0,0-1 0,0 0 0,0 1 0,0-1 0,0 1 0,0-1 0,0 0 0,0 1 0,0-1 0,0 1 0,-1-1 0,1 0 0,0 1 0,0-1 0,0 0 0,-1 1 0,1-1 0,0 0 0,-1 1 0,-5 5 0,-1 1 0,0-1 0,-12 8 0,17-12 0,-187 126 0,-9 7 0,174-112 0,23-23 0,1 0 0,0 1 0,0-1 0,-1 0 0,1 1 0,0-1 0,0 1 0,0-1 0,-1 1 0,1-1 0,0 1 0,0-1 0,0 0 0,0 1 0,0-1 0,0 1 0,0-1 0,0 1 0,0-1 0,0 1 0,0-1 0,0 1 0,1 0 0,-1-1 0,1 1 0,0 0 0,-1-1 0,1 1 0,0-1 0,-1 1 0,1-1 0,0 1 0,0-1 0,0 0 0,-1 1 0,1-1 0,0 0 0,0 0 0,0 0 0,0 1 0,1-1 0,16 1 0,0-1 0,-1-1 0,1 0 0,31-7 0,-11 2 0,246-45 0,9-2 0,-263 51 0,-31 2 0,1 0 0,0 0 0,0 0 0,0 0 0,0 0 0,0 0 0,-1 1 0,1-1 0,0 0 0,0 0 0,0 0 0,0 0 0,0 1 0,0-1 0,0 0 0,0 0 0,0 0 0,0 1 0,0-1 0,0 0 0,0 0 0,0 0 0,0 0 0,0 1 0,0-1 0,0 0 0,0 0 0,0 0 0,0 1 0,0-1 0,0 0 0,0 0 0,0 0 0,0 1 0,0-1 0,0 0 0,0 0 0,0 0 0,1 0 0,-1 0 0,0 1 0,0-1 0,0 0 0,0 0 0,0 0 0,1 0 0,-1 0 0,0 0 0,0 0 0,0 1 0,0-1 0,1 0 0,-1 0 0,0 0 0,0 0 0,0 0 0,1 0 0,-1 0 0,0 0 0,0 0 0,0 0 0,1 0 0,-1 0 0,0 0 0,0 0 0,0 0 0,1 0 0,-1-1 0,-15 14 0,13-12 0,-190 124-1365,178-116-5461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09:34.250"/>
    </inkml:context>
    <inkml:brush xml:id="br0">
      <inkml:brushProperty name="width" value="0.035" units="cm"/>
      <inkml:brushProperty name="height" value="0.035" units="cm"/>
    </inkml:brush>
  </inkml:definitions>
  <inkml:trace contextRef="#ctx0" brushRef="#br0">813 0 24575,'0'0'0,"-33"0"0,-23 0 0,-17 0 0,-13 0 0,-11 0 0,-10 6 0,-4 8 0,16 2 0,24-3 0,25-2 0,20-4 0,14-3-8191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7T15:09:33.516"/>
    </inkml:context>
    <inkml:brush xml:id="br0">
      <inkml:brushProperty name="width" value="0.035" units="cm"/>
      <inkml:brushProperty name="height" value="0.035" units="cm"/>
    </inkml:brush>
  </inkml:definitions>
  <inkml:trace contextRef="#ctx0" brushRef="#br0">0 1 24575,'1600'0'0,"-1599"0"-30,-1 0 0,1 0-1,-1 0 1,0 1 0,1-1-1,-1 0 1,0 0 0,1 0-1,-1 1 1,1-1 0,-1 0-1,0 1 1,0-1 0,1 0-1,-1 0 1,0 1-1,1-1 1,-1 1 0,0-1-1,0 0 1,0 1 0,1-1-1,-1 1 1,0-1 0,0 0-1,0 1 1,0-1 0,0 1-1,0-1 1,0 1 0,0-1-1,0 0 1,0 1 0,0-1-1,0 1 1,0-1 0,0 1-1,0-1 1,-1 0 0,1 1-1,0-1 1,0 1 0,0-1-1,-1 1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normal.dotm</Template>
  <TotalTime>2</TotalTime>
  <Pages>20</Pages>
  <Words>5492</Words>
  <Characters>34568</Characters>
  <Application>Microsoft Office Word</Application>
  <DocSecurity>0</DocSecurity>
  <Lines>810</Lines>
  <Paragraphs>278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Pai Maziwisa</cp:lastModifiedBy>
  <cp:revision>4</cp:revision>
  <cp:lastPrinted>2020-02-11T19:20:00Z</cp:lastPrinted>
  <dcterms:created xsi:type="dcterms:W3CDTF">2025-10-06T17:11:00Z</dcterms:created>
  <dcterms:modified xsi:type="dcterms:W3CDTF">2025-10-08T00:46:00Z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