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D16296" w:rsidRDefault="00D16296" w:rsidP="00D16296">
      <w:pPr>
        <w:jc w:val="center"/>
        <w:rPr>
          <w:b/>
          <w:sz w:val="32"/>
          <w:szCs w:val="32"/>
        </w:rPr>
      </w:pPr>
      <w:r>
        <w:rPr>
          <w:noProof/>
          <w:lang w:eastAsia="en-US"/>
        </w:rPr>
        <w:drawing>
          <wp:inline distT="0" distB="0" distL="0" distR="0">
            <wp:extent cx="3219450" cy="1981200"/>
            <wp:effectExtent l="0" t="0" r="0" b="0"/>
            <wp:docPr id="10148048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4804874" name=""/>
                    <pic:cNvPicPr/>
                  </pic:nvPicPr>
                  <pic:blipFill>
                    <a:blip r:embed="rId8"/>
                    <a:stretch>
                      <a:fillRect/>
                    </a:stretch>
                  </pic:blipFill>
                  <pic:spPr>
                    <a:xfrm>
                      <a:off x="0" y="0"/>
                      <a:ext cx="3219450" cy="1981200"/>
                    </a:xfrm>
                    <a:prstGeom prst="rect">
                      <a:avLst/>
                    </a:prstGeom>
                  </pic:spPr>
                </pic:pic>
              </a:graphicData>
            </a:graphic>
          </wp:inline>
        </w:drawing>
      </w:r>
    </w:p>
    <w:p w:rsidR="00D16296" w:rsidRDefault="00D16296" w:rsidP="00D16296">
      <w:pPr>
        <w:jc w:val="center"/>
        <w:rPr>
          <w:b/>
          <w:sz w:val="32"/>
          <w:szCs w:val="32"/>
        </w:rPr>
      </w:pPr>
    </w:p>
    <w:p w:rsidR="00D16296" w:rsidRDefault="00D16296" w:rsidP="00D16296">
      <w:pPr>
        <w:jc w:val="center"/>
        <w:rPr>
          <w:b/>
          <w:sz w:val="32"/>
          <w:szCs w:val="32"/>
        </w:rPr>
      </w:pPr>
      <w:r>
        <w:rPr>
          <w:b/>
          <w:sz w:val="32"/>
          <w:szCs w:val="32"/>
        </w:rPr>
        <w:t>M</w:t>
      </w:r>
      <w:r w:rsidR="00AE1AAD">
        <w:rPr>
          <w:b/>
          <w:sz w:val="32"/>
          <w:szCs w:val="32"/>
        </w:rPr>
        <w:t>arketing Management Assessment 1</w:t>
      </w:r>
    </w:p>
    <w:p w:rsidR="00D16296" w:rsidRDefault="00D16296" w:rsidP="00D16296">
      <w:pPr>
        <w:pStyle w:val="Normal1"/>
        <w:spacing w:line="360" w:lineRule="auto"/>
        <w:rPr>
          <w:rFonts w:ascii="Times New Roman" w:eastAsia="Times New Roman" w:hAnsi="Times New Roman" w:cs="Times New Roman"/>
          <w:color w:val="000000" w:themeColor="text1"/>
          <w:sz w:val="24"/>
          <w:szCs w:val="24"/>
        </w:rPr>
      </w:pPr>
    </w:p>
    <w:p w:rsidR="00D16296" w:rsidRDefault="00D16296" w:rsidP="00D16296">
      <w:pPr>
        <w:pStyle w:val="Normal1"/>
        <w:spacing w:line="360" w:lineRule="auto"/>
        <w:rPr>
          <w:rFonts w:ascii="Times New Roman" w:eastAsia="Times New Roman" w:hAnsi="Times New Roman" w:cs="Times New Roman"/>
          <w:color w:val="000000" w:themeColor="text1"/>
          <w:sz w:val="24"/>
          <w:szCs w:val="24"/>
        </w:rPr>
      </w:pPr>
    </w:p>
    <w:p w:rsidR="00D16296" w:rsidRDefault="00D16296" w:rsidP="00D16296">
      <w:pPr>
        <w:pStyle w:val="Normal1"/>
        <w:spacing w:line="360" w:lineRule="auto"/>
        <w:rPr>
          <w:rFonts w:ascii="Times New Roman" w:eastAsia="Times New Roman" w:hAnsi="Times New Roman" w:cs="Times New Roman"/>
          <w:color w:val="000000" w:themeColor="text1"/>
          <w:sz w:val="24"/>
          <w:szCs w:val="24"/>
        </w:rPr>
      </w:pPr>
    </w:p>
    <w:p w:rsidR="00D16296" w:rsidRDefault="00D16296" w:rsidP="00D16296">
      <w:pPr>
        <w:pStyle w:val="Normal1"/>
        <w:spacing w:line="360" w:lineRule="auto"/>
        <w:rPr>
          <w:rFonts w:ascii="Times New Roman" w:eastAsia="Times New Roman" w:hAnsi="Times New Roman" w:cs="Times New Roman"/>
          <w:color w:val="000000" w:themeColor="text1"/>
          <w:sz w:val="24"/>
          <w:szCs w:val="24"/>
        </w:rPr>
      </w:pPr>
    </w:p>
    <w:p w:rsidR="00D16296" w:rsidRDefault="00D16296" w:rsidP="00D16296">
      <w:pPr>
        <w:pStyle w:val="Normal1"/>
        <w:spacing w:line="360" w:lineRule="auto"/>
        <w:rPr>
          <w:rFonts w:ascii="Times New Roman" w:eastAsia="Times New Roman" w:hAnsi="Times New Roman" w:cs="Times New Roman"/>
          <w:color w:val="000000" w:themeColor="text1"/>
          <w:sz w:val="24"/>
          <w:szCs w:val="24"/>
        </w:rPr>
      </w:pPr>
    </w:p>
    <w:p w:rsidR="00D16296" w:rsidRDefault="00D16296" w:rsidP="00D16296">
      <w:pPr>
        <w:pStyle w:val="Normal1"/>
        <w:spacing w:line="360" w:lineRule="auto"/>
        <w:rPr>
          <w:rFonts w:ascii="Times New Roman" w:eastAsia="Times New Roman" w:hAnsi="Times New Roman" w:cs="Times New Roman"/>
          <w:color w:val="000000" w:themeColor="text1"/>
          <w:sz w:val="24"/>
          <w:szCs w:val="24"/>
        </w:rPr>
      </w:pPr>
    </w:p>
    <w:p w:rsidR="00D16296" w:rsidRDefault="00D16296" w:rsidP="00D16296">
      <w:pPr>
        <w:pStyle w:val="Normal1"/>
        <w:spacing w:line="360" w:lineRule="auto"/>
        <w:rPr>
          <w:rFonts w:ascii="Times New Roman" w:eastAsia="Times New Roman" w:hAnsi="Times New Roman" w:cs="Times New Roman"/>
          <w:color w:val="000000" w:themeColor="text1"/>
          <w:sz w:val="24"/>
          <w:szCs w:val="24"/>
        </w:rPr>
      </w:pPr>
    </w:p>
    <w:p w:rsidR="00D16296" w:rsidRDefault="00D16296" w:rsidP="00D16296">
      <w:pPr>
        <w:pStyle w:val="Normal1"/>
        <w:spacing w:line="360" w:lineRule="auto"/>
        <w:rPr>
          <w:rFonts w:ascii="Times New Roman" w:eastAsia="Times New Roman" w:hAnsi="Times New Roman" w:cs="Times New Roman"/>
          <w:color w:val="000000" w:themeColor="text1"/>
          <w:sz w:val="24"/>
          <w:szCs w:val="24"/>
        </w:rPr>
      </w:pPr>
    </w:p>
    <w:p w:rsidR="00D16296" w:rsidRDefault="00D16296" w:rsidP="00D16296">
      <w:pPr>
        <w:pStyle w:val="Normal1"/>
        <w:spacing w:line="360" w:lineRule="auto"/>
        <w:rPr>
          <w:rFonts w:ascii="Times New Roman" w:eastAsia="Times New Roman" w:hAnsi="Times New Roman" w:cs="Times New Roman"/>
          <w:color w:val="000000" w:themeColor="text1"/>
          <w:sz w:val="24"/>
          <w:szCs w:val="24"/>
        </w:rPr>
      </w:pPr>
    </w:p>
    <w:p w:rsidR="00D16296" w:rsidRDefault="00D16296" w:rsidP="00D16296">
      <w:pPr>
        <w:pStyle w:val="Normal1"/>
        <w:spacing w:line="360" w:lineRule="auto"/>
        <w:rPr>
          <w:rFonts w:ascii="Times New Roman" w:eastAsia="Times New Roman" w:hAnsi="Times New Roman" w:cs="Times New Roman"/>
          <w:color w:val="000000" w:themeColor="text1"/>
          <w:sz w:val="24"/>
          <w:szCs w:val="24"/>
        </w:rPr>
      </w:pPr>
    </w:p>
    <w:p w:rsidR="00D16296" w:rsidRDefault="00D16296" w:rsidP="00D16296">
      <w:pPr>
        <w:pStyle w:val="Normal1"/>
        <w:spacing w:line="360" w:lineRule="auto"/>
        <w:rPr>
          <w:rFonts w:ascii="Times New Roman" w:eastAsia="Times New Roman" w:hAnsi="Times New Roman" w:cs="Times New Roman"/>
          <w:color w:val="000000" w:themeColor="text1"/>
          <w:sz w:val="24"/>
          <w:szCs w:val="24"/>
        </w:rPr>
      </w:pPr>
    </w:p>
    <w:p w:rsidR="00D16296" w:rsidRDefault="00D16296" w:rsidP="00D16296">
      <w:pPr>
        <w:pStyle w:val="Normal1"/>
        <w:spacing w:line="360" w:lineRule="auto"/>
        <w:rPr>
          <w:rFonts w:ascii="Times New Roman" w:eastAsia="Times New Roman" w:hAnsi="Times New Roman" w:cs="Times New Roman"/>
          <w:color w:val="000000" w:themeColor="text1"/>
          <w:sz w:val="24"/>
          <w:szCs w:val="24"/>
        </w:rPr>
      </w:pPr>
    </w:p>
    <w:p w:rsidR="00D16296" w:rsidRDefault="00D16296" w:rsidP="00D16296">
      <w:pPr>
        <w:pStyle w:val="Normal1"/>
        <w:spacing w:line="360" w:lineRule="auto"/>
        <w:rPr>
          <w:rFonts w:ascii="Times New Roman" w:eastAsia="Times New Roman" w:hAnsi="Times New Roman" w:cs="Times New Roman"/>
          <w:color w:val="000000" w:themeColor="text1"/>
          <w:sz w:val="24"/>
          <w:szCs w:val="24"/>
        </w:rPr>
      </w:pPr>
    </w:p>
    <w:p w:rsidR="00D16296" w:rsidRDefault="00D16296" w:rsidP="00D16296">
      <w:pPr>
        <w:pStyle w:val="Normal1"/>
        <w:spacing w:line="360" w:lineRule="auto"/>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Student Name:</w:t>
      </w:r>
      <w:r w:rsidR="00AE1AAD">
        <w:rPr>
          <w:rFonts w:ascii="Times New Roman" w:eastAsia="Times New Roman" w:hAnsi="Times New Roman" w:cs="Times New Roman"/>
          <w:color w:val="000000" w:themeColor="text1"/>
          <w:sz w:val="24"/>
          <w:szCs w:val="24"/>
        </w:rPr>
        <w:t>HASHILO AMBALAPARAMBAN</w:t>
      </w:r>
    </w:p>
    <w:p w:rsidR="00D16296" w:rsidRDefault="00D16296" w:rsidP="00D16296">
      <w:pPr>
        <w:pStyle w:val="Normal1"/>
        <w:spacing w:line="360" w:lineRule="auto"/>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Student ID:</w:t>
      </w:r>
      <w:r w:rsidR="00AE1AAD">
        <w:rPr>
          <w:rFonts w:ascii="Times New Roman" w:eastAsia="Times New Roman" w:hAnsi="Times New Roman" w:cs="Times New Roman"/>
          <w:color w:val="000000" w:themeColor="text1"/>
          <w:sz w:val="24"/>
          <w:szCs w:val="24"/>
        </w:rPr>
        <w:t>2241163</w:t>
      </w:r>
    </w:p>
    <w:p w:rsidR="00D16296" w:rsidRDefault="00D16296" w:rsidP="00D16296">
      <w:pPr>
        <w:pStyle w:val="Normal1"/>
        <w:spacing w:line="360" w:lineRule="auto"/>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Lecturer Name: </w:t>
      </w:r>
      <w:r w:rsidR="00AE1AAD">
        <w:rPr>
          <w:rFonts w:ascii="Times New Roman" w:eastAsia="Times New Roman" w:hAnsi="Times New Roman" w:cs="Times New Roman"/>
          <w:color w:val="000000" w:themeColor="text1"/>
          <w:sz w:val="24"/>
          <w:szCs w:val="24"/>
        </w:rPr>
        <w:t>TUSHARA BALENNDRAN</w:t>
      </w:r>
    </w:p>
    <w:p w:rsidR="00D16296" w:rsidRDefault="00D16296" w:rsidP="00D16296">
      <w:pPr>
        <w:pStyle w:val="Normal1"/>
        <w:spacing w:line="360" w:lineRule="auto"/>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Submission Date:</w:t>
      </w:r>
      <w:r w:rsidR="00AE1AAD">
        <w:rPr>
          <w:rFonts w:ascii="Times New Roman" w:eastAsia="Times New Roman" w:hAnsi="Times New Roman" w:cs="Times New Roman"/>
          <w:color w:val="000000" w:themeColor="text1"/>
          <w:sz w:val="24"/>
          <w:szCs w:val="24"/>
        </w:rPr>
        <w:t>30/08/23</w:t>
      </w:r>
    </w:p>
    <w:p w:rsidR="002A0EA7" w:rsidRDefault="002A0EA7">
      <w:pPr>
        <w:jc w:val="center"/>
        <w:rPr>
          <w:b/>
          <w:sz w:val="32"/>
          <w:szCs w:val="32"/>
        </w:rPr>
      </w:pPr>
    </w:p>
    <w:p w:rsidR="002A0EA7" w:rsidRDefault="002A0EA7">
      <w:pPr>
        <w:jc w:val="center"/>
        <w:rPr>
          <w:b/>
          <w:sz w:val="32"/>
          <w:szCs w:val="32"/>
        </w:rPr>
      </w:pPr>
    </w:p>
    <w:p w:rsidR="002A0EA7" w:rsidRDefault="002A0EA7">
      <w:pPr>
        <w:jc w:val="center"/>
        <w:rPr>
          <w:b/>
          <w:sz w:val="32"/>
          <w:szCs w:val="32"/>
        </w:rPr>
      </w:pPr>
    </w:p>
    <w:p w:rsidR="001C3ACA" w:rsidRDefault="001C3ACA" w:rsidP="001C3ACA">
      <w:pPr>
        <w:jc w:val="center"/>
        <w:rPr>
          <w:b/>
          <w:sz w:val="32"/>
          <w:szCs w:val="32"/>
        </w:rPr>
      </w:pPr>
      <w:r w:rsidRPr="00512CA9">
        <w:rPr>
          <w:b/>
          <w:sz w:val="28"/>
          <w:szCs w:val="32"/>
        </w:rPr>
        <w:lastRenderedPageBreak/>
        <w:t>Executive Summary</w:t>
      </w:r>
    </w:p>
    <w:p w:rsidR="002A0EA7" w:rsidRDefault="001C3ACA" w:rsidP="001C3ACA">
      <w:pPr>
        <w:rPr>
          <w:b/>
          <w:sz w:val="32"/>
          <w:szCs w:val="32"/>
        </w:rPr>
      </w:pPr>
      <w:r>
        <w:rPr>
          <w:color w:val="000000"/>
        </w:rPr>
        <w:t>The criteria of a detailed summary of the study's focus on Rolex, a prestigious corporation known for its high-end timepieces. This exposition offers a thorough grasp of the fundamental components of Rolex by exploring the brand's historical beginnings, traversing the complex world of communication techniques, integrated marketing strategies, branding activities, and the crucial idea of brand equity. In addition to methodically designing and assessing customer journeys across various communication channels to fulfill the demands of existing and future stakeholders, the research emphasizes the significance of creative marketing methods for improving brand recognition. A perceptive analysis of the complex interactions between brand equity and Rolex's business structure is also provided. The study of the research exemplifies Rolex's dedication to accuracy, luxury, and enduring workmanship, which together help to build the company's prestigious reputation and outstanding global status.</w:t>
      </w:r>
    </w:p>
    <w:p w:rsidR="002A0EA7" w:rsidRDefault="002A0EA7">
      <w:pPr>
        <w:jc w:val="center"/>
        <w:rPr>
          <w:b/>
          <w:sz w:val="32"/>
          <w:szCs w:val="32"/>
        </w:rPr>
      </w:pPr>
    </w:p>
    <w:p w:rsidR="002A0EA7" w:rsidRDefault="002A0EA7">
      <w:pPr>
        <w:jc w:val="center"/>
        <w:rPr>
          <w:b/>
          <w:sz w:val="32"/>
          <w:szCs w:val="32"/>
        </w:rPr>
      </w:pPr>
    </w:p>
    <w:p w:rsidR="002A0EA7" w:rsidRDefault="002A0EA7">
      <w:pPr>
        <w:jc w:val="center"/>
        <w:rPr>
          <w:b/>
          <w:sz w:val="32"/>
          <w:szCs w:val="32"/>
        </w:rPr>
      </w:pPr>
    </w:p>
    <w:p w:rsidR="002A0EA7" w:rsidRDefault="002A0EA7">
      <w:pPr>
        <w:jc w:val="center"/>
        <w:rPr>
          <w:b/>
          <w:sz w:val="32"/>
          <w:szCs w:val="32"/>
        </w:rPr>
      </w:pPr>
    </w:p>
    <w:p w:rsidR="002A0EA7" w:rsidRDefault="002A0EA7">
      <w:pPr>
        <w:jc w:val="center"/>
        <w:rPr>
          <w:b/>
          <w:sz w:val="32"/>
          <w:szCs w:val="32"/>
        </w:rPr>
      </w:pPr>
    </w:p>
    <w:p w:rsidR="002A0EA7" w:rsidRDefault="002A0EA7">
      <w:pPr>
        <w:jc w:val="center"/>
        <w:rPr>
          <w:b/>
          <w:sz w:val="32"/>
          <w:szCs w:val="32"/>
        </w:rPr>
      </w:pPr>
    </w:p>
    <w:p w:rsidR="002A0EA7" w:rsidRDefault="002A0EA7">
      <w:pPr>
        <w:jc w:val="center"/>
        <w:rPr>
          <w:b/>
          <w:sz w:val="32"/>
          <w:szCs w:val="32"/>
        </w:rPr>
      </w:pPr>
    </w:p>
    <w:p w:rsidR="002A0EA7" w:rsidRDefault="002A0EA7">
      <w:pPr>
        <w:jc w:val="center"/>
        <w:rPr>
          <w:b/>
          <w:sz w:val="32"/>
          <w:szCs w:val="32"/>
        </w:rPr>
      </w:pPr>
    </w:p>
    <w:p w:rsidR="002A0EA7" w:rsidRDefault="002A0EA7">
      <w:pPr>
        <w:jc w:val="center"/>
        <w:rPr>
          <w:b/>
          <w:sz w:val="32"/>
          <w:szCs w:val="32"/>
        </w:rPr>
      </w:pPr>
    </w:p>
    <w:p w:rsidR="00CC3650" w:rsidRDefault="00CC3650">
      <w:pPr>
        <w:rPr>
          <w:b/>
          <w:sz w:val="32"/>
          <w:szCs w:val="32"/>
        </w:rPr>
      </w:pPr>
      <w:r>
        <w:rPr>
          <w:b/>
          <w:sz w:val="32"/>
          <w:szCs w:val="32"/>
        </w:rPr>
        <w:br w:type="page"/>
      </w:r>
    </w:p>
    <w:sdt>
      <w:sdtPr>
        <w:rPr>
          <w:rFonts w:ascii="Times New Roman" w:eastAsia="Times New Roman" w:hAnsi="Times New Roman" w:cs="Times New Roman"/>
          <w:color w:val="auto"/>
          <w:sz w:val="24"/>
          <w:szCs w:val="24"/>
          <w:lang w:eastAsia="en-IN"/>
        </w:rPr>
        <w:id w:val="-1965187867"/>
        <w:docPartObj>
          <w:docPartGallery w:val="Table of Contents"/>
          <w:docPartUnique/>
        </w:docPartObj>
      </w:sdtPr>
      <w:sdtEndPr>
        <w:rPr>
          <w:b/>
          <w:bCs/>
          <w:noProof/>
        </w:rPr>
      </w:sdtEndPr>
      <w:sdtContent>
        <w:p w:rsidR="00CC3650" w:rsidRPr="00CC3650" w:rsidRDefault="00CC3650" w:rsidP="00CC3650">
          <w:pPr>
            <w:pStyle w:val="TOCHeading"/>
            <w:spacing w:line="360" w:lineRule="auto"/>
            <w:jc w:val="center"/>
            <w:rPr>
              <w:rFonts w:ascii="Times New Roman" w:hAnsi="Times New Roman" w:cs="Times New Roman"/>
              <w:b/>
              <w:bCs/>
              <w:color w:val="auto"/>
              <w:sz w:val="28"/>
              <w:szCs w:val="28"/>
            </w:rPr>
          </w:pPr>
          <w:r w:rsidRPr="00CC3650">
            <w:rPr>
              <w:rFonts w:ascii="Times New Roman" w:hAnsi="Times New Roman" w:cs="Times New Roman"/>
              <w:b/>
              <w:bCs/>
              <w:color w:val="auto"/>
              <w:sz w:val="28"/>
              <w:szCs w:val="28"/>
            </w:rPr>
            <w:t>Table of Contents</w:t>
          </w:r>
        </w:p>
        <w:p w:rsidR="00E60303" w:rsidRDefault="004E7FCD">
          <w:pPr>
            <w:pStyle w:val="TOC1"/>
            <w:tabs>
              <w:tab w:val="right" w:leader="dot" w:pos="9350"/>
            </w:tabs>
            <w:rPr>
              <w:rFonts w:asciiTheme="minorHAnsi" w:eastAsiaTheme="minorEastAsia" w:hAnsiTheme="minorHAnsi" w:cstheme="minorBidi"/>
              <w:noProof/>
              <w:sz w:val="22"/>
              <w:szCs w:val="22"/>
              <w:lang w:eastAsia="en-US"/>
            </w:rPr>
          </w:pPr>
          <w:r w:rsidRPr="004E7FCD">
            <w:fldChar w:fldCharType="begin"/>
          </w:r>
          <w:r w:rsidR="00CC3650">
            <w:instrText xml:space="preserve"> TOC \o "1-3" \h \z \u </w:instrText>
          </w:r>
          <w:r w:rsidRPr="004E7FCD">
            <w:fldChar w:fldCharType="separate"/>
          </w:r>
          <w:hyperlink w:anchor="_Toc144195509" w:history="1">
            <w:r w:rsidR="00E60303" w:rsidRPr="00873106">
              <w:rPr>
                <w:rStyle w:val="Hyperlink"/>
                <w:noProof/>
              </w:rPr>
              <w:t>Introduction</w:t>
            </w:r>
            <w:r w:rsidR="00E60303">
              <w:rPr>
                <w:noProof/>
                <w:webHidden/>
              </w:rPr>
              <w:tab/>
            </w:r>
            <w:r>
              <w:rPr>
                <w:noProof/>
                <w:webHidden/>
              </w:rPr>
              <w:fldChar w:fldCharType="begin"/>
            </w:r>
            <w:r w:rsidR="00E60303">
              <w:rPr>
                <w:noProof/>
                <w:webHidden/>
              </w:rPr>
              <w:instrText xml:space="preserve"> PAGEREF _Toc144195509 \h </w:instrText>
            </w:r>
            <w:r>
              <w:rPr>
                <w:noProof/>
                <w:webHidden/>
              </w:rPr>
            </w:r>
            <w:r>
              <w:rPr>
                <w:noProof/>
                <w:webHidden/>
              </w:rPr>
              <w:fldChar w:fldCharType="separate"/>
            </w:r>
            <w:r w:rsidR="001C3ACA">
              <w:rPr>
                <w:noProof/>
                <w:webHidden/>
              </w:rPr>
              <w:t>4</w:t>
            </w:r>
            <w:r>
              <w:rPr>
                <w:noProof/>
                <w:webHidden/>
              </w:rPr>
              <w:fldChar w:fldCharType="end"/>
            </w:r>
          </w:hyperlink>
        </w:p>
        <w:p w:rsidR="00E60303" w:rsidRDefault="004E7FCD">
          <w:pPr>
            <w:pStyle w:val="TOC1"/>
            <w:tabs>
              <w:tab w:val="right" w:leader="dot" w:pos="9350"/>
            </w:tabs>
            <w:rPr>
              <w:rFonts w:asciiTheme="minorHAnsi" w:eastAsiaTheme="minorEastAsia" w:hAnsiTheme="minorHAnsi" w:cstheme="minorBidi"/>
              <w:noProof/>
              <w:sz w:val="22"/>
              <w:szCs w:val="22"/>
              <w:lang w:eastAsia="en-US"/>
            </w:rPr>
          </w:pPr>
          <w:hyperlink w:anchor="_Toc144195510" w:history="1">
            <w:r w:rsidR="00E60303" w:rsidRPr="00873106">
              <w:rPr>
                <w:rStyle w:val="Hyperlink"/>
                <w:noProof/>
              </w:rPr>
              <w:t>About the company</w:t>
            </w:r>
            <w:r w:rsidR="00E60303">
              <w:rPr>
                <w:noProof/>
                <w:webHidden/>
              </w:rPr>
              <w:tab/>
            </w:r>
            <w:r>
              <w:rPr>
                <w:noProof/>
                <w:webHidden/>
              </w:rPr>
              <w:fldChar w:fldCharType="begin"/>
            </w:r>
            <w:r w:rsidR="00E60303">
              <w:rPr>
                <w:noProof/>
                <w:webHidden/>
              </w:rPr>
              <w:instrText xml:space="preserve"> PAGEREF _Toc144195510 \h </w:instrText>
            </w:r>
            <w:r>
              <w:rPr>
                <w:noProof/>
                <w:webHidden/>
              </w:rPr>
            </w:r>
            <w:r>
              <w:rPr>
                <w:noProof/>
                <w:webHidden/>
              </w:rPr>
              <w:fldChar w:fldCharType="separate"/>
            </w:r>
            <w:r w:rsidR="001C3ACA">
              <w:rPr>
                <w:noProof/>
                <w:webHidden/>
              </w:rPr>
              <w:t>6</w:t>
            </w:r>
            <w:r>
              <w:rPr>
                <w:noProof/>
                <w:webHidden/>
              </w:rPr>
              <w:fldChar w:fldCharType="end"/>
            </w:r>
          </w:hyperlink>
        </w:p>
        <w:p w:rsidR="00E60303" w:rsidRDefault="004E7FCD">
          <w:pPr>
            <w:pStyle w:val="TOC1"/>
            <w:tabs>
              <w:tab w:val="right" w:leader="dot" w:pos="9350"/>
            </w:tabs>
            <w:rPr>
              <w:rFonts w:asciiTheme="minorHAnsi" w:eastAsiaTheme="minorEastAsia" w:hAnsiTheme="minorHAnsi" w:cstheme="minorBidi"/>
              <w:noProof/>
              <w:sz w:val="22"/>
              <w:szCs w:val="22"/>
              <w:lang w:eastAsia="en-US"/>
            </w:rPr>
          </w:pPr>
          <w:hyperlink w:anchor="_Toc144195511" w:history="1">
            <w:r w:rsidR="00E60303" w:rsidRPr="00873106">
              <w:rPr>
                <w:rStyle w:val="Hyperlink"/>
                <w:noProof/>
              </w:rPr>
              <w:t>Definition of communication</w:t>
            </w:r>
            <w:r w:rsidR="00E60303">
              <w:rPr>
                <w:noProof/>
                <w:webHidden/>
              </w:rPr>
              <w:tab/>
            </w:r>
            <w:r>
              <w:rPr>
                <w:noProof/>
                <w:webHidden/>
              </w:rPr>
              <w:fldChar w:fldCharType="begin"/>
            </w:r>
            <w:r w:rsidR="00E60303">
              <w:rPr>
                <w:noProof/>
                <w:webHidden/>
              </w:rPr>
              <w:instrText xml:space="preserve"> PAGEREF _Toc144195511 \h </w:instrText>
            </w:r>
            <w:r>
              <w:rPr>
                <w:noProof/>
                <w:webHidden/>
              </w:rPr>
            </w:r>
            <w:r>
              <w:rPr>
                <w:noProof/>
                <w:webHidden/>
              </w:rPr>
              <w:fldChar w:fldCharType="separate"/>
            </w:r>
            <w:r w:rsidR="001C3ACA">
              <w:rPr>
                <w:noProof/>
                <w:webHidden/>
              </w:rPr>
              <w:t>7</w:t>
            </w:r>
            <w:r>
              <w:rPr>
                <w:noProof/>
                <w:webHidden/>
              </w:rPr>
              <w:fldChar w:fldCharType="end"/>
            </w:r>
          </w:hyperlink>
        </w:p>
        <w:p w:rsidR="00E60303" w:rsidRDefault="004E7FCD">
          <w:pPr>
            <w:pStyle w:val="TOC1"/>
            <w:tabs>
              <w:tab w:val="right" w:leader="dot" w:pos="9350"/>
            </w:tabs>
            <w:rPr>
              <w:rFonts w:asciiTheme="minorHAnsi" w:eastAsiaTheme="minorEastAsia" w:hAnsiTheme="minorHAnsi" w:cstheme="minorBidi"/>
              <w:noProof/>
              <w:sz w:val="22"/>
              <w:szCs w:val="22"/>
              <w:lang w:eastAsia="en-US"/>
            </w:rPr>
          </w:pPr>
          <w:hyperlink w:anchor="_Toc144195512" w:history="1">
            <w:r w:rsidR="00E60303" w:rsidRPr="00873106">
              <w:rPr>
                <w:rStyle w:val="Hyperlink"/>
                <w:noProof/>
              </w:rPr>
              <w:t>A brief explanation of the Communication model and its diagram</w:t>
            </w:r>
            <w:r w:rsidR="00E60303">
              <w:rPr>
                <w:noProof/>
                <w:webHidden/>
              </w:rPr>
              <w:tab/>
            </w:r>
            <w:r>
              <w:rPr>
                <w:noProof/>
                <w:webHidden/>
              </w:rPr>
              <w:fldChar w:fldCharType="begin"/>
            </w:r>
            <w:r w:rsidR="00E60303">
              <w:rPr>
                <w:noProof/>
                <w:webHidden/>
              </w:rPr>
              <w:instrText xml:space="preserve"> PAGEREF _Toc144195512 \h </w:instrText>
            </w:r>
            <w:r>
              <w:rPr>
                <w:noProof/>
                <w:webHidden/>
              </w:rPr>
            </w:r>
            <w:r>
              <w:rPr>
                <w:noProof/>
                <w:webHidden/>
              </w:rPr>
              <w:fldChar w:fldCharType="separate"/>
            </w:r>
            <w:r w:rsidR="001C3ACA">
              <w:rPr>
                <w:noProof/>
                <w:webHidden/>
              </w:rPr>
              <w:t>7</w:t>
            </w:r>
            <w:r>
              <w:rPr>
                <w:noProof/>
                <w:webHidden/>
              </w:rPr>
              <w:fldChar w:fldCharType="end"/>
            </w:r>
          </w:hyperlink>
        </w:p>
        <w:p w:rsidR="00E60303" w:rsidRDefault="004E7FCD">
          <w:pPr>
            <w:pStyle w:val="TOC1"/>
            <w:tabs>
              <w:tab w:val="right" w:leader="dot" w:pos="9350"/>
            </w:tabs>
            <w:rPr>
              <w:rFonts w:asciiTheme="minorHAnsi" w:eastAsiaTheme="minorEastAsia" w:hAnsiTheme="minorHAnsi" w:cstheme="minorBidi"/>
              <w:noProof/>
              <w:sz w:val="22"/>
              <w:szCs w:val="22"/>
              <w:lang w:eastAsia="en-US"/>
            </w:rPr>
          </w:pPr>
          <w:hyperlink w:anchor="_Toc144195513" w:history="1">
            <w:r w:rsidR="00E60303" w:rsidRPr="00873106">
              <w:rPr>
                <w:rStyle w:val="Hyperlink"/>
                <w:noProof/>
              </w:rPr>
              <w:t>A Definition of Integrated Marketing Communications</w:t>
            </w:r>
            <w:r w:rsidR="00E60303">
              <w:rPr>
                <w:noProof/>
                <w:webHidden/>
              </w:rPr>
              <w:tab/>
            </w:r>
            <w:r>
              <w:rPr>
                <w:noProof/>
                <w:webHidden/>
              </w:rPr>
              <w:fldChar w:fldCharType="begin"/>
            </w:r>
            <w:r w:rsidR="00E60303">
              <w:rPr>
                <w:noProof/>
                <w:webHidden/>
              </w:rPr>
              <w:instrText xml:space="preserve"> PAGEREF _Toc144195513 \h </w:instrText>
            </w:r>
            <w:r>
              <w:rPr>
                <w:noProof/>
                <w:webHidden/>
              </w:rPr>
            </w:r>
            <w:r>
              <w:rPr>
                <w:noProof/>
                <w:webHidden/>
              </w:rPr>
              <w:fldChar w:fldCharType="separate"/>
            </w:r>
            <w:r w:rsidR="001C3ACA">
              <w:rPr>
                <w:noProof/>
                <w:webHidden/>
              </w:rPr>
              <w:t>9</w:t>
            </w:r>
            <w:r>
              <w:rPr>
                <w:noProof/>
                <w:webHidden/>
              </w:rPr>
              <w:fldChar w:fldCharType="end"/>
            </w:r>
          </w:hyperlink>
        </w:p>
        <w:p w:rsidR="00E60303" w:rsidRDefault="004E7FCD">
          <w:pPr>
            <w:pStyle w:val="TOC1"/>
            <w:tabs>
              <w:tab w:val="right" w:leader="dot" w:pos="9350"/>
            </w:tabs>
            <w:rPr>
              <w:rFonts w:asciiTheme="minorHAnsi" w:eastAsiaTheme="minorEastAsia" w:hAnsiTheme="minorHAnsi" w:cstheme="minorBidi"/>
              <w:noProof/>
              <w:sz w:val="22"/>
              <w:szCs w:val="22"/>
              <w:lang w:eastAsia="en-US"/>
            </w:rPr>
          </w:pPr>
          <w:hyperlink w:anchor="_Toc144195514" w:history="1">
            <w:r w:rsidR="00E60303" w:rsidRPr="00873106">
              <w:rPr>
                <w:rStyle w:val="Hyperlink"/>
                <w:noProof/>
              </w:rPr>
              <w:t>New promotional strategies that the company can use to raise awareness of the brand</w:t>
            </w:r>
            <w:r w:rsidR="00E60303">
              <w:rPr>
                <w:noProof/>
                <w:webHidden/>
              </w:rPr>
              <w:tab/>
            </w:r>
            <w:r>
              <w:rPr>
                <w:noProof/>
                <w:webHidden/>
              </w:rPr>
              <w:fldChar w:fldCharType="begin"/>
            </w:r>
            <w:r w:rsidR="00E60303">
              <w:rPr>
                <w:noProof/>
                <w:webHidden/>
              </w:rPr>
              <w:instrText xml:space="preserve"> PAGEREF _Toc144195514 \h </w:instrText>
            </w:r>
            <w:r>
              <w:rPr>
                <w:noProof/>
                <w:webHidden/>
              </w:rPr>
            </w:r>
            <w:r>
              <w:rPr>
                <w:noProof/>
                <w:webHidden/>
              </w:rPr>
              <w:fldChar w:fldCharType="separate"/>
            </w:r>
            <w:r w:rsidR="001C3ACA">
              <w:rPr>
                <w:noProof/>
                <w:webHidden/>
              </w:rPr>
              <w:t>10</w:t>
            </w:r>
            <w:r>
              <w:rPr>
                <w:noProof/>
                <w:webHidden/>
              </w:rPr>
              <w:fldChar w:fldCharType="end"/>
            </w:r>
          </w:hyperlink>
        </w:p>
        <w:p w:rsidR="00E60303" w:rsidRDefault="004E7FCD">
          <w:pPr>
            <w:pStyle w:val="TOC1"/>
            <w:tabs>
              <w:tab w:val="right" w:leader="dot" w:pos="9350"/>
            </w:tabs>
            <w:rPr>
              <w:rFonts w:asciiTheme="minorHAnsi" w:eastAsiaTheme="minorEastAsia" w:hAnsiTheme="minorHAnsi" w:cstheme="minorBidi"/>
              <w:noProof/>
              <w:sz w:val="22"/>
              <w:szCs w:val="22"/>
              <w:lang w:eastAsia="en-US"/>
            </w:rPr>
          </w:pPr>
          <w:hyperlink w:anchor="_Toc144195515" w:history="1">
            <w:r w:rsidR="00E60303" w:rsidRPr="00873106">
              <w:rPr>
                <w:rStyle w:val="Hyperlink"/>
                <w:noProof/>
              </w:rPr>
              <w:t>A definition of branding and brand equity</w:t>
            </w:r>
            <w:r w:rsidR="00E60303">
              <w:rPr>
                <w:noProof/>
                <w:webHidden/>
              </w:rPr>
              <w:tab/>
            </w:r>
            <w:r>
              <w:rPr>
                <w:noProof/>
                <w:webHidden/>
              </w:rPr>
              <w:fldChar w:fldCharType="begin"/>
            </w:r>
            <w:r w:rsidR="00E60303">
              <w:rPr>
                <w:noProof/>
                <w:webHidden/>
              </w:rPr>
              <w:instrText xml:space="preserve"> PAGEREF _Toc144195515 \h </w:instrText>
            </w:r>
            <w:r>
              <w:rPr>
                <w:noProof/>
                <w:webHidden/>
              </w:rPr>
            </w:r>
            <w:r>
              <w:rPr>
                <w:noProof/>
                <w:webHidden/>
              </w:rPr>
              <w:fldChar w:fldCharType="separate"/>
            </w:r>
            <w:r w:rsidR="001C3ACA">
              <w:rPr>
                <w:noProof/>
                <w:webHidden/>
              </w:rPr>
              <w:t>13</w:t>
            </w:r>
            <w:r>
              <w:rPr>
                <w:noProof/>
                <w:webHidden/>
              </w:rPr>
              <w:fldChar w:fldCharType="end"/>
            </w:r>
          </w:hyperlink>
        </w:p>
        <w:p w:rsidR="00E60303" w:rsidRDefault="004E7FCD">
          <w:pPr>
            <w:pStyle w:val="TOC1"/>
            <w:tabs>
              <w:tab w:val="right" w:leader="dot" w:pos="9350"/>
            </w:tabs>
            <w:rPr>
              <w:rFonts w:asciiTheme="minorHAnsi" w:eastAsiaTheme="minorEastAsia" w:hAnsiTheme="minorHAnsi" w:cstheme="minorBidi"/>
              <w:noProof/>
              <w:sz w:val="22"/>
              <w:szCs w:val="22"/>
              <w:lang w:eastAsia="en-US"/>
            </w:rPr>
          </w:pPr>
          <w:hyperlink w:anchor="_Toc144195516" w:history="1">
            <w:r w:rsidR="00E60303" w:rsidRPr="00873106">
              <w:rPr>
                <w:rStyle w:val="Hyperlink"/>
                <w:noProof/>
              </w:rPr>
              <w:t>Explanation and Relate Keller’s Brand Equity Model to the Company</w:t>
            </w:r>
            <w:r w:rsidR="00E60303">
              <w:rPr>
                <w:noProof/>
                <w:webHidden/>
              </w:rPr>
              <w:tab/>
            </w:r>
            <w:r>
              <w:rPr>
                <w:noProof/>
                <w:webHidden/>
              </w:rPr>
              <w:fldChar w:fldCharType="begin"/>
            </w:r>
            <w:r w:rsidR="00E60303">
              <w:rPr>
                <w:noProof/>
                <w:webHidden/>
              </w:rPr>
              <w:instrText xml:space="preserve"> PAGEREF _Toc144195516 \h </w:instrText>
            </w:r>
            <w:r>
              <w:rPr>
                <w:noProof/>
                <w:webHidden/>
              </w:rPr>
            </w:r>
            <w:r>
              <w:rPr>
                <w:noProof/>
                <w:webHidden/>
              </w:rPr>
              <w:fldChar w:fldCharType="separate"/>
            </w:r>
            <w:r w:rsidR="001C3ACA">
              <w:rPr>
                <w:noProof/>
                <w:webHidden/>
              </w:rPr>
              <w:t>14</w:t>
            </w:r>
            <w:r>
              <w:rPr>
                <w:noProof/>
                <w:webHidden/>
              </w:rPr>
              <w:fldChar w:fldCharType="end"/>
            </w:r>
          </w:hyperlink>
        </w:p>
        <w:p w:rsidR="00E60303" w:rsidRDefault="004E7FCD">
          <w:pPr>
            <w:pStyle w:val="TOC1"/>
            <w:tabs>
              <w:tab w:val="right" w:leader="dot" w:pos="9350"/>
            </w:tabs>
            <w:rPr>
              <w:rFonts w:asciiTheme="minorHAnsi" w:eastAsiaTheme="minorEastAsia" w:hAnsiTheme="minorHAnsi" w:cstheme="minorBidi"/>
              <w:noProof/>
              <w:sz w:val="22"/>
              <w:szCs w:val="22"/>
              <w:lang w:eastAsia="en-US"/>
            </w:rPr>
          </w:pPr>
          <w:hyperlink w:anchor="_Toc144195517" w:history="1">
            <w:r w:rsidR="00E60303" w:rsidRPr="00873106">
              <w:rPr>
                <w:rStyle w:val="Hyperlink"/>
                <w:noProof/>
              </w:rPr>
              <w:t>The customer journey and customer touch points of the organization</w:t>
            </w:r>
            <w:r w:rsidR="00E60303">
              <w:rPr>
                <w:noProof/>
                <w:webHidden/>
              </w:rPr>
              <w:tab/>
            </w:r>
            <w:r>
              <w:rPr>
                <w:noProof/>
                <w:webHidden/>
              </w:rPr>
              <w:fldChar w:fldCharType="begin"/>
            </w:r>
            <w:r w:rsidR="00E60303">
              <w:rPr>
                <w:noProof/>
                <w:webHidden/>
              </w:rPr>
              <w:instrText xml:space="preserve"> PAGEREF _Toc144195517 \h </w:instrText>
            </w:r>
            <w:r>
              <w:rPr>
                <w:noProof/>
                <w:webHidden/>
              </w:rPr>
            </w:r>
            <w:r>
              <w:rPr>
                <w:noProof/>
                <w:webHidden/>
              </w:rPr>
              <w:fldChar w:fldCharType="separate"/>
            </w:r>
            <w:r w:rsidR="001C3ACA">
              <w:rPr>
                <w:noProof/>
                <w:webHidden/>
              </w:rPr>
              <w:t>17</w:t>
            </w:r>
            <w:r>
              <w:rPr>
                <w:noProof/>
                <w:webHidden/>
              </w:rPr>
              <w:fldChar w:fldCharType="end"/>
            </w:r>
          </w:hyperlink>
        </w:p>
        <w:p w:rsidR="00E60303" w:rsidRDefault="004E7FCD">
          <w:pPr>
            <w:pStyle w:val="TOC1"/>
            <w:tabs>
              <w:tab w:val="right" w:leader="dot" w:pos="9350"/>
            </w:tabs>
            <w:rPr>
              <w:rFonts w:asciiTheme="minorHAnsi" w:eastAsiaTheme="minorEastAsia" w:hAnsiTheme="minorHAnsi" w:cstheme="minorBidi"/>
              <w:noProof/>
              <w:sz w:val="22"/>
              <w:szCs w:val="22"/>
              <w:lang w:eastAsia="en-US"/>
            </w:rPr>
          </w:pPr>
          <w:hyperlink w:anchor="_Toc144195518" w:history="1">
            <w:r w:rsidR="00E60303" w:rsidRPr="00873106">
              <w:rPr>
                <w:rStyle w:val="Hyperlink"/>
                <w:noProof/>
              </w:rPr>
              <w:t>Explanation and critical analysis of a customer journey map for the company</w:t>
            </w:r>
            <w:r w:rsidR="00E60303">
              <w:rPr>
                <w:noProof/>
                <w:webHidden/>
              </w:rPr>
              <w:tab/>
            </w:r>
            <w:r>
              <w:rPr>
                <w:noProof/>
                <w:webHidden/>
              </w:rPr>
              <w:fldChar w:fldCharType="begin"/>
            </w:r>
            <w:r w:rsidR="00E60303">
              <w:rPr>
                <w:noProof/>
                <w:webHidden/>
              </w:rPr>
              <w:instrText xml:space="preserve"> PAGEREF _Toc144195518 \h </w:instrText>
            </w:r>
            <w:r>
              <w:rPr>
                <w:noProof/>
                <w:webHidden/>
              </w:rPr>
            </w:r>
            <w:r>
              <w:rPr>
                <w:noProof/>
                <w:webHidden/>
              </w:rPr>
              <w:fldChar w:fldCharType="separate"/>
            </w:r>
            <w:r w:rsidR="001C3ACA">
              <w:rPr>
                <w:noProof/>
                <w:webHidden/>
              </w:rPr>
              <w:t>18</w:t>
            </w:r>
            <w:r>
              <w:rPr>
                <w:noProof/>
                <w:webHidden/>
              </w:rPr>
              <w:fldChar w:fldCharType="end"/>
            </w:r>
          </w:hyperlink>
        </w:p>
        <w:p w:rsidR="00E60303" w:rsidRDefault="004E7FCD">
          <w:pPr>
            <w:pStyle w:val="TOC1"/>
            <w:tabs>
              <w:tab w:val="right" w:leader="dot" w:pos="9350"/>
            </w:tabs>
            <w:rPr>
              <w:rFonts w:asciiTheme="minorHAnsi" w:eastAsiaTheme="minorEastAsia" w:hAnsiTheme="minorHAnsi" w:cstheme="minorBidi"/>
              <w:noProof/>
              <w:sz w:val="22"/>
              <w:szCs w:val="22"/>
              <w:lang w:eastAsia="en-US"/>
            </w:rPr>
          </w:pPr>
          <w:hyperlink w:anchor="_Toc144195519" w:history="1">
            <w:r w:rsidR="00E60303" w:rsidRPr="00873106">
              <w:rPr>
                <w:rStyle w:val="Hyperlink"/>
                <w:noProof/>
              </w:rPr>
              <w:t>The Total Engagement Model could be explained and related to the company</w:t>
            </w:r>
            <w:r w:rsidR="00E60303">
              <w:rPr>
                <w:noProof/>
                <w:webHidden/>
              </w:rPr>
              <w:tab/>
            </w:r>
            <w:r>
              <w:rPr>
                <w:noProof/>
                <w:webHidden/>
              </w:rPr>
              <w:fldChar w:fldCharType="begin"/>
            </w:r>
            <w:r w:rsidR="00E60303">
              <w:rPr>
                <w:noProof/>
                <w:webHidden/>
              </w:rPr>
              <w:instrText xml:space="preserve"> PAGEREF _Toc144195519 \h </w:instrText>
            </w:r>
            <w:r>
              <w:rPr>
                <w:noProof/>
                <w:webHidden/>
              </w:rPr>
            </w:r>
            <w:r>
              <w:rPr>
                <w:noProof/>
                <w:webHidden/>
              </w:rPr>
              <w:fldChar w:fldCharType="separate"/>
            </w:r>
            <w:r w:rsidR="001C3ACA">
              <w:rPr>
                <w:noProof/>
                <w:webHidden/>
              </w:rPr>
              <w:t>19</w:t>
            </w:r>
            <w:r>
              <w:rPr>
                <w:noProof/>
                <w:webHidden/>
              </w:rPr>
              <w:fldChar w:fldCharType="end"/>
            </w:r>
          </w:hyperlink>
        </w:p>
        <w:p w:rsidR="00E60303" w:rsidRDefault="004E7FCD">
          <w:pPr>
            <w:pStyle w:val="TOC1"/>
            <w:tabs>
              <w:tab w:val="right" w:leader="dot" w:pos="9350"/>
            </w:tabs>
            <w:rPr>
              <w:rFonts w:asciiTheme="minorHAnsi" w:eastAsiaTheme="minorEastAsia" w:hAnsiTheme="minorHAnsi" w:cstheme="minorBidi"/>
              <w:noProof/>
              <w:sz w:val="22"/>
              <w:szCs w:val="22"/>
              <w:lang w:eastAsia="en-US"/>
            </w:rPr>
          </w:pPr>
          <w:hyperlink w:anchor="_Toc144195520" w:history="1">
            <w:r w:rsidR="00E60303" w:rsidRPr="00873106">
              <w:rPr>
                <w:rStyle w:val="Hyperlink"/>
                <w:noProof/>
              </w:rPr>
              <w:t>Conclusion</w:t>
            </w:r>
            <w:r w:rsidR="00E60303">
              <w:rPr>
                <w:noProof/>
                <w:webHidden/>
              </w:rPr>
              <w:tab/>
            </w:r>
            <w:r>
              <w:rPr>
                <w:noProof/>
                <w:webHidden/>
              </w:rPr>
              <w:fldChar w:fldCharType="begin"/>
            </w:r>
            <w:r w:rsidR="00E60303">
              <w:rPr>
                <w:noProof/>
                <w:webHidden/>
              </w:rPr>
              <w:instrText xml:space="preserve"> PAGEREF _Toc144195520 \h </w:instrText>
            </w:r>
            <w:r>
              <w:rPr>
                <w:noProof/>
                <w:webHidden/>
              </w:rPr>
            </w:r>
            <w:r>
              <w:rPr>
                <w:noProof/>
                <w:webHidden/>
              </w:rPr>
              <w:fldChar w:fldCharType="separate"/>
            </w:r>
            <w:r w:rsidR="001C3ACA">
              <w:rPr>
                <w:noProof/>
                <w:webHidden/>
              </w:rPr>
              <w:t>20</w:t>
            </w:r>
            <w:r>
              <w:rPr>
                <w:noProof/>
                <w:webHidden/>
              </w:rPr>
              <w:fldChar w:fldCharType="end"/>
            </w:r>
          </w:hyperlink>
        </w:p>
        <w:p w:rsidR="00E60303" w:rsidRDefault="004E7FCD">
          <w:pPr>
            <w:pStyle w:val="TOC1"/>
            <w:tabs>
              <w:tab w:val="right" w:leader="dot" w:pos="9350"/>
            </w:tabs>
            <w:rPr>
              <w:rFonts w:asciiTheme="minorHAnsi" w:eastAsiaTheme="minorEastAsia" w:hAnsiTheme="minorHAnsi" w:cstheme="minorBidi"/>
              <w:noProof/>
              <w:sz w:val="22"/>
              <w:szCs w:val="22"/>
              <w:lang w:eastAsia="en-US"/>
            </w:rPr>
          </w:pPr>
          <w:hyperlink w:anchor="_Toc144195521" w:history="1">
            <w:r w:rsidR="00E60303" w:rsidRPr="00873106">
              <w:rPr>
                <w:rStyle w:val="Hyperlink"/>
                <w:noProof/>
              </w:rPr>
              <w:t>References</w:t>
            </w:r>
            <w:r w:rsidR="00E60303">
              <w:rPr>
                <w:noProof/>
                <w:webHidden/>
              </w:rPr>
              <w:tab/>
            </w:r>
            <w:r>
              <w:rPr>
                <w:noProof/>
                <w:webHidden/>
              </w:rPr>
              <w:fldChar w:fldCharType="begin"/>
            </w:r>
            <w:r w:rsidR="00E60303">
              <w:rPr>
                <w:noProof/>
                <w:webHidden/>
              </w:rPr>
              <w:instrText xml:space="preserve"> PAGEREF _Toc144195521 \h </w:instrText>
            </w:r>
            <w:r>
              <w:rPr>
                <w:noProof/>
                <w:webHidden/>
              </w:rPr>
            </w:r>
            <w:r>
              <w:rPr>
                <w:noProof/>
                <w:webHidden/>
              </w:rPr>
              <w:fldChar w:fldCharType="separate"/>
            </w:r>
            <w:r w:rsidR="001C3ACA">
              <w:rPr>
                <w:noProof/>
                <w:webHidden/>
              </w:rPr>
              <w:t>22</w:t>
            </w:r>
            <w:r>
              <w:rPr>
                <w:noProof/>
                <w:webHidden/>
              </w:rPr>
              <w:fldChar w:fldCharType="end"/>
            </w:r>
          </w:hyperlink>
        </w:p>
        <w:p w:rsidR="00CC3650" w:rsidRDefault="004E7FCD">
          <w:r>
            <w:rPr>
              <w:b/>
              <w:bCs/>
              <w:noProof/>
            </w:rPr>
            <w:fldChar w:fldCharType="end"/>
          </w:r>
        </w:p>
      </w:sdtContent>
    </w:sdt>
    <w:p w:rsidR="002A0EA7" w:rsidRDefault="00995E63">
      <w:pPr>
        <w:jc w:val="center"/>
      </w:pPr>
      <w:r>
        <w:br w:type="page"/>
      </w:r>
    </w:p>
    <w:p w:rsidR="00E60303" w:rsidRDefault="00E60303" w:rsidP="00E60303">
      <w:pPr>
        <w:jc w:val="center"/>
        <w:rPr>
          <w:b/>
        </w:rPr>
      </w:pPr>
      <w:bookmarkStart w:id="0" w:name="_uptb93pmmmgi" w:colFirst="0" w:colLast="0"/>
      <w:bookmarkStart w:id="1" w:name="_Toc144195509"/>
      <w:bookmarkEnd w:id="0"/>
      <w:r w:rsidRPr="00E60303">
        <w:rPr>
          <w:b/>
          <w:sz w:val="28"/>
        </w:rPr>
        <w:lastRenderedPageBreak/>
        <w:t>List of Figures</w:t>
      </w:r>
    </w:p>
    <w:p w:rsidR="001C3ACA" w:rsidRDefault="004E7FCD">
      <w:pPr>
        <w:pStyle w:val="TableofFigures"/>
        <w:tabs>
          <w:tab w:val="right" w:leader="dot" w:pos="9350"/>
        </w:tabs>
        <w:rPr>
          <w:rFonts w:asciiTheme="minorHAnsi" w:eastAsiaTheme="minorEastAsia" w:hAnsiTheme="minorHAnsi" w:cs="Vrinda"/>
          <w:noProof/>
          <w:sz w:val="22"/>
          <w:szCs w:val="28"/>
          <w:lang w:eastAsia="en-US" w:bidi="bn-IN"/>
        </w:rPr>
      </w:pPr>
      <w:r>
        <w:rPr>
          <w:b/>
        </w:rPr>
        <w:fldChar w:fldCharType="begin"/>
      </w:r>
      <w:r w:rsidR="00E60303">
        <w:rPr>
          <w:b/>
        </w:rPr>
        <w:instrText xml:space="preserve"> TOC \h \z \t "Heading 4" \c </w:instrText>
      </w:r>
      <w:r>
        <w:rPr>
          <w:b/>
        </w:rPr>
        <w:fldChar w:fldCharType="separate"/>
      </w:r>
      <w:hyperlink w:anchor="_Toc144199471" w:history="1">
        <w:r w:rsidR="001C3ACA" w:rsidRPr="00722EB0">
          <w:rPr>
            <w:rStyle w:val="Hyperlink"/>
            <w:noProof/>
          </w:rPr>
          <w:t>Figure 1: Symbol of Rolex</w:t>
        </w:r>
        <w:r w:rsidR="001C3ACA">
          <w:rPr>
            <w:noProof/>
            <w:webHidden/>
          </w:rPr>
          <w:tab/>
        </w:r>
        <w:r>
          <w:rPr>
            <w:noProof/>
            <w:webHidden/>
          </w:rPr>
          <w:fldChar w:fldCharType="begin"/>
        </w:r>
        <w:r w:rsidR="001C3ACA">
          <w:rPr>
            <w:noProof/>
            <w:webHidden/>
          </w:rPr>
          <w:instrText xml:space="preserve"> PAGEREF _Toc144199471 \h </w:instrText>
        </w:r>
        <w:r>
          <w:rPr>
            <w:noProof/>
            <w:webHidden/>
          </w:rPr>
        </w:r>
        <w:r>
          <w:rPr>
            <w:noProof/>
            <w:webHidden/>
          </w:rPr>
          <w:fldChar w:fldCharType="separate"/>
        </w:r>
        <w:r w:rsidR="001C3ACA">
          <w:rPr>
            <w:noProof/>
            <w:webHidden/>
          </w:rPr>
          <w:t>6</w:t>
        </w:r>
        <w:r>
          <w:rPr>
            <w:noProof/>
            <w:webHidden/>
          </w:rPr>
          <w:fldChar w:fldCharType="end"/>
        </w:r>
      </w:hyperlink>
    </w:p>
    <w:p w:rsidR="001C3ACA" w:rsidRDefault="004E7FCD">
      <w:pPr>
        <w:pStyle w:val="TableofFigures"/>
        <w:tabs>
          <w:tab w:val="right" w:leader="dot" w:pos="9350"/>
        </w:tabs>
        <w:rPr>
          <w:rFonts w:asciiTheme="minorHAnsi" w:eastAsiaTheme="minorEastAsia" w:hAnsiTheme="minorHAnsi" w:cs="Vrinda"/>
          <w:noProof/>
          <w:sz w:val="22"/>
          <w:szCs w:val="28"/>
          <w:lang w:eastAsia="en-US" w:bidi="bn-IN"/>
        </w:rPr>
      </w:pPr>
      <w:hyperlink w:anchor="_Toc144199472" w:history="1">
        <w:r w:rsidR="001C3ACA" w:rsidRPr="00722EB0">
          <w:rPr>
            <w:rStyle w:val="Hyperlink"/>
            <w:noProof/>
          </w:rPr>
          <w:t>Figure 2: Marketing Management Communication Model</w:t>
        </w:r>
        <w:r w:rsidR="001C3ACA">
          <w:rPr>
            <w:noProof/>
            <w:webHidden/>
          </w:rPr>
          <w:tab/>
        </w:r>
        <w:r>
          <w:rPr>
            <w:noProof/>
            <w:webHidden/>
          </w:rPr>
          <w:fldChar w:fldCharType="begin"/>
        </w:r>
        <w:r w:rsidR="001C3ACA">
          <w:rPr>
            <w:noProof/>
            <w:webHidden/>
          </w:rPr>
          <w:instrText xml:space="preserve"> PAGEREF _Toc144199472 \h </w:instrText>
        </w:r>
        <w:r>
          <w:rPr>
            <w:noProof/>
            <w:webHidden/>
          </w:rPr>
        </w:r>
        <w:r>
          <w:rPr>
            <w:noProof/>
            <w:webHidden/>
          </w:rPr>
          <w:fldChar w:fldCharType="separate"/>
        </w:r>
        <w:r w:rsidR="001C3ACA">
          <w:rPr>
            <w:noProof/>
            <w:webHidden/>
          </w:rPr>
          <w:t>8</w:t>
        </w:r>
        <w:r>
          <w:rPr>
            <w:noProof/>
            <w:webHidden/>
          </w:rPr>
          <w:fldChar w:fldCharType="end"/>
        </w:r>
      </w:hyperlink>
    </w:p>
    <w:p w:rsidR="001C3ACA" w:rsidRDefault="004E7FCD">
      <w:pPr>
        <w:pStyle w:val="TableofFigures"/>
        <w:tabs>
          <w:tab w:val="right" w:leader="dot" w:pos="9350"/>
        </w:tabs>
        <w:rPr>
          <w:rFonts w:asciiTheme="minorHAnsi" w:eastAsiaTheme="minorEastAsia" w:hAnsiTheme="minorHAnsi" w:cs="Vrinda"/>
          <w:noProof/>
          <w:sz w:val="22"/>
          <w:szCs w:val="28"/>
          <w:lang w:eastAsia="en-US" w:bidi="bn-IN"/>
        </w:rPr>
      </w:pPr>
      <w:hyperlink w:anchor="_Toc144199473" w:history="1">
        <w:r w:rsidR="001C3ACA" w:rsidRPr="00722EB0">
          <w:rPr>
            <w:rStyle w:val="Hyperlink"/>
            <w:noProof/>
          </w:rPr>
          <w:t>Figure 3: Integrated Marketing Communication</w:t>
        </w:r>
        <w:r w:rsidR="001C3ACA">
          <w:rPr>
            <w:noProof/>
            <w:webHidden/>
          </w:rPr>
          <w:tab/>
        </w:r>
        <w:r>
          <w:rPr>
            <w:noProof/>
            <w:webHidden/>
          </w:rPr>
          <w:fldChar w:fldCharType="begin"/>
        </w:r>
        <w:r w:rsidR="001C3ACA">
          <w:rPr>
            <w:noProof/>
            <w:webHidden/>
          </w:rPr>
          <w:instrText xml:space="preserve"> PAGEREF _Toc144199473 \h </w:instrText>
        </w:r>
        <w:r>
          <w:rPr>
            <w:noProof/>
            <w:webHidden/>
          </w:rPr>
        </w:r>
        <w:r>
          <w:rPr>
            <w:noProof/>
            <w:webHidden/>
          </w:rPr>
          <w:fldChar w:fldCharType="separate"/>
        </w:r>
        <w:r w:rsidR="001C3ACA">
          <w:rPr>
            <w:noProof/>
            <w:webHidden/>
          </w:rPr>
          <w:t>10</w:t>
        </w:r>
        <w:r>
          <w:rPr>
            <w:noProof/>
            <w:webHidden/>
          </w:rPr>
          <w:fldChar w:fldCharType="end"/>
        </w:r>
      </w:hyperlink>
    </w:p>
    <w:p w:rsidR="001C3ACA" w:rsidRDefault="004E7FCD">
      <w:pPr>
        <w:pStyle w:val="TableofFigures"/>
        <w:tabs>
          <w:tab w:val="right" w:leader="dot" w:pos="9350"/>
        </w:tabs>
        <w:rPr>
          <w:rFonts w:asciiTheme="minorHAnsi" w:eastAsiaTheme="minorEastAsia" w:hAnsiTheme="minorHAnsi" w:cs="Vrinda"/>
          <w:noProof/>
          <w:sz w:val="22"/>
          <w:szCs w:val="28"/>
          <w:lang w:eastAsia="en-US" w:bidi="bn-IN"/>
        </w:rPr>
      </w:pPr>
      <w:hyperlink w:anchor="_Toc144199474" w:history="1">
        <w:r w:rsidR="001C3ACA" w:rsidRPr="00722EB0">
          <w:rPr>
            <w:rStyle w:val="Hyperlink"/>
            <w:noProof/>
          </w:rPr>
          <w:t>Figure 4: Brand Equity of Rolex</w:t>
        </w:r>
        <w:r w:rsidR="001C3ACA">
          <w:rPr>
            <w:noProof/>
            <w:webHidden/>
          </w:rPr>
          <w:tab/>
        </w:r>
        <w:r>
          <w:rPr>
            <w:noProof/>
            <w:webHidden/>
          </w:rPr>
          <w:fldChar w:fldCharType="begin"/>
        </w:r>
        <w:r w:rsidR="001C3ACA">
          <w:rPr>
            <w:noProof/>
            <w:webHidden/>
          </w:rPr>
          <w:instrText xml:space="preserve"> PAGEREF _Toc144199474 \h </w:instrText>
        </w:r>
        <w:r>
          <w:rPr>
            <w:noProof/>
            <w:webHidden/>
          </w:rPr>
        </w:r>
        <w:r>
          <w:rPr>
            <w:noProof/>
            <w:webHidden/>
          </w:rPr>
          <w:fldChar w:fldCharType="separate"/>
        </w:r>
        <w:r w:rsidR="001C3ACA">
          <w:rPr>
            <w:noProof/>
            <w:webHidden/>
          </w:rPr>
          <w:t>13</w:t>
        </w:r>
        <w:r>
          <w:rPr>
            <w:noProof/>
            <w:webHidden/>
          </w:rPr>
          <w:fldChar w:fldCharType="end"/>
        </w:r>
      </w:hyperlink>
    </w:p>
    <w:p w:rsidR="001C3ACA" w:rsidRDefault="004E7FCD">
      <w:pPr>
        <w:pStyle w:val="TableofFigures"/>
        <w:tabs>
          <w:tab w:val="right" w:leader="dot" w:pos="9350"/>
        </w:tabs>
        <w:rPr>
          <w:rFonts w:asciiTheme="minorHAnsi" w:eastAsiaTheme="minorEastAsia" w:hAnsiTheme="minorHAnsi" w:cs="Vrinda"/>
          <w:noProof/>
          <w:sz w:val="22"/>
          <w:szCs w:val="28"/>
          <w:lang w:eastAsia="en-US" w:bidi="bn-IN"/>
        </w:rPr>
      </w:pPr>
      <w:hyperlink w:anchor="_Toc144199475" w:history="1">
        <w:r w:rsidR="001C3ACA" w:rsidRPr="00722EB0">
          <w:rPr>
            <w:rStyle w:val="Hyperlink"/>
            <w:noProof/>
          </w:rPr>
          <w:t>Figure 5: Rolex Keller's Model</w:t>
        </w:r>
        <w:r w:rsidR="001C3ACA">
          <w:rPr>
            <w:noProof/>
            <w:webHidden/>
          </w:rPr>
          <w:tab/>
        </w:r>
        <w:r>
          <w:rPr>
            <w:noProof/>
            <w:webHidden/>
          </w:rPr>
          <w:fldChar w:fldCharType="begin"/>
        </w:r>
        <w:r w:rsidR="001C3ACA">
          <w:rPr>
            <w:noProof/>
            <w:webHidden/>
          </w:rPr>
          <w:instrText xml:space="preserve"> PAGEREF _Toc144199475 \h </w:instrText>
        </w:r>
        <w:r>
          <w:rPr>
            <w:noProof/>
            <w:webHidden/>
          </w:rPr>
        </w:r>
        <w:r>
          <w:rPr>
            <w:noProof/>
            <w:webHidden/>
          </w:rPr>
          <w:fldChar w:fldCharType="separate"/>
        </w:r>
        <w:r w:rsidR="001C3ACA">
          <w:rPr>
            <w:noProof/>
            <w:webHidden/>
          </w:rPr>
          <w:t>15</w:t>
        </w:r>
        <w:r>
          <w:rPr>
            <w:noProof/>
            <w:webHidden/>
          </w:rPr>
          <w:fldChar w:fldCharType="end"/>
        </w:r>
      </w:hyperlink>
    </w:p>
    <w:p w:rsidR="001C3ACA" w:rsidRDefault="004E7FCD">
      <w:pPr>
        <w:pStyle w:val="TableofFigures"/>
        <w:tabs>
          <w:tab w:val="right" w:leader="dot" w:pos="9350"/>
        </w:tabs>
        <w:rPr>
          <w:rFonts w:asciiTheme="minorHAnsi" w:eastAsiaTheme="minorEastAsia" w:hAnsiTheme="minorHAnsi" w:cs="Vrinda"/>
          <w:noProof/>
          <w:sz w:val="22"/>
          <w:szCs w:val="28"/>
          <w:lang w:eastAsia="en-US" w:bidi="bn-IN"/>
        </w:rPr>
      </w:pPr>
      <w:hyperlink w:anchor="_Toc144199476" w:history="1">
        <w:r w:rsidR="001C3ACA" w:rsidRPr="00722EB0">
          <w:rPr>
            <w:rStyle w:val="Hyperlink"/>
            <w:noProof/>
          </w:rPr>
          <w:t>Figure 6: Total Engagement Model of Rolex</w:t>
        </w:r>
        <w:r w:rsidR="001C3ACA">
          <w:rPr>
            <w:noProof/>
            <w:webHidden/>
          </w:rPr>
          <w:tab/>
        </w:r>
        <w:r>
          <w:rPr>
            <w:noProof/>
            <w:webHidden/>
          </w:rPr>
          <w:fldChar w:fldCharType="begin"/>
        </w:r>
        <w:r w:rsidR="001C3ACA">
          <w:rPr>
            <w:noProof/>
            <w:webHidden/>
          </w:rPr>
          <w:instrText xml:space="preserve"> PAGEREF _Toc144199476 \h </w:instrText>
        </w:r>
        <w:r>
          <w:rPr>
            <w:noProof/>
            <w:webHidden/>
          </w:rPr>
        </w:r>
        <w:r>
          <w:rPr>
            <w:noProof/>
            <w:webHidden/>
          </w:rPr>
          <w:fldChar w:fldCharType="separate"/>
        </w:r>
        <w:r w:rsidR="001C3ACA">
          <w:rPr>
            <w:noProof/>
            <w:webHidden/>
          </w:rPr>
          <w:t>20</w:t>
        </w:r>
        <w:r>
          <w:rPr>
            <w:noProof/>
            <w:webHidden/>
          </w:rPr>
          <w:fldChar w:fldCharType="end"/>
        </w:r>
      </w:hyperlink>
    </w:p>
    <w:p w:rsidR="00E60303" w:rsidRPr="00E60303" w:rsidRDefault="004E7FCD" w:rsidP="00E60303">
      <w:pPr>
        <w:jc w:val="center"/>
        <w:rPr>
          <w:b/>
          <w:sz w:val="28"/>
          <w:szCs w:val="28"/>
        </w:rPr>
      </w:pPr>
      <w:r>
        <w:rPr>
          <w:b/>
        </w:rPr>
        <w:fldChar w:fldCharType="end"/>
      </w:r>
      <w:r w:rsidR="00E60303" w:rsidRPr="00E60303">
        <w:rPr>
          <w:b/>
        </w:rPr>
        <w:br w:type="page"/>
      </w:r>
    </w:p>
    <w:p w:rsidR="00E60303" w:rsidRDefault="00E60303" w:rsidP="00E60303">
      <w:pPr>
        <w:jc w:val="center"/>
        <w:rPr>
          <w:b/>
        </w:rPr>
      </w:pPr>
      <w:r w:rsidRPr="00E60303">
        <w:rPr>
          <w:b/>
          <w:sz w:val="28"/>
        </w:rPr>
        <w:lastRenderedPageBreak/>
        <w:t>List of Tables</w:t>
      </w:r>
    </w:p>
    <w:p w:rsidR="00996119" w:rsidRDefault="004E7FCD">
      <w:pPr>
        <w:pStyle w:val="TableofFigures"/>
        <w:tabs>
          <w:tab w:val="right" w:leader="dot" w:pos="9350"/>
        </w:tabs>
        <w:rPr>
          <w:rFonts w:asciiTheme="minorHAnsi" w:eastAsiaTheme="minorEastAsia" w:hAnsiTheme="minorHAnsi" w:cs="Vrinda"/>
          <w:noProof/>
          <w:sz w:val="22"/>
          <w:szCs w:val="28"/>
          <w:lang w:eastAsia="en-US" w:bidi="bn-IN"/>
        </w:rPr>
      </w:pPr>
      <w:r>
        <w:rPr>
          <w:b/>
        </w:rPr>
        <w:fldChar w:fldCharType="begin"/>
      </w:r>
      <w:r w:rsidR="00E60303">
        <w:rPr>
          <w:b/>
        </w:rPr>
        <w:instrText xml:space="preserve"> TOC \h \z \t "Heading 5" \c </w:instrText>
      </w:r>
      <w:r>
        <w:rPr>
          <w:b/>
        </w:rPr>
        <w:fldChar w:fldCharType="separate"/>
      </w:r>
      <w:hyperlink w:anchor="_Toc144199480" w:history="1">
        <w:r w:rsidR="00996119" w:rsidRPr="00CE6174">
          <w:rPr>
            <w:rStyle w:val="Hyperlink"/>
            <w:noProof/>
          </w:rPr>
          <w:t>Table 1: Communication Element in Model</w:t>
        </w:r>
        <w:r w:rsidR="00996119">
          <w:rPr>
            <w:noProof/>
            <w:webHidden/>
          </w:rPr>
          <w:tab/>
        </w:r>
        <w:r>
          <w:rPr>
            <w:noProof/>
            <w:webHidden/>
          </w:rPr>
          <w:fldChar w:fldCharType="begin"/>
        </w:r>
        <w:r w:rsidR="00996119">
          <w:rPr>
            <w:noProof/>
            <w:webHidden/>
          </w:rPr>
          <w:instrText xml:space="preserve"> PAGEREF _Toc144199480 \h </w:instrText>
        </w:r>
        <w:r>
          <w:rPr>
            <w:noProof/>
            <w:webHidden/>
          </w:rPr>
        </w:r>
        <w:r>
          <w:rPr>
            <w:noProof/>
            <w:webHidden/>
          </w:rPr>
          <w:fldChar w:fldCharType="separate"/>
        </w:r>
        <w:r w:rsidR="00996119">
          <w:rPr>
            <w:noProof/>
            <w:webHidden/>
          </w:rPr>
          <w:t>9</w:t>
        </w:r>
        <w:r>
          <w:rPr>
            <w:noProof/>
            <w:webHidden/>
          </w:rPr>
          <w:fldChar w:fldCharType="end"/>
        </w:r>
      </w:hyperlink>
    </w:p>
    <w:p w:rsidR="00996119" w:rsidRDefault="004E7FCD">
      <w:pPr>
        <w:pStyle w:val="TableofFigures"/>
        <w:tabs>
          <w:tab w:val="right" w:leader="dot" w:pos="9350"/>
        </w:tabs>
        <w:rPr>
          <w:rFonts w:asciiTheme="minorHAnsi" w:eastAsiaTheme="minorEastAsia" w:hAnsiTheme="minorHAnsi" w:cs="Vrinda"/>
          <w:noProof/>
          <w:sz w:val="22"/>
          <w:szCs w:val="28"/>
          <w:lang w:eastAsia="en-US" w:bidi="bn-IN"/>
        </w:rPr>
      </w:pPr>
      <w:hyperlink w:anchor="_Toc144199481" w:history="1">
        <w:r w:rsidR="00996119" w:rsidRPr="00CE6174">
          <w:rPr>
            <w:rStyle w:val="Hyperlink"/>
            <w:noProof/>
          </w:rPr>
          <w:t>Table 2: Keller's model to Rolex</w:t>
        </w:r>
        <w:r w:rsidR="00996119">
          <w:rPr>
            <w:noProof/>
            <w:webHidden/>
          </w:rPr>
          <w:tab/>
        </w:r>
        <w:r>
          <w:rPr>
            <w:noProof/>
            <w:webHidden/>
          </w:rPr>
          <w:fldChar w:fldCharType="begin"/>
        </w:r>
        <w:r w:rsidR="00996119">
          <w:rPr>
            <w:noProof/>
            <w:webHidden/>
          </w:rPr>
          <w:instrText xml:space="preserve"> PAGEREF _Toc144199481 \h </w:instrText>
        </w:r>
        <w:r>
          <w:rPr>
            <w:noProof/>
            <w:webHidden/>
          </w:rPr>
        </w:r>
        <w:r>
          <w:rPr>
            <w:noProof/>
            <w:webHidden/>
          </w:rPr>
          <w:fldChar w:fldCharType="separate"/>
        </w:r>
        <w:r w:rsidR="00996119">
          <w:rPr>
            <w:noProof/>
            <w:webHidden/>
          </w:rPr>
          <w:t>16</w:t>
        </w:r>
        <w:r>
          <w:rPr>
            <w:noProof/>
            <w:webHidden/>
          </w:rPr>
          <w:fldChar w:fldCharType="end"/>
        </w:r>
      </w:hyperlink>
    </w:p>
    <w:p w:rsidR="00996119" w:rsidRDefault="004E7FCD">
      <w:pPr>
        <w:pStyle w:val="TableofFigures"/>
        <w:tabs>
          <w:tab w:val="right" w:leader="dot" w:pos="9350"/>
        </w:tabs>
        <w:rPr>
          <w:rFonts w:asciiTheme="minorHAnsi" w:eastAsiaTheme="minorEastAsia" w:hAnsiTheme="minorHAnsi" w:cs="Vrinda"/>
          <w:noProof/>
          <w:sz w:val="22"/>
          <w:szCs w:val="28"/>
          <w:lang w:eastAsia="en-US" w:bidi="bn-IN"/>
        </w:rPr>
      </w:pPr>
      <w:hyperlink w:anchor="_Toc144199482" w:history="1">
        <w:r w:rsidR="00996119" w:rsidRPr="00CE6174">
          <w:rPr>
            <w:rStyle w:val="Hyperlink"/>
            <w:noProof/>
          </w:rPr>
          <w:t>Table 3: Customer Journey Map Analysis</w:t>
        </w:r>
        <w:r w:rsidR="00996119">
          <w:rPr>
            <w:noProof/>
            <w:webHidden/>
          </w:rPr>
          <w:tab/>
        </w:r>
        <w:r>
          <w:rPr>
            <w:noProof/>
            <w:webHidden/>
          </w:rPr>
          <w:fldChar w:fldCharType="begin"/>
        </w:r>
        <w:r w:rsidR="00996119">
          <w:rPr>
            <w:noProof/>
            <w:webHidden/>
          </w:rPr>
          <w:instrText xml:space="preserve"> PAGEREF _Toc144199482 \h </w:instrText>
        </w:r>
        <w:r>
          <w:rPr>
            <w:noProof/>
            <w:webHidden/>
          </w:rPr>
        </w:r>
        <w:r>
          <w:rPr>
            <w:noProof/>
            <w:webHidden/>
          </w:rPr>
          <w:fldChar w:fldCharType="separate"/>
        </w:r>
        <w:r w:rsidR="00996119">
          <w:rPr>
            <w:noProof/>
            <w:webHidden/>
          </w:rPr>
          <w:t>19</w:t>
        </w:r>
        <w:r>
          <w:rPr>
            <w:noProof/>
            <w:webHidden/>
          </w:rPr>
          <w:fldChar w:fldCharType="end"/>
        </w:r>
      </w:hyperlink>
    </w:p>
    <w:p w:rsidR="00E60303" w:rsidRPr="00E60303" w:rsidRDefault="004E7FCD" w:rsidP="00E60303">
      <w:pPr>
        <w:jc w:val="center"/>
        <w:rPr>
          <w:b/>
          <w:sz w:val="28"/>
          <w:szCs w:val="28"/>
        </w:rPr>
      </w:pPr>
      <w:r>
        <w:rPr>
          <w:b/>
        </w:rPr>
        <w:fldChar w:fldCharType="end"/>
      </w:r>
      <w:bookmarkStart w:id="2" w:name="_GoBack"/>
      <w:bookmarkEnd w:id="2"/>
      <w:r w:rsidR="00E60303" w:rsidRPr="00E60303">
        <w:rPr>
          <w:b/>
        </w:rPr>
        <w:br w:type="page"/>
      </w:r>
    </w:p>
    <w:p w:rsidR="002A0EA7" w:rsidRDefault="00995E63">
      <w:pPr>
        <w:pStyle w:val="Heading1"/>
      </w:pPr>
      <w:r>
        <w:lastRenderedPageBreak/>
        <w:t>Introduction</w:t>
      </w:r>
      <w:bookmarkEnd w:id="1"/>
    </w:p>
    <w:p w:rsidR="002A0EA7" w:rsidRDefault="00995E63">
      <w:r>
        <w:t>Rolex is a legendary brand in the world of luxury watchmaking, known for its timelessness and accuracy. Rolex must modify its marketing tactics to remain competitive in today's quick-paced, digitally-driven industry and to keep its customers happy. The core of this shift is effective communication. The end-to-end client journey across various communication channels is the main emphasis of this report's critical analysis of how Rolex may reinvent its marketing techniques. An emphasis on new promotional tactics will be placed on the main idea of Integrated Marketing Communications (IMC). The paper also goes into the complexities of branding and brand equity, relating them to Rolex's distinctive position in the luxury watch sector by using Keller's Brand Equity model.</w:t>
      </w:r>
    </w:p>
    <w:p w:rsidR="002A0EA7" w:rsidRDefault="00995E63">
      <w:pPr>
        <w:pStyle w:val="Heading1"/>
      </w:pPr>
      <w:bookmarkStart w:id="3" w:name="_fasg64h09gko" w:colFirst="0" w:colLast="0"/>
      <w:bookmarkStart w:id="4" w:name="_Toc144195510"/>
      <w:bookmarkEnd w:id="3"/>
      <w:r>
        <w:t>About the company</w:t>
      </w:r>
      <w:bookmarkEnd w:id="4"/>
    </w:p>
    <w:p w:rsidR="002A0EA7" w:rsidRDefault="00995E63">
      <w:r>
        <w:t xml:space="preserve">A symbol of Swiss watchmaking expertise, Rolex is renowned for creating clocks that seamlessly combine creativity and accuracy. Hans Wilsdorf founded the business in 1905, and since then it has continually redefined horological innovation, building a name for itself as a symbol of luxury, high workmanship, and timeless design (Marchl, 2019). The elaborately designed and made-in-house Rolex watches are works of engineering that distinguish the company in the crowded luxury watch industry. </w:t>
      </w:r>
    </w:p>
    <w:p w:rsidR="002A0EA7" w:rsidRDefault="00995E63">
      <w:pPr>
        <w:jc w:val="center"/>
      </w:pPr>
      <w:r>
        <w:rPr>
          <w:noProof/>
          <w:lang w:eastAsia="en-US"/>
        </w:rPr>
        <w:drawing>
          <wp:inline distT="114300" distB="114300" distL="114300" distR="114300">
            <wp:extent cx="3676650" cy="2162175"/>
            <wp:effectExtent l="25400" t="25400" r="25400" b="25400"/>
            <wp:docPr id="5"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3676650" cy="2162175"/>
                    </a:xfrm>
                    <a:prstGeom prst="rect">
                      <a:avLst/>
                    </a:prstGeom>
                    <a:ln w="25400">
                      <a:solidFill>
                        <a:srgbClr val="000000"/>
                      </a:solidFill>
                      <a:prstDash val="solid"/>
                    </a:ln>
                  </pic:spPr>
                </pic:pic>
              </a:graphicData>
            </a:graphic>
          </wp:inline>
        </w:drawing>
      </w:r>
    </w:p>
    <w:p w:rsidR="002A0EA7" w:rsidRDefault="00995E63" w:rsidP="001A0A56">
      <w:pPr>
        <w:pStyle w:val="Heading4"/>
      </w:pPr>
      <w:bookmarkStart w:id="5" w:name="_Toc144199471"/>
      <w:r>
        <w:t>Figure 1: Symbol of Rolex</w:t>
      </w:r>
      <w:bookmarkEnd w:id="5"/>
    </w:p>
    <w:p w:rsidR="002A0EA7" w:rsidRDefault="00995E63">
      <w:pPr>
        <w:jc w:val="center"/>
      </w:pPr>
      <w:r>
        <w:t xml:space="preserve">(Source: </w:t>
      </w:r>
      <w:hyperlink r:id="rId10">
        <w:r>
          <w:t>www.luxe-infinity.com</w:t>
        </w:r>
      </w:hyperlink>
      <w:r>
        <w:t>, 2023)</w:t>
      </w:r>
    </w:p>
    <w:p w:rsidR="002A0EA7" w:rsidRDefault="00995E63">
      <w:r>
        <w:t xml:space="preserve">The above image symbolizes the Rolex brand and it has been known that Rolex has gained a loyal following among collectors, enthusiasts, and discriminating people because of its persistent dedication to excellence. Precision, elegance, and durability are the pillars on which the </w:t>
      </w:r>
      <w:r>
        <w:lastRenderedPageBreak/>
        <w:t>company's long heritage is built. Rolex continues to exemplify classic sophistication, creating standards that are recognized throughout generations and countries from its headquarters in Geneva, Switzerland.</w:t>
      </w:r>
    </w:p>
    <w:p w:rsidR="002A0EA7" w:rsidRDefault="00995E63">
      <w:pPr>
        <w:pStyle w:val="Heading1"/>
      </w:pPr>
      <w:bookmarkStart w:id="6" w:name="_owjo9tya6gw4" w:colFirst="0" w:colLast="0"/>
      <w:bookmarkStart w:id="7" w:name="_Toc144195511"/>
      <w:bookmarkEnd w:id="6"/>
      <w:r>
        <w:t>Definition of communication</w:t>
      </w:r>
      <w:bookmarkEnd w:id="7"/>
    </w:p>
    <w:p w:rsidR="002A0EA7" w:rsidRDefault="00995E63">
      <w:r>
        <w:t>The essential channel for the exchange of thoughts, information, and feelings between people or things is communication. It includes spoken language, body language, gestures, and other types of media. It also includes nonverbal and textual communication. Clarity, coherence, and mutual comprehension are qualities of effective communication that cut beyond linguistic boundaries and promote relationships. Communication is essential for delivering brand values, product information, and consumer involvement in the context of businesses like Rolex. Rolex uses communication to construct its brand story and connect with its audience, whether via marketing campaigns, social media presence, or customer experiences (Iqani, 2023). Effective communication is essential in today's corporate environment for establishing brand identification, preserving client loyalty, and adjusting to changing market trends.</w:t>
      </w:r>
    </w:p>
    <w:p w:rsidR="002A0EA7" w:rsidRDefault="00995E63">
      <w:pPr>
        <w:pStyle w:val="Heading1"/>
      </w:pPr>
      <w:bookmarkStart w:id="8" w:name="_oha6hxmjsftz" w:colFirst="0" w:colLast="0"/>
      <w:bookmarkStart w:id="9" w:name="_Toc144195512"/>
      <w:bookmarkEnd w:id="8"/>
      <w:r>
        <w:t>A brief explanation of the Communication model and its diagram</w:t>
      </w:r>
      <w:bookmarkEnd w:id="9"/>
    </w:p>
    <w:p w:rsidR="002A0EA7" w:rsidRDefault="00995E63">
      <w:r>
        <w:t>The transmission of information between a sender and a recipient is orchestrated by the communication process. A structured framework is provided by a communication model to shed light on the developing complexities of this process. The sender-message-channel-receiver model, or Shannon-Weaver Model, is one such influential model. It can be said that by painstakingly creating a message that is filled with the appropriate information, the sender plays the crucial position of the initiator in this illustrated model. The selected communication channel, which may include voice, text, or pictures, is then used to send this message on its journey. As the counterpart, the receiver takes on the duty of interpreting the communication, which results in the interpretation of meaning. Relevantly, the presence of noise, which includes both internal and external interferences, has the ability to impede the accuracy of message transmission. This process' harmony might be upset by the incursion of noise.</w:t>
      </w:r>
    </w:p>
    <w:p w:rsidR="001A0A56" w:rsidRDefault="001A0A56" w:rsidP="001A0A56">
      <w:r>
        <w:rPr>
          <w:noProof/>
          <w:lang w:eastAsia="en-US"/>
        </w:rPr>
        <w:lastRenderedPageBreak/>
        <w:drawing>
          <wp:inline distT="114300" distB="114300" distL="114300" distR="114300">
            <wp:extent cx="5772150" cy="1981882"/>
            <wp:effectExtent l="25400" t="25400" r="25400" b="25400"/>
            <wp:docPr id="8"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1"/>
                    <a:srcRect/>
                    <a:stretch>
                      <a:fillRect/>
                    </a:stretch>
                  </pic:blipFill>
                  <pic:spPr>
                    <a:xfrm>
                      <a:off x="0" y="0"/>
                      <a:ext cx="5772150" cy="1981882"/>
                    </a:xfrm>
                    <a:prstGeom prst="rect">
                      <a:avLst/>
                    </a:prstGeom>
                    <a:ln w="25400">
                      <a:solidFill>
                        <a:srgbClr val="000000"/>
                      </a:solidFill>
                      <a:prstDash val="solid"/>
                    </a:ln>
                  </pic:spPr>
                </pic:pic>
              </a:graphicData>
            </a:graphic>
          </wp:inline>
        </w:drawing>
      </w:r>
    </w:p>
    <w:p w:rsidR="001A0A56" w:rsidRDefault="001A0A56" w:rsidP="001A0A56">
      <w:pPr>
        <w:pStyle w:val="Heading4"/>
      </w:pPr>
      <w:bookmarkStart w:id="10" w:name="_4zhr86v103yu" w:colFirst="0" w:colLast="0"/>
      <w:bookmarkStart w:id="11" w:name="_Toc144195058"/>
      <w:bookmarkStart w:id="12" w:name="_Toc144199472"/>
      <w:bookmarkEnd w:id="10"/>
      <w:r>
        <w:t>Figure 2: Marketing Management Communication Model</w:t>
      </w:r>
      <w:bookmarkEnd w:id="11"/>
      <w:bookmarkEnd w:id="12"/>
    </w:p>
    <w:p w:rsidR="001A0A56" w:rsidRDefault="001A0A56" w:rsidP="001A0A56">
      <w:pPr>
        <w:jc w:val="center"/>
      </w:pPr>
      <w:r>
        <w:t>(Source: Self-Created)</w:t>
      </w:r>
    </w:p>
    <w:p w:rsidR="001A0A56" w:rsidRDefault="00995E63">
      <w:r>
        <w:t xml:space="preserve">The Shannon-Weaver Model exhibits its fundamental components in a smooth, linear succession when shown by a schematic figure. The procedure starts with the sender at the far-left intersection, and the message then travels along the channel and ends up in the domain of the recipient on the right. </w:t>
      </w:r>
    </w:p>
    <w:tbl>
      <w:tblPr>
        <w:tblStyle w:val="a"/>
        <w:tblW w:w="900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2790"/>
        <w:gridCol w:w="6210"/>
      </w:tblGrid>
      <w:tr w:rsidR="001A0A56" w:rsidTr="001A0A56">
        <w:trPr>
          <w:jc w:val="center"/>
        </w:trPr>
        <w:tc>
          <w:tcPr>
            <w:tcW w:w="2790" w:type="dxa"/>
            <w:shd w:val="clear" w:color="auto" w:fill="auto"/>
            <w:tcMar>
              <w:top w:w="100" w:type="dxa"/>
              <w:left w:w="100" w:type="dxa"/>
              <w:bottom w:w="100" w:type="dxa"/>
              <w:right w:w="100" w:type="dxa"/>
            </w:tcMar>
          </w:tcPr>
          <w:p w:rsidR="001A0A56" w:rsidRDefault="001A0A56" w:rsidP="00BA6BD2">
            <w:pPr>
              <w:widowControl w:val="0"/>
              <w:jc w:val="center"/>
              <w:rPr>
                <w:b/>
              </w:rPr>
            </w:pPr>
            <w:r>
              <w:rPr>
                <w:b/>
              </w:rPr>
              <w:t>Communication Elements</w:t>
            </w:r>
          </w:p>
        </w:tc>
        <w:tc>
          <w:tcPr>
            <w:tcW w:w="6210" w:type="dxa"/>
            <w:shd w:val="clear" w:color="auto" w:fill="auto"/>
            <w:tcMar>
              <w:top w:w="100" w:type="dxa"/>
              <w:left w:w="100" w:type="dxa"/>
              <w:bottom w:w="100" w:type="dxa"/>
              <w:right w:w="100" w:type="dxa"/>
            </w:tcMar>
          </w:tcPr>
          <w:p w:rsidR="001A0A56" w:rsidRDefault="001A0A56" w:rsidP="00BA6BD2">
            <w:pPr>
              <w:widowControl w:val="0"/>
              <w:jc w:val="center"/>
              <w:rPr>
                <w:b/>
              </w:rPr>
            </w:pPr>
            <w:r>
              <w:rPr>
                <w:b/>
              </w:rPr>
              <w:t>Description</w:t>
            </w:r>
          </w:p>
        </w:tc>
      </w:tr>
      <w:tr w:rsidR="001A0A56" w:rsidTr="001A0A56">
        <w:trPr>
          <w:jc w:val="center"/>
        </w:trPr>
        <w:tc>
          <w:tcPr>
            <w:tcW w:w="2790" w:type="dxa"/>
            <w:shd w:val="clear" w:color="auto" w:fill="auto"/>
            <w:tcMar>
              <w:top w:w="100" w:type="dxa"/>
              <w:left w:w="100" w:type="dxa"/>
              <w:bottom w:w="100" w:type="dxa"/>
              <w:right w:w="100" w:type="dxa"/>
            </w:tcMar>
          </w:tcPr>
          <w:p w:rsidR="001A0A56" w:rsidRDefault="001A0A56" w:rsidP="00BA6BD2">
            <w:pPr>
              <w:widowControl w:val="0"/>
              <w:jc w:val="left"/>
            </w:pPr>
            <w:r>
              <w:t>Senders</w:t>
            </w:r>
          </w:p>
        </w:tc>
        <w:tc>
          <w:tcPr>
            <w:tcW w:w="6210" w:type="dxa"/>
            <w:shd w:val="clear" w:color="auto" w:fill="auto"/>
            <w:tcMar>
              <w:top w:w="100" w:type="dxa"/>
              <w:left w:w="100" w:type="dxa"/>
              <w:bottom w:w="100" w:type="dxa"/>
              <w:right w:w="100" w:type="dxa"/>
            </w:tcMar>
          </w:tcPr>
          <w:p w:rsidR="001A0A56" w:rsidRDefault="001A0A56" w:rsidP="00BA6BD2">
            <w:pPr>
              <w:widowControl w:val="0"/>
              <w:jc w:val="left"/>
            </w:pPr>
            <w:r>
              <w:t>Rolex starts the communication process by coming up with messaging on fresh watch lines, business endeavors, and technical developments.</w:t>
            </w:r>
          </w:p>
        </w:tc>
      </w:tr>
      <w:tr w:rsidR="001A0A56" w:rsidTr="001A0A56">
        <w:trPr>
          <w:jc w:val="center"/>
        </w:trPr>
        <w:tc>
          <w:tcPr>
            <w:tcW w:w="2790" w:type="dxa"/>
            <w:shd w:val="clear" w:color="auto" w:fill="auto"/>
            <w:tcMar>
              <w:top w:w="100" w:type="dxa"/>
              <w:left w:w="100" w:type="dxa"/>
              <w:bottom w:w="100" w:type="dxa"/>
              <w:right w:w="100" w:type="dxa"/>
            </w:tcMar>
          </w:tcPr>
          <w:p w:rsidR="001A0A56" w:rsidRDefault="001A0A56" w:rsidP="00BA6BD2">
            <w:pPr>
              <w:widowControl w:val="0"/>
              <w:jc w:val="left"/>
            </w:pPr>
            <w:r>
              <w:t>Encoding</w:t>
            </w:r>
          </w:p>
        </w:tc>
        <w:tc>
          <w:tcPr>
            <w:tcW w:w="6210" w:type="dxa"/>
            <w:shd w:val="clear" w:color="auto" w:fill="auto"/>
            <w:tcMar>
              <w:top w:w="100" w:type="dxa"/>
              <w:left w:w="100" w:type="dxa"/>
              <w:bottom w:w="100" w:type="dxa"/>
              <w:right w:w="100" w:type="dxa"/>
            </w:tcMar>
          </w:tcPr>
          <w:p w:rsidR="001A0A56" w:rsidRDefault="001A0A56" w:rsidP="00BA6BD2">
            <w:pPr>
              <w:widowControl w:val="0"/>
              <w:jc w:val="left"/>
            </w:pPr>
            <w:r>
              <w:t>When transmitting information, Rolex ensures accuracy and style by encoding signals in a way that fits its brand values.</w:t>
            </w:r>
          </w:p>
        </w:tc>
      </w:tr>
      <w:tr w:rsidR="001A0A56" w:rsidTr="001A0A56">
        <w:trPr>
          <w:jc w:val="center"/>
        </w:trPr>
        <w:tc>
          <w:tcPr>
            <w:tcW w:w="2790" w:type="dxa"/>
            <w:shd w:val="clear" w:color="auto" w:fill="auto"/>
            <w:tcMar>
              <w:top w:w="100" w:type="dxa"/>
              <w:left w:w="100" w:type="dxa"/>
              <w:bottom w:w="100" w:type="dxa"/>
              <w:right w:w="100" w:type="dxa"/>
            </w:tcMar>
          </w:tcPr>
          <w:p w:rsidR="001A0A56" w:rsidRDefault="001A0A56" w:rsidP="00BA6BD2">
            <w:pPr>
              <w:widowControl w:val="0"/>
              <w:jc w:val="left"/>
            </w:pPr>
            <w:r>
              <w:t>Medium</w:t>
            </w:r>
          </w:p>
        </w:tc>
        <w:tc>
          <w:tcPr>
            <w:tcW w:w="6210" w:type="dxa"/>
            <w:shd w:val="clear" w:color="auto" w:fill="auto"/>
            <w:tcMar>
              <w:top w:w="100" w:type="dxa"/>
              <w:left w:w="100" w:type="dxa"/>
              <w:bottom w:w="100" w:type="dxa"/>
              <w:right w:w="100" w:type="dxa"/>
            </w:tcMar>
          </w:tcPr>
          <w:p w:rsidR="001A0A56" w:rsidRDefault="001A0A56" w:rsidP="00BA6BD2">
            <w:pPr>
              <w:widowControl w:val="0"/>
              <w:jc w:val="left"/>
            </w:pPr>
            <w:r>
              <w:t>Rolex chooses many communication methods to reach its varied clientele, including news releases, social media, the company website, and commercials.</w:t>
            </w:r>
          </w:p>
        </w:tc>
      </w:tr>
      <w:tr w:rsidR="001A0A56" w:rsidTr="001A0A56">
        <w:trPr>
          <w:jc w:val="center"/>
        </w:trPr>
        <w:tc>
          <w:tcPr>
            <w:tcW w:w="2790" w:type="dxa"/>
            <w:shd w:val="clear" w:color="auto" w:fill="auto"/>
            <w:tcMar>
              <w:top w:w="100" w:type="dxa"/>
              <w:left w:w="100" w:type="dxa"/>
              <w:bottom w:w="100" w:type="dxa"/>
              <w:right w:w="100" w:type="dxa"/>
            </w:tcMar>
          </w:tcPr>
          <w:p w:rsidR="001A0A56" w:rsidRDefault="001A0A56" w:rsidP="00BA6BD2">
            <w:pPr>
              <w:widowControl w:val="0"/>
              <w:jc w:val="left"/>
            </w:pPr>
            <w:r>
              <w:t>Decoding</w:t>
            </w:r>
          </w:p>
        </w:tc>
        <w:tc>
          <w:tcPr>
            <w:tcW w:w="6210" w:type="dxa"/>
            <w:shd w:val="clear" w:color="auto" w:fill="auto"/>
            <w:tcMar>
              <w:top w:w="100" w:type="dxa"/>
              <w:left w:w="100" w:type="dxa"/>
              <w:bottom w:w="100" w:type="dxa"/>
              <w:right w:w="100" w:type="dxa"/>
            </w:tcMar>
          </w:tcPr>
          <w:p w:rsidR="001A0A56" w:rsidRDefault="001A0A56" w:rsidP="00BA6BD2">
            <w:pPr>
              <w:widowControl w:val="0"/>
              <w:jc w:val="left"/>
            </w:pPr>
            <w:r>
              <w:t>Rolex uses rigorous encoding to ensure that the desired brand image is correctly interpreted by audiences as they decode its signals.</w:t>
            </w:r>
          </w:p>
        </w:tc>
      </w:tr>
      <w:tr w:rsidR="001A0A56" w:rsidTr="001A0A56">
        <w:trPr>
          <w:jc w:val="center"/>
        </w:trPr>
        <w:tc>
          <w:tcPr>
            <w:tcW w:w="2790" w:type="dxa"/>
            <w:shd w:val="clear" w:color="auto" w:fill="auto"/>
            <w:tcMar>
              <w:top w:w="100" w:type="dxa"/>
              <w:left w:w="100" w:type="dxa"/>
              <w:bottom w:w="100" w:type="dxa"/>
              <w:right w:w="100" w:type="dxa"/>
            </w:tcMar>
          </w:tcPr>
          <w:p w:rsidR="001A0A56" w:rsidRDefault="001A0A56" w:rsidP="00BA6BD2">
            <w:pPr>
              <w:widowControl w:val="0"/>
              <w:jc w:val="left"/>
            </w:pPr>
            <w:r>
              <w:t>Receiver</w:t>
            </w:r>
          </w:p>
        </w:tc>
        <w:tc>
          <w:tcPr>
            <w:tcW w:w="6210" w:type="dxa"/>
            <w:shd w:val="clear" w:color="auto" w:fill="auto"/>
            <w:tcMar>
              <w:top w:w="100" w:type="dxa"/>
              <w:left w:w="100" w:type="dxa"/>
              <w:bottom w:w="100" w:type="dxa"/>
              <w:right w:w="100" w:type="dxa"/>
            </w:tcMar>
          </w:tcPr>
          <w:p w:rsidR="001A0A56" w:rsidRDefault="001A0A56" w:rsidP="00BA6BD2">
            <w:pPr>
              <w:widowControl w:val="0"/>
              <w:jc w:val="left"/>
            </w:pPr>
            <w:r>
              <w:t xml:space="preserve">Customers, staff members, stakeholders, and the larger watch </w:t>
            </w:r>
            <w:r>
              <w:lastRenderedPageBreak/>
              <w:t>industry make up the audience who hear and understand Rolex's messaging.</w:t>
            </w:r>
          </w:p>
        </w:tc>
      </w:tr>
      <w:tr w:rsidR="001A0A56" w:rsidTr="001A0A56">
        <w:trPr>
          <w:jc w:val="center"/>
        </w:trPr>
        <w:tc>
          <w:tcPr>
            <w:tcW w:w="2790" w:type="dxa"/>
            <w:shd w:val="clear" w:color="auto" w:fill="auto"/>
            <w:tcMar>
              <w:top w:w="100" w:type="dxa"/>
              <w:left w:w="100" w:type="dxa"/>
              <w:bottom w:w="100" w:type="dxa"/>
              <w:right w:w="100" w:type="dxa"/>
            </w:tcMar>
          </w:tcPr>
          <w:p w:rsidR="001A0A56" w:rsidRDefault="001A0A56" w:rsidP="00BA6BD2">
            <w:pPr>
              <w:widowControl w:val="0"/>
              <w:jc w:val="left"/>
            </w:pPr>
            <w:r>
              <w:lastRenderedPageBreak/>
              <w:t>Receiver as Sender</w:t>
            </w:r>
            <w:r>
              <w:tab/>
            </w:r>
          </w:p>
        </w:tc>
        <w:tc>
          <w:tcPr>
            <w:tcW w:w="6210" w:type="dxa"/>
            <w:shd w:val="clear" w:color="auto" w:fill="auto"/>
            <w:tcMar>
              <w:top w:w="100" w:type="dxa"/>
              <w:left w:w="100" w:type="dxa"/>
              <w:bottom w:w="100" w:type="dxa"/>
              <w:right w:w="100" w:type="dxa"/>
            </w:tcMar>
          </w:tcPr>
          <w:p w:rsidR="001A0A56" w:rsidRDefault="001A0A56" w:rsidP="00BA6BD2">
            <w:pPr>
              <w:widowControl w:val="0"/>
              <w:jc w:val="left"/>
            </w:pPr>
            <w:r>
              <w:t>By reacting to Rolex's message, recipients become into senders in the feedback loop, enabling the company to evaluate the success of its messaging and make the required corrections.</w:t>
            </w:r>
          </w:p>
        </w:tc>
      </w:tr>
      <w:tr w:rsidR="001A0A56" w:rsidTr="001A0A56">
        <w:trPr>
          <w:jc w:val="center"/>
        </w:trPr>
        <w:tc>
          <w:tcPr>
            <w:tcW w:w="2790" w:type="dxa"/>
            <w:shd w:val="clear" w:color="auto" w:fill="auto"/>
            <w:tcMar>
              <w:top w:w="100" w:type="dxa"/>
              <w:left w:w="100" w:type="dxa"/>
              <w:bottom w:w="100" w:type="dxa"/>
              <w:right w:w="100" w:type="dxa"/>
            </w:tcMar>
          </w:tcPr>
          <w:p w:rsidR="001A0A56" w:rsidRDefault="001A0A56" w:rsidP="00BA6BD2">
            <w:pPr>
              <w:widowControl w:val="0"/>
              <w:jc w:val="left"/>
            </w:pPr>
            <w:r>
              <w:t>Information</w:t>
            </w:r>
          </w:p>
        </w:tc>
        <w:tc>
          <w:tcPr>
            <w:tcW w:w="6210" w:type="dxa"/>
            <w:shd w:val="clear" w:color="auto" w:fill="auto"/>
            <w:tcMar>
              <w:top w:w="100" w:type="dxa"/>
              <w:left w:w="100" w:type="dxa"/>
              <w:bottom w:w="100" w:type="dxa"/>
              <w:right w:w="100" w:type="dxa"/>
            </w:tcMar>
          </w:tcPr>
          <w:p w:rsidR="001A0A56" w:rsidRDefault="001A0A56" w:rsidP="00BA6BD2">
            <w:pPr>
              <w:widowControl w:val="0"/>
              <w:jc w:val="left"/>
            </w:pPr>
            <w:r>
              <w:t>Rolex shares information about its dedication to quality and innovation through its humanitarian endeavors, market positioning, and technical watch features.</w:t>
            </w:r>
          </w:p>
        </w:tc>
      </w:tr>
      <w:tr w:rsidR="001A0A56" w:rsidTr="001A0A56">
        <w:trPr>
          <w:jc w:val="center"/>
        </w:trPr>
        <w:tc>
          <w:tcPr>
            <w:tcW w:w="2790" w:type="dxa"/>
            <w:shd w:val="clear" w:color="auto" w:fill="auto"/>
            <w:tcMar>
              <w:top w:w="100" w:type="dxa"/>
              <w:left w:w="100" w:type="dxa"/>
              <w:bottom w:w="100" w:type="dxa"/>
              <w:right w:w="100" w:type="dxa"/>
            </w:tcMar>
          </w:tcPr>
          <w:p w:rsidR="001A0A56" w:rsidRDefault="001A0A56" w:rsidP="00BA6BD2">
            <w:pPr>
              <w:widowControl w:val="0"/>
              <w:jc w:val="left"/>
            </w:pPr>
            <w:r>
              <w:t>Decoding of Feedback</w:t>
            </w:r>
          </w:p>
        </w:tc>
        <w:tc>
          <w:tcPr>
            <w:tcW w:w="6210" w:type="dxa"/>
            <w:shd w:val="clear" w:color="auto" w:fill="auto"/>
            <w:tcMar>
              <w:top w:w="100" w:type="dxa"/>
              <w:left w:w="100" w:type="dxa"/>
              <w:bottom w:w="100" w:type="dxa"/>
              <w:right w:w="100" w:type="dxa"/>
            </w:tcMar>
          </w:tcPr>
          <w:p w:rsidR="001A0A56" w:rsidRDefault="001A0A56" w:rsidP="00BA6BD2">
            <w:pPr>
              <w:widowControl w:val="0"/>
              <w:jc w:val="left"/>
            </w:pPr>
            <w:r>
              <w:t>Rolex analyzes and decodes stakeholder feedback to improve communication methods, handle issues, and strengthen relationships.</w:t>
            </w:r>
          </w:p>
        </w:tc>
      </w:tr>
    </w:tbl>
    <w:p w:rsidR="001A0A56" w:rsidRDefault="001A0A56" w:rsidP="001A0A56">
      <w:pPr>
        <w:pStyle w:val="Heading5"/>
        <w:rPr>
          <w:color w:val="000000"/>
        </w:rPr>
      </w:pPr>
      <w:bookmarkStart w:id="13" w:name="_Toc144194863"/>
      <w:bookmarkStart w:id="14" w:name="_Toc144195011"/>
      <w:bookmarkStart w:id="15" w:name="_Toc144199480"/>
      <w:r>
        <w:t>Table 1: Communication Element in Model</w:t>
      </w:r>
      <w:bookmarkEnd w:id="13"/>
      <w:bookmarkEnd w:id="14"/>
      <w:bookmarkEnd w:id="15"/>
    </w:p>
    <w:p w:rsidR="001A0A56" w:rsidRDefault="001A0A56" w:rsidP="001A0A56">
      <w:pPr>
        <w:jc w:val="center"/>
      </w:pPr>
      <w:r>
        <w:t>(Source: Self-Created)</w:t>
      </w:r>
    </w:p>
    <w:p w:rsidR="002A0EA7" w:rsidRDefault="00995E63">
      <w:r>
        <w:t xml:space="preserve">The model also takes into account the interactive aspect of communication, enabling sender and receiver roles to converge based on the flow of information. The incorporation and use of communication models, like the Shannon-Weaver Model, become strategically essential for a prestigious company like Rolex (Berndt </w:t>
      </w:r>
      <w:r>
        <w:rPr>
          <w:i/>
        </w:rPr>
        <w:t>et al.</w:t>
      </w:r>
      <w:r>
        <w:t xml:space="preserve"> 2023). To guarantee that Rolex's intended messages are accurately and effectively communicated to its discriminating audience, it is crucial to establish message consistency, wise channel selection, and proactive noise suppression.</w:t>
      </w:r>
    </w:p>
    <w:p w:rsidR="002A0EA7" w:rsidRDefault="00995E63">
      <w:pPr>
        <w:pStyle w:val="Heading1"/>
      </w:pPr>
      <w:bookmarkStart w:id="16" w:name="_tiwoelj83cy8" w:colFirst="0" w:colLast="0"/>
      <w:bookmarkStart w:id="17" w:name="_Toc144195513"/>
      <w:bookmarkEnd w:id="16"/>
      <w:r>
        <w:t>A Definition of Integrated Marketing Communications</w:t>
      </w:r>
      <w:bookmarkEnd w:id="17"/>
    </w:p>
    <w:p w:rsidR="002A0EA7" w:rsidRDefault="00995E63">
      <w:r>
        <w:t xml:space="preserve">It has been known that IMC (Integrated Marketing Communications) is a strategy approach that combines different communication tools and channels inside an organization in a seamless manner. The goal of this synthesis is to provide synchronized and consistent communications, which will result in a united brand identity and greater effect. IMC focuses on putting together a comprehensive communication plan that goes beyond conventional lines and incorporates a variety of media, including advertising, public relations, direct marketing, internet platforms, and more. IMC aims to improve each component's efficacy by combining various communication pieces into a seamless whole, hence maximizing their combined impact on target audiences. By </w:t>
      </w:r>
      <w:r>
        <w:lastRenderedPageBreak/>
        <w:t>combining the advantages of each medium, this synergy prevents brand communication from becoming inconsistent or fragmented (Schultz and Seele, 2022). IMC's core focus is on creating a seamless brand experience in which each encounter promotes the company's values and communicates the desired message.</w:t>
      </w:r>
    </w:p>
    <w:p w:rsidR="001A0A56" w:rsidRDefault="001A0A56" w:rsidP="001A0A56">
      <w:pPr>
        <w:jc w:val="center"/>
      </w:pPr>
      <w:r>
        <w:rPr>
          <w:noProof/>
          <w:lang w:eastAsia="en-US"/>
        </w:rPr>
        <w:drawing>
          <wp:inline distT="114300" distB="114300" distL="114300" distR="114300">
            <wp:extent cx="4719638" cy="3324130"/>
            <wp:effectExtent l="25400" t="25400" r="25400" b="25400"/>
            <wp:docPr id="9"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2"/>
                    <a:srcRect/>
                    <a:stretch>
                      <a:fillRect/>
                    </a:stretch>
                  </pic:blipFill>
                  <pic:spPr>
                    <a:xfrm>
                      <a:off x="0" y="0"/>
                      <a:ext cx="4719638" cy="3324130"/>
                    </a:xfrm>
                    <a:prstGeom prst="rect">
                      <a:avLst/>
                    </a:prstGeom>
                    <a:ln w="25400">
                      <a:solidFill>
                        <a:srgbClr val="000000"/>
                      </a:solidFill>
                      <a:prstDash val="solid"/>
                    </a:ln>
                  </pic:spPr>
                </pic:pic>
              </a:graphicData>
            </a:graphic>
          </wp:inline>
        </w:drawing>
      </w:r>
    </w:p>
    <w:p w:rsidR="001A0A56" w:rsidRDefault="001A0A56" w:rsidP="001A0A56">
      <w:pPr>
        <w:pStyle w:val="Heading4"/>
        <w:rPr>
          <w:color w:val="000000"/>
        </w:rPr>
      </w:pPr>
      <w:bookmarkStart w:id="18" w:name="_eiwpxl6jsqp3" w:colFirst="0" w:colLast="0"/>
      <w:bookmarkStart w:id="19" w:name="_Toc144195059"/>
      <w:bookmarkStart w:id="20" w:name="_Toc144199473"/>
      <w:bookmarkEnd w:id="18"/>
      <w:r>
        <w:t>Figure 3: Integrated Marketing Communication</w:t>
      </w:r>
      <w:bookmarkEnd w:id="19"/>
      <w:bookmarkEnd w:id="20"/>
    </w:p>
    <w:p w:rsidR="001A0A56" w:rsidRDefault="001A0A56" w:rsidP="001A0A56">
      <w:pPr>
        <w:jc w:val="center"/>
      </w:pPr>
      <w:r>
        <w:t>(Source: Self-Created)</w:t>
      </w:r>
    </w:p>
    <w:p w:rsidR="002A0EA7" w:rsidRDefault="00995E63">
      <w:r>
        <w:t>IMC essentially acts as a compass directing businesses like Rolex through the complex terrain of modern marketing. IMC gives Rolex the ability to offer a consistent story that connects with customers across a variety of touchpoints by coordinating the myriad of communication channels, from conventional to digital. This all-encompassing strategy not only enhances the effectiveness of each communication effort but also creates long-lasting relationships with audiences, enhancing the brand's visibility and resonance in the cutthroat marketplace.</w:t>
      </w:r>
    </w:p>
    <w:p w:rsidR="002A0EA7" w:rsidRDefault="00995E63">
      <w:pPr>
        <w:pStyle w:val="Heading1"/>
      </w:pPr>
      <w:bookmarkStart w:id="21" w:name="_gmpx2qna0h26" w:colFirst="0" w:colLast="0"/>
      <w:bookmarkStart w:id="22" w:name="_Toc144195514"/>
      <w:bookmarkEnd w:id="21"/>
      <w:r>
        <w:t>New promotional strategies that the company can use to raise awareness of the brand</w:t>
      </w:r>
      <w:bookmarkEnd w:id="22"/>
    </w:p>
    <w:p w:rsidR="002A0EA7" w:rsidRDefault="00995E63">
      <w:r>
        <w:t>Innovative advertising techniques that increase brand recognition are essential in the cutthroat market for premium goods like Rolex. Rolex may use innovative strategies that use the power of digitization, experiential marketing, and strategic alliances to capture the interest of modern customers and leave a lasting impression.</w:t>
      </w:r>
    </w:p>
    <w:p w:rsidR="002A0EA7" w:rsidRDefault="00995E63">
      <w:r>
        <w:rPr>
          <w:b/>
          <w:i/>
        </w:rPr>
        <w:lastRenderedPageBreak/>
        <w:t>Digital Experience Enhancement:</w:t>
      </w:r>
      <w:r>
        <w:t xml:space="preserve"> Rolex may increase brand recognition in a digitally focused world by adopting a transformational strategy called Digital Experience Enhancement. Customers may enjoy Rolex's rich workmanship and tradition online by creating interactive apps and virtual showrooms. Virtual watch try-ons are made possible by augmented reality (AR), which strengthens the brand association. Rolex's story is further expanded via social media posts and partnerships with digital influencers, which appeal to tech-savvy consumers. This approach reinforces the brand's relevance in the digital era while encapsulating Rolex's timeless elegance in a contemporary, immersive setting.</w:t>
      </w:r>
    </w:p>
    <w:p w:rsidR="002A0EA7" w:rsidRDefault="00995E63">
      <w:r>
        <w:rPr>
          <w:b/>
          <w:i/>
        </w:rPr>
        <w:t>Experiential Pop-up Events:</w:t>
      </w:r>
      <w:r>
        <w:t xml:space="preserve"> Rolex may </w:t>
      </w:r>
      <w:r w:rsidR="005A4635">
        <w:t>enthrall</w:t>
      </w:r>
      <w:r>
        <w:t xml:space="preserve"> audiences with unique pop-up events by embarking on an experience journey. These transient installations provide immersive experiences while celebrating the brand's history and creativity. The events provide spectators with first-hand experiences by designing interactive exhibits that highlight the workmanship and tradition of Rolex. Rolex creates enduring relationships via exclusivity and artistic presentation, attracting both devotees and prospective buyers (Pieth and Duma, 2021). The premium brand is given a physical attraction via experiential pop-ups, which strengthens its status as a timeless symbol in the participants' hearts and expands its reach beyond conventional channels.</w:t>
      </w:r>
    </w:p>
    <w:p w:rsidR="002A0EA7" w:rsidRDefault="00995E63">
      <w:r>
        <w:rPr>
          <w:b/>
          <w:i/>
        </w:rPr>
        <w:t xml:space="preserve">Collaborative Partnerships: </w:t>
      </w:r>
      <w:r>
        <w:t>Rolex develops collaborative partnerships to boost brand visibility, revealing a dynamic side. Rolex combines its history with contemporary inventiveness by teaming up with notable designers, artists, and celebrities. Limited-edition collaborations inspire fervor among collectors and enthusiasts by reimagining classic Rolex designs through the perspective of renowned creatives. These alliances inject new viewpoints, enhancing the brand's attractiveness and igniting discussions that reverberate across various circles. Rolex creates a road that captures its timeless beauty inside the modern environment by strategically fusing history and innovation, expanding its horizons, and enthralling a wide range of people.</w:t>
      </w:r>
    </w:p>
    <w:p w:rsidR="002A0EA7" w:rsidRDefault="00995E63">
      <w:r>
        <w:rPr>
          <w:b/>
          <w:i/>
        </w:rPr>
        <w:t xml:space="preserve">Storytelling Campaigns: </w:t>
      </w:r>
      <w:r>
        <w:t xml:space="preserve">In order to create real emotional connections with its audience, Rolex uses storytelling campaigns that take readers on narrative journeys. Rolex magnifies users' accomplishments by highlighting their experiences by digging into the myths behind enduring watches. The tales in these advertisements feature achievers wearing Rolex timepieces, evoking feelings of ambition and highlighting the brand's association with success and greatness. This strategy creates a lasting resonance that transcends time and establishes the brand as a beacon of </w:t>
      </w:r>
      <w:r>
        <w:lastRenderedPageBreak/>
        <w:t>accomplishment and distinction by fusing the tradition of Rolex with the unique stories of those who wear it.</w:t>
      </w:r>
    </w:p>
    <w:p w:rsidR="002A0EA7" w:rsidRDefault="00995E63">
      <w:r>
        <w:rPr>
          <w:b/>
          <w:i/>
        </w:rPr>
        <w:t xml:space="preserve">Sustainable Luxury Advocacy: </w:t>
      </w:r>
      <w:r>
        <w:t>Rolex may increase brand awareness by promoting Sustainable Luxury by taking a sustainable position. Rolex's dedication to modern ideals is shown by its emphasis on moral behavior, ethical sourcing, and environmental responsibility. By promoting these activities, Rolex positions itself as a brand that is associated with social responsibility in a market that is becoming more socially conscious.</w:t>
      </w:r>
    </w:p>
    <w:p w:rsidR="002A0EA7" w:rsidRDefault="00995E63">
      <w:r>
        <w:rPr>
          <w:b/>
          <w:i/>
        </w:rPr>
        <w:t xml:space="preserve">Exclusive Membership Programs: </w:t>
      </w:r>
      <w:r>
        <w:t>Rolex pioneers a close relationship by launching membership programs designed specifically for passionate aficionados. These programs, which were designed to foster a sense of exclusivity and belonging, provide enthusiasts access to pre-launch activities, tailored choices, and unique experiences. Rolex creates a setting where loyalty may flourish by fostering a group together with common values and objectives. Through the use of similar interests and a network of brand evangelists who find resonance in Rolex's tradition of excellence, this strategic approach creates a link that goes beyond timekeeping.</w:t>
      </w:r>
    </w:p>
    <w:p w:rsidR="002A0EA7" w:rsidRDefault="00995E63">
      <w:r>
        <w:rPr>
          <w:b/>
          <w:i/>
        </w:rPr>
        <w:t>Limited-Edition Releases:</w:t>
      </w:r>
      <w:r>
        <w:t xml:space="preserve"> Rolex uses Limited-Edition Releases to stir up excitement and collector fervor by heightening expectations. Rolex mixes history with modern design by releasing limited editions of historic models with distinctive features. By fusing rarity with timelessness, this strategy fosters excitement and a feeling of urgency among discriminating collectors (Koçak</w:t>
      </w:r>
      <w:r>
        <w:rPr>
          <w:i/>
        </w:rPr>
        <w:t>et al.</w:t>
      </w:r>
      <w:r>
        <w:t xml:space="preserve"> 2020). Limited editions resonate with the spirit of modernism while paying tribute to Rolex's illustrious history. By using this tactic, Rolex maintains its position as a sought-after emblem of horological excellence while captivating the market with its seamless fusion of history and innovation.</w:t>
      </w:r>
    </w:p>
    <w:p w:rsidR="002A0EA7" w:rsidRDefault="00995E63">
      <w:r>
        <w:rPr>
          <w:b/>
          <w:i/>
        </w:rPr>
        <w:t xml:space="preserve">Personalized Customer Journeys: </w:t>
      </w:r>
      <w:r>
        <w:t>It has been observed that with the use of data-driven insights, Rolex launches Personalised Customer Journeys, tailoring messages and services to each customer's preferences. Rolex improves consumer engagement to cultivate long-lasting brand loyalty by providing individualized advice, advanced looks, and personalized experiences. This strategic strategy not only demonstrates Rolex's dedication to knowing its clients but also enhances the whole brand experience, creating a close bond that goes beyond transactions. By fusing innovation with individualized care, Rolex builds a foundation for enduring patronage, supported by the inherent connection of the brand's offers with each customer's particular wishes and objectives.</w:t>
      </w:r>
    </w:p>
    <w:p w:rsidR="002A0EA7" w:rsidRDefault="00995E63">
      <w:pPr>
        <w:pStyle w:val="Heading1"/>
      </w:pPr>
      <w:bookmarkStart w:id="23" w:name="_wd33pqp9rdag" w:colFirst="0" w:colLast="0"/>
      <w:bookmarkStart w:id="24" w:name="_Toc144195515"/>
      <w:bookmarkEnd w:id="23"/>
      <w:r>
        <w:lastRenderedPageBreak/>
        <w:t>A definition of branding and brand equity</w:t>
      </w:r>
      <w:bookmarkEnd w:id="24"/>
    </w:p>
    <w:p w:rsidR="002A0EA7" w:rsidRDefault="00995E63">
      <w:r>
        <w:t>In its purest form, branding encompasses the complex fusion of material and immaterial components that set one product or service apart from another. Consumers' brains are permanently imprinted by the clever orchestration of visual, emotional, and perceptual clues. A brand develops its identity, values, and promise via branding, creating a unique story that appeals to its target market. On the other hand, brand equity goes beyond simple branding to include the intrinsic value and impression that a brand commands in the marketplace. It is an intangible asset that captures the respect, devotion, and esteem that a brand gains through time (Batat and Khochman, 2022). Brand equity measures how well a brand is able to influence customer preferences and purchase behavior. In the intensely competitive market, a brand with substantial equity has a significant advantage since it inspires more consumer trust, demands premium pricing, and enjoys greater customer loyalty. Brand equity is cultivated by dependable quality delivery, smooth customer interactions, and a strong emotional connection with customers.</w:t>
      </w:r>
    </w:p>
    <w:p w:rsidR="002A0EA7" w:rsidRDefault="00995E63">
      <w:pPr>
        <w:jc w:val="center"/>
      </w:pPr>
      <w:r>
        <w:rPr>
          <w:noProof/>
          <w:lang w:eastAsia="en-US"/>
        </w:rPr>
        <w:drawing>
          <wp:inline distT="114300" distB="114300" distL="114300" distR="114300">
            <wp:extent cx="4522304" cy="2833688"/>
            <wp:effectExtent l="25400" t="25400" r="25400" b="25400"/>
            <wp:docPr id="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3"/>
                    <a:srcRect/>
                    <a:stretch>
                      <a:fillRect/>
                    </a:stretch>
                  </pic:blipFill>
                  <pic:spPr>
                    <a:xfrm>
                      <a:off x="0" y="0"/>
                      <a:ext cx="4522304" cy="2833688"/>
                    </a:xfrm>
                    <a:prstGeom prst="rect">
                      <a:avLst/>
                    </a:prstGeom>
                    <a:ln w="25400">
                      <a:solidFill>
                        <a:srgbClr val="000000"/>
                      </a:solidFill>
                      <a:prstDash val="solid"/>
                    </a:ln>
                  </pic:spPr>
                </pic:pic>
              </a:graphicData>
            </a:graphic>
          </wp:inline>
        </w:drawing>
      </w:r>
    </w:p>
    <w:p w:rsidR="002A0EA7" w:rsidRDefault="00995E63" w:rsidP="001A0A56">
      <w:pPr>
        <w:pStyle w:val="Heading4"/>
      </w:pPr>
      <w:bookmarkStart w:id="25" w:name="_Toc144199474"/>
      <w:r>
        <w:t>Figure 4: Brand Equity of Rolex</w:t>
      </w:r>
      <w:bookmarkEnd w:id="25"/>
    </w:p>
    <w:p w:rsidR="002A0EA7" w:rsidRDefault="00995E63">
      <w:pPr>
        <w:jc w:val="center"/>
      </w:pPr>
      <w:r>
        <w:t xml:space="preserve">(Source: </w:t>
      </w:r>
      <w:hyperlink r:id="rId14">
        <w:r>
          <w:t>www.statista.com</w:t>
        </w:r>
      </w:hyperlink>
      <w:r>
        <w:t>, 2023)</w:t>
      </w:r>
    </w:p>
    <w:p w:rsidR="002A0EA7" w:rsidRDefault="00995E63">
      <w:r>
        <w:t xml:space="preserve">The above-pasted figure enumerates the brand equity of Rolex where the minimum value has been observed as 5927 and the maximum value has been observed as 8350. Careful consideration must be given to numerous crucial variables in the development and maintenance of brand equity. Consumers are more likely to trust a brand when it has consistent language, design, and values across all of its touchpoints. Effective communication is essential for forming </w:t>
      </w:r>
      <w:r>
        <w:lastRenderedPageBreak/>
        <w:t>customer views and enhancing brand equity, both internally and externally. Additionally, a brand's reputation is cemented by regularly surpassing client expectations and providing outstanding value, which increases its equity. Branding and brand equity come together in the setting of Rolex, a company whose name is associated with luxury and accuracy, to create a story of unrivaled workmanship and timeless beauty. The famous crown emblem used by Rolex as part of its branding serves as an example of elegance and authority. The brand equity that Rolex has is a monument to its century-long history of creating expertly manufactured watches that stand the test of time. Rolex watches are connected with aspirational feelings, and buyers have a strong level of confidence in the brand as a result.</w:t>
      </w:r>
    </w:p>
    <w:p w:rsidR="002A0EA7" w:rsidRDefault="00995E63">
      <w:r>
        <w:t>Thus, brand equity is the priceless result of continually living up to that identity. Branding is the strategic art of creating an identity. For businesses like Rolex, the interaction between branding and brand equity creates a distinctive story that maintains a heritage that endures and strikes a chord with customers.</w:t>
      </w:r>
    </w:p>
    <w:p w:rsidR="002A0EA7" w:rsidRDefault="00995E63">
      <w:pPr>
        <w:pStyle w:val="Heading1"/>
      </w:pPr>
      <w:bookmarkStart w:id="26" w:name="_8gmbjp1jnkv1" w:colFirst="0" w:colLast="0"/>
      <w:bookmarkStart w:id="27" w:name="_Toc144195516"/>
      <w:bookmarkEnd w:id="26"/>
      <w:r>
        <w:t>Explanation and Relate Keller’s Brand Equity Model to the Company</w:t>
      </w:r>
      <w:bookmarkEnd w:id="27"/>
    </w:p>
    <w:p w:rsidR="002A0EA7" w:rsidRDefault="00995E63">
      <w:r>
        <w:t xml:space="preserve">Keller's Brand Equity Model provides a comprehensive explanation of the mechanisms by which people form perceptions and attitudes towards a brand, ultimately resulting in the development of brand loyalty and support. </w:t>
      </w:r>
    </w:p>
    <w:p w:rsidR="002A0EA7" w:rsidRDefault="00995E63">
      <w:pPr>
        <w:numPr>
          <w:ilvl w:val="0"/>
          <w:numId w:val="3"/>
        </w:numPr>
        <w:rPr>
          <w:b/>
          <w:i/>
        </w:rPr>
      </w:pPr>
      <w:r>
        <w:rPr>
          <w:b/>
          <w:i/>
        </w:rPr>
        <w:t>Brand identity</w:t>
      </w:r>
    </w:p>
    <w:p w:rsidR="002A0EA7" w:rsidRDefault="00995E63">
      <w:r>
        <w:t>The notion of brand identity pertains to the distinct assortment of qualities, principles, and features that differentiate a certain brand from its rivals.  The finding reveals that the key tenet of Keller's theory is on the building of brand identity. Rolex integrates several components, like its underlying principles, overarching objective, and aesthetic expression, which prominently feature the iconic crown emblem. It has been known that the brand identity of Rolex is distinguished by its extraordinary level of workmanship, accuracy, and significant historical heritage that has endured for more than a century. The aforementioned clock surpasses its utilitarian function and assumes a symbolic significance, representing concepts of refinement, superiority, and ambition.</w:t>
      </w:r>
    </w:p>
    <w:p w:rsidR="002A0EA7" w:rsidRDefault="00995E63">
      <w:pPr>
        <w:numPr>
          <w:ilvl w:val="0"/>
          <w:numId w:val="1"/>
        </w:numPr>
        <w:rPr>
          <w:b/>
          <w:i/>
        </w:rPr>
      </w:pPr>
      <w:r>
        <w:rPr>
          <w:b/>
          <w:i/>
        </w:rPr>
        <w:t>Brand meaning</w:t>
      </w:r>
    </w:p>
    <w:p w:rsidR="002A0EA7" w:rsidRDefault="00995E63">
      <w:r>
        <w:t xml:space="preserve">The notion of brand meaning pertains to the symbolic and emotional connotations that customers ascribe to a certain brand. The concept of brand meaning comprises the attitudes and ideas associated with a brand.  It comes into observation part that the brand value of Rolex goes </w:t>
      </w:r>
      <w:r>
        <w:lastRenderedPageBreak/>
        <w:t>beyond its utilitarian use as a timekeeping instrument. It has a key function in influencing an individual's perception of their own identity. Customers often identify Rolex with concepts such as achievement, affluence, and the pinnacle of exceptional watchmaking artistry. The unwavering commitment of Rolex to meticulous perfection and enduringly sophisticated designs helps to emphasize the significance of these attributes.</w:t>
      </w:r>
    </w:p>
    <w:p w:rsidR="002A0EA7" w:rsidRDefault="00995E63">
      <w:pPr>
        <w:numPr>
          <w:ilvl w:val="0"/>
          <w:numId w:val="4"/>
        </w:numPr>
        <w:rPr>
          <w:b/>
          <w:i/>
        </w:rPr>
      </w:pPr>
      <w:r>
        <w:rPr>
          <w:b/>
          <w:i/>
        </w:rPr>
        <w:t xml:space="preserve">Brand response </w:t>
      </w:r>
    </w:p>
    <w:p w:rsidR="002A0EA7" w:rsidRDefault="00995E63">
      <w:r>
        <w:t>The phenomenon of brand reaction pertains to the manner in which consumers react and engage with a brand. Individuals who are fond of Rolex timepieces have a profound affinity for the brand and possess a deep-seated enthusiasm for their wristwatches. The ownership of a Rolex beyond its utilitarian function of timekeeping, as it encompasses a sense of pride and emotional attachment derived from adorning a symbol of unparalleled achievement. The response is characterized by brand devotion and a willingness to pay a premium for the Rolex experience.</w:t>
      </w:r>
    </w:p>
    <w:p w:rsidR="002A0EA7" w:rsidRDefault="00995E63">
      <w:pPr>
        <w:numPr>
          <w:ilvl w:val="0"/>
          <w:numId w:val="5"/>
        </w:numPr>
        <w:rPr>
          <w:b/>
          <w:i/>
        </w:rPr>
      </w:pPr>
      <w:r>
        <w:rPr>
          <w:b/>
          <w:i/>
        </w:rPr>
        <w:t>Brand Resonance</w:t>
      </w:r>
    </w:p>
    <w:p w:rsidR="002A0EA7" w:rsidRDefault="00995E63">
      <w:r>
        <w:t>Brand Resonance, the peak of Keller's paradigm, is the result of all the other phases. With a following of devoted clients who not only buy Rolex watches but also promote them, Rolex has attained this level. The forums and Rolex Owners' Clubs, where aficionados exchange tales and experiences, serve as examples of this resonance. These clients are brand advocates as well as consumers.</w:t>
      </w:r>
    </w:p>
    <w:p w:rsidR="002A0EA7" w:rsidRDefault="00995E63">
      <w:pPr>
        <w:jc w:val="center"/>
      </w:pPr>
      <w:r>
        <w:rPr>
          <w:noProof/>
          <w:lang w:eastAsia="en-US"/>
        </w:rPr>
        <w:drawing>
          <wp:inline distT="114300" distB="114300" distL="114300" distR="114300">
            <wp:extent cx="3852863" cy="2420956"/>
            <wp:effectExtent l="25400" t="25400" r="25400" b="25400"/>
            <wp:docPr id="6"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5"/>
                    <a:srcRect/>
                    <a:stretch>
                      <a:fillRect/>
                    </a:stretch>
                  </pic:blipFill>
                  <pic:spPr>
                    <a:xfrm>
                      <a:off x="0" y="0"/>
                      <a:ext cx="3852863" cy="2420956"/>
                    </a:xfrm>
                    <a:prstGeom prst="rect">
                      <a:avLst/>
                    </a:prstGeom>
                    <a:ln w="25400">
                      <a:solidFill>
                        <a:srgbClr val="000000"/>
                      </a:solidFill>
                      <a:prstDash val="solid"/>
                    </a:ln>
                  </pic:spPr>
                </pic:pic>
              </a:graphicData>
            </a:graphic>
          </wp:inline>
        </w:drawing>
      </w:r>
    </w:p>
    <w:p w:rsidR="002A0EA7" w:rsidRDefault="00995E63" w:rsidP="001A0A56">
      <w:pPr>
        <w:pStyle w:val="Heading4"/>
      </w:pPr>
      <w:bookmarkStart w:id="28" w:name="_Toc144199475"/>
      <w:r>
        <w:t>Figure 5: Rolex Keller's Model</w:t>
      </w:r>
      <w:bookmarkEnd w:id="28"/>
    </w:p>
    <w:p w:rsidR="002A0EA7" w:rsidRDefault="00995E63">
      <w:pPr>
        <w:jc w:val="center"/>
      </w:pPr>
      <w:r>
        <w:t xml:space="preserve">(Source: </w:t>
      </w:r>
      <w:hyperlink r:id="rId16">
        <w:r>
          <w:t>www.internationalbrandequity.com</w:t>
        </w:r>
      </w:hyperlink>
      <w:r>
        <w:t>, 2023)</w:t>
      </w:r>
    </w:p>
    <w:p w:rsidR="002A0EA7" w:rsidRDefault="00995E63">
      <w:pPr>
        <w:rPr>
          <w:b/>
        </w:rPr>
      </w:pPr>
      <w:r>
        <w:rPr>
          <w:b/>
        </w:rPr>
        <w:t>Rolex and the Keller's Model Relationship</w:t>
      </w:r>
    </w:p>
    <w:p w:rsidR="002A0EA7" w:rsidRDefault="00995E63">
      <w:r>
        <w:lastRenderedPageBreak/>
        <w:t>Rolex is a prime example of Keller's Brand Equity Model's tenets. The brand is readily recognizable and desirable because of its identity, which is connected with elegance, accuracy, and legacy. Beyond its practical use, Rolex represents a successful and accomplished way of life. The ageless designs and lasting appeal of its timepieces make this notion clear.</w:t>
      </w:r>
    </w:p>
    <w:tbl>
      <w:tblPr>
        <w:tblW w:w="900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2325"/>
        <w:gridCol w:w="6675"/>
      </w:tblGrid>
      <w:tr w:rsidR="001A0A56" w:rsidTr="001A0A56">
        <w:trPr>
          <w:jc w:val="center"/>
        </w:trPr>
        <w:tc>
          <w:tcPr>
            <w:tcW w:w="2325" w:type="dxa"/>
            <w:shd w:val="clear" w:color="auto" w:fill="auto"/>
            <w:tcMar>
              <w:top w:w="100" w:type="dxa"/>
              <w:left w:w="100" w:type="dxa"/>
              <w:bottom w:w="100" w:type="dxa"/>
              <w:right w:w="100" w:type="dxa"/>
            </w:tcMar>
          </w:tcPr>
          <w:p w:rsidR="001A0A56" w:rsidRDefault="001A0A56" w:rsidP="00BA6BD2">
            <w:pPr>
              <w:widowControl w:val="0"/>
              <w:pBdr>
                <w:top w:val="nil"/>
                <w:left w:val="nil"/>
                <w:bottom w:val="nil"/>
                <w:right w:val="nil"/>
                <w:between w:val="nil"/>
              </w:pBdr>
              <w:jc w:val="center"/>
              <w:rPr>
                <w:b/>
              </w:rPr>
            </w:pPr>
            <w:r>
              <w:rPr>
                <w:b/>
              </w:rPr>
              <w:t>Keller's Brand Equity Model</w:t>
            </w:r>
          </w:p>
        </w:tc>
        <w:tc>
          <w:tcPr>
            <w:tcW w:w="6675" w:type="dxa"/>
            <w:shd w:val="clear" w:color="auto" w:fill="auto"/>
            <w:tcMar>
              <w:top w:w="100" w:type="dxa"/>
              <w:left w:w="100" w:type="dxa"/>
              <w:bottom w:w="100" w:type="dxa"/>
              <w:right w:w="100" w:type="dxa"/>
            </w:tcMar>
          </w:tcPr>
          <w:p w:rsidR="001A0A56" w:rsidRDefault="001A0A56" w:rsidP="00BA6BD2">
            <w:pPr>
              <w:widowControl w:val="0"/>
              <w:pBdr>
                <w:top w:val="nil"/>
                <w:left w:val="nil"/>
                <w:bottom w:val="nil"/>
                <w:right w:val="nil"/>
                <w:between w:val="nil"/>
              </w:pBdr>
              <w:jc w:val="center"/>
              <w:rPr>
                <w:b/>
              </w:rPr>
            </w:pPr>
            <w:r>
              <w:rPr>
                <w:b/>
              </w:rPr>
              <w:t>Application to Rolex</w:t>
            </w:r>
          </w:p>
        </w:tc>
      </w:tr>
      <w:tr w:rsidR="001A0A56" w:rsidTr="001A0A56">
        <w:trPr>
          <w:jc w:val="center"/>
        </w:trPr>
        <w:tc>
          <w:tcPr>
            <w:tcW w:w="2325" w:type="dxa"/>
            <w:shd w:val="clear" w:color="auto" w:fill="auto"/>
            <w:tcMar>
              <w:top w:w="100" w:type="dxa"/>
              <w:left w:w="100" w:type="dxa"/>
              <w:bottom w:w="100" w:type="dxa"/>
              <w:right w:w="100" w:type="dxa"/>
            </w:tcMar>
          </w:tcPr>
          <w:p w:rsidR="001A0A56" w:rsidRDefault="001A0A56" w:rsidP="00BA6BD2">
            <w:r>
              <w:rPr>
                <w:b/>
                <w:i/>
              </w:rPr>
              <w:t>Brand Identity</w:t>
            </w:r>
          </w:p>
        </w:tc>
        <w:tc>
          <w:tcPr>
            <w:tcW w:w="6675" w:type="dxa"/>
            <w:shd w:val="clear" w:color="auto" w:fill="auto"/>
            <w:tcMar>
              <w:top w:w="100" w:type="dxa"/>
              <w:left w:w="100" w:type="dxa"/>
              <w:bottom w:w="100" w:type="dxa"/>
              <w:right w:w="100" w:type="dxa"/>
            </w:tcMar>
          </w:tcPr>
          <w:p w:rsidR="001A0A56" w:rsidRDefault="001A0A56" w:rsidP="00BA6BD2">
            <w:pPr>
              <w:widowControl w:val="0"/>
              <w:pBdr>
                <w:top w:val="nil"/>
                <w:left w:val="nil"/>
                <w:bottom w:val="nil"/>
                <w:right w:val="nil"/>
                <w:between w:val="nil"/>
              </w:pBdr>
              <w:jc w:val="left"/>
            </w:pPr>
            <w:r>
              <w:t>Meticulously designed as a result of a dedication to excellence in timekeeping, ground-breaking inventions like the Oyster casing, and a focus on style and class.</w:t>
            </w:r>
          </w:p>
        </w:tc>
      </w:tr>
      <w:tr w:rsidR="001A0A56" w:rsidTr="001A0A56">
        <w:trPr>
          <w:jc w:val="center"/>
        </w:trPr>
        <w:tc>
          <w:tcPr>
            <w:tcW w:w="2325" w:type="dxa"/>
            <w:shd w:val="clear" w:color="auto" w:fill="auto"/>
            <w:tcMar>
              <w:top w:w="100" w:type="dxa"/>
              <w:left w:w="100" w:type="dxa"/>
              <w:bottom w:w="100" w:type="dxa"/>
              <w:right w:w="100" w:type="dxa"/>
            </w:tcMar>
          </w:tcPr>
          <w:p w:rsidR="001A0A56" w:rsidRDefault="001A0A56" w:rsidP="00BA6BD2">
            <w:r>
              <w:rPr>
                <w:b/>
                <w:i/>
              </w:rPr>
              <w:t>Brand Meaning</w:t>
            </w:r>
          </w:p>
        </w:tc>
        <w:tc>
          <w:tcPr>
            <w:tcW w:w="6675" w:type="dxa"/>
            <w:shd w:val="clear" w:color="auto" w:fill="auto"/>
            <w:tcMar>
              <w:top w:w="100" w:type="dxa"/>
              <w:left w:w="100" w:type="dxa"/>
              <w:bottom w:w="100" w:type="dxa"/>
              <w:right w:w="100" w:type="dxa"/>
            </w:tcMar>
          </w:tcPr>
          <w:p w:rsidR="001A0A56" w:rsidRDefault="001A0A56" w:rsidP="00BA6BD2">
            <w:pPr>
              <w:widowControl w:val="0"/>
              <w:pBdr>
                <w:top w:val="nil"/>
                <w:left w:val="nil"/>
                <w:bottom w:val="nil"/>
                <w:right w:val="nil"/>
                <w:between w:val="nil"/>
              </w:pBdr>
              <w:jc w:val="left"/>
            </w:pPr>
            <w:r>
              <w:t>The brand's significance is centered on its standing as an opulent fashion statement, its function as the official timekeeper for renowned events like Wimbledon, and its history of creating enduring timepieces.</w:t>
            </w:r>
          </w:p>
        </w:tc>
      </w:tr>
      <w:tr w:rsidR="001A0A56" w:rsidTr="001A0A56">
        <w:trPr>
          <w:jc w:val="center"/>
        </w:trPr>
        <w:tc>
          <w:tcPr>
            <w:tcW w:w="2325" w:type="dxa"/>
            <w:shd w:val="clear" w:color="auto" w:fill="auto"/>
            <w:tcMar>
              <w:top w:w="100" w:type="dxa"/>
              <w:left w:w="100" w:type="dxa"/>
              <w:bottom w:w="100" w:type="dxa"/>
              <w:right w:w="100" w:type="dxa"/>
            </w:tcMar>
          </w:tcPr>
          <w:p w:rsidR="001A0A56" w:rsidRDefault="001A0A56" w:rsidP="00BA6BD2">
            <w:r>
              <w:rPr>
                <w:b/>
                <w:i/>
              </w:rPr>
              <w:t>Brand Response</w:t>
            </w:r>
          </w:p>
        </w:tc>
        <w:tc>
          <w:tcPr>
            <w:tcW w:w="6675" w:type="dxa"/>
            <w:shd w:val="clear" w:color="auto" w:fill="auto"/>
            <w:tcMar>
              <w:top w:w="100" w:type="dxa"/>
              <w:left w:w="100" w:type="dxa"/>
              <w:bottom w:w="100" w:type="dxa"/>
              <w:right w:w="100" w:type="dxa"/>
            </w:tcMar>
          </w:tcPr>
          <w:p w:rsidR="001A0A56" w:rsidRDefault="001A0A56" w:rsidP="00BA6BD2">
            <w:pPr>
              <w:widowControl w:val="0"/>
              <w:pBdr>
                <w:top w:val="nil"/>
                <w:left w:val="nil"/>
                <w:bottom w:val="nil"/>
                <w:right w:val="nil"/>
                <w:between w:val="nil"/>
              </w:pBdr>
              <w:jc w:val="left"/>
            </w:pPr>
            <w:r>
              <w:t>Company Reaction inspires customers' awe, confidence, and aspiration. Consistently excellent craftsmanship and ageless attractiveness serve to strengthen the emotional connection.</w:t>
            </w:r>
          </w:p>
        </w:tc>
      </w:tr>
      <w:tr w:rsidR="001A0A56" w:rsidTr="001A0A56">
        <w:trPr>
          <w:jc w:val="center"/>
        </w:trPr>
        <w:tc>
          <w:tcPr>
            <w:tcW w:w="2325" w:type="dxa"/>
            <w:shd w:val="clear" w:color="auto" w:fill="auto"/>
            <w:tcMar>
              <w:top w:w="100" w:type="dxa"/>
              <w:left w:w="100" w:type="dxa"/>
              <w:bottom w:w="100" w:type="dxa"/>
              <w:right w:w="100" w:type="dxa"/>
            </w:tcMar>
          </w:tcPr>
          <w:p w:rsidR="001A0A56" w:rsidRDefault="001A0A56" w:rsidP="00BA6BD2">
            <w:r>
              <w:rPr>
                <w:b/>
                <w:i/>
              </w:rPr>
              <w:t>Brand Resonance</w:t>
            </w:r>
          </w:p>
        </w:tc>
        <w:tc>
          <w:tcPr>
            <w:tcW w:w="6675" w:type="dxa"/>
            <w:shd w:val="clear" w:color="auto" w:fill="auto"/>
            <w:tcMar>
              <w:top w:w="100" w:type="dxa"/>
              <w:left w:w="100" w:type="dxa"/>
              <w:bottom w:w="100" w:type="dxa"/>
              <w:right w:w="100" w:type="dxa"/>
            </w:tcMar>
          </w:tcPr>
          <w:p w:rsidR="001A0A56" w:rsidRDefault="001A0A56" w:rsidP="00BA6BD2">
            <w:pPr>
              <w:widowControl w:val="0"/>
              <w:pBdr>
                <w:top w:val="nil"/>
                <w:left w:val="nil"/>
                <w:bottom w:val="nil"/>
                <w:right w:val="nil"/>
                <w:between w:val="nil"/>
              </w:pBdr>
              <w:jc w:val="left"/>
            </w:pPr>
            <w:r>
              <w:t>A community of true lovers of horology is fostered via brand resonance. The act of owning denotes acceptance into an exclusive group of elite enthusiasts.</w:t>
            </w:r>
          </w:p>
        </w:tc>
      </w:tr>
    </w:tbl>
    <w:p w:rsidR="001A0A56" w:rsidRDefault="001A0A56" w:rsidP="001A0A56">
      <w:pPr>
        <w:pStyle w:val="Heading5"/>
      </w:pPr>
      <w:bookmarkStart w:id="29" w:name="_Toc144194864"/>
      <w:bookmarkStart w:id="30" w:name="_Toc144195012"/>
      <w:bookmarkStart w:id="31" w:name="_Toc144199481"/>
      <w:r>
        <w:t xml:space="preserve">Table 2: </w:t>
      </w:r>
      <w:r w:rsidRPr="001A0A56">
        <w:t>Keller's</w:t>
      </w:r>
      <w:r>
        <w:t xml:space="preserve"> model to Rolex</w:t>
      </w:r>
      <w:bookmarkEnd w:id="29"/>
      <w:bookmarkEnd w:id="30"/>
      <w:bookmarkEnd w:id="31"/>
    </w:p>
    <w:p w:rsidR="001A0A56" w:rsidRDefault="001A0A56" w:rsidP="001A0A56">
      <w:pPr>
        <w:jc w:val="center"/>
      </w:pPr>
      <w:r>
        <w:t>(Source: Self-Created)</w:t>
      </w:r>
    </w:p>
    <w:p w:rsidR="001A0A56" w:rsidRDefault="001A0A56">
      <w:r>
        <w:t>The above table represents the relation of Keller’s model to Rolex organization which has been categorized in the aspect of Brand equity</w:t>
      </w:r>
    </w:p>
    <w:p w:rsidR="002A0EA7" w:rsidRDefault="00995E63">
      <w:r>
        <w:t>Brand resonance is the apex of Rolex's brand equity (Marino, 2020). Rolex has developed a worldwide community of aficionados who share their experiences and wear their Rolex watches with pride. The Rolex name has evolved into a prestige symbol, an indicator of success, and a lasting legacy.</w:t>
      </w:r>
    </w:p>
    <w:p w:rsidR="002A0EA7" w:rsidRDefault="00995E63">
      <w:pPr>
        <w:pStyle w:val="Heading1"/>
      </w:pPr>
      <w:bookmarkStart w:id="32" w:name="_9aurailq37e4" w:colFirst="0" w:colLast="0"/>
      <w:bookmarkStart w:id="33" w:name="_Toc144195517"/>
      <w:bookmarkEnd w:id="32"/>
      <w:r>
        <w:lastRenderedPageBreak/>
        <w:t>The customer journey and customer touch points of the organization</w:t>
      </w:r>
      <w:bookmarkEnd w:id="33"/>
    </w:p>
    <w:p w:rsidR="002A0EA7" w:rsidRDefault="00995E63">
      <w:r>
        <w:t>At Rolex, the client experience is a painstakingly designed voyage that starts long before a watch is worn and goes well beyond the moment of purchase. This journey weaves a complicated tapestry of interactions across numerous contact points in order to connect with the brand's spirit of elegance, accuracy, and desire.</w:t>
      </w:r>
    </w:p>
    <w:p w:rsidR="002A0EA7" w:rsidRDefault="00995E63">
      <w:pPr>
        <w:rPr>
          <w:b/>
        </w:rPr>
      </w:pPr>
      <w:r>
        <w:rPr>
          <w:b/>
        </w:rPr>
        <w:t>Awareness:</w:t>
      </w:r>
    </w:p>
    <w:p w:rsidR="002A0EA7" w:rsidRDefault="00995E63">
      <w:r>
        <w:t>Create brand awareness using a variety of channels, including print and digital commercials, social media presence, and celebrity endorsements to start the trip. Due to its well-established reputation, Rolex often piques the attention of those looking for opulent watches.</w:t>
      </w:r>
    </w:p>
    <w:p w:rsidR="002A0EA7" w:rsidRDefault="00995E63">
      <w:pPr>
        <w:rPr>
          <w:b/>
        </w:rPr>
      </w:pPr>
      <w:r>
        <w:rPr>
          <w:b/>
        </w:rPr>
        <w:t>Research and Consideration:</w:t>
      </w:r>
    </w:p>
    <w:p w:rsidR="002A0EA7" w:rsidRDefault="00995E63">
      <w:r>
        <w:t xml:space="preserve">As prospective clients start looking for the ideal Rolex watch, they do more extensive study. They go through the official Rolex website to discover more about the company's history, workmanship, and wide selection of models (KÖKTENER </w:t>
      </w:r>
      <w:r>
        <w:rPr>
          <w:i/>
        </w:rPr>
        <w:t xml:space="preserve">et al. </w:t>
      </w:r>
      <w:r>
        <w:t>2020). In search of the ideal balance between form and function, watch aficionados often visit authorized dealerships and boutiques to study the timepieces up close.</w:t>
      </w:r>
    </w:p>
    <w:p w:rsidR="002A0EA7" w:rsidRDefault="00995E63">
      <w:pPr>
        <w:rPr>
          <w:b/>
        </w:rPr>
      </w:pPr>
      <w:r>
        <w:rPr>
          <w:b/>
        </w:rPr>
        <w:t>Evaluation and Purchase:</w:t>
      </w:r>
    </w:p>
    <w:p w:rsidR="002A0EA7" w:rsidRDefault="00995E63">
      <w:r>
        <w:t>Evaluation and purchase: Customers interact with competent staff members who provide insights into various models and help with the selection process throughout their in-store experience, which is a significant contact point. Once a selection is made, the purchase turns into a significant event, often accompanied by a tailored experience that reflects the elegance found in Rolex watches.</w:t>
      </w:r>
    </w:p>
    <w:p w:rsidR="002A0EA7" w:rsidRDefault="00995E63">
      <w:pPr>
        <w:rPr>
          <w:b/>
        </w:rPr>
      </w:pPr>
      <w:r>
        <w:rPr>
          <w:b/>
        </w:rPr>
        <w:t>Ownership Experience:</w:t>
      </w:r>
    </w:p>
    <w:p w:rsidR="002A0EA7" w:rsidRDefault="00995E63">
      <w:r>
        <w:t>As consumers become ecstatic Rolex owners, the ownership phase lengthens the trip. Brand loyalty is influenced by the unpacking experience, the watch's quality, and the sensation of achievement. The warranty and after-sales services from Rolex provide certainty, enhancing the pleasure of ownership as a whole.</w:t>
      </w:r>
    </w:p>
    <w:p w:rsidR="002A0EA7" w:rsidRDefault="00995E63">
      <w:pPr>
        <w:rPr>
          <w:b/>
        </w:rPr>
      </w:pPr>
      <w:r>
        <w:rPr>
          <w:b/>
        </w:rPr>
        <w:t>Advocacy and Engagement:</w:t>
      </w:r>
    </w:p>
    <w:p w:rsidR="002A0EA7" w:rsidRDefault="00995E63">
      <w:r>
        <w:t>Rolex fans often take on the role of brand ambassadors by joining online forums and groups to discuss their watch collections, experiences, and tales. As enthusiastic clients take center stage in word-of-mouth marketing, this endorsement increases the attraction of Rolex.</w:t>
      </w:r>
    </w:p>
    <w:p w:rsidR="002A0EA7" w:rsidRDefault="00995E63">
      <w:r>
        <w:rPr>
          <w:b/>
        </w:rPr>
        <w:t>Events and Special Occasions:</w:t>
      </w:r>
    </w:p>
    <w:p w:rsidR="002A0EA7" w:rsidRDefault="00995E63">
      <w:r>
        <w:lastRenderedPageBreak/>
        <w:t>Rolex hosts private gatherings, debuts, and events where consumers may learn about the history and latest products of the company. These gatherings provide a chance for close contact with the brand, encouraging a feeling of exclusivity and belonging.</w:t>
      </w:r>
    </w:p>
    <w:p w:rsidR="002A0EA7" w:rsidRDefault="00995E63">
      <w:pPr>
        <w:rPr>
          <w:b/>
        </w:rPr>
      </w:pPr>
      <w:r>
        <w:rPr>
          <w:b/>
        </w:rPr>
        <w:t>Continual Engagement:</w:t>
      </w:r>
    </w:p>
    <w:p w:rsidR="002A0EA7" w:rsidRDefault="00995E63">
      <w:r>
        <w:t>Rolex keeps its customers interested by sending out newsletters, updates, and frequent communications about new collections and advancements. Even after a purchase has been completed, these messages continue the journey and act as subtle reminders of the brand's existence.</w:t>
      </w:r>
    </w:p>
    <w:p w:rsidR="002A0EA7" w:rsidRDefault="00995E63">
      <w:r>
        <w:t>Thus, Rolex painstakingly crafts a complex client journey, choreographing contact points that are consistent with the goals and values of the company. The journey is a symphony of elegance, accuracy, and meaningful experiences that connect with clients long after they become a part of the Rolex heritage, from awareness and research through purchase and ownership.</w:t>
      </w:r>
    </w:p>
    <w:p w:rsidR="002A0EA7" w:rsidRDefault="00995E63">
      <w:pPr>
        <w:pStyle w:val="Heading1"/>
      </w:pPr>
      <w:bookmarkStart w:id="34" w:name="_6cfkwqqrw1on" w:colFirst="0" w:colLast="0"/>
      <w:bookmarkStart w:id="35" w:name="_Toc144195518"/>
      <w:bookmarkEnd w:id="34"/>
      <w:r>
        <w:t>Explanation and critical analysis of a customer journey map for the company</w:t>
      </w:r>
      <w:bookmarkEnd w:id="35"/>
    </w:p>
    <w:tbl>
      <w:tblPr>
        <w:tblStyle w:val="a"/>
        <w:tblW w:w="8380" w:type="dxa"/>
        <w:jc w:val="center"/>
        <w:tblBorders>
          <w:top w:val="nil"/>
          <w:left w:val="nil"/>
          <w:bottom w:val="nil"/>
          <w:right w:val="nil"/>
          <w:insideH w:val="nil"/>
          <w:insideV w:val="nil"/>
        </w:tblBorders>
        <w:shd w:val="clear" w:color="auto" w:fill="FFFFFF" w:themeFill="background1"/>
        <w:tblLayout w:type="fixed"/>
        <w:tblLook w:val="0600"/>
      </w:tblPr>
      <w:tblGrid>
        <w:gridCol w:w="1080"/>
        <w:gridCol w:w="1540"/>
        <w:gridCol w:w="1800"/>
        <w:gridCol w:w="1170"/>
        <w:gridCol w:w="1260"/>
        <w:gridCol w:w="1530"/>
      </w:tblGrid>
      <w:tr w:rsidR="002A0EA7" w:rsidTr="001A0A56">
        <w:trPr>
          <w:trHeight w:val="570"/>
          <w:jc w:val="center"/>
        </w:trPr>
        <w:tc>
          <w:tcPr>
            <w:tcW w:w="1080" w:type="dxa"/>
            <w:tcBorders>
              <w:top w:val="single" w:sz="7" w:space="0" w:color="000000"/>
              <w:left w:val="single" w:sz="7" w:space="0" w:color="000000"/>
              <w:bottom w:val="single" w:sz="7" w:space="0" w:color="000000"/>
              <w:right w:val="single" w:sz="7" w:space="0" w:color="000000"/>
            </w:tcBorders>
            <w:shd w:val="clear" w:color="auto" w:fill="FFFFFF" w:themeFill="background1"/>
            <w:tcMar>
              <w:top w:w="0" w:type="dxa"/>
              <w:left w:w="100" w:type="dxa"/>
              <w:bottom w:w="0" w:type="dxa"/>
              <w:right w:w="100" w:type="dxa"/>
            </w:tcMar>
            <w:vAlign w:val="bottom"/>
          </w:tcPr>
          <w:p w:rsidR="002A0EA7" w:rsidRDefault="00995E63">
            <w:pPr>
              <w:spacing w:before="240" w:after="240" w:line="276" w:lineRule="auto"/>
              <w:ind w:left="120"/>
              <w:jc w:val="center"/>
              <w:rPr>
                <w:b/>
                <w:sz w:val="19"/>
                <w:szCs w:val="19"/>
              </w:rPr>
            </w:pPr>
            <w:r>
              <w:rPr>
                <w:b/>
                <w:sz w:val="19"/>
                <w:szCs w:val="19"/>
              </w:rPr>
              <w:t>Stage</w:t>
            </w:r>
          </w:p>
        </w:tc>
        <w:tc>
          <w:tcPr>
            <w:tcW w:w="1540" w:type="dxa"/>
            <w:tcBorders>
              <w:top w:val="single" w:sz="7" w:space="0" w:color="000000"/>
              <w:left w:val="nil"/>
              <w:bottom w:val="single" w:sz="7" w:space="0" w:color="000000"/>
              <w:right w:val="single" w:sz="7" w:space="0" w:color="000000"/>
            </w:tcBorders>
            <w:shd w:val="clear" w:color="auto" w:fill="FFFFFF" w:themeFill="background1"/>
            <w:tcMar>
              <w:top w:w="0" w:type="dxa"/>
              <w:left w:w="100" w:type="dxa"/>
              <w:bottom w:w="0" w:type="dxa"/>
              <w:right w:w="100" w:type="dxa"/>
            </w:tcMar>
            <w:vAlign w:val="bottom"/>
          </w:tcPr>
          <w:p w:rsidR="002A0EA7" w:rsidRDefault="00995E63">
            <w:pPr>
              <w:spacing w:before="240" w:after="240" w:line="276" w:lineRule="auto"/>
              <w:ind w:left="120"/>
              <w:jc w:val="center"/>
              <w:rPr>
                <w:b/>
                <w:sz w:val="19"/>
                <w:szCs w:val="19"/>
              </w:rPr>
            </w:pPr>
            <w:r>
              <w:rPr>
                <w:b/>
                <w:sz w:val="19"/>
                <w:szCs w:val="19"/>
              </w:rPr>
              <w:t>Awareness</w:t>
            </w:r>
          </w:p>
        </w:tc>
        <w:tc>
          <w:tcPr>
            <w:tcW w:w="1800" w:type="dxa"/>
            <w:tcBorders>
              <w:top w:val="single" w:sz="7" w:space="0" w:color="000000"/>
              <w:left w:val="nil"/>
              <w:bottom w:val="single" w:sz="7" w:space="0" w:color="000000"/>
              <w:right w:val="single" w:sz="7" w:space="0" w:color="000000"/>
            </w:tcBorders>
            <w:shd w:val="clear" w:color="auto" w:fill="FFFFFF" w:themeFill="background1"/>
            <w:tcMar>
              <w:top w:w="0" w:type="dxa"/>
              <w:left w:w="100" w:type="dxa"/>
              <w:bottom w:w="0" w:type="dxa"/>
              <w:right w:w="100" w:type="dxa"/>
            </w:tcMar>
            <w:vAlign w:val="bottom"/>
          </w:tcPr>
          <w:p w:rsidR="002A0EA7" w:rsidRDefault="001A0A56">
            <w:pPr>
              <w:spacing w:before="240" w:after="240" w:line="276" w:lineRule="auto"/>
              <w:ind w:left="120"/>
              <w:jc w:val="center"/>
              <w:rPr>
                <w:b/>
                <w:sz w:val="19"/>
                <w:szCs w:val="19"/>
              </w:rPr>
            </w:pPr>
            <w:r>
              <w:rPr>
                <w:b/>
                <w:sz w:val="19"/>
                <w:szCs w:val="19"/>
              </w:rPr>
              <w:t>Consideration ion</w:t>
            </w:r>
          </w:p>
        </w:tc>
        <w:tc>
          <w:tcPr>
            <w:tcW w:w="1170" w:type="dxa"/>
            <w:tcBorders>
              <w:top w:val="single" w:sz="7" w:space="0" w:color="000000"/>
              <w:left w:val="nil"/>
              <w:bottom w:val="single" w:sz="7" w:space="0" w:color="000000"/>
              <w:right w:val="single" w:sz="7" w:space="0" w:color="000000"/>
            </w:tcBorders>
            <w:shd w:val="clear" w:color="auto" w:fill="FFFFFF" w:themeFill="background1"/>
            <w:tcMar>
              <w:top w:w="0" w:type="dxa"/>
              <w:left w:w="100" w:type="dxa"/>
              <w:bottom w:w="0" w:type="dxa"/>
              <w:right w:w="100" w:type="dxa"/>
            </w:tcMar>
            <w:vAlign w:val="bottom"/>
          </w:tcPr>
          <w:p w:rsidR="002A0EA7" w:rsidRDefault="00995E63">
            <w:pPr>
              <w:spacing w:before="240" w:after="240" w:line="276" w:lineRule="auto"/>
              <w:ind w:left="120"/>
              <w:jc w:val="center"/>
              <w:rPr>
                <w:b/>
                <w:sz w:val="19"/>
                <w:szCs w:val="19"/>
              </w:rPr>
            </w:pPr>
            <w:r>
              <w:rPr>
                <w:b/>
                <w:sz w:val="19"/>
                <w:szCs w:val="19"/>
              </w:rPr>
              <w:t>Decision</w:t>
            </w:r>
          </w:p>
        </w:tc>
        <w:tc>
          <w:tcPr>
            <w:tcW w:w="1260" w:type="dxa"/>
            <w:tcBorders>
              <w:top w:val="single" w:sz="7" w:space="0" w:color="000000"/>
              <w:left w:val="nil"/>
              <w:bottom w:val="single" w:sz="7" w:space="0" w:color="000000"/>
              <w:right w:val="single" w:sz="7" w:space="0" w:color="000000"/>
            </w:tcBorders>
            <w:shd w:val="clear" w:color="auto" w:fill="FFFFFF" w:themeFill="background1"/>
            <w:tcMar>
              <w:top w:w="0" w:type="dxa"/>
              <w:left w:w="100" w:type="dxa"/>
              <w:bottom w:w="0" w:type="dxa"/>
              <w:right w:w="100" w:type="dxa"/>
            </w:tcMar>
            <w:vAlign w:val="bottom"/>
          </w:tcPr>
          <w:p w:rsidR="002A0EA7" w:rsidRDefault="00995E63">
            <w:pPr>
              <w:spacing w:before="240" w:after="240" w:line="276" w:lineRule="auto"/>
              <w:ind w:left="120"/>
              <w:jc w:val="center"/>
              <w:rPr>
                <w:b/>
                <w:sz w:val="19"/>
                <w:szCs w:val="19"/>
              </w:rPr>
            </w:pPr>
            <w:r>
              <w:rPr>
                <w:b/>
                <w:sz w:val="19"/>
                <w:szCs w:val="19"/>
              </w:rPr>
              <w:t>Retention</w:t>
            </w:r>
          </w:p>
        </w:tc>
        <w:tc>
          <w:tcPr>
            <w:tcW w:w="1530" w:type="dxa"/>
            <w:tcBorders>
              <w:top w:val="single" w:sz="7" w:space="0" w:color="000000"/>
              <w:left w:val="nil"/>
              <w:bottom w:val="single" w:sz="7" w:space="0" w:color="000000"/>
              <w:right w:val="single" w:sz="7" w:space="0" w:color="000000"/>
            </w:tcBorders>
            <w:shd w:val="clear" w:color="auto" w:fill="FFFFFF" w:themeFill="background1"/>
            <w:tcMar>
              <w:top w:w="0" w:type="dxa"/>
              <w:left w:w="100" w:type="dxa"/>
              <w:bottom w:w="0" w:type="dxa"/>
              <w:right w:w="100" w:type="dxa"/>
            </w:tcMar>
            <w:vAlign w:val="bottom"/>
          </w:tcPr>
          <w:p w:rsidR="002A0EA7" w:rsidRDefault="00995E63">
            <w:pPr>
              <w:spacing w:before="240" w:after="240" w:line="276" w:lineRule="auto"/>
              <w:ind w:left="120"/>
              <w:jc w:val="center"/>
              <w:rPr>
                <w:b/>
                <w:sz w:val="19"/>
                <w:szCs w:val="19"/>
              </w:rPr>
            </w:pPr>
            <w:r>
              <w:rPr>
                <w:b/>
                <w:sz w:val="19"/>
                <w:szCs w:val="19"/>
              </w:rPr>
              <w:t>Advocacy</w:t>
            </w:r>
          </w:p>
        </w:tc>
      </w:tr>
      <w:tr w:rsidR="002A0EA7" w:rsidTr="001A0A56">
        <w:trPr>
          <w:trHeight w:val="2565"/>
          <w:jc w:val="center"/>
        </w:trPr>
        <w:tc>
          <w:tcPr>
            <w:tcW w:w="1080" w:type="dxa"/>
            <w:tcBorders>
              <w:top w:val="nil"/>
              <w:left w:val="single" w:sz="7" w:space="0" w:color="000000"/>
              <w:bottom w:val="single" w:sz="7" w:space="0" w:color="000000"/>
              <w:right w:val="single" w:sz="7" w:space="0" w:color="000000"/>
            </w:tcBorders>
            <w:shd w:val="clear" w:color="auto" w:fill="FFFFFF" w:themeFill="background1"/>
            <w:tcMar>
              <w:top w:w="0" w:type="dxa"/>
              <w:left w:w="100" w:type="dxa"/>
              <w:bottom w:w="0" w:type="dxa"/>
              <w:right w:w="100" w:type="dxa"/>
            </w:tcMar>
          </w:tcPr>
          <w:p w:rsidR="002A0EA7" w:rsidRDefault="00995E63">
            <w:pPr>
              <w:spacing w:before="240" w:after="240" w:line="276" w:lineRule="auto"/>
              <w:ind w:left="120"/>
              <w:rPr>
                <w:b/>
                <w:sz w:val="19"/>
                <w:szCs w:val="19"/>
              </w:rPr>
            </w:pPr>
            <w:r>
              <w:rPr>
                <w:b/>
                <w:sz w:val="19"/>
                <w:szCs w:val="19"/>
              </w:rPr>
              <w:t>Actions</w:t>
            </w:r>
          </w:p>
        </w:tc>
        <w:tc>
          <w:tcPr>
            <w:tcW w:w="1540" w:type="dxa"/>
            <w:tcBorders>
              <w:top w:val="nil"/>
              <w:left w:val="nil"/>
              <w:bottom w:val="single" w:sz="7" w:space="0" w:color="000000"/>
              <w:right w:val="single" w:sz="7" w:space="0" w:color="000000"/>
            </w:tcBorders>
            <w:shd w:val="clear" w:color="auto" w:fill="FFFFFF" w:themeFill="background1"/>
            <w:tcMar>
              <w:top w:w="0" w:type="dxa"/>
              <w:left w:w="100" w:type="dxa"/>
              <w:bottom w:w="0" w:type="dxa"/>
              <w:right w:w="100" w:type="dxa"/>
            </w:tcMar>
          </w:tcPr>
          <w:p w:rsidR="002A0EA7" w:rsidRDefault="00995E63">
            <w:pPr>
              <w:spacing w:before="240" w:after="240" w:line="276" w:lineRule="auto"/>
              <w:ind w:left="120"/>
              <w:rPr>
                <w:sz w:val="19"/>
                <w:szCs w:val="19"/>
              </w:rPr>
            </w:pPr>
            <w:r>
              <w:rPr>
                <w:sz w:val="19"/>
                <w:szCs w:val="19"/>
              </w:rPr>
              <w:t>Emily explore high-end watch brands online and discovers Rolex.</w:t>
            </w:r>
          </w:p>
        </w:tc>
        <w:tc>
          <w:tcPr>
            <w:tcW w:w="1800" w:type="dxa"/>
            <w:tcBorders>
              <w:top w:val="nil"/>
              <w:left w:val="nil"/>
              <w:bottom w:val="single" w:sz="7" w:space="0" w:color="000000"/>
              <w:right w:val="single" w:sz="7" w:space="0" w:color="000000"/>
            </w:tcBorders>
            <w:shd w:val="clear" w:color="auto" w:fill="FFFFFF" w:themeFill="background1"/>
            <w:tcMar>
              <w:top w:w="0" w:type="dxa"/>
              <w:left w:w="100" w:type="dxa"/>
              <w:bottom w:w="0" w:type="dxa"/>
              <w:right w:w="100" w:type="dxa"/>
            </w:tcMar>
          </w:tcPr>
          <w:p w:rsidR="002A0EA7" w:rsidRDefault="00995E63">
            <w:pPr>
              <w:spacing w:before="240" w:after="240" w:line="276" w:lineRule="auto"/>
              <w:ind w:left="120"/>
              <w:rPr>
                <w:sz w:val="19"/>
                <w:szCs w:val="19"/>
              </w:rPr>
            </w:pPr>
            <w:r>
              <w:rPr>
                <w:sz w:val="19"/>
                <w:szCs w:val="19"/>
              </w:rPr>
              <w:t>She visits the Rolex website to explore collections.</w:t>
            </w:r>
          </w:p>
        </w:tc>
        <w:tc>
          <w:tcPr>
            <w:tcW w:w="1170" w:type="dxa"/>
            <w:tcBorders>
              <w:top w:val="nil"/>
              <w:left w:val="nil"/>
              <w:bottom w:val="single" w:sz="7" w:space="0" w:color="000000"/>
              <w:right w:val="single" w:sz="7" w:space="0" w:color="000000"/>
            </w:tcBorders>
            <w:shd w:val="clear" w:color="auto" w:fill="FFFFFF" w:themeFill="background1"/>
            <w:tcMar>
              <w:top w:w="0" w:type="dxa"/>
              <w:left w:w="100" w:type="dxa"/>
              <w:bottom w:w="0" w:type="dxa"/>
              <w:right w:w="100" w:type="dxa"/>
            </w:tcMar>
          </w:tcPr>
          <w:p w:rsidR="002A0EA7" w:rsidRDefault="00995E63">
            <w:pPr>
              <w:spacing w:before="240" w:after="240" w:line="276" w:lineRule="auto"/>
              <w:ind w:left="120"/>
              <w:rPr>
                <w:sz w:val="19"/>
                <w:szCs w:val="19"/>
              </w:rPr>
            </w:pPr>
            <w:r>
              <w:rPr>
                <w:sz w:val="19"/>
                <w:szCs w:val="19"/>
              </w:rPr>
              <w:t>For a special occasion, Emily considers Rolex.</w:t>
            </w:r>
          </w:p>
        </w:tc>
        <w:tc>
          <w:tcPr>
            <w:tcW w:w="1260" w:type="dxa"/>
            <w:tcBorders>
              <w:top w:val="nil"/>
              <w:left w:val="nil"/>
              <w:bottom w:val="single" w:sz="7" w:space="0" w:color="000000"/>
              <w:right w:val="single" w:sz="7" w:space="0" w:color="000000"/>
            </w:tcBorders>
            <w:shd w:val="clear" w:color="auto" w:fill="FFFFFF" w:themeFill="background1"/>
            <w:tcMar>
              <w:top w:w="0" w:type="dxa"/>
              <w:left w:w="100" w:type="dxa"/>
              <w:bottom w:w="0" w:type="dxa"/>
              <w:right w:w="100" w:type="dxa"/>
            </w:tcMar>
          </w:tcPr>
          <w:p w:rsidR="002A0EA7" w:rsidRDefault="00995E63">
            <w:pPr>
              <w:spacing w:before="240" w:after="240" w:line="276" w:lineRule="auto"/>
              <w:ind w:left="120"/>
              <w:rPr>
                <w:sz w:val="19"/>
                <w:szCs w:val="19"/>
              </w:rPr>
            </w:pPr>
            <w:r>
              <w:rPr>
                <w:sz w:val="19"/>
                <w:szCs w:val="19"/>
              </w:rPr>
              <w:t>Emily visits an authorized Rolex boutique.</w:t>
            </w:r>
          </w:p>
        </w:tc>
        <w:tc>
          <w:tcPr>
            <w:tcW w:w="1530" w:type="dxa"/>
            <w:tcBorders>
              <w:top w:val="nil"/>
              <w:left w:val="nil"/>
              <w:bottom w:val="single" w:sz="7" w:space="0" w:color="000000"/>
              <w:right w:val="single" w:sz="7" w:space="0" w:color="000000"/>
            </w:tcBorders>
            <w:shd w:val="clear" w:color="auto" w:fill="FFFFFF" w:themeFill="background1"/>
            <w:tcMar>
              <w:top w:w="0" w:type="dxa"/>
              <w:left w:w="100" w:type="dxa"/>
              <w:bottom w:w="0" w:type="dxa"/>
              <w:right w:w="100" w:type="dxa"/>
            </w:tcMar>
          </w:tcPr>
          <w:p w:rsidR="002A0EA7" w:rsidRDefault="00995E63">
            <w:pPr>
              <w:spacing w:before="240" w:after="240" w:line="276" w:lineRule="auto"/>
              <w:ind w:left="120"/>
              <w:rPr>
                <w:sz w:val="19"/>
                <w:szCs w:val="19"/>
              </w:rPr>
            </w:pPr>
            <w:r>
              <w:rPr>
                <w:sz w:val="19"/>
                <w:szCs w:val="19"/>
              </w:rPr>
              <w:t>Emily shares her Rolex experience on social media.</w:t>
            </w:r>
          </w:p>
        </w:tc>
      </w:tr>
      <w:tr w:rsidR="002A0EA7" w:rsidTr="001A0A56">
        <w:trPr>
          <w:trHeight w:val="2280"/>
          <w:jc w:val="center"/>
        </w:trPr>
        <w:tc>
          <w:tcPr>
            <w:tcW w:w="1080" w:type="dxa"/>
            <w:tcBorders>
              <w:top w:val="nil"/>
              <w:left w:val="single" w:sz="7" w:space="0" w:color="000000"/>
              <w:bottom w:val="single" w:sz="7" w:space="0" w:color="000000"/>
              <w:right w:val="single" w:sz="7" w:space="0" w:color="000000"/>
            </w:tcBorders>
            <w:shd w:val="clear" w:color="auto" w:fill="FFFFFF" w:themeFill="background1"/>
            <w:tcMar>
              <w:top w:w="0" w:type="dxa"/>
              <w:left w:w="100" w:type="dxa"/>
              <w:bottom w:w="0" w:type="dxa"/>
              <w:right w:w="100" w:type="dxa"/>
            </w:tcMar>
          </w:tcPr>
          <w:p w:rsidR="002A0EA7" w:rsidRDefault="00995E63">
            <w:pPr>
              <w:spacing w:before="240" w:after="240" w:line="276" w:lineRule="auto"/>
              <w:ind w:left="120"/>
              <w:rPr>
                <w:b/>
                <w:sz w:val="19"/>
                <w:szCs w:val="19"/>
              </w:rPr>
            </w:pPr>
            <w:r>
              <w:rPr>
                <w:b/>
                <w:sz w:val="19"/>
                <w:szCs w:val="19"/>
              </w:rPr>
              <w:t>Effects</w:t>
            </w:r>
          </w:p>
        </w:tc>
        <w:tc>
          <w:tcPr>
            <w:tcW w:w="1540" w:type="dxa"/>
            <w:tcBorders>
              <w:top w:val="nil"/>
              <w:left w:val="nil"/>
              <w:bottom w:val="single" w:sz="7" w:space="0" w:color="000000"/>
              <w:right w:val="single" w:sz="7" w:space="0" w:color="000000"/>
            </w:tcBorders>
            <w:shd w:val="clear" w:color="auto" w:fill="FFFFFF" w:themeFill="background1"/>
            <w:tcMar>
              <w:top w:w="0" w:type="dxa"/>
              <w:left w:w="100" w:type="dxa"/>
              <w:bottom w:w="0" w:type="dxa"/>
              <w:right w:w="100" w:type="dxa"/>
            </w:tcMar>
          </w:tcPr>
          <w:p w:rsidR="002A0EA7" w:rsidRDefault="00995E63">
            <w:pPr>
              <w:spacing w:before="240" w:after="240" w:line="276" w:lineRule="auto"/>
              <w:ind w:left="120"/>
              <w:rPr>
                <w:sz w:val="19"/>
                <w:szCs w:val="19"/>
              </w:rPr>
            </w:pPr>
            <w:r>
              <w:rPr>
                <w:sz w:val="19"/>
                <w:szCs w:val="19"/>
              </w:rPr>
              <w:t>Emily seeks opinions on Rolex's reputation and quality.</w:t>
            </w:r>
          </w:p>
        </w:tc>
        <w:tc>
          <w:tcPr>
            <w:tcW w:w="1800" w:type="dxa"/>
            <w:tcBorders>
              <w:top w:val="nil"/>
              <w:left w:val="nil"/>
              <w:bottom w:val="single" w:sz="7" w:space="0" w:color="000000"/>
              <w:right w:val="single" w:sz="7" w:space="0" w:color="000000"/>
            </w:tcBorders>
            <w:shd w:val="clear" w:color="auto" w:fill="FFFFFF" w:themeFill="background1"/>
            <w:tcMar>
              <w:top w:w="0" w:type="dxa"/>
              <w:left w:w="100" w:type="dxa"/>
              <w:bottom w:w="0" w:type="dxa"/>
              <w:right w:w="100" w:type="dxa"/>
            </w:tcMar>
          </w:tcPr>
          <w:p w:rsidR="002A0EA7" w:rsidRDefault="00995E63">
            <w:pPr>
              <w:spacing w:before="240" w:after="240" w:line="276" w:lineRule="auto"/>
              <w:ind w:left="120"/>
              <w:rPr>
                <w:sz w:val="19"/>
                <w:szCs w:val="19"/>
              </w:rPr>
            </w:pPr>
            <w:r>
              <w:rPr>
                <w:sz w:val="19"/>
                <w:szCs w:val="19"/>
              </w:rPr>
              <w:t>She associates Rolex with luxury and personal style.</w:t>
            </w:r>
          </w:p>
        </w:tc>
        <w:tc>
          <w:tcPr>
            <w:tcW w:w="1170" w:type="dxa"/>
            <w:tcBorders>
              <w:top w:val="nil"/>
              <w:left w:val="nil"/>
              <w:bottom w:val="single" w:sz="7" w:space="0" w:color="000000"/>
              <w:right w:val="single" w:sz="7" w:space="0" w:color="000000"/>
            </w:tcBorders>
            <w:shd w:val="clear" w:color="auto" w:fill="FFFFFF" w:themeFill="background1"/>
            <w:tcMar>
              <w:top w:w="0" w:type="dxa"/>
              <w:left w:w="100" w:type="dxa"/>
              <w:bottom w:w="0" w:type="dxa"/>
              <w:right w:w="100" w:type="dxa"/>
            </w:tcMar>
          </w:tcPr>
          <w:p w:rsidR="002A0EA7" w:rsidRDefault="00995E63">
            <w:pPr>
              <w:spacing w:before="240" w:after="240" w:line="276" w:lineRule="auto"/>
              <w:ind w:left="120"/>
              <w:rPr>
                <w:sz w:val="19"/>
                <w:szCs w:val="19"/>
              </w:rPr>
            </w:pPr>
            <w:r>
              <w:rPr>
                <w:sz w:val="19"/>
                <w:szCs w:val="19"/>
              </w:rPr>
              <w:t>The boutique experience reinforces exclusivity.</w:t>
            </w:r>
          </w:p>
        </w:tc>
        <w:tc>
          <w:tcPr>
            <w:tcW w:w="1260" w:type="dxa"/>
            <w:tcBorders>
              <w:top w:val="nil"/>
              <w:left w:val="nil"/>
              <w:bottom w:val="single" w:sz="7" w:space="0" w:color="000000"/>
              <w:right w:val="single" w:sz="7" w:space="0" w:color="000000"/>
            </w:tcBorders>
            <w:shd w:val="clear" w:color="auto" w:fill="FFFFFF" w:themeFill="background1"/>
            <w:tcMar>
              <w:top w:w="0" w:type="dxa"/>
              <w:left w:w="100" w:type="dxa"/>
              <w:bottom w:w="0" w:type="dxa"/>
              <w:right w:w="100" w:type="dxa"/>
            </w:tcMar>
          </w:tcPr>
          <w:p w:rsidR="002A0EA7" w:rsidRDefault="00995E63">
            <w:pPr>
              <w:spacing w:before="240" w:after="240" w:line="276" w:lineRule="auto"/>
              <w:ind w:left="120"/>
              <w:rPr>
                <w:sz w:val="19"/>
                <w:szCs w:val="19"/>
              </w:rPr>
            </w:pPr>
            <w:r>
              <w:rPr>
                <w:sz w:val="19"/>
                <w:szCs w:val="19"/>
              </w:rPr>
              <w:t>Excellent after-sales services enhance loyalty.</w:t>
            </w:r>
          </w:p>
        </w:tc>
        <w:tc>
          <w:tcPr>
            <w:tcW w:w="1530" w:type="dxa"/>
            <w:tcBorders>
              <w:top w:val="nil"/>
              <w:left w:val="nil"/>
              <w:bottom w:val="single" w:sz="7" w:space="0" w:color="000000"/>
              <w:right w:val="single" w:sz="7" w:space="0" w:color="000000"/>
            </w:tcBorders>
            <w:shd w:val="clear" w:color="auto" w:fill="FFFFFF" w:themeFill="background1"/>
            <w:tcMar>
              <w:top w:w="0" w:type="dxa"/>
              <w:left w:w="100" w:type="dxa"/>
              <w:bottom w:w="0" w:type="dxa"/>
              <w:right w:w="100" w:type="dxa"/>
            </w:tcMar>
          </w:tcPr>
          <w:p w:rsidR="002A0EA7" w:rsidRDefault="00995E63">
            <w:pPr>
              <w:spacing w:before="240" w:after="240" w:line="276" w:lineRule="auto"/>
              <w:ind w:left="120"/>
              <w:rPr>
                <w:sz w:val="19"/>
                <w:szCs w:val="19"/>
              </w:rPr>
            </w:pPr>
            <w:r>
              <w:rPr>
                <w:sz w:val="19"/>
                <w:szCs w:val="19"/>
              </w:rPr>
              <w:t>Her testimony adds credibility to Rolex's image.</w:t>
            </w:r>
          </w:p>
        </w:tc>
      </w:tr>
      <w:tr w:rsidR="002A0EA7" w:rsidTr="001A0A56">
        <w:trPr>
          <w:trHeight w:val="2280"/>
          <w:jc w:val="center"/>
        </w:trPr>
        <w:tc>
          <w:tcPr>
            <w:tcW w:w="1080" w:type="dxa"/>
            <w:tcBorders>
              <w:top w:val="nil"/>
              <w:left w:val="single" w:sz="7" w:space="0" w:color="000000"/>
              <w:bottom w:val="single" w:sz="7" w:space="0" w:color="000000"/>
              <w:right w:val="single" w:sz="7" w:space="0" w:color="000000"/>
            </w:tcBorders>
            <w:shd w:val="clear" w:color="auto" w:fill="FFFFFF" w:themeFill="background1"/>
            <w:tcMar>
              <w:top w:w="0" w:type="dxa"/>
              <w:left w:w="100" w:type="dxa"/>
              <w:bottom w:w="0" w:type="dxa"/>
              <w:right w:w="100" w:type="dxa"/>
            </w:tcMar>
          </w:tcPr>
          <w:p w:rsidR="002A0EA7" w:rsidRDefault="00995E63">
            <w:pPr>
              <w:spacing w:before="240" w:after="240" w:line="276" w:lineRule="auto"/>
              <w:ind w:left="120"/>
              <w:rPr>
                <w:b/>
                <w:sz w:val="19"/>
                <w:szCs w:val="19"/>
              </w:rPr>
            </w:pPr>
            <w:r>
              <w:rPr>
                <w:b/>
                <w:sz w:val="19"/>
                <w:szCs w:val="19"/>
              </w:rPr>
              <w:lastRenderedPageBreak/>
              <w:t>Feelings</w:t>
            </w:r>
          </w:p>
        </w:tc>
        <w:tc>
          <w:tcPr>
            <w:tcW w:w="1540" w:type="dxa"/>
            <w:tcBorders>
              <w:top w:val="nil"/>
              <w:left w:val="nil"/>
              <w:bottom w:val="single" w:sz="7" w:space="0" w:color="000000"/>
              <w:right w:val="single" w:sz="7" w:space="0" w:color="000000"/>
            </w:tcBorders>
            <w:shd w:val="clear" w:color="auto" w:fill="FFFFFF" w:themeFill="background1"/>
            <w:tcMar>
              <w:top w:w="0" w:type="dxa"/>
              <w:left w:w="100" w:type="dxa"/>
              <w:bottom w:w="0" w:type="dxa"/>
              <w:right w:w="100" w:type="dxa"/>
            </w:tcMar>
          </w:tcPr>
          <w:p w:rsidR="002A0EA7" w:rsidRDefault="00995E63">
            <w:pPr>
              <w:spacing w:before="240" w:after="240" w:line="276" w:lineRule="auto"/>
              <w:ind w:left="120"/>
              <w:rPr>
                <w:sz w:val="19"/>
                <w:szCs w:val="19"/>
              </w:rPr>
            </w:pPr>
            <w:r>
              <w:rPr>
                <w:sz w:val="19"/>
                <w:szCs w:val="19"/>
              </w:rPr>
              <w:t>Intrigued by Rolex's prestigious allure.</w:t>
            </w:r>
          </w:p>
        </w:tc>
        <w:tc>
          <w:tcPr>
            <w:tcW w:w="1800" w:type="dxa"/>
            <w:tcBorders>
              <w:top w:val="nil"/>
              <w:left w:val="nil"/>
              <w:bottom w:val="single" w:sz="7" w:space="0" w:color="000000"/>
              <w:right w:val="single" w:sz="7" w:space="0" w:color="000000"/>
            </w:tcBorders>
            <w:shd w:val="clear" w:color="auto" w:fill="FFFFFF" w:themeFill="background1"/>
            <w:tcMar>
              <w:top w:w="0" w:type="dxa"/>
              <w:left w:w="100" w:type="dxa"/>
              <w:bottom w:w="0" w:type="dxa"/>
              <w:right w:w="100" w:type="dxa"/>
            </w:tcMar>
          </w:tcPr>
          <w:p w:rsidR="002A0EA7" w:rsidRDefault="00995E63">
            <w:pPr>
              <w:spacing w:before="240" w:after="240" w:line="276" w:lineRule="auto"/>
              <w:ind w:left="120"/>
              <w:rPr>
                <w:sz w:val="19"/>
                <w:szCs w:val="19"/>
              </w:rPr>
            </w:pPr>
            <w:r>
              <w:rPr>
                <w:sz w:val="19"/>
                <w:szCs w:val="19"/>
              </w:rPr>
              <w:t>Excitement to own a luxury Rolex watch.</w:t>
            </w:r>
          </w:p>
        </w:tc>
        <w:tc>
          <w:tcPr>
            <w:tcW w:w="1170" w:type="dxa"/>
            <w:tcBorders>
              <w:top w:val="nil"/>
              <w:left w:val="nil"/>
              <w:bottom w:val="single" w:sz="7" w:space="0" w:color="000000"/>
              <w:right w:val="single" w:sz="7" w:space="0" w:color="000000"/>
            </w:tcBorders>
            <w:shd w:val="clear" w:color="auto" w:fill="FFFFFF" w:themeFill="background1"/>
            <w:tcMar>
              <w:top w:w="0" w:type="dxa"/>
              <w:left w:w="100" w:type="dxa"/>
              <w:bottom w:w="0" w:type="dxa"/>
              <w:right w:w="100" w:type="dxa"/>
            </w:tcMar>
          </w:tcPr>
          <w:p w:rsidR="002A0EA7" w:rsidRDefault="00995E63">
            <w:pPr>
              <w:spacing w:before="240" w:after="240" w:line="276" w:lineRule="auto"/>
              <w:ind w:left="120"/>
              <w:rPr>
                <w:sz w:val="19"/>
                <w:szCs w:val="19"/>
              </w:rPr>
            </w:pPr>
            <w:r>
              <w:rPr>
                <w:sz w:val="19"/>
                <w:szCs w:val="19"/>
              </w:rPr>
              <w:t>Impressed by personalized service and confidence.</w:t>
            </w:r>
          </w:p>
        </w:tc>
        <w:tc>
          <w:tcPr>
            <w:tcW w:w="1260" w:type="dxa"/>
            <w:tcBorders>
              <w:top w:val="nil"/>
              <w:left w:val="nil"/>
              <w:bottom w:val="single" w:sz="7" w:space="0" w:color="000000"/>
              <w:right w:val="single" w:sz="7" w:space="0" w:color="000000"/>
            </w:tcBorders>
            <w:shd w:val="clear" w:color="auto" w:fill="FFFFFF" w:themeFill="background1"/>
            <w:tcMar>
              <w:top w:w="0" w:type="dxa"/>
              <w:left w:w="100" w:type="dxa"/>
              <w:bottom w:w="0" w:type="dxa"/>
              <w:right w:w="100" w:type="dxa"/>
            </w:tcMar>
          </w:tcPr>
          <w:p w:rsidR="002A0EA7" w:rsidRDefault="00995E63">
            <w:pPr>
              <w:spacing w:before="240" w:after="240" w:line="276" w:lineRule="auto"/>
              <w:ind w:left="120"/>
              <w:rPr>
                <w:sz w:val="19"/>
                <w:szCs w:val="19"/>
              </w:rPr>
            </w:pPr>
            <w:r>
              <w:rPr>
                <w:sz w:val="19"/>
                <w:szCs w:val="19"/>
              </w:rPr>
              <w:t>Pleased with service and a strong brand bond.</w:t>
            </w:r>
          </w:p>
        </w:tc>
        <w:tc>
          <w:tcPr>
            <w:tcW w:w="1530" w:type="dxa"/>
            <w:tcBorders>
              <w:top w:val="nil"/>
              <w:left w:val="nil"/>
              <w:bottom w:val="single" w:sz="7" w:space="0" w:color="000000"/>
              <w:right w:val="single" w:sz="7" w:space="0" w:color="000000"/>
            </w:tcBorders>
            <w:shd w:val="clear" w:color="auto" w:fill="FFFFFF" w:themeFill="background1"/>
            <w:tcMar>
              <w:top w:w="0" w:type="dxa"/>
              <w:left w:w="100" w:type="dxa"/>
              <w:bottom w:w="0" w:type="dxa"/>
              <w:right w:w="100" w:type="dxa"/>
            </w:tcMar>
          </w:tcPr>
          <w:p w:rsidR="002A0EA7" w:rsidRDefault="00995E63">
            <w:pPr>
              <w:spacing w:before="240" w:after="240" w:line="276" w:lineRule="auto"/>
              <w:ind w:left="120"/>
              <w:rPr>
                <w:sz w:val="19"/>
                <w:szCs w:val="19"/>
              </w:rPr>
            </w:pPr>
            <w:r>
              <w:rPr>
                <w:sz w:val="19"/>
                <w:szCs w:val="19"/>
              </w:rPr>
              <w:t>Pride in being a Rolex owner and sharing.</w:t>
            </w:r>
          </w:p>
        </w:tc>
      </w:tr>
      <w:tr w:rsidR="002A0EA7" w:rsidTr="001A0A56">
        <w:trPr>
          <w:trHeight w:val="2565"/>
          <w:jc w:val="center"/>
        </w:trPr>
        <w:tc>
          <w:tcPr>
            <w:tcW w:w="1080" w:type="dxa"/>
            <w:tcBorders>
              <w:top w:val="nil"/>
              <w:left w:val="single" w:sz="7" w:space="0" w:color="000000"/>
              <w:bottom w:val="single" w:sz="7" w:space="0" w:color="000000"/>
              <w:right w:val="single" w:sz="7" w:space="0" w:color="000000"/>
            </w:tcBorders>
            <w:shd w:val="clear" w:color="auto" w:fill="FFFFFF" w:themeFill="background1"/>
            <w:tcMar>
              <w:top w:w="0" w:type="dxa"/>
              <w:left w:w="100" w:type="dxa"/>
              <w:bottom w:w="0" w:type="dxa"/>
              <w:right w:w="100" w:type="dxa"/>
            </w:tcMar>
          </w:tcPr>
          <w:p w:rsidR="002A0EA7" w:rsidRDefault="00995E63">
            <w:pPr>
              <w:spacing w:before="240" w:after="240" w:line="276" w:lineRule="auto"/>
              <w:ind w:left="120"/>
              <w:rPr>
                <w:b/>
                <w:sz w:val="19"/>
                <w:szCs w:val="19"/>
              </w:rPr>
            </w:pPr>
            <w:r>
              <w:rPr>
                <w:b/>
                <w:sz w:val="19"/>
                <w:szCs w:val="19"/>
              </w:rPr>
              <w:t>Final Assertion</w:t>
            </w:r>
          </w:p>
        </w:tc>
        <w:tc>
          <w:tcPr>
            <w:tcW w:w="1540" w:type="dxa"/>
            <w:tcBorders>
              <w:top w:val="nil"/>
              <w:left w:val="nil"/>
              <w:bottom w:val="single" w:sz="7" w:space="0" w:color="000000"/>
              <w:right w:val="single" w:sz="7" w:space="0" w:color="000000"/>
            </w:tcBorders>
            <w:shd w:val="clear" w:color="auto" w:fill="FFFFFF" w:themeFill="background1"/>
            <w:tcMar>
              <w:top w:w="0" w:type="dxa"/>
              <w:left w:w="100" w:type="dxa"/>
              <w:bottom w:w="0" w:type="dxa"/>
              <w:right w:w="100" w:type="dxa"/>
            </w:tcMar>
          </w:tcPr>
          <w:p w:rsidR="002A0EA7" w:rsidRDefault="00995E63">
            <w:pPr>
              <w:spacing w:before="240" w:after="240" w:line="276" w:lineRule="auto"/>
              <w:ind w:left="120"/>
              <w:rPr>
                <w:sz w:val="19"/>
                <w:szCs w:val="19"/>
              </w:rPr>
            </w:pPr>
            <w:r>
              <w:rPr>
                <w:sz w:val="19"/>
                <w:szCs w:val="19"/>
              </w:rPr>
              <w:t>Rolex gains prestige via word-of-mouth and social media.</w:t>
            </w:r>
          </w:p>
        </w:tc>
        <w:tc>
          <w:tcPr>
            <w:tcW w:w="1800" w:type="dxa"/>
            <w:tcBorders>
              <w:top w:val="nil"/>
              <w:left w:val="nil"/>
              <w:bottom w:val="single" w:sz="7" w:space="0" w:color="000000"/>
              <w:right w:val="single" w:sz="7" w:space="0" w:color="000000"/>
            </w:tcBorders>
            <w:shd w:val="clear" w:color="auto" w:fill="FFFFFF" w:themeFill="background1"/>
            <w:tcMar>
              <w:top w:w="0" w:type="dxa"/>
              <w:left w:w="100" w:type="dxa"/>
              <w:bottom w:w="0" w:type="dxa"/>
              <w:right w:w="100" w:type="dxa"/>
            </w:tcMar>
          </w:tcPr>
          <w:p w:rsidR="002A0EA7" w:rsidRDefault="00995E63">
            <w:pPr>
              <w:spacing w:before="240" w:after="240" w:line="276" w:lineRule="auto"/>
              <w:ind w:left="120"/>
              <w:rPr>
                <w:sz w:val="19"/>
                <w:szCs w:val="19"/>
              </w:rPr>
            </w:pPr>
            <w:r>
              <w:rPr>
                <w:sz w:val="19"/>
                <w:szCs w:val="19"/>
              </w:rPr>
              <w:t>Rolex symbolizes exclusivity and timeless luxury.</w:t>
            </w:r>
          </w:p>
        </w:tc>
        <w:tc>
          <w:tcPr>
            <w:tcW w:w="1170" w:type="dxa"/>
            <w:tcBorders>
              <w:top w:val="nil"/>
              <w:left w:val="nil"/>
              <w:bottom w:val="single" w:sz="7" w:space="0" w:color="000000"/>
              <w:right w:val="single" w:sz="7" w:space="0" w:color="000000"/>
            </w:tcBorders>
            <w:shd w:val="clear" w:color="auto" w:fill="FFFFFF" w:themeFill="background1"/>
            <w:tcMar>
              <w:top w:w="0" w:type="dxa"/>
              <w:left w:w="100" w:type="dxa"/>
              <w:bottom w:w="0" w:type="dxa"/>
              <w:right w:w="100" w:type="dxa"/>
            </w:tcMar>
          </w:tcPr>
          <w:p w:rsidR="002A0EA7" w:rsidRDefault="00995E63">
            <w:pPr>
              <w:spacing w:before="240" w:after="240" w:line="276" w:lineRule="auto"/>
              <w:ind w:left="120"/>
              <w:rPr>
                <w:sz w:val="19"/>
                <w:szCs w:val="19"/>
              </w:rPr>
            </w:pPr>
            <w:r>
              <w:rPr>
                <w:sz w:val="19"/>
                <w:szCs w:val="19"/>
              </w:rPr>
              <w:t>Emily's Rolex decision confirms brand excellence.</w:t>
            </w:r>
          </w:p>
        </w:tc>
        <w:tc>
          <w:tcPr>
            <w:tcW w:w="1260" w:type="dxa"/>
            <w:tcBorders>
              <w:top w:val="nil"/>
              <w:left w:val="nil"/>
              <w:bottom w:val="single" w:sz="7" w:space="0" w:color="000000"/>
              <w:right w:val="single" w:sz="7" w:space="0" w:color="000000"/>
            </w:tcBorders>
            <w:shd w:val="clear" w:color="auto" w:fill="FFFFFF" w:themeFill="background1"/>
            <w:tcMar>
              <w:top w:w="0" w:type="dxa"/>
              <w:left w:w="100" w:type="dxa"/>
              <w:bottom w:w="0" w:type="dxa"/>
              <w:right w:w="100" w:type="dxa"/>
            </w:tcMar>
          </w:tcPr>
          <w:p w:rsidR="002A0EA7" w:rsidRDefault="00995E63">
            <w:pPr>
              <w:spacing w:before="240" w:after="240" w:line="276" w:lineRule="auto"/>
              <w:ind w:left="120"/>
              <w:rPr>
                <w:sz w:val="19"/>
                <w:szCs w:val="19"/>
              </w:rPr>
            </w:pPr>
            <w:r>
              <w:rPr>
                <w:sz w:val="19"/>
                <w:szCs w:val="19"/>
              </w:rPr>
              <w:t>Exceptional ownership experience drives loyalty.</w:t>
            </w:r>
          </w:p>
        </w:tc>
        <w:tc>
          <w:tcPr>
            <w:tcW w:w="1530" w:type="dxa"/>
            <w:tcBorders>
              <w:top w:val="nil"/>
              <w:left w:val="nil"/>
              <w:bottom w:val="single" w:sz="7" w:space="0" w:color="000000"/>
              <w:right w:val="single" w:sz="7" w:space="0" w:color="000000"/>
            </w:tcBorders>
            <w:shd w:val="clear" w:color="auto" w:fill="FFFFFF" w:themeFill="background1"/>
            <w:tcMar>
              <w:top w:w="0" w:type="dxa"/>
              <w:left w:w="100" w:type="dxa"/>
              <w:bottom w:w="0" w:type="dxa"/>
              <w:right w:w="100" w:type="dxa"/>
            </w:tcMar>
          </w:tcPr>
          <w:p w:rsidR="002A0EA7" w:rsidRDefault="00995E63">
            <w:pPr>
              <w:spacing w:before="240" w:after="240" w:line="276" w:lineRule="auto"/>
              <w:ind w:left="120"/>
              <w:rPr>
                <w:sz w:val="19"/>
                <w:szCs w:val="19"/>
              </w:rPr>
            </w:pPr>
            <w:r>
              <w:rPr>
                <w:sz w:val="19"/>
                <w:szCs w:val="19"/>
              </w:rPr>
              <w:t>Advocacy boosts Rolex's reputation.</w:t>
            </w:r>
          </w:p>
        </w:tc>
      </w:tr>
    </w:tbl>
    <w:p w:rsidR="001A0A56" w:rsidRDefault="001A0A56" w:rsidP="001A0A56">
      <w:pPr>
        <w:pStyle w:val="Heading5"/>
      </w:pPr>
      <w:bookmarkStart w:id="36" w:name="_Toc144194865"/>
      <w:bookmarkStart w:id="37" w:name="_Toc144195013"/>
      <w:bookmarkStart w:id="38" w:name="_Toc144199482"/>
      <w:r>
        <w:t>Table 3: Customer Journey Map Analysis</w:t>
      </w:r>
      <w:bookmarkEnd w:id="36"/>
      <w:bookmarkEnd w:id="37"/>
      <w:bookmarkEnd w:id="38"/>
    </w:p>
    <w:p w:rsidR="002A0EA7" w:rsidRDefault="001A0A56" w:rsidP="001A0A56">
      <w:pPr>
        <w:jc w:val="center"/>
      </w:pPr>
      <w:r>
        <w:t>(Source: Self-Created)</w:t>
      </w:r>
    </w:p>
    <w:p w:rsidR="002A0EA7" w:rsidRDefault="00995E63">
      <w:pPr>
        <w:pStyle w:val="Heading1"/>
      </w:pPr>
      <w:bookmarkStart w:id="39" w:name="_sjlalxwadyrm" w:colFirst="0" w:colLast="0"/>
      <w:bookmarkStart w:id="40" w:name="_Toc144195519"/>
      <w:bookmarkEnd w:id="39"/>
      <w:r>
        <w:t>The Total Engagement Model could be explained and related to the company</w:t>
      </w:r>
      <w:bookmarkEnd w:id="40"/>
    </w:p>
    <w:p w:rsidR="002A0EA7" w:rsidRDefault="00995E63">
      <w:r>
        <w:t>In order to provide a smooth and comprehensive brand experience, organizations may use the Total Engagement Model as a strategic framework to analyze and improve consumer interactions across numerous contact points. This approach is made up of a number of important parts that work together to provide an extensive engagement environment.</w:t>
      </w:r>
    </w:p>
    <w:p w:rsidR="002A0EA7" w:rsidRDefault="00995E63">
      <w:pPr>
        <w:numPr>
          <w:ilvl w:val="0"/>
          <w:numId w:val="2"/>
        </w:numPr>
        <w:rPr>
          <w:b/>
          <w:i/>
        </w:rPr>
      </w:pPr>
      <w:r>
        <w:rPr>
          <w:b/>
          <w:i/>
        </w:rPr>
        <w:t>Initial Brand Touchpoints</w:t>
      </w:r>
    </w:p>
    <w:p w:rsidR="002A0EA7" w:rsidRDefault="00995E63">
      <w:r>
        <w:t>All of the ways that consumers connect with a brand are referred to as brand touchpoints. These include the official website, licensed stores, social media sites, and events for Rolex. Every contact point offers a chance to interact with consumers, influence perceptions, and reaffirm the core values of the brand.</w:t>
      </w:r>
    </w:p>
    <w:p w:rsidR="002A0EA7" w:rsidRDefault="00995E63">
      <w:pPr>
        <w:numPr>
          <w:ilvl w:val="0"/>
          <w:numId w:val="2"/>
        </w:numPr>
        <w:rPr>
          <w:b/>
          <w:i/>
        </w:rPr>
      </w:pPr>
      <w:r>
        <w:rPr>
          <w:b/>
          <w:i/>
        </w:rPr>
        <w:t>Customer Communication</w:t>
      </w:r>
    </w:p>
    <w:p w:rsidR="002A0EA7" w:rsidRDefault="00995E63">
      <w:r>
        <w:t>In the domain of Rolex, customer connection includes the individualized experiences that clients have while traveling. Every encounter, from helpful online navigation to in-store consultations, helps to create a story of elegance, accuracy, and exclusivity.</w:t>
      </w:r>
    </w:p>
    <w:p w:rsidR="002A0EA7" w:rsidRDefault="00995E63">
      <w:pPr>
        <w:numPr>
          <w:ilvl w:val="0"/>
          <w:numId w:val="2"/>
        </w:numPr>
        <w:rPr>
          <w:b/>
          <w:i/>
        </w:rPr>
      </w:pPr>
      <w:r>
        <w:rPr>
          <w:b/>
          <w:i/>
        </w:rPr>
        <w:t xml:space="preserve"> An emotional link</w:t>
      </w:r>
    </w:p>
    <w:p w:rsidR="002A0EA7" w:rsidRDefault="00995E63">
      <w:r>
        <w:lastRenderedPageBreak/>
        <w:t>Through its illustrious history, careful workmanship, and aspirational symbolism, Rolex excels at establishing emotional ties with consumers. Customers emotionally connect with Rolex and see it as a reflection of their successes and self-identity.</w:t>
      </w:r>
    </w:p>
    <w:p w:rsidR="002A0EA7" w:rsidRDefault="00995E63">
      <w:pPr>
        <w:numPr>
          <w:ilvl w:val="0"/>
          <w:numId w:val="2"/>
        </w:numPr>
        <w:rPr>
          <w:b/>
          <w:i/>
        </w:rPr>
      </w:pPr>
      <w:r>
        <w:rPr>
          <w:b/>
          <w:i/>
        </w:rPr>
        <w:t xml:space="preserve"> Integrity and Consistency</w:t>
      </w:r>
    </w:p>
    <w:p w:rsidR="002A0EA7" w:rsidRDefault="00995E63">
      <w:r>
        <w:t>Rolex's brand identity is strengthened by its uniformity across contact points. The brand's dedication to luxury and quality is supported by a cogent experience, from the design language of the website to the atmosphere of its stores.</w:t>
      </w:r>
    </w:p>
    <w:p w:rsidR="002A0EA7" w:rsidRDefault="00995E63">
      <w:pPr>
        <w:numPr>
          <w:ilvl w:val="0"/>
          <w:numId w:val="2"/>
        </w:numPr>
        <w:rPr>
          <w:b/>
          <w:i/>
        </w:rPr>
      </w:pPr>
      <w:r>
        <w:rPr>
          <w:b/>
          <w:i/>
        </w:rPr>
        <w:t>Relation to Rolex</w:t>
      </w:r>
    </w:p>
    <w:p w:rsidR="002A0EA7" w:rsidRDefault="00995E63">
      <w:r>
        <w:t>The mentality and tactics of Rolex are perfectly in line with the Total Engagement Model. The official Rolex website serves as a thorough resource center, taking visitors through the brand's history, collections, and workmanship (Navarro and Jones, 2021). The painstakingly created shops provide customized advice, strengthening exclusivity and building emotional relationships.</w:t>
      </w:r>
    </w:p>
    <w:p w:rsidR="002A0EA7" w:rsidRDefault="00995E63">
      <w:pPr>
        <w:jc w:val="center"/>
      </w:pPr>
      <w:r>
        <w:rPr>
          <w:noProof/>
          <w:lang w:eastAsia="en-US"/>
        </w:rPr>
        <w:drawing>
          <wp:inline distT="114300" distB="114300" distL="114300" distR="114300">
            <wp:extent cx="3438525" cy="2543175"/>
            <wp:effectExtent l="25400" t="25400" r="25400" b="2540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7"/>
                    <a:srcRect/>
                    <a:stretch>
                      <a:fillRect/>
                    </a:stretch>
                  </pic:blipFill>
                  <pic:spPr>
                    <a:xfrm>
                      <a:off x="0" y="0"/>
                      <a:ext cx="3438525" cy="2543175"/>
                    </a:xfrm>
                    <a:prstGeom prst="rect">
                      <a:avLst/>
                    </a:prstGeom>
                    <a:ln w="25400">
                      <a:solidFill>
                        <a:srgbClr val="000000"/>
                      </a:solidFill>
                      <a:prstDash val="solid"/>
                    </a:ln>
                  </pic:spPr>
                </pic:pic>
              </a:graphicData>
            </a:graphic>
          </wp:inline>
        </w:drawing>
      </w:r>
    </w:p>
    <w:p w:rsidR="002A0EA7" w:rsidRDefault="00995E63" w:rsidP="001A0A56">
      <w:pPr>
        <w:pStyle w:val="Heading4"/>
      </w:pPr>
      <w:bookmarkStart w:id="41" w:name="_Toc144199476"/>
      <w:r>
        <w:t>Figure 6: Total Engagement Model of Rolex</w:t>
      </w:r>
      <w:bookmarkEnd w:id="41"/>
    </w:p>
    <w:p w:rsidR="002A0EA7" w:rsidRDefault="00995E63">
      <w:pPr>
        <w:jc w:val="center"/>
      </w:pPr>
      <w:r>
        <w:t xml:space="preserve">(Source: </w:t>
      </w:r>
      <w:hyperlink r:id="rId18">
        <w:r>
          <w:t>www.engagedstrategy.com.au</w:t>
        </w:r>
      </w:hyperlink>
      <w:r>
        <w:t>, 2023)</w:t>
      </w:r>
    </w:p>
    <w:p w:rsidR="002A0EA7" w:rsidRDefault="00995E63">
      <w:pPr>
        <w:pStyle w:val="Heading1"/>
      </w:pPr>
      <w:bookmarkStart w:id="42" w:name="_7tfnrakms4j" w:colFirst="0" w:colLast="0"/>
      <w:bookmarkStart w:id="43" w:name="_Toc144195520"/>
      <w:bookmarkEnd w:id="42"/>
      <w:r>
        <w:t>Conclusion</w:t>
      </w:r>
      <w:bookmarkEnd w:id="43"/>
    </w:p>
    <w:p w:rsidR="002A0EA7" w:rsidRDefault="00995E63">
      <w:r>
        <w:t xml:space="preserve">It can be concluded from the overall discussion that, Rolex's brand story exhibits a seamless blend of heritage and innovation via the complex interaction of marketing methods. Rolex's history thrives thanks to smart communication models, cutting-edge promotional strategies, and a customer experience that is painstakingly designed for interaction. Its ability to embrace modernity while preserving its illustrious past deepens its appeal to customers, assuring lasting </w:t>
      </w:r>
      <w:r>
        <w:lastRenderedPageBreak/>
        <w:t>brand equity and loyal support. Rolex's dedication to providing entire client experiences in a dynamic environment supports its position as a model of elegance, skill, and unfailing perfection.</w:t>
      </w:r>
      <w:r>
        <w:br w:type="page"/>
      </w:r>
    </w:p>
    <w:p w:rsidR="002A0EA7" w:rsidRDefault="00995E63">
      <w:pPr>
        <w:pStyle w:val="Heading1"/>
      </w:pPr>
      <w:bookmarkStart w:id="44" w:name="_qxqgcwd6bqj6" w:colFirst="0" w:colLast="0"/>
      <w:bookmarkStart w:id="45" w:name="_Toc144195521"/>
      <w:bookmarkEnd w:id="44"/>
      <w:r>
        <w:lastRenderedPageBreak/>
        <w:t>References</w:t>
      </w:r>
      <w:bookmarkEnd w:id="45"/>
    </w:p>
    <w:p w:rsidR="00876184" w:rsidRDefault="00876184">
      <w:r>
        <w:t>Batat, W. and Khochman, I., 2022. Is Luxury Compatible With Corporate Social Responsibility (CSR)?: Models for Sustainable Marketing Strategies. In Research Anthology on Developing Socially Responsible Businesses (pp. 610-627). IGI Global.</w:t>
      </w:r>
    </w:p>
    <w:p w:rsidR="00876184" w:rsidRDefault="00876184">
      <w:r>
        <w:t>Berndt, R., FantapiéAltobelli, C. and Sander, M., 2023. International Product Management. In International Marketing Management (pp. 245-297). Berlin, Heidelberg: Springer Berlin Heidelberg.</w:t>
      </w:r>
    </w:p>
    <w:p w:rsidR="00876184" w:rsidRDefault="00876184">
      <w:r>
        <w:t xml:space="preserve">Brand value of Rolex worldwide from 2016 to 2022 Retrieved from: </w:t>
      </w:r>
      <w:hyperlink r:id="rId19">
        <w:r>
          <w:t>https://www.statista.com/statistics/980735/rolex-brand-value-worldwide/</w:t>
        </w:r>
      </w:hyperlink>
      <w:r>
        <w:t xml:space="preserve"> Accessed on: 25 Aug 2023</w:t>
      </w:r>
    </w:p>
    <w:p w:rsidR="00876184" w:rsidRDefault="00876184">
      <w:r>
        <w:t xml:space="preserve">Communication Style: 3 Ways to Choose the Right One (Includes Video) Retrieved from: </w:t>
      </w:r>
      <w:hyperlink r:id="rId20">
        <w:r>
          <w:t>https://doncrawley.com/how-to-choose-communication-style/</w:t>
        </w:r>
      </w:hyperlink>
      <w:r>
        <w:t xml:space="preserve"> Accessed on: 25 Aug 2023</w:t>
      </w:r>
    </w:p>
    <w:p w:rsidR="00876184" w:rsidRDefault="00876184">
      <w:r>
        <w:t xml:space="preserve">Integrated Marketing Communication Retrieved from: </w:t>
      </w:r>
      <w:hyperlink r:id="rId21">
        <w:r>
          <w:t>https://theintactone.com/2018/03/03/m-u3-topic-3-integrated-marketing-communication/</w:t>
        </w:r>
      </w:hyperlink>
      <w:r>
        <w:t xml:space="preserve"> Accessed on: 25 Aug 2023</w:t>
      </w:r>
    </w:p>
    <w:p w:rsidR="00876184" w:rsidRDefault="00876184">
      <w:r>
        <w:t>Iqani, M., 2023. “One day you’ll buy a Rolex from me”: reflexivity and researcher decoding positions in luxury research. Consumption Markets &amp; Culture, 26(2), pp.155-167.</w:t>
      </w:r>
    </w:p>
    <w:p w:rsidR="00876184" w:rsidRDefault="00876184">
      <w:r>
        <w:t xml:space="preserve">Keller’s Brand Equity Model by International Brand Equity Retrieved from: </w:t>
      </w:r>
      <w:hyperlink r:id="rId22">
        <w:r>
          <w:t>https://www.internationalbrandequity.com/kellers-brand-equity-model-by-international-brand-equity/</w:t>
        </w:r>
      </w:hyperlink>
      <w:r>
        <w:t xml:space="preserve"> Accessed on: 25 Aug 2023</w:t>
      </w:r>
    </w:p>
    <w:p w:rsidR="00876184" w:rsidRDefault="00876184">
      <w:r>
        <w:t>Koçak, S., Varol, M.Ç. and Varol, E., 2020. DijitalOrtamdaMarkaİmajTransferiveİtibarGöstergeleri: Rolex-Roger Federer Örneği. UluslararasıKültürelveSosyalAraştırmalarDergisi, 6(2), pp.597-625.</w:t>
      </w:r>
    </w:p>
    <w:p w:rsidR="00876184" w:rsidRDefault="00876184">
      <w:r>
        <w:t>KÖKTENER, A., GUMUS, S. and ŞAHAR, S., 2020. ROLEX AND APPLE RELATIONSHIP BETWEEN BRAND REPUTATION AND BRAND VALUE CONCEPTS AND TRADEMARK REGISTRATION IN THE CONTEXT OF GLOBALIZATION. TürkiyeMeslekiveSosyalBilimlerDergisi, (3), pp.64-77.</w:t>
      </w:r>
    </w:p>
    <w:p w:rsidR="00876184" w:rsidRDefault="00876184">
      <w:r>
        <w:t>Marchl, P.S., 2019. The consistency of marketing in the target group approach of watch companies: A comparative analysis of Rolex and Swatch image advertisements through the decades. Werbegeschichte (n) Markenkommunikationzwischen Tradition und Innovation, pp.73-92.</w:t>
      </w:r>
    </w:p>
    <w:p w:rsidR="00876184" w:rsidRDefault="00876184">
      <w:r>
        <w:lastRenderedPageBreak/>
        <w:t>Marino, G., 2020. Quanto vale un Rolex per Google? Premesse a unasemioticadel marketing digitale. FILOSOFI (E) SEMIOTICHE, 7(1), pp.130-141.</w:t>
      </w:r>
    </w:p>
    <w:p w:rsidR="00876184" w:rsidRDefault="00876184">
      <w:r>
        <w:t>Navarro, C. and Jones, A., 2021. Re-Imaging Malta: The Potential of Sailing and Yacht Events as a Tourism Niche—a Case Study of the Rolex Middle Sea Race RMSR. In Luxury Yachting: Perspectives on Tourism, Practice and Context (pp. 195-218). Cham: Springer International Publishing.</w:t>
      </w:r>
    </w:p>
    <w:p w:rsidR="00876184" w:rsidRDefault="00876184">
      <w:r>
        <w:t>Pieth, M. and Duma, F., 2021. Connoisseurship consumption &amp; market evolution: the case of the Swiss mechanical watch industry and the emergence of new luxury watch brands. In Global Fashion Management Conference, Seoul (Korea), 5-7 November 2021 (p. 241). Global Alliance of Marketing &amp; Management Associations.</w:t>
      </w:r>
    </w:p>
    <w:p w:rsidR="00876184" w:rsidRDefault="00876184">
      <w:r>
        <w:t xml:space="preserve">Rolex, at the top of the ranking of the most renowned brands in the world Retrieved from: </w:t>
      </w:r>
      <w:hyperlink r:id="rId23">
        <w:r>
          <w:t>https://www.luxe-infinity.com/horlogerie-joaillerie/montres/rolex-marque-celebre/</w:t>
        </w:r>
      </w:hyperlink>
      <w:r>
        <w:t xml:space="preserve"> Accessed on: 25 Aug 2023</w:t>
      </w:r>
    </w:p>
    <w:p w:rsidR="00876184" w:rsidRDefault="00876184">
      <w:r>
        <w:t>Schultz, M.D. and Seele, P., 2022. " Some of my Customers […] Take off Their Rolex Prior to a Client Meeting" Luxury Display at Work and the Social (Re) Construction of the Organizational Image. Luxury, 9(1), pp.5-34.</w:t>
      </w:r>
    </w:p>
    <w:p w:rsidR="002A0EA7" w:rsidRDefault="00876184">
      <w:r>
        <w:t xml:space="preserve">Total Engagement Model Round Retrieved from: </w:t>
      </w:r>
      <w:hyperlink r:id="rId24">
        <w:r>
          <w:t>https://www.engagedstrategy.com.au/home/total-engagement-model-round/</w:t>
        </w:r>
      </w:hyperlink>
      <w:r>
        <w:t xml:space="preserve"> Accessed on: 25 Aug 2023</w:t>
      </w:r>
    </w:p>
    <w:p w:rsidR="002A0EA7" w:rsidRDefault="002A0EA7"/>
    <w:p w:rsidR="002A0EA7" w:rsidRDefault="002A0EA7"/>
    <w:p w:rsidR="002A0EA7" w:rsidRDefault="002A0EA7"/>
    <w:p w:rsidR="002A0EA7" w:rsidRDefault="002A0EA7"/>
    <w:p w:rsidR="002A0EA7" w:rsidRDefault="002A0EA7"/>
    <w:p w:rsidR="002A0EA7" w:rsidRDefault="002A0EA7"/>
    <w:p w:rsidR="002A0EA7" w:rsidRDefault="002A0EA7"/>
    <w:p w:rsidR="002A0EA7" w:rsidRDefault="002A0EA7"/>
    <w:p w:rsidR="002A0EA7" w:rsidRDefault="002A0EA7"/>
    <w:p w:rsidR="002A0EA7" w:rsidRDefault="002A0EA7"/>
    <w:p w:rsidR="002A0EA7" w:rsidRDefault="002A0EA7"/>
    <w:p w:rsidR="002A0EA7" w:rsidRDefault="002A0EA7"/>
    <w:p w:rsidR="002A0EA7" w:rsidRDefault="002A0EA7"/>
    <w:sectPr w:rsidR="002A0EA7" w:rsidSect="00CC3650">
      <w:footerReference w:type="default" r:id="rId25"/>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C11957" w:rsidRDefault="00C11957" w:rsidP="00876184">
      <w:pPr>
        <w:spacing w:line="240" w:lineRule="auto"/>
      </w:pPr>
      <w:r>
        <w:separator/>
      </w:r>
    </w:p>
  </w:endnote>
  <w:endnote w:type="continuationSeparator" w:id="1">
    <w:p w:rsidR="00C11957" w:rsidRDefault="00C11957" w:rsidP="00876184">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1"/>
    <w:family w:val="roman"/>
    <w:notTrueType/>
    <w:pitch w:val="variable"/>
    <w:sig w:usb0="00000000" w:usb1="00000000" w:usb2="00000000" w:usb3="00000000" w:csb0="00000000"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162201444"/>
      <w:docPartObj>
        <w:docPartGallery w:val="Page Numbers (Bottom of Page)"/>
        <w:docPartUnique/>
      </w:docPartObj>
    </w:sdtPr>
    <w:sdtEndPr>
      <w:rPr>
        <w:noProof/>
        <w:sz w:val="20"/>
        <w:szCs w:val="20"/>
      </w:rPr>
    </w:sdtEndPr>
    <w:sdtContent>
      <w:p w:rsidR="00876184" w:rsidRPr="00876184" w:rsidRDefault="004E7FCD" w:rsidP="00876184">
        <w:pPr>
          <w:pStyle w:val="Footer"/>
          <w:spacing w:line="360" w:lineRule="auto"/>
          <w:jc w:val="right"/>
          <w:rPr>
            <w:sz w:val="20"/>
            <w:szCs w:val="20"/>
          </w:rPr>
        </w:pPr>
        <w:r w:rsidRPr="00876184">
          <w:rPr>
            <w:sz w:val="20"/>
            <w:szCs w:val="20"/>
          </w:rPr>
          <w:fldChar w:fldCharType="begin"/>
        </w:r>
        <w:r w:rsidR="00876184" w:rsidRPr="00876184">
          <w:rPr>
            <w:sz w:val="20"/>
            <w:szCs w:val="20"/>
          </w:rPr>
          <w:instrText xml:space="preserve"> PAGE   \* MERGEFORMAT </w:instrText>
        </w:r>
        <w:r w:rsidRPr="00876184">
          <w:rPr>
            <w:sz w:val="20"/>
            <w:szCs w:val="20"/>
          </w:rPr>
          <w:fldChar w:fldCharType="separate"/>
        </w:r>
        <w:r w:rsidR="00AE1AAD">
          <w:rPr>
            <w:noProof/>
            <w:sz w:val="20"/>
            <w:szCs w:val="20"/>
          </w:rPr>
          <w:t>1</w:t>
        </w:r>
        <w:r w:rsidRPr="00876184">
          <w:rPr>
            <w:noProof/>
            <w:sz w:val="20"/>
            <w:szCs w:val="20"/>
          </w:rPr>
          <w:fldChar w:fldCharType="end"/>
        </w:r>
      </w:p>
    </w:sdtContent>
  </w:sdt>
  <w:p w:rsidR="00876184" w:rsidRDefault="00876184">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C11957" w:rsidRDefault="00C11957" w:rsidP="00876184">
      <w:pPr>
        <w:spacing w:line="240" w:lineRule="auto"/>
      </w:pPr>
      <w:r>
        <w:separator/>
      </w:r>
    </w:p>
  </w:footnote>
  <w:footnote w:type="continuationSeparator" w:id="1">
    <w:p w:rsidR="00C11957" w:rsidRDefault="00C11957" w:rsidP="00876184">
      <w:pPr>
        <w:spacing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26C6B14"/>
    <w:multiLevelType w:val="multilevel"/>
    <w:tmpl w:val="5300BDF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nsid w:val="3FAC6166"/>
    <w:multiLevelType w:val="multilevel"/>
    <w:tmpl w:val="8D125560"/>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nsid w:val="4ADE7332"/>
    <w:multiLevelType w:val="multilevel"/>
    <w:tmpl w:val="3872FFA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nsid w:val="6C77592C"/>
    <w:multiLevelType w:val="multilevel"/>
    <w:tmpl w:val="5030C6C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nsid w:val="7DBA1D90"/>
    <w:multiLevelType w:val="multilevel"/>
    <w:tmpl w:val="BC8CE41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2"/>
  </w:num>
  <w:num w:numId="2">
    <w:abstractNumId w:val="1"/>
  </w:num>
  <w:num w:numId="3">
    <w:abstractNumId w:val="4"/>
  </w:num>
  <w:num w:numId="4">
    <w:abstractNumId w:val="0"/>
  </w:num>
  <w:num w:numId="5">
    <w:abstractNumId w:val="3"/>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2A0EA7"/>
    <w:rsid w:val="00031F14"/>
    <w:rsid w:val="001A0A56"/>
    <w:rsid w:val="001C3ACA"/>
    <w:rsid w:val="002A0EA7"/>
    <w:rsid w:val="003A1FA8"/>
    <w:rsid w:val="004E7FCD"/>
    <w:rsid w:val="005A4635"/>
    <w:rsid w:val="00857CE2"/>
    <w:rsid w:val="00876184"/>
    <w:rsid w:val="00995E63"/>
    <w:rsid w:val="00996119"/>
    <w:rsid w:val="00AE1AAD"/>
    <w:rsid w:val="00C11957"/>
    <w:rsid w:val="00CC3650"/>
    <w:rsid w:val="00D16296"/>
    <w:rsid w:val="00E60303"/>
    <w:rsid w:val="00FD7E0F"/>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sz w:val="24"/>
        <w:szCs w:val="24"/>
        <w:lang w:val="en-US" w:eastAsia="en-IN" w:bidi="ar-SA"/>
      </w:rPr>
    </w:rPrDefault>
    <w:pPrDefault>
      <w:pPr>
        <w:spacing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E7FCD"/>
  </w:style>
  <w:style w:type="paragraph" w:styleId="Heading1">
    <w:name w:val="heading 1"/>
    <w:basedOn w:val="Normal"/>
    <w:next w:val="Normal"/>
    <w:uiPriority w:val="9"/>
    <w:qFormat/>
    <w:rsid w:val="004E7FCD"/>
    <w:pPr>
      <w:keepNext/>
      <w:keepLines/>
      <w:outlineLvl w:val="0"/>
    </w:pPr>
    <w:rPr>
      <w:b/>
      <w:sz w:val="28"/>
      <w:szCs w:val="28"/>
    </w:rPr>
  </w:style>
  <w:style w:type="paragraph" w:styleId="Heading2">
    <w:name w:val="heading 2"/>
    <w:basedOn w:val="Normal"/>
    <w:next w:val="Normal"/>
    <w:uiPriority w:val="9"/>
    <w:unhideWhenUsed/>
    <w:qFormat/>
    <w:rsid w:val="004E7FCD"/>
    <w:pPr>
      <w:keepNext/>
      <w:keepLines/>
      <w:outlineLvl w:val="1"/>
    </w:pPr>
    <w:rPr>
      <w:b/>
      <w:sz w:val="26"/>
      <w:szCs w:val="26"/>
    </w:rPr>
  </w:style>
  <w:style w:type="paragraph" w:styleId="Heading3">
    <w:name w:val="heading 3"/>
    <w:basedOn w:val="Normal"/>
    <w:next w:val="Normal"/>
    <w:uiPriority w:val="9"/>
    <w:unhideWhenUsed/>
    <w:qFormat/>
    <w:rsid w:val="004E7FCD"/>
    <w:pPr>
      <w:keepNext/>
      <w:keepLines/>
      <w:outlineLvl w:val="2"/>
    </w:pPr>
    <w:rPr>
      <w:b/>
      <w:i/>
    </w:rPr>
  </w:style>
  <w:style w:type="paragraph" w:styleId="Heading4">
    <w:name w:val="heading 4"/>
    <w:basedOn w:val="Normal"/>
    <w:next w:val="Normal"/>
    <w:uiPriority w:val="9"/>
    <w:unhideWhenUsed/>
    <w:qFormat/>
    <w:rsid w:val="004E7FCD"/>
    <w:pPr>
      <w:keepNext/>
      <w:keepLines/>
      <w:jc w:val="center"/>
      <w:outlineLvl w:val="3"/>
    </w:pPr>
    <w:rPr>
      <w:b/>
    </w:rPr>
  </w:style>
  <w:style w:type="paragraph" w:styleId="Heading5">
    <w:name w:val="heading 5"/>
    <w:basedOn w:val="Normal"/>
    <w:next w:val="Normal"/>
    <w:autoRedefine/>
    <w:uiPriority w:val="9"/>
    <w:unhideWhenUsed/>
    <w:qFormat/>
    <w:rsid w:val="001A0A56"/>
    <w:pPr>
      <w:keepNext/>
      <w:keepLines/>
      <w:jc w:val="center"/>
      <w:outlineLvl w:val="4"/>
    </w:pPr>
    <w:rPr>
      <w:b/>
      <w:szCs w:val="22"/>
    </w:rPr>
  </w:style>
  <w:style w:type="paragraph" w:styleId="Heading6">
    <w:name w:val="heading 6"/>
    <w:basedOn w:val="Normal"/>
    <w:next w:val="Normal"/>
    <w:uiPriority w:val="9"/>
    <w:semiHidden/>
    <w:unhideWhenUsed/>
    <w:qFormat/>
    <w:rsid w:val="004E7FCD"/>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rsid w:val="004E7FCD"/>
    <w:pPr>
      <w:keepNext/>
      <w:keepLines/>
      <w:spacing w:after="60"/>
    </w:pPr>
    <w:rPr>
      <w:sz w:val="52"/>
      <w:szCs w:val="52"/>
    </w:rPr>
  </w:style>
  <w:style w:type="paragraph" w:styleId="Subtitle">
    <w:name w:val="Subtitle"/>
    <w:basedOn w:val="Normal"/>
    <w:next w:val="Normal"/>
    <w:uiPriority w:val="11"/>
    <w:qFormat/>
    <w:rsid w:val="004E7FCD"/>
    <w:pPr>
      <w:keepNext/>
      <w:keepLines/>
      <w:spacing w:after="320"/>
    </w:pPr>
    <w:rPr>
      <w:rFonts w:ascii="Arial" w:eastAsia="Arial" w:hAnsi="Arial" w:cs="Arial"/>
      <w:color w:val="666666"/>
      <w:sz w:val="30"/>
      <w:szCs w:val="30"/>
    </w:rPr>
  </w:style>
  <w:style w:type="table" w:customStyle="1" w:styleId="a">
    <w:basedOn w:val="TableNormal"/>
    <w:rsid w:val="004E7FCD"/>
    <w:tblPr>
      <w:tblStyleRowBandSize w:val="1"/>
      <w:tblStyleColBandSize w:val="1"/>
      <w:tblInd w:w="0" w:type="dxa"/>
      <w:tblCellMar>
        <w:top w:w="100" w:type="dxa"/>
        <w:left w:w="100" w:type="dxa"/>
        <w:bottom w:w="100" w:type="dxa"/>
        <w:right w:w="100" w:type="dxa"/>
      </w:tblCellMar>
    </w:tblPr>
  </w:style>
  <w:style w:type="paragraph" w:styleId="TOCHeading">
    <w:name w:val="TOC Heading"/>
    <w:basedOn w:val="Heading1"/>
    <w:next w:val="Normal"/>
    <w:uiPriority w:val="39"/>
    <w:unhideWhenUsed/>
    <w:qFormat/>
    <w:rsid w:val="00CC3650"/>
    <w:pPr>
      <w:spacing w:before="240" w:line="259" w:lineRule="auto"/>
      <w:jc w:val="left"/>
      <w:outlineLvl w:val="9"/>
    </w:pPr>
    <w:rPr>
      <w:rFonts w:asciiTheme="majorHAnsi" w:eastAsiaTheme="majorEastAsia" w:hAnsiTheme="majorHAnsi" w:cstheme="majorBidi"/>
      <w:b w:val="0"/>
      <w:color w:val="365F91" w:themeColor="accent1" w:themeShade="BF"/>
      <w:sz w:val="32"/>
      <w:szCs w:val="32"/>
      <w:lang w:eastAsia="en-US"/>
    </w:rPr>
  </w:style>
  <w:style w:type="paragraph" w:styleId="TOC1">
    <w:name w:val="toc 1"/>
    <w:basedOn w:val="Normal"/>
    <w:next w:val="Normal"/>
    <w:autoRedefine/>
    <w:uiPriority w:val="39"/>
    <w:unhideWhenUsed/>
    <w:rsid w:val="00CC3650"/>
    <w:pPr>
      <w:spacing w:after="100"/>
    </w:pPr>
  </w:style>
  <w:style w:type="character" w:styleId="Hyperlink">
    <w:name w:val="Hyperlink"/>
    <w:basedOn w:val="DefaultParagraphFont"/>
    <w:uiPriority w:val="99"/>
    <w:unhideWhenUsed/>
    <w:rsid w:val="00CC3650"/>
    <w:rPr>
      <w:color w:val="0000FF" w:themeColor="hyperlink"/>
      <w:u w:val="single"/>
    </w:rPr>
  </w:style>
  <w:style w:type="paragraph" w:styleId="Header">
    <w:name w:val="header"/>
    <w:basedOn w:val="Normal"/>
    <w:link w:val="HeaderChar"/>
    <w:uiPriority w:val="99"/>
    <w:unhideWhenUsed/>
    <w:rsid w:val="00876184"/>
    <w:pPr>
      <w:tabs>
        <w:tab w:val="center" w:pos="4513"/>
        <w:tab w:val="right" w:pos="9026"/>
      </w:tabs>
      <w:spacing w:line="240" w:lineRule="auto"/>
    </w:pPr>
  </w:style>
  <w:style w:type="character" w:customStyle="1" w:styleId="HeaderChar">
    <w:name w:val="Header Char"/>
    <w:basedOn w:val="DefaultParagraphFont"/>
    <w:link w:val="Header"/>
    <w:uiPriority w:val="99"/>
    <w:rsid w:val="00876184"/>
  </w:style>
  <w:style w:type="paragraph" w:styleId="Footer">
    <w:name w:val="footer"/>
    <w:basedOn w:val="Normal"/>
    <w:link w:val="FooterChar"/>
    <w:uiPriority w:val="99"/>
    <w:unhideWhenUsed/>
    <w:rsid w:val="00876184"/>
    <w:pPr>
      <w:tabs>
        <w:tab w:val="center" w:pos="4513"/>
        <w:tab w:val="right" w:pos="9026"/>
      </w:tabs>
      <w:spacing w:line="240" w:lineRule="auto"/>
    </w:pPr>
  </w:style>
  <w:style w:type="character" w:customStyle="1" w:styleId="FooterChar">
    <w:name w:val="Footer Char"/>
    <w:basedOn w:val="DefaultParagraphFont"/>
    <w:link w:val="Footer"/>
    <w:uiPriority w:val="99"/>
    <w:rsid w:val="00876184"/>
  </w:style>
  <w:style w:type="paragraph" w:styleId="BalloonText">
    <w:name w:val="Balloon Text"/>
    <w:basedOn w:val="Normal"/>
    <w:link w:val="BalloonTextChar"/>
    <w:uiPriority w:val="99"/>
    <w:semiHidden/>
    <w:unhideWhenUsed/>
    <w:rsid w:val="001A0A56"/>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A0A56"/>
    <w:rPr>
      <w:rFonts w:ascii="Tahoma" w:hAnsi="Tahoma" w:cs="Tahoma"/>
      <w:sz w:val="16"/>
      <w:szCs w:val="16"/>
    </w:rPr>
  </w:style>
  <w:style w:type="paragraph" w:styleId="TableofFigures">
    <w:name w:val="table of figures"/>
    <w:basedOn w:val="Normal"/>
    <w:next w:val="Normal"/>
    <w:uiPriority w:val="99"/>
    <w:unhideWhenUsed/>
    <w:rsid w:val="00E60303"/>
  </w:style>
  <w:style w:type="paragraph" w:customStyle="1" w:styleId="Normal1">
    <w:name w:val="Normal1"/>
    <w:rsid w:val="00D16296"/>
    <w:pPr>
      <w:spacing w:line="276" w:lineRule="auto"/>
      <w:jc w:val="left"/>
    </w:pPr>
    <w:rPr>
      <w:rFonts w:ascii="Arial" w:eastAsia="Arial" w:hAnsi="Arial" w:cs="Arial"/>
      <w:sz w:val="22"/>
      <w:szCs w:val="22"/>
      <w:lang w:eastAsia="en-US"/>
    </w:r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hyperlink" Target="https://www.engagedstrategy.com.au/home/total-engagement-model-round/"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theintactone.com/2018/03/03/m-u3-topic-3-integrated-marketing-communication/" TargetMode="Externa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7.png"/><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internationalbrandequity.com/kellers-brand-equity-model-by-international-brand-equity/" TargetMode="External"/><Relationship Id="rId20" Type="http://schemas.openxmlformats.org/officeDocument/2006/relationships/hyperlink" Target="https://doncrawley.com/how-to-choose-communication-styl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hyperlink" Target="https://www.engagedstrategy.com.au/home/total-engagement-model-round/" TargetMode="External"/><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hyperlink" Target="https://www.luxe-infinity.com/horlogerie-joaillerie/montres/rolex-marque-celebre/" TargetMode="External"/><Relationship Id="rId10" Type="http://schemas.openxmlformats.org/officeDocument/2006/relationships/hyperlink" Target="http://www.luxe-infinity.com" TargetMode="External"/><Relationship Id="rId19" Type="http://schemas.openxmlformats.org/officeDocument/2006/relationships/hyperlink" Target="https://www.statista.com/statistics/980735/rolex-brand-value-worldwide/"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statista.com/statistics/980735/rolex-brand-value-worldwide/" TargetMode="External"/><Relationship Id="rId22" Type="http://schemas.openxmlformats.org/officeDocument/2006/relationships/hyperlink" Target="https://www.internationalbrandequity.com/kellers-brand-equity-model-by-international-brand-equity/"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CA0004B-B573-434F-A515-2114FA4CF9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24</Pages>
  <Words>5362</Words>
  <Characters>30564</Characters>
  <Application>Microsoft Office Word</Application>
  <DocSecurity>0</DocSecurity>
  <Lines>254</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35855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acer</dc:creator>
  <cp:lastModifiedBy>acer</cp:lastModifiedBy>
  <cp:revision>2</cp:revision>
  <dcterms:created xsi:type="dcterms:W3CDTF">2023-08-30T10:09:00Z</dcterms:created>
  <dcterms:modified xsi:type="dcterms:W3CDTF">2023-08-30T10:09:00Z</dcterms:modified>
</cp:coreProperties>
</file>