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D2569" w14:textId="77777777" w:rsidR="0011613D" w:rsidRDefault="00E23632">
      <w:r>
        <w:t xml:space="preserve">                                                                         </w:t>
      </w:r>
    </w:p>
    <w:p w14:paraId="2C611D8A" w14:textId="77777777" w:rsidR="00E23632" w:rsidRDefault="00E23632"/>
    <w:p w14:paraId="24B6FC4B" w14:textId="77777777" w:rsidR="00E23632" w:rsidRDefault="00E23632"/>
    <w:p w14:paraId="1AF995D3" w14:textId="77777777" w:rsidR="00E23632" w:rsidRDefault="00E23632"/>
    <w:p w14:paraId="73F58B8D" w14:textId="77777777" w:rsidR="00E23632" w:rsidRDefault="00E23632"/>
    <w:p w14:paraId="2DF7A080" w14:textId="77777777" w:rsidR="00E23632" w:rsidRDefault="00E23632"/>
    <w:p w14:paraId="0FD52725" w14:textId="77777777" w:rsidR="00E23632" w:rsidRPr="00E23632" w:rsidRDefault="00E23632">
      <w:pPr>
        <w:rPr>
          <w:sz w:val="52"/>
          <w:szCs w:val="52"/>
        </w:rPr>
      </w:pPr>
      <w:r w:rsidRPr="00E23632">
        <w:rPr>
          <w:sz w:val="52"/>
          <w:szCs w:val="52"/>
        </w:rPr>
        <w:t xml:space="preserve">                                 HR REPORT</w:t>
      </w:r>
    </w:p>
    <w:p w14:paraId="7F4B6558" w14:textId="77777777" w:rsidR="00E23632" w:rsidRDefault="00E23632"/>
    <w:p w14:paraId="0A7BD5EF" w14:textId="77777777" w:rsidR="00E23632" w:rsidRPr="00E23632" w:rsidRDefault="00E23632" w:rsidP="00E23632">
      <w:pPr>
        <w:rPr>
          <w:b/>
          <w:bCs/>
        </w:rPr>
      </w:pPr>
      <w:r>
        <w:t xml:space="preserve">Module code: </w:t>
      </w:r>
      <w:r w:rsidRPr="00E23632">
        <w:rPr>
          <w:b/>
          <w:bCs/>
        </w:rPr>
        <w:t>Developing and Managing Individuals and Teams (LCLM5002_LON)</w:t>
      </w:r>
    </w:p>
    <w:p w14:paraId="4BCAFA21" w14:textId="77777777" w:rsidR="00E23632" w:rsidRDefault="00E23632">
      <w:r>
        <w:t>Student name: Moldoveanu Daniel Claudiu    2411183</w:t>
      </w:r>
    </w:p>
    <w:p w14:paraId="44EAA8B1" w14:textId="77777777" w:rsidR="00E23632" w:rsidRDefault="00E23632">
      <w:r>
        <w:t xml:space="preserve"> Lecturer name: </w:t>
      </w:r>
      <w:proofErr w:type="spellStart"/>
      <w:r>
        <w:t>Faizu</w:t>
      </w:r>
      <w:proofErr w:type="spellEnd"/>
      <w:r>
        <w:t xml:space="preserve"> Edu               </w:t>
      </w:r>
    </w:p>
    <w:p w14:paraId="79566CEF" w14:textId="77777777" w:rsidR="00E23632" w:rsidRDefault="00E23632"/>
    <w:p w14:paraId="039DF67A" w14:textId="77777777" w:rsidR="00E23632" w:rsidRDefault="00E23632"/>
    <w:p w14:paraId="5E055E4A" w14:textId="77777777" w:rsidR="00E23632" w:rsidRDefault="00E23632"/>
    <w:p w14:paraId="0EFF3106" w14:textId="77777777" w:rsidR="00E23632" w:rsidRDefault="00E23632"/>
    <w:p w14:paraId="6F087B7C" w14:textId="77777777" w:rsidR="00E23632" w:rsidRDefault="00E23632"/>
    <w:p w14:paraId="337628C0" w14:textId="77777777" w:rsidR="00E23632" w:rsidRDefault="00E23632"/>
    <w:p w14:paraId="57062C62" w14:textId="77777777" w:rsidR="00E23632" w:rsidRDefault="00E23632"/>
    <w:p w14:paraId="22E19541" w14:textId="77777777" w:rsidR="00E23632" w:rsidRDefault="00E23632"/>
    <w:p w14:paraId="4327966F" w14:textId="77777777" w:rsidR="00E23632" w:rsidRDefault="00E23632"/>
    <w:p w14:paraId="60C30686" w14:textId="77777777" w:rsidR="00E23632" w:rsidRDefault="00E23632"/>
    <w:p w14:paraId="34DE3998" w14:textId="77777777" w:rsidR="00E23632" w:rsidRDefault="00E23632"/>
    <w:p w14:paraId="4C5439CF" w14:textId="77777777" w:rsidR="00E23632" w:rsidRDefault="00E23632"/>
    <w:p w14:paraId="563A9FE0" w14:textId="77777777" w:rsidR="00E23632" w:rsidRDefault="00E23632"/>
    <w:p w14:paraId="221440E0" w14:textId="77777777" w:rsidR="00E23632" w:rsidRDefault="00E23632"/>
    <w:p w14:paraId="7E098572" w14:textId="77777777" w:rsidR="00E23632" w:rsidRDefault="00E23632"/>
    <w:p w14:paraId="4E516FD5" w14:textId="77777777" w:rsidR="00E23632" w:rsidRDefault="00E23632"/>
    <w:p w14:paraId="253C1D51" w14:textId="77777777" w:rsidR="00E23632" w:rsidRDefault="00E23632" w:rsidP="00E23632">
      <w:pPr>
        <w:pStyle w:val="Heading1"/>
      </w:pPr>
      <w:r>
        <w:lastRenderedPageBreak/>
        <w:t xml:space="preserve">      Introduction        </w:t>
      </w:r>
    </w:p>
    <w:p w14:paraId="0E3D653A" w14:textId="77777777" w:rsidR="00E23632" w:rsidRDefault="00E23632" w:rsidP="00E23632">
      <w:r>
        <w:t xml:space="preserve">        </w:t>
      </w:r>
      <w:r w:rsidR="00AB7421" w:rsidRPr="00AB7421">
        <w:t>As a newly appointed HR officer in Deloitte’s London branch, I have been tasked with addressing a noticeable increase in employee grievances during a period of significant organisational change. Deloitte, a global professional services firm, is continually adapting to societal developments, rapid digital transformation, and evolving expectations around flexible work arrangements (Deloitte, 2024). While these shifts have undeniably brought advantages to staff, they have also introduced pressures, resulting in concerns related to workload, fairness, communication, and clarity of responsibilities. This report will begin by examining the key influences of social change, technological progress, and flexible scheduling on Deloitte’s operations. Following this, it will evaluate contemporary HR strategies designed to mitigate these challenges. Finally, the report will critically explore how departmental leaders can ensure these practices are implemented effectively, thereby supporting employees while maintaining organisational resilience throughout ongoing transformation.</w:t>
      </w:r>
      <w:r>
        <w:t xml:space="preserve">         </w:t>
      </w:r>
    </w:p>
    <w:p w14:paraId="64610968" w14:textId="77777777" w:rsidR="00AB7421" w:rsidRDefault="00AB7421" w:rsidP="00E23632"/>
    <w:p w14:paraId="79B2C27B" w14:textId="77777777" w:rsidR="00AB7421" w:rsidRDefault="00AB7421" w:rsidP="00AB7421">
      <w:pPr>
        <w:pStyle w:val="Heading1"/>
      </w:pPr>
      <w:r w:rsidRPr="00AB7421">
        <w:t>Explanation of Societal, Technological and Flexible Working Factors Affecting Deloitte</w:t>
      </w:r>
    </w:p>
    <w:p w14:paraId="59DBD182" w14:textId="77777777" w:rsidR="00AB7421" w:rsidRDefault="00AB7421" w:rsidP="00AB7421"/>
    <w:p w14:paraId="6101468F" w14:textId="77777777" w:rsidR="00AB7421" w:rsidRDefault="00D42A7B" w:rsidP="00AB7421">
      <w:pPr>
        <w:rPr>
          <w:b/>
          <w:bCs/>
          <w:sz w:val="28"/>
          <w:szCs w:val="28"/>
          <w:u w:val="single"/>
        </w:rPr>
      </w:pPr>
      <w:r w:rsidRPr="00D42A7B">
        <w:rPr>
          <w:b/>
          <w:bCs/>
          <w:sz w:val="28"/>
          <w:szCs w:val="28"/>
          <w:u w:val="single"/>
        </w:rPr>
        <w:t>Societal Changes</w:t>
      </w:r>
    </w:p>
    <w:p w14:paraId="08FCD017" w14:textId="727D2212" w:rsidR="00D42A7B" w:rsidRDefault="00D42A7B" w:rsidP="00AB7421">
      <w:r w:rsidRPr="00D42A7B">
        <w:t>Deloitte functions within a dynamic professional services landscape where organisational goals and employee behaviour are shaped by societal expectations. One major societal influence is globalisation, which has heightened client requirements and the necessity for international collaboration. While this creates opportunities for growth, staff are challenged by cultural diversity, accelerated project timelines, and extended working hours across multiple time zones. Such pressures can generate concerns regarding how tasks are allocated, barriers to effective communication, and perceptions of insufficient managerial backing. These issues highlight the tension between the benefits of global expansion and the strain it places on employees, making it essential for the organisation to address workload equity, strengthen communication channels, and reinforce managerial support systems.</w:t>
      </w:r>
      <w:r>
        <w:t xml:space="preserve">    </w:t>
      </w:r>
      <w:r w:rsidRPr="00D42A7B">
        <w:t>(Rees and Smith, 2021).</w:t>
      </w:r>
      <w:r w:rsidR="009E437B" w:rsidRPr="009E437B">
        <w:t xml:space="preserve"> </w:t>
      </w:r>
      <w:r w:rsidR="009E437B" w:rsidRPr="009E437B">
        <w:t>Employees often experience heightened uncertainty and resistance during large-scale organisational change, which can intensify these concerns (Buchanan and Huczynski, 2019).</w:t>
      </w:r>
    </w:p>
    <w:p w14:paraId="65C7CAA9" w14:textId="77777777" w:rsidR="00D42A7B" w:rsidRDefault="00D42A7B" w:rsidP="00AB7421">
      <w:r w:rsidRPr="00D42A7B">
        <w:t xml:space="preserve">A growing emphasis on employee well-being and mental health represents another key societal influence. Since the pandemic, discussions around stress, burnout, and </w:t>
      </w:r>
      <w:r w:rsidRPr="00D42A7B">
        <w:lastRenderedPageBreak/>
        <w:t>emotional strain have become increasingly embedded in workplace culture. For Deloitte staff, especially consultants and project managers, demanding deadlines and client-driven expectations are routine, heightening risks of fatigue and reduced job satisfaction. Employees now anticipate proactive measures, with organisations embedding well-being protections into everyday practices rather than offering reactive assistance. When such expectations are unmet, concerns may arise regarding elevated stress, inadequate recovery time, or restricted access to well-being resources (CIPD, 2023). To sustain a resilient and motivated workforce, HR professionals and departmental leaders must adapt policies and strengthen support frameworks in alignment with these societal demands, ensuring that employee health is prioritised alongside organisational performance.</w:t>
      </w:r>
    </w:p>
    <w:p w14:paraId="3CB69A19" w14:textId="77777777" w:rsidR="00D42A7B" w:rsidRDefault="00D42A7B" w:rsidP="00AB7421"/>
    <w:p w14:paraId="44428FB7" w14:textId="77777777" w:rsidR="00D42A7B" w:rsidRPr="00D42A7B" w:rsidRDefault="00D42A7B" w:rsidP="00AB7421">
      <w:pPr>
        <w:rPr>
          <w:b/>
          <w:bCs/>
          <w:sz w:val="28"/>
          <w:szCs w:val="28"/>
          <w:u w:val="single"/>
        </w:rPr>
      </w:pPr>
      <w:r w:rsidRPr="00D42A7B">
        <w:rPr>
          <w:b/>
          <w:bCs/>
          <w:sz w:val="28"/>
          <w:szCs w:val="28"/>
          <w:u w:val="single"/>
        </w:rPr>
        <w:t>Technological Trends</w:t>
      </w:r>
    </w:p>
    <w:p w14:paraId="48904921" w14:textId="1816DC85" w:rsidR="00D42A7B" w:rsidRDefault="00D42A7B" w:rsidP="00AB7421">
      <w:r w:rsidRPr="00D42A7B">
        <w:t>Rapid technological progress has also contributed to rising employee concerns within Deloitte. The expanding reliance on automation and artificial intelligence (AI) across audit, consulting, and advisory functions is a major factor. While these innovations enhance efficiency, they often demand that staff swiftly adapt to new digital competencies.</w:t>
      </w:r>
      <w:r w:rsidR="009E437B" w:rsidRPr="009E437B">
        <w:t xml:space="preserve"> </w:t>
      </w:r>
      <w:r w:rsidR="009E437B" w:rsidRPr="009E437B">
        <w:t>Emerging technologies continue to transform job roles and require ongoing digital upskilling across all levels of the organisation, increasing pressure on employees to adapt quickly (Parry and Battista, 2019).</w:t>
      </w:r>
      <w:r w:rsidRPr="00D42A7B">
        <w:t xml:space="preserve"> Without sufficient training or guidance, employees may feel overwhelmed or fear job insecurity, leading to heightened anxiety and diminished morale (Armstrong, 2014). This mismatch between evolving expectations and skill development can further strain relationships within teams and between managers, particularly when performance standards escalate faster than employees’ ability to adjust. Such dynamics underscore the importance of structured support to ease transitions and sustain workforce confidence during technological change.</w:t>
      </w:r>
    </w:p>
    <w:p w14:paraId="6252552C" w14:textId="77777777" w:rsidR="00D42A7B" w:rsidRDefault="00D42A7B" w:rsidP="00AB7421">
      <w:r w:rsidRPr="00D42A7B">
        <w:t>A growing reliance on cybersecurity and digital authentication tools, such as multi-factor checks and biometric logins, is another technological issue. Deloitte’s hybrid work model requires strong data protection, but these systems often create everyday frustrations for staff, especially when they fail, slow down tasks, or demand constant troubleshooting. Such interruptions can trigger complaints about weak IT support or barriers to getting work done. In addition, greater digital monitoring in remote settings can reduce trust, adding to concerns about autonomy and fairness (CIPD, 2023). To ease these challenges, HR needs to ensure that training, clear communication, and transparent data governance practices are built into digital changes, helping employees feel supported while keeping security standards in place.</w:t>
      </w:r>
    </w:p>
    <w:p w14:paraId="0B9A5F31" w14:textId="77777777" w:rsidR="00D42A7B" w:rsidRDefault="00D42A7B" w:rsidP="00AB7421"/>
    <w:p w14:paraId="3C4284FC" w14:textId="77777777" w:rsidR="00D42A7B" w:rsidRDefault="00D42A7B" w:rsidP="00AB7421">
      <w:pPr>
        <w:rPr>
          <w:b/>
          <w:bCs/>
          <w:sz w:val="28"/>
          <w:szCs w:val="28"/>
          <w:u w:val="single"/>
        </w:rPr>
      </w:pPr>
      <w:r w:rsidRPr="00D42A7B">
        <w:rPr>
          <w:b/>
          <w:bCs/>
          <w:sz w:val="28"/>
          <w:szCs w:val="28"/>
          <w:u w:val="single"/>
        </w:rPr>
        <w:lastRenderedPageBreak/>
        <w:t>Flexible Working Arrangements</w:t>
      </w:r>
    </w:p>
    <w:p w14:paraId="5EF49B80" w14:textId="77777777" w:rsidR="00D42A7B" w:rsidRDefault="00D42A7B" w:rsidP="00AB7421">
      <w:r w:rsidRPr="00D42A7B">
        <w:t xml:space="preserve">Although flexible working is now a key component of Deloitte's employment strategy, there are drawbacks that lead to a fair </w:t>
      </w:r>
      <w:proofErr w:type="gramStart"/>
      <w:r w:rsidRPr="00D42A7B">
        <w:t>amount</w:t>
      </w:r>
      <w:proofErr w:type="gramEnd"/>
      <w:r w:rsidRPr="00D42A7B">
        <w:t xml:space="preserve"> of complaints.  Hybrid working, in which employees split their time between the office and home, is a major problem.  Despite the flexibility this arrangement offers, teamwork may be hampered because remote employees are occasionally left out of casual conversations and decision-making.  Concerns regarding equity, visibility, and chances for professional advancement may arise from such disparities (CIPD, 2021).  Keeping scattered teams cohesive and maintaining consistent communication are other challenges faced by managers.  These elements emphasise the necessity of more robust procedures to strike a balance between inclusivity and flexibility so that hybrid models promote organisational cohesiveness and employee satisfaction.</w:t>
      </w:r>
    </w:p>
    <w:p w14:paraId="68FE632D" w14:textId="3C22FEF8" w:rsidR="00D42A7B" w:rsidRDefault="00D42A7B" w:rsidP="00AB7421">
      <w:r w:rsidRPr="00D42A7B">
        <w:t>Short or adjusted shift patterns, such as altered hours to meet personal needs, represent another element of flexible working. While these arrangements support work-life balance, they can complicate scheduling, task allocation, and coordination with stakeholders. When expectations are unclear, employees may feel pressured to extend their hours, respond outside agreed times, or cover gaps created by differing schedules. This can increase stress and lead to complaints about excessive workload or weak managerial planning (Rees and Smith, 2021).</w:t>
      </w:r>
      <w:r w:rsidR="009E437B" w:rsidRPr="009E437B">
        <w:t xml:space="preserve"> </w:t>
      </w:r>
      <w:r w:rsidR="009E437B" w:rsidRPr="009E437B">
        <w:t>Research has shown that flexible working can unintentionally intensify workloads when boundaries and expectations are unclear, leading to higher levels of stress and dissatisfaction (Kelliher and Anderson, 2010).</w:t>
      </w:r>
      <w:r w:rsidRPr="00D42A7B">
        <w:t xml:space="preserve"> To ensure flexible working remains beneficial, Deloitte must strengthen its guidelines, promote equitable teamwork, and establish clear performance measures that avoid disadvantaging staff who adopt varied schedules. Such steps would help balance individual flexibility with organisational efficiency and fairness.</w:t>
      </w:r>
    </w:p>
    <w:p w14:paraId="022FA1D9" w14:textId="77777777" w:rsidR="00D42A7B" w:rsidRDefault="00D42A7B" w:rsidP="00AB7421"/>
    <w:p w14:paraId="7860B5E7" w14:textId="77777777" w:rsidR="00D42A7B" w:rsidRDefault="002A6D0B" w:rsidP="002A6D0B">
      <w:pPr>
        <w:pStyle w:val="Heading1"/>
      </w:pPr>
      <w:r w:rsidRPr="002A6D0B">
        <w:t>Evaluation of Contemporary HR Practices Using Maslow’s Hierarchy of Needs</w:t>
      </w:r>
    </w:p>
    <w:p w14:paraId="312F6857" w14:textId="77777777" w:rsidR="002A6D0B" w:rsidRDefault="002A6D0B" w:rsidP="002A6D0B">
      <w:r w:rsidRPr="002A6D0B">
        <w:t xml:space="preserve">To address the pressures created by societal change, digital transformation and flexible working, Deloitte can rely on three contemporary HR practices: </w:t>
      </w:r>
      <w:r w:rsidRPr="002A6D0B">
        <w:rPr>
          <w:b/>
          <w:bCs/>
        </w:rPr>
        <w:t>Training &amp; Development</w:t>
      </w:r>
      <w:r w:rsidRPr="002A6D0B">
        <w:t xml:space="preserve">, </w:t>
      </w:r>
      <w:r w:rsidRPr="002A6D0B">
        <w:rPr>
          <w:b/>
          <w:bCs/>
        </w:rPr>
        <w:t>Employee Motivation &amp; Engagement</w:t>
      </w:r>
      <w:r w:rsidRPr="002A6D0B">
        <w:t xml:space="preserve">, and </w:t>
      </w:r>
      <w:r w:rsidRPr="002A6D0B">
        <w:rPr>
          <w:b/>
          <w:bCs/>
        </w:rPr>
        <w:t>Flexible Work Arrangements</w:t>
      </w:r>
      <w:r w:rsidRPr="002A6D0B">
        <w:t xml:space="preserve">. Each can be evaluated effectively through </w:t>
      </w:r>
      <w:r w:rsidRPr="002A6D0B">
        <w:rPr>
          <w:b/>
          <w:bCs/>
        </w:rPr>
        <w:t>Maslow’s Hierarchy of Needs</w:t>
      </w:r>
      <w:r w:rsidRPr="002A6D0B">
        <w:t>, which proposes that employees are motivated when their needs are met progressively from basic to advanced.</w:t>
      </w:r>
    </w:p>
    <w:p w14:paraId="02C2A11C" w14:textId="77777777" w:rsidR="002A6D0B" w:rsidRDefault="002A6D0B" w:rsidP="002A6D0B"/>
    <w:p w14:paraId="7FAB57EE" w14:textId="77777777" w:rsidR="002A6D0B" w:rsidRDefault="002A6D0B" w:rsidP="002A6D0B">
      <w:pPr>
        <w:rPr>
          <w:b/>
          <w:bCs/>
          <w:u w:val="single"/>
        </w:rPr>
      </w:pPr>
      <w:r w:rsidRPr="002A6D0B">
        <w:rPr>
          <w:b/>
          <w:bCs/>
          <w:u w:val="single"/>
        </w:rPr>
        <w:t>Training &amp; Development</w:t>
      </w:r>
    </w:p>
    <w:p w14:paraId="6B593E78" w14:textId="77777777" w:rsidR="002A6D0B" w:rsidRDefault="00B843D6" w:rsidP="002A6D0B">
      <w:r w:rsidRPr="00B843D6">
        <w:lastRenderedPageBreak/>
        <w:t>One of the main ways to address the technological challenges mentioned earlier is through training and development. Deloitte employees are often required to adopt new software, automation tools, and cybersecurity systems. Effective training helps staff feel secure and capable in their roles, meeting Maslow’s safety needs by reducing anxiety and building confidence (Armstrong, 2014). Beyond this, opportunities for development directly support Maslow’s esteem and self-actualisation needs. Employees feel more motivated when training allows them to grow professionally, strengthen their skills, and achieve mastery, while also feeling valued when the organisation invests in their progress. This reduces complaints about being unprepared, overloaded, or left behind during digital change. However, if training is rushed or poorly structured, employees may still feel stressed or confused. To truly meet higher-level needs and improve engagement, training must be carefully planned, ongoing, and reinforced by management (CIPD, 2023).</w:t>
      </w:r>
    </w:p>
    <w:p w14:paraId="59BE7FD9" w14:textId="77777777" w:rsidR="00B843D6" w:rsidRDefault="00B843D6" w:rsidP="002A6D0B"/>
    <w:p w14:paraId="7C3B8437" w14:textId="77777777" w:rsidR="00B843D6" w:rsidRPr="00F07F7A" w:rsidRDefault="00B843D6" w:rsidP="00F07F7A">
      <w:pPr>
        <w:rPr>
          <w:b/>
          <w:bCs/>
          <w:sz w:val="28"/>
          <w:szCs w:val="28"/>
          <w:u w:val="single"/>
        </w:rPr>
      </w:pPr>
      <w:r w:rsidRPr="00F07F7A">
        <w:rPr>
          <w:b/>
          <w:bCs/>
          <w:sz w:val="28"/>
          <w:szCs w:val="28"/>
          <w:u w:val="single"/>
        </w:rPr>
        <w:t>Employee Motivation &amp; Engagement</w:t>
      </w:r>
    </w:p>
    <w:p w14:paraId="124C30C3" w14:textId="77777777" w:rsidR="00B843D6" w:rsidRDefault="00B843D6" w:rsidP="00B843D6">
      <w:r>
        <w:t>Recognition programs, wellness programs, and staff voice opportunities are examples of employee engagement strategies that help address societal pressures like workload stress and wellbeing issues.  Because they foster a sense of inclusion, appreciation, and team connection—all of which are crucial in hybrid work environments—these programs closely align with Maslow's needs for belonging (Rees and Smith, 2021).</w:t>
      </w:r>
    </w:p>
    <w:p w14:paraId="0FF76935" w14:textId="0E051EFE" w:rsidR="00B843D6" w:rsidRDefault="00B843D6" w:rsidP="00B843D6">
      <w:r>
        <w:t xml:space="preserve"> Esteem needs are also addressed by engagement strategies.  Employees feel appreciated and respected when they are given opportunities to participate in decision-making, constructive criticism, and recognition.</w:t>
      </w:r>
      <w:r w:rsidR="009E437B" w:rsidRPr="009E437B">
        <w:t xml:space="preserve"> </w:t>
      </w:r>
      <w:r w:rsidR="009E437B" w:rsidRPr="009E437B">
        <w:t>This reflects findings that employee engagement increases significantly when individuals feel valued, supported, and psychologically connected to their work (Saks, 2006).</w:t>
      </w:r>
      <w:r>
        <w:t xml:space="preserve">  This lessens complaints about feeling ignored, unsupported, or cut off from organisational changes.</w:t>
      </w:r>
      <w:r w:rsidR="00F07F7A" w:rsidRPr="00F07F7A">
        <w:t xml:space="preserve"> The restriction is that these actions </w:t>
      </w:r>
      <w:proofErr w:type="gramStart"/>
      <w:r w:rsidR="00F07F7A" w:rsidRPr="00F07F7A">
        <w:t>have to</w:t>
      </w:r>
      <w:proofErr w:type="gramEnd"/>
      <w:r w:rsidR="00F07F7A" w:rsidRPr="00F07F7A">
        <w:t xml:space="preserve"> be sincere and regular.  Employee dissatisfaction rather than motivation may increase if wellbeing initiatives feel performative or if recognition is inconsistent.  Therefore, rather than being used as sporadic interventions, engagement activities must be integrated into regular managerial behaviour in order to effectively meet Maslow's needs (CIPD, 2021).</w:t>
      </w:r>
    </w:p>
    <w:p w14:paraId="218BCADB" w14:textId="77777777" w:rsidR="00F07F7A" w:rsidRDefault="00F07F7A" w:rsidP="00B843D6"/>
    <w:p w14:paraId="0AF1FAAB" w14:textId="77777777" w:rsidR="00F07F7A" w:rsidRDefault="00F07F7A" w:rsidP="00B843D6">
      <w:pPr>
        <w:rPr>
          <w:b/>
          <w:bCs/>
          <w:sz w:val="28"/>
          <w:szCs w:val="28"/>
          <w:u w:val="single"/>
        </w:rPr>
      </w:pPr>
      <w:r w:rsidRPr="00F07F7A">
        <w:rPr>
          <w:b/>
          <w:bCs/>
          <w:sz w:val="28"/>
          <w:szCs w:val="28"/>
          <w:u w:val="single"/>
        </w:rPr>
        <w:t>Flexible Work Arrangements</w:t>
      </w:r>
    </w:p>
    <w:p w14:paraId="002A3410" w14:textId="77777777" w:rsidR="00F07F7A" w:rsidRDefault="00F07F7A" w:rsidP="00F07F7A">
      <w:r>
        <w:t xml:space="preserve">Employee well-being priorities and contemporary work-life balance demands are addressed by flexible working, which includes hybrid arrangements, modified hours, and shortened schedules.  Maslow's safety needs are reinforced by these practices because employees feel less stressed when personal obligations are controlled and </w:t>
      </w:r>
      <w:r>
        <w:lastRenderedPageBreak/>
        <w:t>burnout is decreased.  By reducing the stress of commuting and providing more autonomy, flexibility promotes emotional stability, which is another aspect of safety (CIPD, 2023).</w:t>
      </w:r>
    </w:p>
    <w:p w14:paraId="6E1BF74B" w14:textId="77777777" w:rsidR="00F07F7A" w:rsidRDefault="00F07F7A" w:rsidP="00F07F7A">
      <w:r>
        <w:t xml:space="preserve"> When used inclusively, flexibility also supports the need for belonging.  When autonomy is respected, workers feel trusted, and digital collaboration tools support the maintenance of team relationships.  As a result, there are fewer complaints about unfairness, exclusion, or poor communication. However, when flexible practices are poorly coordinated, problems occur.  Isolation, unequal task distribution, and poor communication can all erode a sense of belonging.  This demonstrates that flexibility only satisfies Maslow's needs when it is supported by obvious </w:t>
      </w:r>
      <w:r w:rsidRPr="00F07F7A">
        <w:t>expectations, equitable treatment and strong managerial oversight (Armstrong, 2014).</w:t>
      </w:r>
    </w:p>
    <w:p w14:paraId="41EADBE7" w14:textId="77777777" w:rsidR="00F07F7A" w:rsidRDefault="00F07F7A" w:rsidP="00F07F7A"/>
    <w:p w14:paraId="6A03051B" w14:textId="77777777" w:rsidR="00F07F7A" w:rsidRDefault="00F07F7A" w:rsidP="00F07F7A">
      <w:pPr>
        <w:pStyle w:val="Heading1"/>
      </w:pPr>
      <w:r w:rsidRPr="00F07F7A">
        <w:t>Critical Evaluation of How Departmental Managers Can Ensure Urgent Implementation of HR Practices</w:t>
      </w:r>
    </w:p>
    <w:p w14:paraId="10E7D4FF" w14:textId="77777777" w:rsidR="00F07F7A" w:rsidRDefault="00F07F7A" w:rsidP="00F07F7A"/>
    <w:p w14:paraId="28E2FB9A" w14:textId="77777777" w:rsidR="00F07F7A" w:rsidRDefault="00F07F7A" w:rsidP="00F07F7A">
      <w:r>
        <w:t>Departmental managers play a key role in the success of initiatives related to training and development, employee engagement, and flexible working because they act as a liaison between HR regulations and employees' day-to-day experiences.  Whether these procedures successfully lower complaints and satisfy employee needs at Deloitte is largely dependent on their behaviour, communication style, and decision-making.</w:t>
      </w:r>
    </w:p>
    <w:p w14:paraId="26DB08EE" w14:textId="77777777" w:rsidR="00F07F7A" w:rsidRDefault="00F07F7A" w:rsidP="00F07F7A">
      <w:r>
        <w:t xml:space="preserve"> Setting a good example is crucial, particularly when it comes to implementing flexible work schedules.  Employees may perceive flexibility as unjust or unattainable if managers disregard hybrid work policies or behave inconsistently.  Maslow's needs for safety and belonging are weakened as a result, which may make complaints worse rather than better.  In order to combat this, managers should exhibit confidence, attend hybrid meetings on time, and set an example of healthy boundaries between work and personal life </w:t>
      </w:r>
      <w:r w:rsidRPr="00F07F7A">
        <w:t>in employees working remotely (CIPD, 2023). Such behaviours help embed flexibility into the culture, reduce concerns about unequal treatment, and strengthen trust across teams.</w:t>
      </w:r>
    </w:p>
    <w:p w14:paraId="3BF25EF7" w14:textId="77777777" w:rsidR="00F07F7A" w:rsidRPr="00F07F7A" w:rsidRDefault="00F07F7A" w:rsidP="00F07F7A">
      <w:r w:rsidRPr="00F07F7A">
        <w:t xml:space="preserve">Ensuring that training and development programs are appropriately supported and communicated is another important duty. Instead of relying solely on general organisational training resources, managers must identify skill gaps within their teams and involve staff in customised development plans. This is particularly important in Deloitte's fast-paced, technologically advanced workplace, where digital tools and automation are always improving. Maslow's needs for safety and esteem may be undermined if workers are not helped through these changes, as their confidence may </w:t>
      </w:r>
      <w:r w:rsidRPr="00F07F7A">
        <w:lastRenderedPageBreak/>
        <w:t>decline and their stress levels may increase. Managers can avoid this by offering coaching, scheduling learning time, and monitoring development to make sure training results in increased capability (Armstrong, 2014). Without managers' active participation, training runs the risk of becoming superficial and ineffectual, leaving staff members unprepared for the continuous digital transformation.</w:t>
      </w:r>
    </w:p>
    <w:p w14:paraId="5C31EEAA" w14:textId="77777777" w:rsidR="00F07F7A" w:rsidRDefault="00F07F7A" w:rsidP="00F07F7A">
      <w:r w:rsidRPr="00F07F7A">
        <w:t>When it comes to the immediate execution of employee engagement programs, communication is crucial.  Managers must establish avenues for ongoing employee voice so that workers can voice issues about fairness, wellbeing, or workload.  Frequent check-ins, open communication, and honest updates all contribute to the development of psychological safety and trust, particularly during times of transition.  Crucially, managers must act upon feedback in addition to listening to it; otherwise, engagement activities could be seen as performative, which would exacerbate discontent (Rees and Smith, 2021).  Prompt responses directly support employees' needs for belonging and esteem by demonstrating their value.</w:t>
      </w:r>
    </w:p>
    <w:p w14:paraId="029DCDCC" w14:textId="77777777" w:rsidR="00F07F7A" w:rsidRDefault="00F07F7A" w:rsidP="00F07F7A">
      <w:r w:rsidRPr="00F07F7A">
        <w:t>To support immediate implementation, managers must also learn how to use digital technologies and HR.  To support hybrid teams, for instance, online learning platforms, collaboration tools, and flexible scheduling systems must be used consistently.  Implementation will be delayed if managers are not digitally competent, which will lead to more annoyance and complaints.  In order for managers to effectively manage hybrid coordination, monitor employee development, and use HR systems with confidence, manager training should be given top priority (CIPD, 2021).</w:t>
      </w:r>
    </w:p>
    <w:p w14:paraId="7AECBD02" w14:textId="77777777" w:rsidR="00F07F7A" w:rsidRDefault="00F07F7A" w:rsidP="00F07F7A">
      <w:r w:rsidRPr="00F07F7A">
        <w:t>When new HR procedures are implemented, managers are also responsible for monitoring performance and guaranteeing accountability. They must set clear expectations, monitor outcomes, and quickly modify strategies when issues emerge. However, trust must be balanced with this oversight. While inadequate oversight may lead to uncertainty, overly stringent control can erode autonomy and a sense of belonging. Employees can feel supported without being micromanaged when the proper balance is struck.</w:t>
      </w:r>
      <w:r w:rsidRPr="00F07F7A">
        <w:br/>
        <w:t>In the grand scheme of things, managers are essential to the timely and successful implementation of HR initiatives. Their actions have a direct impact on whether workers feel connected, safe, and acknowledged—all important components of Maslow's theory of motivation. Managers can lower complaints and reaffirm Deloitte's dedication to a fair and encouraging workplace by setting an example of this balance.</w:t>
      </w:r>
    </w:p>
    <w:p w14:paraId="671BF4E1" w14:textId="77777777" w:rsidR="00CD2D46" w:rsidRDefault="00CD2D46" w:rsidP="00F07F7A"/>
    <w:p w14:paraId="368E55F2" w14:textId="77777777" w:rsidR="00CD2D46" w:rsidRDefault="00CD2D46" w:rsidP="00CD2D46">
      <w:pPr>
        <w:pStyle w:val="Heading1"/>
      </w:pPr>
      <w:r w:rsidRPr="00CD2D46">
        <w:t>Conclusion</w:t>
      </w:r>
    </w:p>
    <w:p w14:paraId="0D840892" w14:textId="77777777" w:rsidR="00CD2D46" w:rsidRDefault="00CD2D46" w:rsidP="00CD2D46">
      <w:r w:rsidRPr="00CD2D46">
        <w:t xml:space="preserve">Due to societal pressures, quick technological advancements, and difficulties with flexible work arrangements, Deloitte is dealing with a moderate number of employee </w:t>
      </w:r>
      <w:r w:rsidRPr="00CD2D46">
        <w:lastRenderedPageBreak/>
        <w:t>complaints.  The impact of these factors on worker performance, health, and general job satisfaction has been demonstrated in this report.  Maslow's Hierarchy of Needs was used to show that, with careful implementation, engagement programs, training and development, and flexible work schedules can effectively address these issues.  The success of these strategies ultimately rests on departmental managers, whose support, communication, and leadership are crucial in creating a workforce that is equitable, driven, and resilient during continuous organisational change.</w:t>
      </w:r>
    </w:p>
    <w:p w14:paraId="1D4992D9" w14:textId="77777777" w:rsidR="00CD2D46" w:rsidRDefault="00CD2D46" w:rsidP="00CD2D46"/>
    <w:p w14:paraId="2A933F16" w14:textId="77777777" w:rsidR="00CD2D46" w:rsidRDefault="00CD2D46" w:rsidP="00CD2D46">
      <w:pPr>
        <w:pStyle w:val="Heading1"/>
      </w:pPr>
      <w:r>
        <w:t>Recommendation</w:t>
      </w:r>
    </w:p>
    <w:p w14:paraId="6DE807EE" w14:textId="77777777" w:rsidR="00CD2D46" w:rsidRDefault="00CD2D46" w:rsidP="00CD2D46">
      <w:r w:rsidRPr="00CD2D46">
        <w:t>Deloitte should prioritise specialised training in digital skills, strengthen employee engagement through dependable employee voice channels, and set precise rules for working in a hybrid environment. To improve their coaching, communication, and digital leadership abilities, managers require training. In order to reduce complaints and increase motivation and general well-being throughout the company, HR and managers must work together to ensure that these procedures are applied consistently and assessed for efficacy.</w:t>
      </w:r>
    </w:p>
    <w:p w14:paraId="79852699" w14:textId="77777777" w:rsidR="00CD2D46" w:rsidRDefault="00CD2D46" w:rsidP="00CD2D46"/>
    <w:p w14:paraId="0426C694" w14:textId="77777777" w:rsidR="00CD2D46" w:rsidRDefault="00CD2D46" w:rsidP="00CD2D46"/>
    <w:p w14:paraId="5E9CCD24" w14:textId="77777777" w:rsidR="00CD2D46" w:rsidRDefault="00CD2D46" w:rsidP="00CD2D46">
      <w:pPr>
        <w:pStyle w:val="Heading1"/>
      </w:pPr>
      <w:r>
        <w:t>Reference list</w:t>
      </w:r>
    </w:p>
    <w:p w14:paraId="4AB81BF4" w14:textId="77777777" w:rsidR="007F19C0" w:rsidRDefault="007F19C0" w:rsidP="007F19C0">
      <w:r>
        <w:t>Armstrong, M. (2014) Armstrong’s Handbook of Human Resource Management Practice. 13th ed. London: Kogan Page.</w:t>
      </w:r>
    </w:p>
    <w:p w14:paraId="141533B7" w14:textId="3BAC0989" w:rsidR="007F19C0" w:rsidRDefault="007F19C0" w:rsidP="007F19C0">
      <w:r>
        <w:t xml:space="preserve">CIPD (2021) Flexible Working Practices. Available at: </w:t>
      </w:r>
      <w:hyperlink r:id="rId7" w:history="1">
        <w:r w:rsidR="00886162" w:rsidRPr="00DC28A3">
          <w:rPr>
            <w:rStyle w:val="Hyperlink"/>
          </w:rPr>
          <w:t>https://www.cipd.co.uk/knowledge/fundamentals/emp-law/flexible-working</w:t>
        </w:r>
      </w:hyperlink>
      <w:r w:rsidR="00886162">
        <w:t xml:space="preserve"> </w:t>
      </w:r>
      <w:r>
        <w:t xml:space="preserve">(Accessed: </w:t>
      </w:r>
      <w:r w:rsidR="00886162">
        <w:t>06 Dec. 25</w:t>
      </w:r>
      <w:r>
        <w:t xml:space="preserve"> ).</w:t>
      </w:r>
    </w:p>
    <w:p w14:paraId="0C6D9F51" w14:textId="4FA7D0E4" w:rsidR="007F19C0" w:rsidRDefault="007F19C0" w:rsidP="007F19C0">
      <w:r>
        <w:t xml:space="preserve">CIPD (2023) Wellbeing at Work. Available at: </w:t>
      </w:r>
      <w:hyperlink r:id="rId8" w:history="1">
        <w:r w:rsidR="00886162" w:rsidRPr="00DC28A3">
          <w:rPr>
            <w:rStyle w:val="Hyperlink"/>
          </w:rPr>
          <w:t>https://www.cipd.co.uk/knowledge/culture/well-being/factsheet</w:t>
        </w:r>
      </w:hyperlink>
      <w:r w:rsidR="00886162">
        <w:t xml:space="preserve"> </w:t>
      </w:r>
      <w:r>
        <w:t xml:space="preserve"> (Accessed: </w:t>
      </w:r>
      <w:r w:rsidR="00886162">
        <w:t>06 Dec. 25</w:t>
      </w:r>
      <w:r>
        <w:t>).</w:t>
      </w:r>
    </w:p>
    <w:p w14:paraId="6485A3DD" w14:textId="2C3DF9A1" w:rsidR="007F19C0" w:rsidRDefault="007F19C0" w:rsidP="007F19C0">
      <w:r>
        <w:t xml:space="preserve">CIPD (2023) Learning and Development. Available at: </w:t>
      </w:r>
      <w:hyperlink r:id="rId9" w:history="1">
        <w:r w:rsidR="00886162" w:rsidRPr="00DC28A3">
          <w:rPr>
            <w:rStyle w:val="Hyperlink"/>
          </w:rPr>
          <w:t>https://www.cipd.co.uk/knowledge/strategy/development/learning-factsheet</w:t>
        </w:r>
      </w:hyperlink>
      <w:r w:rsidR="00886162">
        <w:t xml:space="preserve"> </w:t>
      </w:r>
      <w:r>
        <w:t xml:space="preserve">(Accessed: </w:t>
      </w:r>
      <w:r w:rsidR="00886162">
        <w:t>06 Dec. 25</w:t>
      </w:r>
      <w:r>
        <w:t>).</w:t>
      </w:r>
    </w:p>
    <w:p w14:paraId="75EC5363" w14:textId="14900363" w:rsidR="007F19C0" w:rsidRDefault="007F19C0" w:rsidP="007F19C0">
      <w:r>
        <w:t xml:space="preserve">Deloitte (2024) About Deloitte UK. Available at: </w:t>
      </w:r>
      <w:hyperlink r:id="rId10" w:history="1">
        <w:r w:rsidR="00886162" w:rsidRPr="00DC28A3">
          <w:rPr>
            <w:rStyle w:val="Hyperlink"/>
          </w:rPr>
          <w:t>https://www2.deloitte.com/uk/en.html</w:t>
        </w:r>
      </w:hyperlink>
      <w:r w:rsidR="00886162">
        <w:t xml:space="preserve"> </w:t>
      </w:r>
      <w:r>
        <w:t xml:space="preserve">(Accessed: </w:t>
      </w:r>
      <w:r w:rsidR="00886162">
        <w:t>06 Dec. 25</w:t>
      </w:r>
      <w:r>
        <w:t>).</w:t>
      </w:r>
    </w:p>
    <w:p w14:paraId="4076D2D1" w14:textId="0647F1B5" w:rsidR="00CD2D46" w:rsidRDefault="007F19C0" w:rsidP="007F19C0">
      <w:r>
        <w:t>Maslow, A. H. (1954) Motivation and Personality. New York: Harper &amp; Row.</w:t>
      </w:r>
    </w:p>
    <w:p w14:paraId="190C5DCE" w14:textId="77777777" w:rsidR="0010189B" w:rsidRPr="0010189B" w:rsidRDefault="0010189B" w:rsidP="0010189B">
      <w:r w:rsidRPr="0010189B">
        <w:rPr>
          <w:b/>
          <w:bCs/>
        </w:rPr>
        <w:lastRenderedPageBreak/>
        <w:t>Buchanan, D. and Huczynski, A. (2019)</w:t>
      </w:r>
      <w:r w:rsidRPr="0010189B">
        <w:br/>
      </w:r>
      <w:r w:rsidRPr="0010189B">
        <w:rPr>
          <w:i/>
          <w:iCs/>
        </w:rPr>
        <w:t>Organizational Behaviour.</w:t>
      </w:r>
      <w:r w:rsidRPr="0010189B">
        <w:t xml:space="preserve"> 10th ed. Harlow: Pearson.</w:t>
      </w:r>
    </w:p>
    <w:p w14:paraId="0A77625C" w14:textId="77777777" w:rsidR="0010189B" w:rsidRPr="0010189B" w:rsidRDefault="0010189B" w:rsidP="0010189B">
      <w:r w:rsidRPr="0010189B">
        <w:rPr>
          <w:b/>
          <w:bCs/>
        </w:rPr>
        <w:t>Kelliher, C. and Anderson, D. (2010)</w:t>
      </w:r>
      <w:r w:rsidRPr="0010189B">
        <w:br/>
        <w:t xml:space="preserve">‘Doing more with less? Flexible working practices and the intensification of work’, </w:t>
      </w:r>
      <w:r w:rsidRPr="0010189B">
        <w:rPr>
          <w:i/>
          <w:iCs/>
        </w:rPr>
        <w:t>Human Relations</w:t>
      </w:r>
      <w:r w:rsidRPr="0010189B">
        <w:t>, 63(1), pp. 83–106.</w:t>
      </w:r>
    </w:p>
    <w:p w14:paraId="21051194" w14:textId="77777777" w:rsidR="0010189B" w:rsidRPr="0010189B" w:rsidRDefault="0010189B" w:rsidP="0010189B">
      <w:r w:rsidRPr="0010189B">
        <w:rPr>
          <w:b/>
          <w:bCs/>
        </w:rPr>
        <w:t>Saks, A. M. (2006)</w:t>
      </w:r>
      <w:r w:rsidRPr="0010189B">
        <w:br/>
        <w:t xml:space="preserve">‘Antecedents and consequences of employee engagement’, </w:t>
      </w:r>
      <w:r w:rsidRPr="0010189B">
        <w:rPr>
          <w:i/>
          <w:iCs/>
        </w:rPr>
        <w:t>Journal of Managerial Psychology</w:t>
      </w:r>
      <w:r w:rsidRPr="0010189B">
        <w:t>, 21(7), pp. 600–619.</w:t>
      </w:r>
    </w:p>
    <w:p w14:paraId="5A803068" w14:textId="77777777" w:rsidR="0010189B" w:rsidRPr="0010189B" w:rsidRDefault="0010189B" w:rsidP="0010189B">
      <w:r w:rsidRPr="0010189B">
        <w:rPr>
          <w:b/>
          <w:bCs/>
        </w:rPr>
        <w:t>Parry, E. and Battista, V. (2019)</w:t>
      </w:r>
      <w:r w:rsidRPr="0010189B">
        <w:br/>
        <w:t xml:space="preserve">‘The impact of emerging technologies on work: HR implications’, </w:t>
      </w:r>
      <w:r w:rsidRPr="0010189B">
        <w:rPr>
          <w:i/>
          <w:iCs/>
        </w:rPr>
        <w:t>Human Resource Management Journal</w:t>
      </w:r>
      <w:r w:rsidRPr="0010189B">
        <w:t>, 29(1), pp. 1–15.</w:t>
      </w:r>
    </w:p>
    <w:p w14:paraId="5A53003A" w14:textId="77777777" w:rsidR="009E437B" w:rsidRPr="00CD2D46" w:rsidRDefault="009E437B" w:rsidP="007F19C0"/>
    <w:p w14:paraId="2982759E" w14:textId="77777777" w:rsidR="00CD2D46" w:rsidRPr="00CD2D46" w:rsidRDefault="00CD2D46" w:rsidP="00CD2D46"/>
    <w:p w14:paraId="0CE6F223" w14:textId="77777777" w:rsidR="00F07F7A" w:rsidRDefault="00F07F7A" w:rsidP="00F07F7A"/>
    <w:p w14:paraId="12E3E3FC" w14:textId="77777777" w:rsidR="00F07F7A" w:rsidRPr="00F07F7A" w:rsidRDefault="00F07F7A" w:rsidP="00F07F7A"/>
    <w:sectPr w:rsidR="00F07F7A" w:rsidRPr="00F07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632"/>
    <w:rsid w:val="00017CBA"/>
    <w:rsid w:val="0010189B"/>
    <w:rsid w:val="0011613D"/>
    <w:rsid w:val="00147BA0"/>
    <w:rsid w:val="00174E4A"/>
    <w:rsid w:val="001C49F1"/>
    <w:rsid w:val="00235F1F"/>
    <w:rsid w:val="002A6D0B"/>
    <w:rsid w:val="00430890"/>
    <w:rsid w:val="004E5FA6"/>
    <w:rsid w:val="007F19C0"/>
    <w:rsid w:val="0083527D"/>
    <w:rsid w:val="00886162"/>
    <w:rsid w:val="009E437B"/>
    <w:rsid w:val="00AB7421"/>
    <w:rsid w:val="00B843D6"/>
    <w:rsid w:val="00CD2D46"/>
    <w:rsid w:val="00D37C42"/>
    <w:rsid w:val="00D42A7B"/>
    <w:rsid w:val="00E23632"/>
    <w:rsid w:val="00E94410"/>
    <w:rsid w:val="00F0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4814"/>
  <w15:chartTrackingRefBased/>
  <w15:docId w15:val="{D6A2D229-1342-4E80-9622-1A16930CA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632"/>
    <w:rPr>
      <w:rFonts w:eastAsiaTheme="majorEastAsia" w:cstheme="majorBidi"/>
      <w:color w:val="272727" w:themeColor="text1" w:themeTint="D8"/>
    </w:rPr>
  </w:style>
  <w:style w:type="paragraph" w:styleId="Title">
    <w:name w:val="Title"/>
    <w:basedOn w:val="Normal"/>
    <w:next w:val="Normal"/>
    <w:link w:val="TitleChar"/>
    <w:uiPriority w:val="10"/>
    <w:qFormat/>
    <w:rsid w:val="00E2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632"/>
    <w:pPr>
      <w:spacing w:before="160"/>
      <w:jc w:val="center"/>
    </w:pPr>
    <w:rPr>
      <w:i/>
      <w:iCs/>
      <w:color w:val="404040" w:themeColor="text1" w:themeTint="BF"/>
    </w:rPr>
  </w:style>
  <w:style w:type="character" w:customStyle="1" w:styleId="QuoteChar">
    <w:name w:val="Quote Char"/>
    <w:basedOn w:val="DefaultParagraphFont"/>
    <w:link w:val="Quote"/>
    <w:uiPriority w:val="29"/>
    <w:rsid w:val="00E23632"/>
    <w:rPr>
      <w:i/>
      <w:iCs/>
      <w:color w:val="404040" w:themeColor="text1" w:themeTint="BF"/>
    </w:rPr>
  </w:style>
  <w:style w:type="paragraph" w:styleId="ListParagraph">
    <w:name w:val="List Paragraph"/>
    <w:basedOn w:val="Normal"/>
    <w:uiPriority w:val="34"/>
    <w:qFormat/>
    <w:rsid w:val="00E23632"/>
    <w:pPr>
      <w:ind w:left="720"/>
      <w:contextualSpacing/>
    </w:pPr>
  </w:style>
  <w:style w:type="character" w:styleId="IntenseEmphasis">
    <w:name w:val="Intense Emphasis"/>
    <w:basedOn w:val="DefaultParagraphFont"/>
    <w:uiPriority w:val="21"/>
    <w:qFormat/>
    <w:rsid w:val="00E23632"/>
    <w:rPr>
      <w:i/>
      <w:iCs/>
      <w:color w:val="0F4761" w:themeColor="accent1" w:themeShade="BF"/>
    </w:rPr>
  </w:style>
  <w:style w:type="paragraph" w:styleId="IntenseQuote">
    <w:name w:val="Intense Quote"/>
    <w:basedOn w:val="Normal"/>
    <w:next w:val="Normal"/>
    <w:link w:val="IntenseQuoteChar"/>
    <w:uiPriority w:val="30"/>
    <w:qFormat/>
    <w:rsid w:val="00E23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632"/>
    <w:rPr>
      <w:i/>
      <w:iCs/>
      <w:color w:val="0F4761" w:themeColor="accent1" w:themeShade="BF"/>
    </w:rPr>
  </w:style>
  <w:style w:type="character" w:styleId="IntenseReference">
    <w:name w:val="Intense Reference"/>
    <w:basedOn w:val="DefaultParagraphFont"/>
    <w:uiPriority w:val="32"/>
    <w:qFormat/>
    <w:rsid w:val="00E23632"/>
    <w:rPr>
      <w:b/>
      <w:bCs/>
      <w:smallCaps/>
      <w:color w:val="0F4761" w:themeColor="accent1" w:themeShade="BF"/>
      <w:spacing w:val="5"/>
    </w:rPr>
  </w:style>
  <w:style w:type="paragraph" w:styleId="NoSpacing">
    <w:name w:val="No Spacing"/>
    <w:link w:val="NoSpacingChar"/>
    <w:uiPriority w:val="1"/>
    <w:qFormat/>
    <w:rsid w:val="00E2363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23632"/>
    <w:rPr>
      <w:rFonts w:eastAsiaTheme="minorEastAsia"/>
      <w:kern w:val="0"/>
      <w:sz w:val="22"/>
      <w:szCs w:val="22"/>
      <w:lang w:eastAsia="en-GB"/>
      <w14:ligatures w14:val="none"/>
    </w:rPr>
  </w:style>
  <w:style w:type="character" w:styleId="Hyperlink">
    <w:name w:val="Hyperlink"/>
    <w:basedOn w:val="DefaultParagraphFont"/>
    <w:uiPriority w:val="99"/>
    <w:unhideWhenUsed/>
    <w:rsid w:val="00886162"/>
    <w:rPr>
      <w:color w:val="467886" w:themeColor="hyperlink"/>
      <w:u w:val="single"/>
    </w:rPr>
  </w:style>
  <w:style w:type="character" w:styleId="UnresolvedMention">
    <w:name w:val="Unresolved Mention"/>
    <w:basedOn w:val="DefaultParagraphFont"/>
    <w:uiPriority w:val="99"/>
    <w:semiHidden/>
    <w:unhideWhenUsed/>
    <w:rsid w:val="00886162"/>
    <w:rPr>
      <w:color w:val="605E5C"/>
      <w:shd w:val="clear" w:color="auto" w:fill="E1DFDD"/>
    </w:rPr>
  </w:style>
  <w:style w:type="character" w:styleId="FollowedHyperlink">
    <w:name w:val="FollowedHyperlink"/>
    <w:basedOn w:val="DefaultParagraphFont"/>
    <w:uiPriority w:val="99"/>
    <w:semiHidden/>
    <w:unhideWhenUsed/>
    <w:rsid w:val="008861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well-being/factsheet" TargetMode="External"/><Relationship Id="rId3" Type="http://schemas.openxmlformats.org/officeDocument/2006/relationships/customXml" Target="../customXml/item3.xml"/><Relationship Id="rId7" Type="http://schemas.openxmlformats.org/officeDocument/2006/relationships/hyperlink" Target="https://www.cipd.co.uk/knowledge/fundamentals/emp-law/flexible-working"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2.deloitte.com/uk/en.html" TargetMode="External"/><Relationship Id="rId4" Type="http://schemas.openxmlformats.org/officeDocument/2006/relationships/styles" Target="styles.xml"/><Relationship Id="rId9" Type="http://schemas.openxmlformats.org/officeDocument/2006/relationships/hyperlink" Target="https://www.cipd.co.uk/knowledge/strategy/development/learn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9fbc9a1c3ca0bfde50464769b1f28e0f">
  <xsd:schema xmlns:xsd="http://www.w3.org/2001/XMLSchema" xmlns:xs="http://www.w3.org/2001/XMLSchema" xmlns:p="http://schemas.microsoft.com/office/2006/metadata/properties" xmlns:ns3="bf244c3e-e0b4-4871-bb4e-fd032a14544d" targetNamespace="http://schemas.microsoft.com/office/2006/metadata/properties" ma:root="true" ma:fieldsID="c1487b23a425a856de1a2d9f0368697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D578A1-A9FD-4CB7-A4B9-8A367C53287D}">
  <ds:schemaRefs>
    <ds:schemaRef ds:uri="bf244c3e-e0b4-4871-bb4e-fd032a14544d"/>
    <ds:schemaRef ds:uri="http://purl.org/dc/terms/"/>
    <ds:schemaRef ds:uri="http://www.w3.org/XML/1998/namespace"/>
    <ds:schemaRef ds:uri="http://schemas.microsoft.com/office/infopath/2007/PartnerControls"/>
    <ds:schemaRef ds:uri="http://purl.org/dc/elements/1.1/"/>
    <ds:schemaRef ds:uri="http://purl.org/dc/dcmitype/"/>
    <ds:schemaRef ds:uri="http://schemas.microsoft.com/office/2006/metadata/properties"/>
    <ds:schemaRef ds:uri="http://schemas.microsoft.com/office/2006/documentManagement/types"/>
    <ds:schemaRef ds:uri="http://schemas.openxmlformats.org/package/2006/metadata/core-properties"/>
  </ds:schemaRefs>
</ds:datastoreItem>
</file>

<file path=customXml/itemProps2.xml><?xml version="1.0" encoding="utf-8"?>
<ds:datastoreItem xmlns:ds="http://schemas.openxmlformats.org/officeDocument/2006/customXml" ds:itemID="{33550DA5-B235-4E65-8647-29630690D7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6F825A-ACDC-45B3-BF73-43BF0A833C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2816</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Moldoveanu</dc:creator>
  <cp:keywords/>
  <dc:description/>
  <cp:lastModifiedBy>Claudiu Moldoveanu</cp:lastModifiedBy>
  <cp:revision>6</cp:revision>
  <dcterms:created xsi:type="dcterms:W3CDTF">2025-12-06T15:22:00Z</dcterms:created>
  <dcterms:modified xsi:type="dcterms:W3CDTF">2025-12-06T15:45:00Z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