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08AFDB85" w:rsidR="00AD6D75" w:rsidRDefault="00C25AAB" w:rsidP="009F4F9E">
      <w:pPr>
        <w:pStyle w:val="COVERPAGETEXT"/>
      </w:pPr>
      <w:r>
        <w:t>Bethan Davies-Jones</w:t>
      </w:r>
    </w:p>
    <w:p w14:paraId="5AEF9EEF" w14:textId="30BE1962" w:rsidR="00C25AAB" w:rsidRPr="00BB05A0" w:rsidRDefault="00C25AAB" w:rsidP="009F4F9E">
      <w:pPr>
        <w:pStyle w:val="COVERPAGETEXT"/>
      </w:pPr>
      <w:r>
        <w:t>2414322</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5E2AD2A8" w:rsidR="00AD6D75" w:rsidRPr="00BB05A0" w:rsidRDefault="00C25AAB" w:rsidP="009F4F9E">
      <w:pPr>
        <w:pStyle w:val="COVERPAGETEXT"/>
      </w:pPr>
      <w:r>
        <w:t>The Importance of Critical Diameter and Critical Density in Relation to a Successful Detonation</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F71AD06" w:rsidR="00AD6D75" w:rsidRPr="00BB05A0" w:rsidRDefault="00C25AAB" w:rsidP="009F4F9E">
      <w:pPr>
        <w:pStyle w:val="COVERPAGETEXT"/>
      </w:pPr>
      <w:r>
        <w:t>University of Wales Trinity Saint David</w:t>
      </w:r>
    </w:p>
    <w:p w14:paraId="7B6B882C" w14:textId="114D0A7E" w:rsidR="00AD6D75" w:rsidRDefault="00C25AAB" w:rsidP="009F4F9E">
      <w:pPr>
        <w:pStyle w:val="COVERPAGETEXT"/>
      </w:pPr>
      <w:r>
        <w:t>Ordnance Munitions and Explosives</w:t>
      </w:r>
    </w:p>
    <w:p w14:paraId="4A8BA947" w14:textId="2B708AED" w:rsidR="00E4255A" w:rsidRPr="00BB05A0" w:rsidRDefault="00E4255A" w:rsidP="009F4F9E">
      <w:pPr>
        <w:pStyle w:val="COVERPAGETEXT"/>
      </w:pPr>
      <w:r>
        <w:t>ACDA 4019</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0AB7BA64" w14:textId="54650D6C" w:rsidR="00A651C5" w:rsidRDefault="00C25AAB" w:rsidP="00A651C5">
      <w:pPr>
        <w:pStyle w:val="COVERPAGETEXT"/>
      </w:pPr>
      <w:r>
        <w:t>October 2025</w:t>
      </w:r>
    </w:p>
    <w:p w14:paraId="4141C93E" w14:textId="77777777" w:rsidR="00B96699" w:rsidRDefault="00B96699" w:rsidP="00A651C5">
      <w:pPr>
        <w:pStyle w:val="COVERPAGETEXT"/>
      </w:pPr>
    </w:p>
    <w:p w14:paraId="52B1F4ED" w14:textId="5573B3B9" w:rsidR="00DA28B2" w:rsidRDefault="00F2159F" w:rsidP="00CA12EC">
      <w:pPr>
        <w:pStyle w:val="COVERPAGETEXT"/>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br w:type="page"/>
      </w:r>
    </w:p>
    <w:p w14:paraId="7D96CE18" w14:textId="6963B039" w:rsidR="001B0633" w:rsidRDefault="001B0633" w:rsidP="001B0633">
      <w:bookmarkStart w:id="0" w:name="_Toc290554218"/>
      <w:bookmarkStart w:id="1" w:name="_Toc299621183"/>
      <w:bookmarkStart w:id="2" w:name="_Toc299631411"/>
      <w:bookmarkStart w:id="3" w:name="_Toc299631471"/>
      <w:bookmarkStart w:id="4" w:name="_Toc299631561"/>
      <w:bookmarkStart w:id="5" w:name="_Toc299631638"/>
    </w:p>
    <w:p w14:paraId="100DFCB2" w14:textId="4AFAC497" w:rsidR="00DA28B2" w:rsidRPr="006B4213" w:rsidRDefault="005E3ACA" w:rsidP="00DA28B2">
      <w:pPr>
        <w:pStyle w:val="Heading1nonumber"/>
      </w:pPr>
      <w:bookmarkStart w:id="6" w:name="_Toc217379054"/>
      <w:r w:rsidRPr="006B4213">
        <w:t>Abstract</w:t>
      </w:r>
      <w:bookmarkEnd w:id="0"/>
      <w:bookmarkEnd w:id="1"/>
      <w:bookmarkEnd w:id="2"/>
      <w:bookmarkEnd w:id="3"/>
      <w:bookmarkEnd w:id="4"/>
      <w:bookmarkEnd w:id="5"/>
      <w:bookmarkEnd w:id="6"/>
    </w:p>
    <w:p w14:paraId="03A3EEEB" w14:textId="03558BFC" w:rsidR="00015A13" w:rsidRDefault="0035522C" w:rsidP="00941D35">
      <w:r>
        <w:t xml:space="preserve">This report covers some basic background information on explosives, which is then used to highlight the importance of critical diameter and critical density in relation to a successful detonation. A literature review is conducted on two chosen explosives </w:t>
      </w:r>
      <w:r w:rsidR="004D73AB">
        <w:t xml:space="preserve">to curate a performance characteristics review. The different effects that are produced when confining an explosive are explored, and the benefits of confinement to an ordnance, munitions and explosives professional are evaluated. All of this knowledge is consolidated by an explosive train diagram, using accurate values for the two chosen explosives. </w:t>
      </w:r>
    </w:p>
    <w:p w14:paraId="44908FCE" w14:textId="77777777" w:rsidR="00DA28B2" w:rsidRDefault="00DA28B2" w:rsidP="00941D35"/>
    <w:p w14:paraId="78E9B4BD" w14:textId="77777777" w:rsidR="00DA28B2" w:rsidRPr="004D73AB" w:rsidRDefault="00DA28B2" w:rsidP="00941D35">
      <w:pPr>
        <w:rPr>
          <w:b/>
          <w:bCs/>
          <w:sz w:val="28"/>
          <w:szCs w:val="28"/>
        </w:rPr>
      </w:pPr>
      <w:r w:rsidRPr="004D73AB">
        <w:rPr>
          <w:b/>
          <w:bCs/>
          <w:sz w:val="28"/>
          <w:szCs w:val="28"/>
        </w:rPr>
        <w:t>Keywords:</w:t>
      </w:r>
      <w:r w:rsidRPr="004D73AB">
        <w:rPr>
          <w:b/>
          <w:bCs/>
          <w:sz w:val="28"/>
          <w:szCs w:val="28"/>
        </w:rPr>
        <w:tab/>
      </w:r>
    </w:p>
    <w:p w14:paraId="679917F7" w14:textId="29BF1BCC" w:rsidR="004D73AB" w:rsidRDefault="004D73AB" w:rsidP="00941D35">
      <w:r>
        <w:t xml:space="preserve">Explosion </w:t>
      </w:r>
    </w:p>
    <w:p w14:paraId="6A9B7E93" w14:textId="1999C8F7" w:rsidR="004D73AB" w:rsidRDefault="004D73AB" w:rsidP="00941D35">
      <w:r>
        <w:t>Explosive train</w:t>
      </w:r>
    </w:p>
    <w:p w14:paraId="5F661D8D" w14:textId="07A47271" w:rsidR="00DA28B2" w:rsidRDefault="004D73AB" w:rsidP="00941D35">
      <w:r>
        <w:t>Ignition</w:t>
      </w:r>
    </w:p>
    <w:p w14:paraId="52DEF5B4" w14:textId="79C9F9C6" w:rsidR="004D73AB" w:rsidRDefault="004D73AB" w:rsidP="00941D35">
      <w:r>
        <w:t>Munition</w:t>
      </w:r>
    </w:p>
    <w:p w14:paraId="544732B8" w14:textId="6DCD1D00" w:rsidR="004D73AB" w:rsidRDefault="004D73AB" w:rsidP="00941D35">
      <w:r>
        <w:t>Confinement</w:t>
      </w:r>
    </w:p>
    <w:p w14:paraId="1FAD9668" w14:textId="2A7D2C6C" w:rsidR="004D73AB" w:rsidRDefault="004D73AB" w:rsidP="00941D35">
      <w:r>
        <w:t>RDX</w:t>
      </w:r>
    </w:p>
    <w:p w14:paraId="59A7CA42" w14:textId="145AD531" w:rsidR="004D73AB" w:rsidRDefault="004D73AB" w:rsidP="00941D35">
      <w:r>
        <w:t>Lead azide</w:t>
      </w:r>
    </w:p>
    <w:p w14:paraId="6B888662" w14:textId="6BAC9FAE" w:rsidR="00F2159F" w:rsidRDefault="00F2159F" w:rsidP="00AE480E">
      <w:bookmarkStart w:id="7" w:name="_Toc290554219"/>
      <w:bookmarkStart w:id="8" w:name="_Toc299621184"/>
      <w:bookmarkStart w:id="9" w:name="_Toc299631412"/>
      <w:bookmarkStart w:id="10" w:name="_Toc299631472"/>
      <w:bookmarkStart w:id="11" w:name="_Toc299631562"/>
      <w:bookmarkStart w:id="12" w:name="_Toc299631639"/>
      <w:r>
        <w:br w:type="page"/>
      </w:r>
    </w:p>
    <w:bookmarkEnd w:id="7"/>
    <w:bookmarkEnd w:id="8"/>
    <w:bookmarkEnd w:id="9"/>
    <w:bookmarkEnd w:id="10"/>
    <w:bookmarkEnd w:id="11"/>
    <w:bookmarkEnd w:id="12"/>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068C38D2" w14:textId="741AE500" w:rsidR="00A367A0"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17379054" w:history="1">
        <w:r w:rsidR="00A367A0" w:rsidRPr="00052620">
          <w:rPr>
            <w:rStyle w:val="Hyperlink"/>
          </w:rPr>
          <w:t>Abstract</w:t>
        </w:r>
        <w:r w:rsidR="00A367A0">
          <w:rPr>
            <w:webHidden/>
          </w:rPr>
          <w:tab/>
        </w:r>
        <w:r w:rsidR="00A367A0">
          <w:rPr>
            <w:webHidden/>
          </w:rPr>
          <w:fldChar w:fldCharType="begin"/>
        </w:r>
        <w:r w:rsidR="00A367A0">
          <w:rPr>
            <w:webHidden/>
          </w:rPr>
          <w:instrText xml:space="preserve"> PAGEREF _Toc217379054 \h </w:instrText>
        </w:r>
        <w:r w:rsidR="00A367A0">
          <w:rPr>
            <w:webHidden/>
          </w:rPr>
        </w:r>
        <w:r w:rsidR="00A367A0">
          <w:rPr>
            <w:webHidden/>
          </w:rPr>
          <w:fldChar w:fldCharType="separate"/>
        </w:r>
        <w:r w:rsidR="003A1C49">
          <w:rPr>
            <w:webHidden/>
          </w:rPr>
          <w:t>ii</w:t>
        </w:r>
        <w:r w:rsidR="00A367A0">
          <w:rPr>
            <w:webHidden/>
          </w:rPr>
          <w:fldChar w:fldCharType="end"/>
        </w:r>
      </w:hyperlink>
    </w:p>
    <w:p w14:paraId="4C6C7EBF" w14:textId="416B4ADE" w:rsidR="00A367A0" w:rsidRDefault="00A367A0">
      <w:pPr>
        <w:pStyle w:val="TOC1"/>
        <w:rPr>
          <w:rFonts w:asciiTheme="minorHAnsi" w:eastAsiaTheme="minorEastAsia" w:hAnsiTheme="minorHAnsi" w:cstheme="minorBidi"/>
          <w:kern w:val="2"/>
          <w:lang w:eastAsia="en-GB"/>
          <w14:ligatures w14:val="standardContextual"/>
        </w:rPr>
      </w:pPr>
      <w:hyperlink w:anchor="_Toc217379055" w:history="1">
        <w:r w:rsidRPr="00052620">
          <w:rPr>
            <w:rStyle w:val="Hyperlink"/>
          </w:rPr>
          <w:t>List of Figures</w:t>
        </w:r>
        <w:r>
          <w:rPr>
            <w:webHidden/>
          </w:rPr>
          <w:tab/>
        </w:r>
        <w:r>
          <w:rPr>
            <w:webHidden/>
          </w:rPr>
          <w:fldChar w:fldCharType="begin"/>
        </w:r>
        <w:r>
          <w:rPr>
            <w:webHidden/>
          </w:rPr>
          <w:instrText xml:space="preserve"> PAGEREF _Toc217379055 \h </w:instrText>
        </w:r>
        <w:r>
          <w:rPr>
            <w:webHidden/>
          </w:rPr>
        </w:r>
        <w:r>
          <w:rPr>
            <w:webHidden/>
          </w:rPr>
          <w:fldChar w:fldCharType="separate"/>
        </w:r>
        <w:r w:rsidR="003A1C49">
          <w:rPr>
            <w:webHidden/>
          </w:rPr>
          <w:t>iv</w:t>
        </w:r>
        <w:r>
          <w:rPr>
            <w:webHidden/>
          </w:rPr>
          <w:fldChar w:fldCharType="end"/>
        </w:r>
      </w:hyperlink>
    </w:p>
    <w:p w14:paraId="79473089" w14:textId="19B3F9E6" w:rsidR="00A367A0" w:rsidRDefault="00A367A0">
      <w:pPr>
        <w:pStyle w:val="TOC1"/>
        <w:rPr>
          <w:rFonts w:asciiTheme="minorHAnsi" w:eastAsiaTheme="minorEastAsia" w:hAnsiTheme="minorHAnsi" w:cstheme="minorBidi"/>
          <w:kern w:val="2"/>
          <w:lang w:eastAsia="en-GB"/>
          <w14:ligatures w14:val="standardContextual"/>
        </w:rPr>
      </w:pPr>
      <w:hyperlink w:anchor="_Toc217379056" w:history="1">
        <w:r w:rsidRPr="00052620">
          <w:rPr>
            <w:rStyle w:val="Hyperlink"/>
          </w:rPr>
          <w:t>List of Equations</w:t>
        </w:r>
        <w:r>
          <w:rPr>
            <w:webHidden/>
          </w:rPr>
          <w:tab/>
        </w:r>
        <w:r>
          <w:rPr>
            <w:webHidden/>
          </w:rPr>
          <w:fldChar w:fldCharType="begin"/>
        </w:r>
        <w:r>
          <w:rPr>
            <w:webHidden/>
          </w:rPr>
          <w:instrText xml:space="preserve"> PAGEREF _Toc217379056 \h </w:instrText>
        </w:r>
        <w:r>
          <w:rPr>
            <w:webHidden/>
          </w:rPr>
        </w:r>
        <w:r>
          <w:rPr>
            <w:webHidden/>
          </w:rPr>
          <w:fldChar w:fldCharType="separate"/>
        </w:r>
        <w:r w:rsidR="003A1C49">
          <w:rPr>
            <w:webHidden/>
          </w:rPr>
          <w:t>v</w:t>
        </w:r>
        <w:r>
          <w:rPr>
            <w:webHidden/>
          </w:rPr>
          <w:fldChar w:fldCharType="end"/>
        </w:r>
      </w:hyperlink>
    </w:p>
    <w:p w14:paraId="3B1DFF17" w14:textId="4F9965DF" w:rsidR="00A367A0" w:rsidRDefault="00A367A0">
      <w:pPr>
        <w:pStyle w:val="TOC1"/>
        <w:rPr>
          <w:rFonts w:asciiTheme="minorHAnsi" w:eastAsiaTheme="minorEastAsia" w:hAnsiTheme="minorHAnsi" w:cstheme="minorBidi"/>
          <w:kern w:val="2"/>
          <w:lang w:eastAsia="en-GB"/>
          <w14:ligatures w14:val="standardContextual"/>
        </w:rPr>
      </w:pPr>
      <w:hyperlink w:anchor="_Toc217379057" w:history="1">
        <w:r w:rsidRPr="00052620">
          <w:rPr>
            <w:rStyle w:val="Hyperlink"/>
          </w:rPr>
          <w:t>List of Abbreviations</w:t>
        </w:r>
        <w:r>
          <w:rPr>
            <w:webHidden/>
          </w:rPr>
          <w:tab/>
        </w:r>
        <w:r>
          <w:rPr>
            <w:webHidden/>
          </w:rPr>
          <w:fldChar w:fldCharType="begin"/>
        </w:r>
        <w:r>
          <w:rPr>
            <w:webHidden/>
          </w:rPr>
          <w:instrText xml:space="preserve"> PAGEREF _Toc217379057 \h </w:instrText>
        </w:r>
        <w:r>
          <w:rPr>
            <w:webHidden/>
          </w:rPr>
        </w:r>
        <w:r>
          <w:rPr>
            <w:webHidden/>
          </w:rPr>
          <w:fldChar w:fldCharType="separate"/>
        </w:r>
        <w:r w:rsidR="003A1C49">
          <w:rPr>
            <w:webHidden/>
          </w:rPr>
          <w:t>vi</w:t>
        </w:r>
        <w:r>
          <w:rPr>
            <w:webHidden/>
          </w:rPr>
          <w:fldChar w:fldCharType="end"/>
        </w:r>
      </w:hyperlink>
    </w:p>
    <w:p w14:paraId="08CFF0FF" w14:textId="737179BA" w:rsidR="00A367A0" w:rsidRDefault="00A367A0">
      <w:pPr>
        <w:pStyle w:val="TOC1"/>
        <w:rPr>
          <w:rFonts w:asciiTheme="minorHAnsi" w:eastAsiaTheme="minorEastAsia" w:hAnsiTheme="minorHAnsi" w:cstheme="minorBidi"/>
          <w:kern w:val="2"/>
          <w:lang w:eastAsia="en-GB"/>
          <w14:ligatures w14:val="standardContextual"/>
        </w:rPr>
      </w:pPr>
      <w:hyperlink w:anchor="_Toc217379058" w:history="1">
        <w:r w:rsidRPr="00052620">
          <w:rPr>
            <w:rStyle w:val="Hyperlink"/>
          </w:rPr>
          <w:t>1 Introduction</w:t>
        </w:r>
        <w:r>
          <w:rPr>
            <w:webHidden/>
          </w:rPr>
          <w:tab/>
        </w:r>
        <w:r>
          <w:rPr>
            <w:webHidden/>
          </w:rPr>
          <w:fldChar w:fldCharType="begin"/>
        </w:r>
        <w:r>
          <w:rPr>
            <w:webHidden/>
          </w:rPr>
          <w:instrText xml:space="preserve"> PAGEREF _Toc217379058 \h </w:instrText>
        </w:r>
        <w:r>
          <w:rPr>
            <w:webHidden/>
          </w:rPr>
        </w:r>
        <w:r>
          <w:rPr>
            <w:webHidden/>
          </w:rPr>
          <w:fldChar w:fldCharType="separate"/>
        </w:r>
        <w:r w:rsidR="003A1C49">
          <w:rPr>
            <w:webHidden/>
          </w:rPr>
          <w:t>7</w:t>
        </w:r>
        <w:r>
          <w:rPr>
            <w:webHidden/>
          </w:rPr>
          <w:fldChar w:fldCharType="end"/>
        </w:r>
      </w:hyperlink>
    </w:p>
    <w:p w14:paraId="2C5D1FBC" w14:textId="38F55F6C" w:rsidR="00A367A0" w:rsidRDefault="00A367A0">
      <w:pPr>
        <w:pStyle w:val="TOC2"/>
        <w:rPr>
          <w:rFonts w:asciiTheme="minorHAnsi" w:eastAsiaTheme="minorEastAsia" w:hAnsiTheme="minorHAnsi" w:cstheme="minorBidi"/>
          <w:noProof/>
          <w:kern w:val="2"/>
          <w:lang w:eastAsia="en-GB"/>
          <w14:ligatures w14:val="standardContextual"/>
        </w:rPr>
      </w:pPr>
      <w:hyperlink w:anchor="_Toc217379059" w:history="1">
        <w:r w:rsidRPr="00052620">
          <w:rPr>
            <w:rStyle w:val="Hyperlink"/>
            <w:noProof/>
          </w:rPr>
          <w:t>1.1 Background Information on Explosives</w:t>
        </w:r>
        <w:r>
          <w:rPr>
            <w:noProof/>
            <w:webHidden/>
          </w:rPr>
          <w:tab/>
        </w:r>
        <w:r>
          <w:rPr>
            <w:noProof/>
            <w:webHidden/>
          </w:rPr>
          <w:fldChar w:fldCharType="begin"/>
        </w:r>
        <w:r>
          <w:rPr>
            <w:noProof/>
            <w:webHidden/>
          </w:rPr>
          <w:instrText xml:space="preserve"> PAGEREF _Toc217379059 \h </w:instrText>
        </w:r>
        <w:r>
          <w:rPr>
            <w:noProof/>
            <w:webHidden/>
          </w:rPr>
        </w:r>
        <w:r>
          <w:rPr>
            <w:noProof/>
            <w:webHidden/>
          </w:rPr>
          <w:fldChar w:fldCharType="separate"/>
        </w:r>
        <w:r w:rsidR="003A1C49">
          <w:rPr>
            <w:noProof/>
            <w:webHidden/>
          </w:rPr>
          <w:t>7</w:t>
        </w:r>
        <w:r>
          <w:rPr>
            <w:noProof/>
            <w:webHidden/>
          </w:rPr>
          <w:fldChar w:fldCharType="end"/>
        </w:r>
      </w:hyperlink>
    </w:p>
    <w:p w14:paraId="0B973283" w14:textId="04076EBA" w:rsidR="00A367A0" w:rsidRDefault="00A367A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7379060" w:history="1">
        <w:r w:rsidRPr="00052620">
          <w:rPr>
            <w:rStyle w:val="Hyperlink"/>
            <w:noProof/>
          </w:rPr>
          <w:t>1.1.1 History</w:t>
        </w:r>
        <w:r>
          <w:rPr>
            <w:noProof/>
            <w:webHidden/>
          </w:rPr>
          <w:tab/>
        </w:r>
        <w:r>
          <w:rPr>
            <w:noProof/>
            <w:webHidden/>
          </w:rPr>
          <w:fldChar w:fldCharType="begin"/>
        </w:r>
        <w:r>
          <w:rPr>
            <w:noProof/>
            <w:webHidden/>
          </w:rPr>
          <w:instrText xml:space="preserve"> PAGEREF _Toc217379060 \h </w:instrText>
        </w:r>
        <w:r>
          <w:rPr>
            <w:noProof/>
            <w:webHidden/>
          </w:rPr>
        </w:r>
        <w:r>
          <w:rPr>
            <w:noProof/>
            <w:webHidden/>
          </w:rPr>
          <w:fldChar w:fldCharType="separate"/>
        </w:r>
        <w:r w:rsidR="003A1C49">
          <w:rPr>
            <w:noProof/>
            <w:webHidden/>
          </w:rPr>
          <w:t>7</w:t>
        </w:r>
        <w:r>
          <w:rPr>
            <w:noProof/>
            <w:webHidden/>
          </w:rPr>
          <w:fldChar w:fldCharType="end"/>
        </w:r>
      </w:hyperlink>
    </w:p>
    <w:p w14:paraId="42797C71" w14:textId="35421333" w:rsidR="00A367A0" w:rsidRDefault="00A367A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7379061" w:history="1">
        <w:r w:rsidRPr="00052620">
          <w:rPr>
            <w:rStyle w:val="Hyperlink"/>
            <w:noProof/>
          </w:rPr>
          <w:t>1.1.2 What is an Explosion?</w:t>
        </w:r>
        <w:r>
          <w:rPr>
            <w:noProof/>
            <w:webHidden/>
          </w:rPr>
          <w:tab/>
        </w:r>
        <w:r>
          <w:rPr>
            <w:noProof/>
            <w:webHidden/>
          </w:rPr>
          <w:fldChar w:fldCharType="begin"/>
        </w:r>
        <w:r>
          <w:rPr>
            <w:noProof/>
            <w:webHidden/>
          </w:rPr>
          <w:instrText xml:space="preserve"> PAGEREF _Toc217379061 \h </w:instrText>
        </w:r>
        <w:r>
          <w:rPr>
            <w:noProof/>
            <w:webHidden/>
          </w:rPr>
        </w:r>
        <w:r>
          <w:rPr>
            <w:noProof/>
            <w:webHidden/>
          </w:rPr>
          <w:fldChar w:fldCharType="separate"/>
        </w:r>
        <w:r w:rsidR="003A1C49">
          <w:rPr>
            <w:noProof/>
            <w:webHidden/>
          </w:rPr>
          <w:t>7</w:t>
        </w:r>
        <w:r>
          <w:rPr>
            <w:noProof/>
            <w:webHidden/>
          </w:rPr>
          <w:fldChar w:fldCharType="end"/>
        </w:r>
      </w:hyperlink>
    </w:p>
    <w:p w14:paraId="49A7E560" w14:textId="3ECD1F7D" w:rsidR="00A367A0" w:rsidRDefault="00A367A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7379062" w:history="1">
        <w:r w:rsidRPr="00052620">
          <w:rPr>
            <w:rStyle w:val="Hyperlink"/>
            <w:noProof/>
          </w:rPr>
          <w:t>1.1.3 Detonation and Deflagration</w:t>
        </w:r>
        <w:r>
          <w:rPr>
            <w:noProof/>
            <w:webHidden/>
          </w:rPr>
          <w:tab/>
        </w:r>
        <w:r>
          <w:rPr>
            <w:noProof/>
            <w:webHidden/>
          </w:rPr>
          <w:fldChar w:fldCharType="begin"/>
        </w:r>
        <w:r>
          <w:rPr>
            <w:noProof/>
            <w:webHidden/>
          </w:rPr>
          <w:instrText xml:space="preserve"> PAGEREF _Toc217379062 \h </w:instrText>
        </w:r>
        <w:r>
          <w:rPr>
            <w:noProof/>
            <w:webHidden/>
          </w:rPr>
        </w:r>
        <w:r>
          <w:rPr>
            <w:noProof/>
            <w:webHidden/>
          </w:rPr>
          <w:fldChar w:fldCharType="separate"/>
        </w:r>
        <w:r w:rsidR="003A1C49">
          <w:rPr>
            <w:noProof/>
            <w:webHidden/>
          </w:rPr>
          <w:t>8</w:t>
        </w:r>
        <w:r>
          <w:rPr>
            <w:noProof/>
            <w:webHidden/>
          </w:rPr>
          <w:fldChar w:fldCharType="end"/>
        </w:r>
      </w:hyperlink>
    </w:p>
    <w:p w14:paraId="4917640C" w14:textId="063BF9D0" w:rsidR="00A367A0" w:rsidRDefault="00A367A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7379063" w:history="1">
        <w:r w:rsidRPr="00052620">
          <w:rPr>
            <w:rStyle w:val="Hyperlink"/>
            <w:noProof/>
          </w:rPr>
          <w:t>1.1.4 Classifications of Explosives</w:t>
        </w:r>
        <w:r>
          <w:rPr>
            <w:noProof/>
            <w:webHidden/>
          </w:rPr>
          <w:tab/>
        </w:r>
        <w:r>
          <w:rPr>
            <w:noProof/>
            <w:webHidden/>
          </w:rPr>
          <w:fldChar w:fldCharType="begin"/>
        </w:r>
        <w:r>
          <w:rPr>
            <w:noProof/>
            <w:webHidden/>
          </w:rPr>
          <w:instrText xml:space="preserve"> PAGEREF _Toc217379063 \h </w:instrText>
        </w:r>
        <w:r>
          <w:rPr>
            <w:noProof/>
            <w:webHidden/>
          </w:rPr>
        </w:r>
        <w:r>
          <w:rPr>
            <w:noProof/>
            <w:webHidden/>
          </w:rPr>
          <w:fldChar w:fldCharType="separate"/>
        </w:r>
        <w:r w:rsidR="003A1C49">
          <w:rPr>
            <w:noProof/>
            <w:webHidden/>
          </w:rPr>
          <w:t>9</w:t>
        </w:r>
        <w:r>
          <w:rPr>
            <w:noProof/>
            <w:webHidden/>
          </w:rPr>
          <w:fldChar w:fldCharType="end"/>
        </w:r>
      </w:hyperlink>
    </w:p>
    <w:p w14:paraId="216607D6" w14:textId="7079B000" w:rsidR="00A367A0" w:rsidRDefault="00A367A0">
      <w:pPr>
        <w:pStyle w:val="TOC2"/>
        <w:rPr>
          <w:rFonts w:asciiTheme="minorHAnsi" w:eastAsiaTheme="minorEastAsia" w:hAnsiTheme="minorHAnsi" w:cstheme="minorBidi"/>
          <w:noProof/>
          <w:kern w:val="2"/>
          <w:lang w:eastAsia="en-GB"/>
          <w14:ligatures w14:val="standardContextual"/>
        </w:rPr>
      </w:pPr>
      <w:hyperlink w:anchor="_Toc217379064" w:history="1">
        <w:r w:rsidRPr="00052620">
          <w:rPr>
            <w:rStyle w:val="Hyperlink"/>
            <w:noProof/>
          </w:rPr>
          <w:t>1.2 Thesis Statement</w:t>
        </w:r>
        <w:r>
          <w:rPr>
            <w:noProof/>
            <w:webHidden/>
          </w:rPr>
          <w:tab/>
        </w:r>
        <w:r>
          <w:rPr>
            <w:noProof/>
            <w:webHidden/>
          </w:rPr>
          <w:fldChar w:fldCharType="begin"/>
        </w:r>
        <w:r>
          <w:rPr>
            <w:noProof/>
            <w:webHidden/>
          </w:rPr>
          <w:instrText xml:space="preserve"> PAGEREF _Toc217379064 \h </w:instrText>
        </w:r>
        <w:r>
          <w:rPr>
            <w:noProof/>
            <w:webHidden/>
          </w:rPr>
        </w:r>
        <w:r>
          <w:rPr>
            <w:noProof/>
            <w:webHidden/>
          </w:rPr>
          <w:fldChar w:fldCharType="separate"/>
        </w:r>
        <w:r w:rsidR="003A1C49">
          <w:rPr>
            <w:noProof/>
            <w:webHidden/>
          </w:rPr>
          <w:t>9</w:t>
        </w:r>
        <w:r>
          <w:rPr>
            <w:noProof/>
            <w:webHidden/>
          </w:rPr>
          <w:fldChar w:fldCharType="end"/>
        </w:r>
      </w:hyperlink>
    </w:p>
    <w:p w14:paraId="624770A9" w14:textId="50E48842" w:rsidR="00A367A0" w:rsidRDefault="00A367A0">
      <w:pPr>
        <w:pStyle w:val="TOC1"/>
        <w:rPr>
          <w:rFonts w:asciiTheme="minorHAnsi" w:eastAsiaTheme="minorEastAsia" w:hAnsiTheme="minorHAnsi" w:cstheme="minorBidi"/>
          <w:kern w:val="2"/>
          <w:lang w:eastAsia="en-GB"/>
          <w14:ligatures w14:val="standardContextual"/>
        </w:rPr>
      </w:pPr>
      <w:hyperlink w:anchor="_Toc217379065" w:history="1">
        <w:r w:rsidRPr="00052620">
          <w:rPr>
            <w:rStyle w:val="Hyperlink"/>
          </w:rPr>
          <w:t>2 Performance Characteristics</w:t>
        </w:r>
        <w:r>
          <w:rPr>
            <w:webHidden/>
          </w:rPr>
          <w:tab/>
        </w:r>
        <w:r>
          <w:rPr>
            <w:webHidden/>
          </w:rPr>
          <w:fldChar w:fldCharType="begin"/>
        </w:r>
        <w:r>
          <w:rPr>
            <w:webHidden/>
          </w:rPr>
          <w:instrText xml:space="preserve"> PAGEREF _Toc217379065 \h </w:instrText>
        </w:r>
        <w:r>
          <w:rPr>
            <w:webHidden/>
          </w:rPr>
        </w:r>
        <w:r>
          <w:rPr>
            <w:webHidden/>
          </w:rPr>
          <w:fldChar w:fldCharType="separate"/>
        </w:r>
        <w:r w:rsidR="003A1C49">
          <w:rPr>
            <w:webHidden/>
          </w:rPr>
          <w:t>10</w:t>
        </w:r>
        <w:r>
          <w:rPr>
            <w:webHidden/>
          </w:rPr>
          <w:fldChar w:fldCharType="end"/>
        </w:r>
      </w:hyperlink>
    </w:p>
    <w:p w14:paraId="69B9EE04" w14:textId="07A9A536" w:rsidR="00A367A0" w:rsidRDefault="00A367A0">
      <w:pPr>
        <w:pStyle w:val="TOC2"/>
        <w:rPr>
          <w:rFonts w:asciiTheme="minorHAnsi" w:eastAsiaTheme="minorEastAsia" w:hAnsiTheme="minorHAnsi" w:cstheme="minorBidi"/>
          <w:noProof/>
          <w:kern w:val="2"/>
          <w:lang w:eastAsia="en-GB"/>
          <w14:ligatures w14:val="standardContextual"/>
        </w:rPr>
      </w:pPr>
      <w:hyperlink w:anchor="_Toc217379066" w:history="1">
        <w:r w:rsidRPr="00052620">
          <w:rPr>
            <w:rStyle w:val="Hyperlink"/>
            <w:noProof/>
          </w:rPr>
          <w:t>2.1 Primary Explosive</w:t>
        </w:r>
        <w:r>
          <w:rPr>
            <w:noProof/>
            <w:webHidden/>
          </w:rPr>
          <w:tab/>
        </w:r>
        <w:r>
          <w:rPr>
            <w:noProof/>
            <w:webHidden/>
          </w:rPr>
          <w:fldChar w:fldCharType="begin"/>
        </w:r>
        <w:r>
          <w:rPr>
            <w:noProof/>
            <w:webHidden/>
          </w:rPr>
          <w:instrText xml:space="preserve"> PAGEREF _Toc217379066 \h </w:instrText>
        </w:r>
        <w:r>
          <w:rPr>
            <w:noProof/>
            <w:webHidden/>
          </w:rPr>
        </w:r>
        <w:r>
          <w:rPr>
            <w:noProof/>
            <w:webHidden/>
          </w:rPr>
          <w:fldChar w:fldCharType="separate"/>
        </w:r>
        <w:r w:rsidR="003A1C49">
          <w:rPr>
            <w:noProof/>
            <w:webHidden/>
          </w:rPr>
          <w:t>10</w:t>
        </w:r>
        <w:r>
          <w:rPr>
            <w:noProof/>
            <w:webHidden/>
          </w:rPr>
          <w:fldChar w:fldCharType="end"/>
        </w:r>
      </w:hyperlink>
    </w:p>
    <w:p w14:paraId="1CECFB81" w14:textId="66F188CF" w:rsidR="00A367A0" w:rsidRDefault="00A367A0">
      <w:pPr>
        <w:pStyle w:val="TOC2"/>
        <w:rPr>
          <w:rFonts w:asciiTheme="minorHAnsi" w:eastAsiaTheme="minorEastAsia" w:hAnsiTheme="minorHAnsi" w:cstheme="minorBidi"/>
          <w:noProof/>
          <w:kern w:val="2"/>
          <w:lang w:eastAsia="en-GB"/>
          <w14:ligatures w14:val="standardContextual"/>
        </w:rPr>
      </w:pPr>
      <w:hyperlink w:anchor="_Toc217379067" w:history="1">
        <w:r w:rsidRPr="00052620">
          <w:rPr>
            <w:rStyle w:val="Hyperlink"/>
            <w:noProof/>
          </w:rPr>
          <w:t>2.2 Secondary Explosive</w:t>
        </w:r>
        <w:r>
          <w:rPr>
            <w:noProof/>
            <w:webHidden/>
          </w:rPr>
          <w:tab/>
        </w:r>
        <w:r>
          <w:rPr>
            <w:noProof/>
            <w:webHidden/>
          </w:rPr>
          <w:fldChar w:fldCharType="begin"/>
        </w:r>
        <w:r>
          <w:rPr>
            <w:noProof/>
            <w:webHidden/>
          </w:rPr>
          <w:instrText xml:space="preserve"> PAGEREF _Toc217379067 \h </w:instrText>
        </w:r>
        <w:r>
          <w:rPr>
            <w:noProof/>
            <w:webHidden/>
          </w:rPr>
        </w:r>
        <w:r>
          <w:rPr>
            <w:noProof/>
            <w:webHidden/>
          </w:rPr>
          <w:fldChar w:fldCharType="separate"/>
        </w:r>
        <w:r w:rsidR="003A1C49">
          <w:rPr>
            <w:noProof/>
            <w:webHidden/>
          </w:rPr>
          <w:t>10</w:t>
        </w:r>
        <w:r>
          <w:rPr>
            <w:noProof/>
            <w:webHidden/>
          </w:rPr>
          <w:fldChar w:fldCharType="end"/>
        </w:r>
      </w:hyperlink>
    </w:p>
    <w:p w14:paraId="4A79347E" w14:textId="1E378D5D" w:rsidR="00A367A0" w:rsidRDefault="00A367A0">
      <w:pPr>
        <w:pStyle w:val="TOC1"/>
        <w:rPr>
          <w:rFonts w:asciiTheme="minorHAnsi" w:eastAsiaTheme="minorEastAsia" w:hAnsiTheme="minorHAnsi" w:cstheme="minorBidi"/>
          <w:kern w:val="2"/>
          <w:lang w:eastAsia="en-GB"/>
          <w14:ligatures w14:val="standardContextual"/>
        </w:rPr>
      </w:pPr>
      <w:hyperlink w:anchor="_Toc217379068" w:history="1">
        <w:r w:rsidRPr="00052620">
          <w:rPr>
            <w:rStyle w:val="Hyperlink"/>
          </w:rPr>
          <w:t>3 Unconfined Explosives</w:t>
        </w:r>
        <w:r>
          <w:rPr>
            <w:webHidden/>
          </w:rPr>
          <w:tab/>
        </w:r>
        <w:r>
          <w:rPr>
            <w:webHidden/>
          </w:rPr>
          <w:fldChar w:fldCharType="begin"/>
        </w:r>
        <w:r>
          <w:rPr>
            <w:webHidden/>
          </w:rPr>
          <w:instrText xml:space="preserve"> PAGEREF _Toc217379068 \h </w:instrText>
        </w:r>
        <w:r>
          <w:rPr>
            <w:webHidden/>
          </w:rPr>
        </w:r>
        <w:r>
          <w:rPr>
            <w:webHidden/>
          </w:rPr>
          <w:fldChar w:fldCharType="separate"/>
        </w:r>
        <w:r w:rsidR="003A1C49">
          <w:rPr>
            <w:webHidden/>
          </w:rPr>
          <w:t>11</w:t>
        </w:r>
        <w:r>
          <w:rPr>
            <w:webHidden/>
          </w:rPr>
          <w:fldChar w:fldCharType="end"/>
        </w:r>
      </w:hyperlink>
    </w:p>
    <w:p w14:paraId="26DF9B32" w14:textId="57A42866" w:rsidR="00A367A0" w:rsidRDefault="00A367A0">
      <w:pPr>
        <w:pStyle w:val="TOC2"/>
        <w:rPr>
          <w:rFonts w:asciiTheme="minorHAnsi" w:eastAsiaTheme="minorEastAsia" w:hAnsiTheme="minorHAnsi" w:cstheme="minorBidi"/>
          <w:noProof/>
          <w:kern w:val="2"/>
          <w:lang w:eastAsia="en-GB"/>
          <w14:ligatures w14:val="standardContextual"/>
        </w:rPr>
      </w:pPr>
      <w:hyperlink w:anchor="_Toc217379069" w:history="1">
        <w:r w:rsidRPr="00052620">
          <w:rPr>
            <w:rStyle w:val="Hyperlink"/>
            <w:noProof/>
          </w:rPr>
          <w:t>3.1 Critical Diameter and Critical Density</w:t>
        </w:r>
        <w:r>
          <w:rPr>
            <w:noProof/>
            <w:webHidden/>
          </w:rPr>
          <w:tab/>
        </w:r>
        <w:r>
          <w:rPr>
            <w:noProof/>
            <w:webHidden/>
          </w:rPr>
          <w:fldChar w:fldCharType="begin"/>
        </w:r>
        <w:r>
          <w:rPr>
            <w:noProof/>
            <w:webHidden/>
          </w:rPr>
          <w:instrText xml:space="preserve"> PAGEREF _Toc217379069 \h </w:instrText>
        </w:r>
        <w:r>
          <w:rPr>
            <w:noProof/>
            <w:webHidden/>
          </w:rPr>
        </w:r>
        <w:r>
          <w:rPr>
            <w:noProof/>
            <w:webHidden/>
          </w:rPr>
          <w:fldChar w:fldCharType="separate"/>
        </w:r>
        <w:r w:rsidR="003A1C49">
          <w:rPr>
            <w:noProof/>
            <w:webHidden/>
          </w:rPr>
          <w:t>11</w:t>
        </w:r>
        <w:r>
          <w:rPr>
            <w:noProof/>
            <w:webHidden/>
          </w:rPr>
          <w:fldChar w:fldCharType="end"/>
        </w:r>
      </w:hyperlink>
    </w:p>
    <w:p w14:paraId="6B518356" w14:textId="7CA7F04C" w:rsidR="00A367A0" w:rsidRDefault="00A367A0">
      <w:pPr>
        <w:pStyle w:val="TOC2"/>
        <w:rPr>
          <w:rFonts w:asciiTheme="minorHAnsi" w:eastAsiaTheme="minorEastAsia" w:hAnsiTheme="minorHAnsi" w:cstheme="minorBidi"/>
          <w:noProof/>
          <w:kern w:val="2"/>
          <w:lang w:eastAsia="en-GB"/>
          <w14:ligatures w14:val="standardContextual"/>
        </w:rPr>
      </w:pPr>
      <w:hyperlink w:anchor="_Toc217379070" w:history="1">
        <w:r w:rsidRPr="00052620">
          <w:rPr>
            <w:rStyle w:val="Hyperlink"/>
            <w:noProof/>
          </w:rPr>
          <w:t>3.2 Ignition</w:t>
        </w:r>
        <w:r>
          <w:rPr>
            <w:noProof/>
            <w:webHidden/>
          </w:rPr>
          <w:tab/>
        </w:r>
        <w:r>
          <w:rPr>
            <w:noProof/>
            <w:webHidden/>
          </w:rPr>
          <w:fldChar w:fldCharType="begin"/>
        </w:r>
        <w:r>
          <w:rPr>
            <w:noProof/>
            <w:webHidden/>
          </w:rPr>
          <w:instrText xml:space="preserve"> PAGEREF _Toc217379070 \h </w:instrText>
        </w:r>
        <w:r>
          <w:rPr>
            <w:noProof/>
            <w:webHidden/>
          </w:rPr>
        </w:r>
        <w:r>
          <w:rPr>
            <w:noProof/>
            <w:webHidden/>
          </w:rPr>
          <w:fldChar w:fldCharType="separate"/>
        </w:r>
        <w:r w:rsidR="003A1C49">
          <w:rPr>
            <w:noProof/>
            <w:webHidden/>
          </w:rPr>
          <w:t>11</w:t>
        </w:r>
        <w:r>
          <w:rPr>
            <w:noProof/>
            <w:webHidden/>
          </w:rPr>
          <w:fldChar w:fldCharType="end"/>
        </w:r>
      </w:hyperlink>
    </w:p>
    <w:p w14:paraId="31286098" w14:textId="7D3E4A4F" w:rsidR="00A367A0" w:rsidRDefault="00A367A0">
      <w:pPr>
        <w:pStyle w:val="TOC1"/>
        <w:rPr>
          <w:rFonts w:asciiTheme="minorHAnsi" w:eastAsiaTheme="minorEastAsia" w:hAnsiTheme="minorHAnsi" w:cstheme="minorBidi"/>
          <w:kern w:val="2"/>
          <w:lang w:eastAsia="en-GB"/>
          <w14:ligatures w14:val="standardContextual"/>
        </w:rPr>
      </w:pPr>
      <w:hyperlink w:anchor="_Toc217379071" w:history="1">
        <w:r w:rsidRPr="00052620">
          <w:rPr>
            <w:rStyle w:val="Hyperlink"/>
          </w:rPr>
          <w:t>4 Confined Explosives</w:t>
        </w:r>
        <w:r>
          <w:rPr>
            <w:webHidden/>
          </w:rPr>
          <w:tab/>
        </w:r>
        <w:r>
          <w:rPr>
            <w:webHidden/>
          </w:rPr>
          <w:fldChar w:fldCharType="begin"/>
        </w:r>
        <w:r>
          <w:rPr>
            <w:webHidden/>
          </w:rPr>
          <w:instrText xml:space="preserve"> PAGEREF _Toc217379071 \h </w:instrText>
        </w:r>
        <w:r>
          <w:rPr>
            <w:webHidden/>
          </w:rPr>
        </w:r>
        <w:r>
          <w:rPr>
            <w:webHidden/>
          </w:rPr>
          <w:fldChar w:fldCharType="separate"/>
        </w:r>
        <w:r w:rsidR="003A1C49">
          <w:rPr>
            <w:webHidden/>
          </w:rPr>
          <w:t>13</w:t>
        </w:r>
        <w:r>
          <w:rPr>
            <w:webHidden/>
          </w:rPr>
          <w:fldChar w:fldCharType="end"/>
        </w:r>
      </w:hyperlink>
    </w:p>
    <w:p w14:paraId="750E85DA" w14:textId="2BB9E549" w:rsidR="00A367A0" w:rsidRDefault="00A367A0">
      <w:pPr>
        <w:pStyle w:val="TOC1"/>
        <w:rPr>
          <w:rFonts w:asciiTheme="minorHAnsi" w:eastAsiaTheme="minorEastAsia" w:hAnsiTheme="minorHAnsi" w:cstheme="minorBidi"/>
          <w:kern w:val="2"/>
          <w:lang w:eastAsia="en-GB"/>
          <w14:ligatures w14:val="standardContextual"/>
        </w:rPr>
      </w:pPr>
      <w:hyperlink w:anchor="_Toc217379072" w:history="1">
        <w:r w:rsidRPr="00052620">
          <w:rPr>
            <w:rStyle w:val="Hyperlink"/>
          </w:rPr>
          <w:t>5 Velocity of Detonation</w:t>
        </w:r>
        <w:r>
          <w:rPr>
            <w:webHidden/>
          </w:rPr>
          <w:tab/>
        </w:r>
        <w:r>
          <w:rPr>
            <w:webHidden/>
          </w:rPr>
          <w:fldChar w:fldCharType="begin"/>
        </w:r>
        <w:r>
          <w:rPr>
            <w:webHidden/>
          </w:rPr>
          <w:instrText xml:space="preserve"> PAGEREF _Toc217379072 \h </w:instrText>
        </w:r>
        <w:r>
          <w:rPr>
            <w:webHidden/>
          </w:rPr>
        </w:r>
        <w:r>
          <w:rPr>
            <w:webHidden/>
          </w:rPr>
          <w:fldChar w:fldCharType="separate"/>
        </w:r>
        <w:r w:rsidR="003A1C49">
          <w:rPr>
            <w:webHidden/>
          </w:rPr>
          <w:t>14</w:t>
        </w:r>
        <w:r>
          <w:rPr>
            <w:webHidden/>
          </w:rPr>
          <w:fldChar w:fldCharType="end"/>
        </w:r>
      </w:hyperlink>
    </w:p>
    <w:p w14:paraId="4931E5D8" w14:textId="64CA17BE" w:rsidR="00A367A0" w:rsidRDefault="00A367A0">
      <w:pPr>
        <w:pStyle w:val="TOC1"/>
        <w:rPr>
          <w:rFonts w:asciiTheme="minorHAnsi" w:eastAsiaTheme="minorEastAsia" w:hAnsiTheme="minorHAnsi" w:cstheme="minorBidi"/>
          <w:kern w:val="2"/>
          <w:lang w:eastAsia="en-GB"/>
          <w14:ligatures w14:val="standardContextual"/>
        </w:rPr>
      </w:pPr>
      <w:hyperlink w:anchor="_Toc217379073" w:history="1">
        <w:r w:rsidRPr="00052620">
          <w:rPr>
            <w:rStyle w:val="Hyperlink"/>
          </w:rPr>
          <w:t>6 Explosive Train</w:t>
        </w:r>
        <w:r>
          <w:rPr>
            <w:webHidden/>
          </w:rPr>
          <w:tab/>
        </w:r>
        <w:r>
          <w:rPr>
            <w:webHidden/>
          </w:rPr>
          <w:fldChar w:fldCharType="begin"/>
        </w:r>
        <w:r>
          <w:rPr>
            <w:webHidden/>
          </w:rPr>
          <w:instrText xml:space="preserve"> PAGEREF _Toc217379073 \h </w:instrText>
        </w:r>
        <w:r>
          <w:rPr>
            <w:webHidden/>
          </w:rPr>
        </w:r>
        <w:r>
          <w:rPr>
            <w:webHidden/>
          </w:rPr>
          <w:fldChar w:fldCharType="separate"/>
        </w:r>
        <w:r w:rsidR="003A1C49">
          <w:rPr>
            <w:webHidden/>
          </w:rPr>
          <w:t>15</w:t>
        </w:r>
        <w:r>
          <w:rPr>
            <w:webHidden/>
          </w:rPr>
          <w:fldChar w:fldCharType="end"/>
        </w:r>
      </w:hyperlink>
    </w:p>
    <w:p w14:paraId="1A4B6DCE" w14:textId="1F3C6CD3" w:rsidR="00A367A0" w:rsidRDefault="00A367A0">
      <w:pPr>
        <w:pStyle w:val="TOC2"/>
        <w:rPr>
          <w:rFonts w:asciiTheme="minorHAnsi" w:eastAsiaTheme="minorEastAsia" w:hAnsiTheme="minorHAnsi" w:cstheme="minorBidi"/>
          <w:noProof/>
          <w:kern w:val="2"/>
          <w:lang w:eastAsia="en-GB"/>
          <w14:ligatures w14:val="standardContextual"/>
        </w:rPr>
      </w:pPr>
      <w:hyperlink w:anchor="_Toc217379074" w:history="1">
        <w:r w:rsidRPr="00052620">
          <w:rPr>
            <w:rStyle w:val="Hyperlink"/>
            <w:noProof/>
          </w:rPr>
          <w:t>6.1 Diagram of Explosive Train</w:t>
        </w:r>
        <w:r>
          <w:rPr>
            <w:noProof/>
            <w:webHidden/>
          </w:rPr>
          <w:tab/>
        </w:r>
        <w:r>
          <w:rPr>
            <w:noProof/>
            <w:webHidden/>
          </w:rPr>
          <w:fldChar w:fldCharType="begin"/>
        </w:r>
        <w:r>
          <w:rPr>
            <w:noProof/>
            <w:webHidden/>
          </w:rPr>
          <w:instrText xml:space="preserve"> PAGEREF _Toc217379074 \h </w:instrText>
        </w:r>
        <w:r>
          <w:rPr>
            <w:noProof/>
            <w:webHidden/>
          </w:rPr>
        </w:r>
        <w:r>
          <w:rPr>
            <w:noProof/>
            <w:webHidden/>
          </w:rPr>
          <w:fldChar w:fldCharType="separate"/>
        </w:r>
        <w:r w:rsidR="003A1C49">
          <w:rPr>
            <w:noProof/>
            <w:webHidden/>
          </w:rPr>
          <w:t>15</w:t>
        </w:r>
        <w:r>
          <w:rPr>
            <w:noProof/>
            <w:webHidden/>
          </w:rPr>
          <w:fldChar w:fldCharType="end"/>
        </w:r>
      </w:hyperlink>
    </w:p>
    <w:p w14:paraId="5AC0459C" w14:textId="44BAF734" w:rsidR="00A367A0" w:rsidRDefault="00A367A0">
      <w:pPr>
        <w:pStyle w:val="TOC1"/>
        <w:rPr>
          <w:rFonts w:asciiTheme="minorHAnsi" w:eastAsiaTheme="minorEastAsia" w:hAnsiTheme="minorHAnsi" w:cstheme="minorBidi"/>
          <w:kern w:val="2"/>
          <w:lang w:eastAsia="en-GB"/>
          <w14:ligatures w14:val="standardContextual"/>
        </w:rPr>
      </w:pPr>
      <w:hyperlink w:anchor="_Toc217379075" w:history="1">
        <w:r w:rsidRPr="00052620">
          <w:rPr>
            <w:rStyle w:val="Hyperlink"/>
          </w:rPr>
          <w:t>7 Conclusion</w:t>
        </w:r>
        <w:r>
          <w:rPr>
            <w:webHidden/>
          </w:rPr>
          <w:tab/>
        </w:r>
        <w:r>
          <w:rPr>
            <w:webHidden/>
          </w:rPr>
          <w:fldChar w:fldCharType="begin"/>
        </w:r>
        <w:r>
          <w:rPr>
            <w:webHidden/>
          </w:rPr>
          <w:instrText xml:space="preserve"> PAGEREF _Toc217379075 \h </w:instrText>
        </w:r>
        <w:r>
          <w:rPr>
            <w:webHidden/>
          </w:rPr>
        </w:r>
        <w:r>
          <w:rPr>
            <w:webHidden/>
          </w:rPr>
          <w:fldChar w:fldCharType="separate"/>
        </w:r>
        <w:r w:rsidR="003A1C49">
          <w:rPr>
            <w:webHidden/>
          </w:rPr>
          <w:t>17</w:t>
        </w:r>
        <w:r>
          <w:rPr>
            <w:webHidden/>
          </w:rPr>
          <w:fldChar w:fldCharType="end"/>
        </w:r>
      </w:hyperlink>
    </w:p>
    <w:p w14:paraId="1D3B6058" w14:textId="49DC9DF8" w:rsidR="00A367A0" w:rsidRDefault="00A367A0">
      <w:pPr>
        <w:pStyle w:val="TOC1"/>
        <w:rPr>
          <w:rFonts w:asciiTheme="minorHAnsi" w:eastAsiaTheme="minorEastAsia" w:hAnsiTheme="minorHAnsi" w:cstheme="minorBidi"/>
          <w:kern w:val="2"/>
          <w:lang w:eastAsia="en-GB"/>
          <w14:ligatures w14:val="standardContextual"/>
        </w:rPr>
      </w:pPr>
      <w:hyperlink w:anchor="_Toc217379076" w:history="1">
        <w:r w:rsidRPr="00052620">
          <w:rPr>
            <w:rStyle w:val="Hyperlink"/>
          </w:rPr>
          <w:t>8 References</w:t>
        </w:r>
        <w:r>
          <w:rPr>
            <w:webHidden/>
          </w:rPr>
          <w:tab/>
        </w:r>
        <w:r>
          <w:rPr>
            <w:webHidden/>
          </w:rPr>
          <w:fldChar w:fldCharType="begin"/>
        </w:r>
        <w:r>
          <w:rPr>
            <w:webHidden/>
          </w:rPr>
          <w:instrText xml:space="preserve"> PAGEREF _Toc217379076 \h </w:instrText>
        </w:r>
        <w:r>
          <w:rPr>
            <w:webHidden/>
          </w:rPr>
        </w:r>
        <w:r>
          <w:rPr>
            <w:webHidden/>
          </w:rPr>
          <w:fldChar w:fldCharType="separate"/>
        </w:r>
        <w:r w:rsidR="003A1C49">
          <w:rPr>
            <w:webHidden/>
          </w:rPr>
          <w:t>18</w:t>
        </w:r>
        <w:r>
          <w:rPr>
            <w:webHidden/>
          </w:rPr>
          <w:fldChar w:fldCharType="end"/>
        </w:r>
      </w:hyperlink>
    </w:p>
    <w:p w14:paraId="1E0A1994" w14:textId="09EBCE50"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3" w:name="_Toc51833371"/>
      <w:bookmarkStart w:id="14" w:name="_Toc290554220"/>
      <w:bookmarkStart w:id="15" w:name="_Toc299621185"/>
      <w:bookmarkStart w:id="16" w:name="_Toc299631413"/>
      <w:bookmarkStart w:id="17" w:name="_Toc299631473"/>
      <w:bookmarkStart w:id="18" w:name="_Toc299631563"/>
      <w:bookmarkStart w:id="19" w:name="_Toc299631640"/>
      <w:r>
        <w:br w:type="page"/>
      </w:r>
    </w:p>
    <w:p w14:paraId="77601812" w14:textId="71C222B3" w:rsidR="00DA28B2" w:rsidRDefault="005E3ACA" w:rsidP="00DA28B2">
      <w:pPr>
        <w:pStyle w:val="Heading1"/>
        <w:numPr>
          <w:ilvl w:val="0"/>
          <w:numId w:val="0"/>
        </w:numPr>
      </w:pPr>
      <w:bookmarkStart w:id="20" w:name="_Ref137801750"/>
      <w:bookmarkStart w:id="21" w:name="_Toc217379055"/>
      <w:r>
        <w:lastRenderedPageBreak/>
        <w:t xml:space="preserve">List of </w:t>
      </w:r>
      <w:r w:rsidR="004C2C9C">
        <w:t>F</w:t>
      </w:r>
      <w:r>
        <w:t>igures</w:t>
      </w:r>
      <w:bookmarkEnd w:id="13"/>
      <w:bookmarkEnd w:id="14"/>
      <w:bookmarkEnd w:id="15"/>
      <w:bookmarkEnd w:id="16"/>
      <w:bookmarkEnd w:id="17"/>
      <w:bookmarkEnd w:id="18"/>
      <w:bookmarkEnd w:id="19"/>
      <w:bookmarkEnd w:id="20"/>
      <w:bookmarkEnd w:id="21"/>
    </w:p>
    <w:p w14:paraId="7C308FB3" w14:textId="0549CD7F" w:rsidR="00A367A0"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17379077" w:history="1">
        <w:r w:rsidR="00A367A0" w:rsidRPr="00691D5A">
          <w:rPr>
            <w:rStyle w:val="Hyperlink"/>
            <w:noProof/>
          </w:rPr>
          <w:t>Figure 1 – the Kistiakowsky-Wilson rules [3].</w:t>
        </w:r>
        <w:r w:rsidR="00A367A0">
          <w:rPr>
            <w:noProof/>
            <w:webHidden/>
          </w:rPr>
          <w:tab/>
        </w:r>
        <w:r w:rsidR="00A367A0">
          <w:rPr>
            <w:noProof/>
            <w:webHidden/>
          </w:rPr>
          <w:fldChar w:fldCharType="begin"/>
        </w:r>
        <w:r w:rsidR="00A367A0">
          <w:rPr>
            <w:noProof/>
            <w:webHidden/>
          </w:rPr>
          <w:instrText xml:space="preserve"> PAGEREF _Toc217379077 \h </w:instrText>
        </w:r>
        <w:r w:rsidR="00A367A0">
          <w:rPr>
            <w:noProof/>
            <w:webHidden/>
          </w:rPr>
        </w:r>
        <w:r w:rsidR="00A367A0">
          <w:rPr>
            <w:noProof/>
            <w:webHidden/>
          </w:rPr>
          <w:fldChar w:fldCharType="separate"/>
        </w:r>
        <w:r w:rsidR="003A1C49">
          <w:rPr>
            <w:noProof/>
            <w:webHidden/>
          </w:rPr>
          <w:t>8</w:t>
        </w:r>
        <w:r w:rsidR="00A367A0">
          <w:rPr>
            <w:noProof/>
            <w:webHidden/>
          </w:rPr>
          <w:fldChar w:fldCharType="end"/>
        </w:r>
      </w:hyperlink>
    </w:p>
    <w:p w14:paraId="6E05C0AF" w14:textId="408A6A49" w:rsidR="00A367A0" w:rsidRDefault="00A367A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7379078" w:history="1">
        <w:r w:rsidRPr="00691D5A">
          <w:rPr>
            <w:rStyle w:val="Hyperlink"/>
            <w:noProof/>
          </w:rPr>
          <w:t>Figure 2 – the modified Kistiakowsky-Wilson rules [3].</w:t>
        </w:r>
        <w:r>
          <w:rPr>
            <w:noProof/>
            <w:webHidden/>
          </w:rPr>
          <w:tab/>
        </w:r>
        <w:r>
          <w:rPr>
            <w:noProof/>
            <w:webHidden/>
          </w:rPr>
          <w:fldChar w:fldCharType="begin"/>
        </w:r>
        <w:r>
          <w:rPr>
            <w:noProof/>
            <w:webHidden/>
          </w:rPr>
          <w:instrText xml:space="preserve"> PAGEREF _Toc217379078 \h </w:instrText>
        </w:r>
        <w:r>
          <w:rPr>
            <w:noProof/>
            <w:webHidden/>
          </w:rPr>
        </w:r>
        <w:r>
          <w:rPr>
            <w:noProof/>
            <w:webHidden/>
          </w:rPr>
          <w:fldChar w:fldCharType="separate"/>
        </w:r>
        <w:r w:rsidR="003A1C49">
          <w:rPr>
            <w:noProof/>
            <w:webHidden/>
          </w:rPr>
          <w:t>8</w:t>
        </w:r>
        <w:r>
          <w:rPr>
            <w:noProof/>
            <w:webHidden/>
          </w:rPr>
          <w:fldChar w:fldCharType="end"/>
        </w:r>
      </w:hyperlink>
    </w:p>
    <w:p w14:paraId="6DBDE0BF" w14:textId="6F36E53F" w:rsidR="00A367A0" w:rsidRDefault="00A367A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7379079" w:history="1">
        <w:r w:rsidRPr="00691D5A">
          <w:rPr>
            <w:rStyle w:val="Hyperlink"/>
            <w:noProof/>
          </w:rPr>
          <w:t>Figure 3 – Diagram of an explosive train with measurements for chosen explosives</w:t>
        </w:r>
        <w:r>
          <w:rPr>
            <w:noProof/>
            <w:webHidden/>
          </w:rPr>
          <w:tab/>
        </w:r>
        <w:r>
          <w:rPr>
            <w:noProof/>
            <w:webHidden/>
          </w:rPr>
          <w:fldChar w:fldCharType="begin"/>
        </w:r>
        <w:r>
          <w:rPr>
            <w:noProof/>
            <w:webHidden/>
          </w:rPr>
          <w:instrText xml:space="preserve"> PAGEREF _Toc217379079 \h </w:instrText>
        </w:r>
        <w:r>
          <w:rPr>
            <w:noProof/>
            <w:webHidden/>
          </w:rPr>
        </w:r>
        <w:r>
          <w:rPr>
            <w:noProof/>
            <w:webHidden/>
          </w:rPr>
          <w:fldChar w:fldCharType="separate"/>
        </w:r>
        <w:r w:rsidR="003A1C49">
          <w:rPr>
            <w:noProof/>
            <w:webHidden/>
          </w:rPr>
          <w:t>15</w:t>
        </w:r>
        <w:r>
          <w:rPr>
            <w:noProof/>
            <w:webHidden/>
          </w:rPr>
          <w:fldChar w:fldCharType="end"/>
        </w:r>
      </w:hyperlink>
    </w:p>
    <w:p w14:paraId="0F746612" w14:textId="2864043D" w:rsidR="00DA28B2" w:rsidRDefault="00B765F2" w:rsidP="004D73AB">
      <w:r>
        <w:fldChar w:fldCharType="end"/>
      </w:r>
      <w:bookmarkStart w:id="22" w:name="_Toc51833373"/>
    </w:p>
    <w:p w14:paraId="7F7C6B8B" w14:textId="77777777" w:rsidR="005C0AF1" w:rsidRDefault="005C0AF1" w:rsidP="00AE480E">
      <w:bookmarkStart w:id="23" w:name="_Toc290554222"/>
      <w:bookmarkStart w:id="24" w:name="_Toc299621187"/>
      <w:bookmarkStart w:id="25" w:name="_Toc299631415"/>
      <w:bookmarkStart w:id="26" w:name="_Toc299631475"/>
      <w:bookmarkStart w:id="27" w:name="_Toc299631565"/>
      <w:bookmarkStart w:id="28" w:name="_Toc299631642"/>
      <w:r>
        <w:br w:type="page"/>
      </w:r>
    </w:p>
    <w:p w14:paraId="6336BDBD" w14:textId="1C748BFD" w:rsidR="00DA28B2" w:rsidRDefault="005E3ACA" w:rsidP="00DA28B2">
      <w:pPr>
        <w:pStyle w:val="Heading1nonumber"/>
      </w:pPr>
      <w:bookmarkStart w:id="29" w:name="_Toc217379056"/>
      <w:r>
        <w:lastRenderedPageBreak/>
        <w:t xml:space="preserve">List of </w:t>
      </w:r>
      <w:r w:rsidR="004C2C9C">
        <w:t>E</w:t>
      </w:r>
      <w:r>
        <w:t>quations</w:t>
      </w:r>
      <w:bookmarkEnd w:id="22"/>
      <w:bookmarkEnd w:id="23"/>
      <w:bookmarkEnd w:id="24"/>
      <w:bookmarkEnd w:id="25"/>
      <w:bookmarkEnd w:id="26"/>
      <w:bookmarkEnd w:id="27"/>
      <w:bookmarkEnd w:id="28"/>
      <w:bookmarkEnd w:id="29"/>
    </w:p>
    <w:p w14:paraId="1084F870" w14:textId="75EEE290" w:rsidR="00A367A0"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217379080" w:history="1">
        <w:r w:rsidR="00A367A0" w:rsidRPr="00BD2F3E">
          <w:rPr>
            <w:rStyle w:val="Hyperlink"/>
            <w:noProof/>
          </w:rPr>
          <w:t>Equation 1 – Oxygen balance</w:t>
        </w:r>
        <w:r w:rsidR="00A367A0">
          <w:rPr>
            <w:noProof/>
            <w:webHidden/>
          </w:rPr>
          <w:tab/>
        </w:r>
        <w:r w:rsidR="00A367A0">
          <w:rPr>
            <w:noProof/>
            <w:webHidden/>
          </w:rPr>
          <w:fldChar w:fldCharType="begin"/>
        </w:r>
        <w:r w:rsidR="00A367A0">
          <w:rPr>
            <w:noProof/>
            <w:webHidden/>
          </w:rPr>
          <w:instrText xml:space="preserve"> PAGEREF _Toc217379080 \h </w:instrText>
        </w:r>
        <w:r w:rsidR="00A367A0">
          <w:rPr>
            <w:noProof/>
            <w:webHidden/>
          </w:rPr>
        </w:r>
        <w:r w:rsidR="00A367A0">
          <w:rPr>
            <w:noProof/>
            <w:webHidden/>
          </w:rPr>
          <w:fldChar w:fldCharType="separate"/>
        </w:r>
        <w:r w:rsidR="003A1C49">
          <w:rPr>
            <w:noProof/>
            <w:webHidden/>
          </w:rPr>
          <w:t>8</w:t>
        </w:r>
        <w:r w:rsidR="00A367A0">
          <w:rPr>
            <w:noProof/>
            <w:webHidden/>
          </w:rPr>
          <w:fldChar w:fldCharType="end"/>
        </w:r>
      </w:hyperlink>
    </w:p>
    <w:p w14:paraId="583BA505" w14:textId="289997BD" w:rsidR="00A367A0" w:rsidRDefault="00A367A0">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7379081" w:history="1">
        <w:r w:rsidRPr="00BD2F3E">
          <w:rPr>
            <w:rStyle w:val="Hyperlink"/>
            <w:noProof/>
          </w:rPr>
          <w:t xml:space="preserve">Equation 2 – Conversion of </w:t>
        </w:r>
        <m:oMath>
          <m:r>
            <m:rPr>
              <m:sty m:val="bi"/>
            </m:rPr>
            <w:rPr>
              <w:rStyle w:val="Hyperlink"/>
              <w:rFonts w:ascii="Cambria Math" w:hAnsi="Cambria Math"/>
              <w:noProof/>
            </w:rPr>
            <m:t>kcalmol</m:t>
          </m:r>
          <m:r>
            <w:rPr>
              <w:rStyle w:val="Hyperlink"/>
              <w:rFonts w:ascii="Cambria Math" w:hAnsi="Cambria Math"/>
              <w:noProof/>
            </w:rPr>
            <m:t>-</m:t>
          </m:r>
          <m:r>
            <m:rPr>
              <m:sty m:val="bi"/>
            </m:rPr>
            <w:rPr>
              <w:rStyle w:val="Hyperlink"/>
              <w:rFonts w:ascii="Cambria Math" w:hAnsi="Cambria Math"/>
              <w:noProof/>
            </w:rPr>
            <m:t>1</m:t>
          </m:r>
        </m:oMath>
        <w:r w:rsidRPr="00BD2F3E">
          <w:rPr>
            <w:rStyle w:val="Hyperlink"/>
            <w:noProof/>
          </w:rPr>
          <w:t xml:space="preserve"> to </w:t>
        </w:r>
        <m:oMath>
          <m:r>
            <m:rPr>
              <m:sty m:val="bi"/>
            </m:rPr>
            <w:rPr>
              <w:rStyle w:val="Hyperlink"/>
              <w:rFonts w:ascii="Cambria Math" w:hAnsi="Cambria Math"/>
              <w:noProof/>
            </w:rPr>
            <m:t>kJg</m:t>
          </m:r>
          <m:r>
            <w:rPr>
              <w:rStyle w:val="Hyperlink"/>
              <w:rFonts w:ascii="Cambria Math" w:hAnsi="Cambria Math"/>
              <w:noProof/>
            </w:rPr>
            <m:t>-</m:t>
          </m:r>
          <m:r>
            <m:rPr>
              <m:sty m:val="bi"/>
            </m:rPr>
            <w:rPr>
              <w:rStyle w:val="Hyperlink"/>
              <w:rFonts w:ascii="Cambria Math" w:hAnsi="Cambria Math"/>
              <w:noProof/>
            </w:rPr>
            <m:t>1</m:t>
          </m:r>
        </m:oMath>
        <w:r>
          <w:rPr>
            <w:noProof/>
            <w:webHidden/>
          </w:rPr>
          <w:tab/>
        </w:r>
        <w:r>
          <w:rPr>
            <w:noProof/>
            <w:webHidden/>
          </w:rPr>
          <w:fldChar w:fldCharType="begin"/>
        </w:r>
        <w:r>
          <w:rPr>
            <w:noProof/>
            <w:webHidden/>
          </w:rPr>
          <w:instrText xml:space="preserve"> PAGEREF _Toc217379081 \h </w:instrText>
        </w:r>
        <w:r>
          <w:rPr>
            <w:noProof/>
            <w:webHidden/>
          </w:rPr>
        </w:r>
        <w:r>
          <w:rPr>
            <w:noProof/>
            <w:webHidden/>
          </w:rPr>
          <w:fldChar w:fldCharType="separate"/>
        </w:r>
        <w:r w:rsidR="003A1C49">
          <w:rPr>
            <w:noProof/>
            <w:webHidden/>
          </w:rPr>
          <w:t>10</w:t>
        </w:r>
        <w:r>
          <w:rPr>
            <w:noProof/>
            <w:webHidden/>
          </w:rPr>
          <w:fldChar w:fldCharType="end"/>
        </w:r>
      </w:hyperlink>
    </w:p>
    <w:p w14:paraId="68DE18A2" w14:textId="0336A3D6"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30" w:name="_Toc217379057"/>
      <w:r>
        <w:lastRenderedPageBreak/>
        <w:t xml:space="preserve">List of </w:t>
      </w:r>
      <w:r w:rsidR="004C2C9C">
        <w:t>A</w:t>
      </w:r>
      <w:r>
        <w:t>bbreviations</w:t>
      </w:r>
      <w:bookmarkEnd w:id="3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2"/>
        <w:gridCol w:w="7142"/>
      </w:tblGrid>
      <w:tr w:rsidR="00361EFD" w14:paraId="4AAA4B8D" w14:textId="77777777" w:rsidTr="002A5491">
        <w:tc>
          <w:tcPr>
            <w:tcW w:w="1384" w:type="dxa"/>
          </w:tcPr>
          <w:p w14:paraId="4254CD6F" w14:textId="05D4C828" w:rsidR="00A55004" w:rsidRDefault="00A55004" w:rsidP="00361EFD">
            <w:pPr>
              <w:pStyle w:val="TableText"/>
            </w:pPr>
            <w:r>
              <w:t>FOI</w:t>
            </w:r>
          </w:p>
          <w:p w14:paraId="12411BF7" w14:textId="06F2A164" w:rsidR="00814529" w:rsidRDefault="00814529" w:rsidP="00361EFD">
            <w:pPr>
              <w:pStyle w:val="TableText"/>
            </w:pPr>
            <w:r>
              <w:t>TMD</w:t>
            </w:r>
          </w:p>
          <w:p w14:paraId="3D5A34C1" w14:textId="3C3D4E0A" w:rsidR="00F617CB" w:rsidRDefault="00F617CB" w:rsidP="00F617CB">
            <w:pPr>
              <w:pStyle w:val="TableText"/>
            </w:pPr>
            <w:r>
              <w:t>ESD</w:t>
            </w:r>
          </w:p>
          <w:p w14:paraId="1EE5DFDB" w14:textId="7268C33B" w:rsidR="002920A8" w:rsidRDefault="002920A8" w:rsidP="00361EFD">
            <w:pPr>
              <w:pStyle w:val="TableText"/>
            </w:pPr>
            <w:r>
              <w:t>OME</w:t>
            </w:r>
          </w:p>
          <w:p w14:paraId="2CFBC5D5" w14:textId="6B861784" w:rsidR="00361EFD" w:rsidRDefault="00417E77" w:rsidP="00361EFD">
            <w:pPr>
              <w:pStyle w:val="TableText"/>
            </w:pPr>
            <w:r>
              <w:t>VoD</w:t>
            </w:r>
          </w:p>
        </w:tc>
        <w:tc>
          <w:tcPr>
            <w:tcW w:w="7336" w:type="dxa"/>
          </w:tcPr>
          <w:p w14:paraId="1D193816" w14:textId="12AB5147" w:rsidR="00A55004" w:rsidRDefault="00A55004" w:rsidP="00361EFD">
            <w:pPr>
              <w:pStyle w:val="TableText"/>
            </w:pPr>
            <w:r>
              <w:t>Figure of Insensitiveness</w:t>
            </w:r>
          </w:p>
          <w:p w14:paraId="44582F18" w14:textId="7A0FC317" w:rsidR="00814529" w:rsidRDefault="00814529" w:rsidP="00361EFD">
            <w:pPr>
              <w:pStyle w:val="TableText"/>
            </w:pPr>
            <w:r>
              <w:t>Theoretical Maximum Density</w:t>
            </w:r>
          </w:p>
          <w:p w14:paraId="3E9A7BB7" w14:textId="69BCD90A" w:rsidR="00F617CB" w:rsidRDefault="00F617CB" w:rsidP="00F617CB">
            <w:pPr>
              <w:pStyle w:val="TableText"/>
            </w:pPr>
            <w:r>
              <w:t>Electrostatic Discharge</w:t>
            </w:r>
          </w:p>
          <w:p w14:paraId="5A0E0B56" w14:textId="383F3876" w:rsidR="002920A8" w:rsidRDefault="002920A8" w:rsidP="00361EFD">
            <w:pPr>
              <w:pStyle w:val="TableText"/>
            </w:pPr>
            <w:r>
              <w:t>Ordnance, Munitions and Explosives</w:t>
            </w:r>
          </w:p>
          <w:p w14:paraId="51E14895" w14:textId="25262B4F" w:rsidR="00361EFD" w:rsidRDefault="00417E77" w:rsidP="00361EFD">
            <w:pPr>
              <w:pStyle w:val="TableText"/>
            </w:pPr>
            <w:r>
              <w:t>Velocity of Detonation</w:t>
            </w:r>
          </w:p>
        </w:tc>
      </w:tr>
      <w:tr w:rsidR="00361EFD" w14:paraId="0FA31D44" w14:textId="77777777" w:rsidTr="002A5491">
        <w:tc>
          <w:tcPr>
            <w:tcW w:w="1384" w:type="dxa"/>
          </w:tcPr>
          <w:p w14:paraId="02214EBF" w14:textId="77777777" w:rsidR="00361EFD" w:rsidRDefault="00361EFD" w:rsidP="00361EFD">
            <w:pPr>
              <w:pStyle w:val="TableText"/>
            </w:pPr>
          </w:p>
        </w:tc>
        <w:tc>
          <w:tcPr>
            <w:tcW w:w="7336" w:type="dxa"/>
          </w:tcPr>
          <w:p w14:paraId="52D6A5CA" w14:textId="77777777"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cols w:space="708"/>
          <w:docGrid w:linePitch="360"/>
        </w:sectPr>
      </w:pPr>
    </w:p>
    <w:p w14:paraId="7512D5CE" w14:textId="33140C24" w:rsidR="006A4B40" w:rsidRDefault="00917DD5" w:rsidP="006A4B40">
      <w:pPr>
        <w:pStyle w:val="Heading1"/>
      </w:pPr>
      <w:bookmarkStart w:id="31" w:name="_Toc217379058"/>
      <w:r>
        <w:lastRenderedPageBreak/>
        <w:t>Introduction</w:t>
      </w:r>
      <w:bookmarkEnd w:id="31"/>
    </w:p>
    <w:p w14:paraId="2522A865" w14:textId="1F9591E8" w:rsidR="00C2171B" w:rsidRDefault="00C2171B" w:rsidP="00C2171B">
      <w:pPr>
        <w:pStyle w:val="Heading2"/>
      </w:pPr>
      <w:bookmarkStart w:id="32" w:name="_Toc217379059"/>
      <w:r>
        <w:t>Background Information on Explosives</w:t>
      </w:r>
      <w:bookmarkEnd w:id="32"/>
    </w:p>
    <w:p w14:paraId="1519948E" w14:textId="79252ADF" w:rsidR="00032EFE" w:rsidRPr="00032EFE" w:rsidRDefault="00032EFE" w:rsidP="00032EFE">
      <w:pPr>
        <w:pStyle w:val="Heading3"/>
      </w:pPr>
      <w:bookmarkStart w:id="33" w:name="_Toc217379060"/>
      <w:r>
        <w:t>History</w:t>
      </w:r>
      <w:bookmarkEnd w:id="33"/>
    </w:p>
    <w:p w14:paraId="5116656A" w14:textId="0F55CB5E" w:rsidR="00205704" w:rsidRDefault="00205704" w:rsidP="00205704">
      <w:r>
        <w:t xml:space="preserve">Explosives play an important role in </w:t>
      </w:r>
      <w:r w:rsidR="00F030D6">
        <w:t>various</w:t>
      </w:r>
      <w:r>
        <w:t xml:space="preserve"> industries in the modern day, and have done throughout </w:t>
      </w:r>
      <w:r w:rsidR="009804C0">
        <w:t xml:space="preserve">history, since black powder was first used in mining in 1650 </w:t>
      </w:r>
      <w:sdt>
        <w:sdtPr>
          <w:id w:val="1979636151"/>
          <w:citation/>
        </w:sdtPr>
        <w:sdtEndPr/>
        <w:sdtContent>
          <w:r w:rsidR="009804C0">
            <w:fldChar w:fldCharType="begin"/>
          </w:r>
          <w:r w:rsidR="009804C0">
            <w:instrText xml:space="preserve"> CITATION Zuk13 \l 2057 </w:instrText>
          </w:r>
          <w:r w:rsidR="009804C0">
            <w:fldChar w:fldCharType="separate"/>
          </w:r>
          <w:r w:rsidR="00A367A0">
            <w:rPr>
              <w:noProof/>
            </w:rPr>
            <w:t>[1]</w:t>
          </w:r>
          <w:r w:rsidR="009804C0">
            <w:fldChar w:fldCharType="end"/>
          </w:r>
        </w:sdtContent>
      </w:sdt>
      <w:r w:rsidR="009804C0">
        <w:t xml:space="preserve">. As time progressed, so did scientific knowledge on </w:t>
      </w:r>
      <w:r w:rsidR="006E7BE0">
        <w:t xml:space="preserve">the properties of </w:t>
      </w:r>
      <w:r w:rsidR="009804C0">
        <w:t>explosives, and with that their prevalence. As their use grew more widespread, the importance of understanding them became more crucial</w:t>
      </w:r>
      <w:r w:rsidR="006E7BE0">
        <w:t>.</w:t>
      </w:r>
    </w:p>
    <w:p w14:paraId="425D303A" w14:textId="2FC45F15" w:rsidR="00032EFE" w:rsidRDefault="00032EFE" w:rsidP="00032EFE">
      <w:pPr>
        <w:pStyle w:val="Heading3"/>
      </w:pPr>
      <w:bookmarkStart w:id="34" w:name="_Toc217379061"/>
      <w:r>
        <w:t>What is an Explosi</w:t>
      </w:r>
      <w:r w:rsidR="00857D66">
        <w:t>on</w:t>
      </w:r>
      <w:r>
        <w:t>?</w:t>
      </w:r>
      <w:bookmarkEnd w:id="34"/>
    </w:p>
    <w:p w14:paraId="1FADEF90" w14:textId="2A069CF9" w:rsidR="00B317FD" w:rsidRDefault="005C1405" w:rsidP="00B317FD">
      <w:r>
        <w:t xml:space="preserve">An explosion </w:t>
      </w:r>
      <w:r w:rsidR="00B96887">
        <w:t>can be</w:t>
      </w:r>
      <w:r>
        <w:t xml:space="preserve"> defined as a </w:t>
      </w:r>
      <w:r w:rsidR="0077450C">
        <w:t xml:space="preserve">rapid </w:t>
      </w:r>
      <w:r>
        <w:t xml:space="preserve">decomposition of a chemical system </w:t>
      </w:r>
      <w:r w:rsidR="00B96887">
        <w:t>that produces a</w:t>
      </w:r>
      <w:r w:rsidR="0077450C">
        <w:t>n</w:t>
      </w:r>
      <w:r w:rsidR="00B96887">
        <w:t xml:space="preserve"> expansion of heat and gas </w:t>
      </w:r>
      <w:sdt>
        <w:sdtPr>
          <w:id w:val="485057910"/>
          <w:citation/>
        </w:sdtPr>
        <w:sdtEndPr/>
        <w:sdtContent>
          <w:r w:rsidR="00B96887">
            <w:fldChar w:fldCharType="begin"/>
          </w:r>
          <w:r w:rsidR="00B96887">
            <w:instrText xml:space="preserve"> CITATION UKM20 \l 2057 </w:instrText>
          </w:r>
          <w:r w:rsidR="00B96887">
            <w:fldChar w:fldCharType="separate"/>
          </w:r>
          <w:r w:rsidR="00A367A0">
            <w:rPr>
              <w:noProof/>
            </w:rPr>
            <w:t>[2]</w:t>
          </w:r>
          <w:r w:rsidR="00B96887">
            <w:fldChar w:fldCharType="end"/>
          </w:r>
        </w:sdtContent>
      </w:sdt>
      <w:r w:rsidR="00B96887">
        <w:t>.</w:t>
      </w:r>
      <w:r w:rsidR="00975D2B">
        <w:t xml:space="preserve"> </w:t>
      </w:r>
      <w:r w:rsidR="00B317FD">
        <w:t xml:space="preserve">That chemical system that is capable of causing an explosion is then called an explosive. </w:t>
      </w:r>
    </w:p>
    <w:p w14:paraId="239F5FF3" w14:textId="6A78CD4B" w:rsidR="009770B4" w:rsidRDefault="009770B4" w:rsidP="009770B4">
      <w:r>
        <w:t xml:space="preserve">For a chemical explosive reaction to take place, there has to be oxygen present – this can be externally (in the surrounding atmosphere) or within the explosive compound. </w:t>
      </w:r>
      <w:r w:rsidR="00092119">
        <w:t>During an explosion, the explosive molecule decomposes</w:t>
      </w:r>
      <w:r w:rsidR="00516FC5">
        <w:t xml:space="preserve"> into its </w:t>
      </w:r>
      <w:r w:rsidR="00516FC5" w:rsidRPr="00B51A64">
        <w:t>constituent</w:t>
      </w:r>
      <w:r w:rsidR="00516FC5">
        <w:t xml:space="preserve"> atoms. The atoms then quickly rearrange into small, more stable molecules like carbon monoxide (</w:t>
      </w:r>
      <m:oMath>
        <m:r>
          <w:rPr>
            <w:rFonts w:ascii="Cambria Math" w:hAnsi="Cambria Math"/>
          </w:rPr>
          <m:t>CO</m:t>
        </m:r>
      </m:oMath>
      <w:r w:rsidR="00516FC5">
        <w:t>), water (</w:t>
      </w:r>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w:r w:rsidR="00516FC5">
        <w:t>), carbon dioxide (</w:t>
      </w:r>
      <m:oMath>
        <m:sSub>
          <m:sSubPr>
            <m:ctrlPr>
              <w:rPr>
                <w:rFonts w:ascii="Cambria Math" w:hAnsi="Cambria Math"/>
                <w:i/>
              </w:rPr>
            </m:ctrlPr>
          </m:sSubPr>
          <m:e>
            <m:r>
              <w:rPr>
                <w:rFonts w:ascii="Cambria Math" w:hAnsi="Cambria Math"/>
              </w:rPr>
              <m:t>CO</m:t>
            </m:r>
          </m:e>
          <m:sub>
            <m:r>
              <w:rPr>
                <w:rFonts w:ascii="Cambria Math" w:hAnsi="Cambria Math"/>
              </w:rPr>
              <m:t>2</m:t>
            </m:r>
          </m:sub>
        </m:sSub>
      </m:oMath>
      <w:r w:rsidR="00516FC5">
        <w:t>) and nitrogen (</w:t>
      </w:r>
      <m:oMath>
        <m:sSub>
          <m:sSubPr>
            <m:ctrlPr>
              <w:rPr>
                <w:rFonts w:ascii="Cambria Math" w:hAnsi="Cambria Math"/>
                <w:i/>
              </w:rPr>
            </m:ctrlPr>
          </m:sSubPr>
          <m:e>
            <m:r>
              <w:rPr>
                <w:rFonts w:ascii="Cambria Math" w:hAnsi="Cambria Math"/>
              </w:rPr>
              <m:t>N</m:t>
            </m:r>
          </m:e>
          <m:sub>
            <m:r>
              <w:rPr>
                <w:rFonts w:ascii="Cambria Math" w:hAnsi="Cambria Math"/>
              </w:rPr>
              <m:t>2</m:t>
            </m:r>
          </m:sub>
        </m:sSub>
      </m:oMath>
      <w:r w:rsidR="00516FC5">
        <w:t>)</w:t>
      </w:r>
      <w:r>
        <w:t xml:space="preserve"> </w:t>
      </w:r>
      <w:sdt>
        <w:sdtPr>
          <w:id w:val="1352758830"/>
          <w:citation/>
        </w:sdtPr>
        <w:sdtEndPr/>
        <w:sdtContent>
          <w:r>
            <w:fldChar w:fldCharType="begin"/>
          </w:r>
          <w:r>
            <w:instrText xml:space="preserve"> CITATION Jac22 \l 2057 </w:instrText>
          </w:r>
          <w:r>
            <w:fldChar w:fldCharType="separate"/>
          </w:r>
          <w:r w:rsidR="00A367A0">
            <w:rPr>
              <w:noProof/>
            </w:rPr>
            <w:t>[3]</w:t>
          </w:r>
          <w:r>
            <w:fldChar w:fldCharType="end"/>
          </w:r>
        </w:sdtContent>
      </w:sdt>
      <w:r w:rsidR="00516FC5">
        <w:t xml:space="preserve">. </w:t>
      </w:r>
      <w:r>
        <w:t>The amount of oxygen present determines t</w:t>
      </w:r>
      <w:r w:rsidR="00D326B1">
        <w:t xml:space="preserve">he array of these products </w:t>
      </w:r>
      <w:r>
        <w:t>as well as the energy output of the explosive.</w:t>
      </w:r>
    </w:p>
    <w:p w14:paraId="29531F27" w14:textId="6235155B" w:rsidR="00680C68" w:rsidRDefault="005D1B00" w:rsidP="00680C68">
      <w:r>
        <w:t>Th</w:t>
      </w:r>
      <w:r w:rsidR="009770B4">
        <w:t>is quantity of oxygen within an explosion is expressed in percentage of the molecular weight and is called the oxygen balance. The o</w:t>
      </w:r>
      <w:r>
        <w:t xml:space="preserve">xygen balance of an explosive compound is the amount of oxygen liberated as a result of complete </w:t>
      </w:r>
      <w:r w:rsidR="00B3644B">
        <w:t>con</w:t>
      </w:r>
      <w:r>
        <w:t xml:space="preserve">version of the explosive material into the earlier referenced </w:t>
      </w:r>
      <w:r w:rsidR="00B3644B">
        <w:t xml:space="preserve">products. This value can also be negative, which is when the amount of oxygen is insufficient for complete oxidation </w:t>
      </w:r>
      <w:sdt>
        <w:sdtPr>
          <w:id w:val="-784033567"/>
          <w:citation/>
        </w:sdtPr>
        <w:sdtEndPr/>
        <w:sdtContent>
          <w:r>
            <w:fldChar w:fldCharType="begin"/>
          </w:r>
          <w:r>
            <w:instrText xml:space="preserve"> CITATION Fre02 \l 2057 </w:instrText>
          </w:r>
          <w:r>
            <w:fldChar w:fldCharType="separate"/>
          </w:r>
          <w:r w:rsidR="00A367A0">
            <w:rPr>
              <w:noProof/>
            </w:rPr>
            <w:t>[4]</w:t>
          </w:r>
          <w:r>
            <w:fldChar w:fldCharType="end"/>
          </w:r>
        </w:sdtContent>
      </w:sdt>
      <w:r w:rsidR="00B3644B">
        <w:t>.</w:t>
      </w:r>
      <w:r w:rsidR="00402931">
        <w:t xml:space="preserve"> The closer an oxygen balance is to zero, the more desirable</w:t>
      </w:r>
      <w:r w:rsidR="009367D5">
        <w:t xml:space="preserve"> the explosive</w:t>
      </w:r>
      <w:r w:rsidR="00402931">
        <w:t>.</w:t>
      </w:r>
    </w:p>
    <w:p w14:paraId="02844F13" w14:textId="3D39E9F1" w:rsidR="00680C68" w:rsidRDefault="00680C68" w:rsidP="00680C68">
      <w:pPr>
        <w:pStyle w:val="Caption"/>
        <w:keepNext/>
      </w:pPr>
      <w:bookmarkStart w:id="35" w:name="_Toc217379080"/>
      <w:r>
        <w:lastRenderedPageBreak/>
        <w:t xml:space="preserve">Equation </w:t>
      </w:r>
      <w:r>
        <w:fldChar w:fldCharType="begin"/>
      </w:r>
      <w:r>
        <w:instrText xml:space="preserve"> SEQ Equation \* ARABIC </w:instrText>
      </w:r>
      <w:r>
        <w:fldChar w:fldCharType="separate"/>
      </w:r>
      <w:r w:rsidR="003A1C49">
        <w:rPr>
          <w:noProof/>
        </w:rPr>
        <w:t>1</w:t>
      </w:r>
      <w:r>
        <w:fldChar w:fldCharType="end"/>
      </w:r>
      <w:r>
        <w:t xml:space="preserve"> – Oxygen balance</w:t>
      </w:r>
      <w:bookmarkEnd w:id="35"/>
    </w:p>
    <w:p w14:paraId="72CA5CDA" w14:textId="5B50FBCF" w:rsidR="00FE7F1E" w:rsidRPr="00680C68" w:rsidRDefault="00FE7F1E" w:rsidP="00FE7F1E">
      <w:pPr>
        <w:rPr>
          <w:rFonts w:ascii="Times New Roman" w:eastAsiaTheme="minorEastAsia" w:hAnsi="Times New Roman"/>
        </w:rPr>
      </w:pPr>
      <m:oMathPara>
        <m:oMath>
          <m:r>
            <m:rPr>
              <m:sty m:val="p"/>
            </m:rPr>
            <w:rPr>
              <w:rFonts w:ascii="Cambria Math" w:hAnsi="Cambria Math"/>
            </w:rPr>
            <m:t>Ω</m:t>
          </m:r>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d-2a-</m:t>
                  </m:r>
                  <m:f>
                    <m:fPr>
                      <m:ctrlPr>
                        <w:rPr>
                          <w:rFonts w:ascii="Cambria Math" w:hAnsi="Cambria Math"/>
                          <w:i/>
                        </w:rPr>
                      </m:ctrlPr>
                    </m:fPr>
                    <m:num>
                      <m:r>
                        <w:rPr>
                          <w:rFonts w:ascii="Cambria Math" w:hAnsi="Cambria Math"/>
                        </w:rPr>
                        <m:t>b</m:t>
                      </m:r>
                    </m:num>
                    <m:den>
                      <m:r>
                        <w:rPr>
                          <w:rFonts w:ascii="Cambria Math" w:hAnsi="Cambria Math"/>
                        </w:rPr>
                        <m:t>2</m:t>
                      </m:r>
                    </m:den>
                  </m:f>
                </m:e>
              </m:d>
            </m:num>
            <m:den>
              <m:r>
                <w:rPr>
                  <w:rFonts w:ascii="Cambria Math" w:hAnsi="Cambria Math"/>
                </w:rPr>
                <m:t>MW</m:t>
              </m:r>
            </m:den>
          </m:f>
          <m:r>
            <w:rPr>
              <w:rFonts w:ascii="Cambria Math" w:eastAsiaTheme="minorEastAsia" w:hAnsi="Cambria Math"/>
            </w:rPr>
            <m:t>×1600</m:t>
          </m:r>
        </m:oMath>
      </m:oMathPara>
    </w:p>
    <w:p w14:paraId="40CB3F81" w14:textId="087F1ECB" w:rsidR="00680C68" w:rsidRDefault="00680C68" w:rsidP="00337C97">
      <w:pPr>
        <w:rPr>
          <w:sz w:val="22"/>
          <w:szCs w:val="22"/>
        </w:rPr>
      </w:pPr>
      <w:r>
        <w:t>Oxygen balance can be calculated using Equation 1, where</w:t>
      </w:r>
      <w:r w:rsidR="004216B9">
        <w:t xml:space="preserve"> </w:t>
      </w:r>
      <m:oMath>
        <m:r>
          <m:rPr>
            <m:sty m:val="p"/>
          </m:rPr>
          <w:rPr>
            <w:rFonts w:ascii="Cambria Math" w:hAnsi="Cambria Math"/>
          </w:rPr>
          <m:t>Ω</m:t>
        </m:r>
      </m:oMath>
      <w:r w:rsidR="00A62720">
        <w:t xml:space="preserve"> is oxygen balance, </w:t>
      </w:r>
      <w:r w:rsidR="00A62720">
        <w:rPr>
          <w:i/>
          <w:iCs/>
        </w:rPr>
        <w:t xml:space="preserve">MW </w:t>
      </w:r>
      <w:r w:rsidR="00A62720">
        <w:t>is molecular weight,</w:t>
      </w:r>
      <w:r>
        <w:t xml:space="preserve"> </w:t>
      </w:r>
      <w:r w:rsidRPr="00680C68">
        <w:rPr>
          <w:i/>
          <w:iCs/>
        </w:rPr>
        <w:t xml:space="preserve">a, b, c </w:t>
      </w:r>
      <w:r w:rsidRPr="00680C68">
        <w:t>and</w:t>
      </w:r>
      <w:r w:rsidRPr="00680C68">
        <w:rPr>
          <w:i/>
          <w:iCs/>
        </w:rPr>
        <w:t xml:space="preserve"> d </w:t>
      </w:r>
      <w:r>
        <w:t xml:space="preserve">correspond to the chemical formula of an explosive in the form </w:t>
      </w:r>
      <m:oMath>
        <m:sSub>
          <m:sSubPr>
            <m:ctrlPr>
              <w:rPr>
                <w:rFonts w:ascii="Cambria Math" w:hAnsi="Cambria Math"/>
                <w:i/>
                <w:sz w:val="22"/>
                <w:szCs w:val="22"/>
              </w:rPr>
            </m:ctrlPr>
          </m:sSubPr>
          <m:e>
            <m:r>
              <w:rPr>
                <w:rFonts w:ascii="Cambria Math" w:hAnsi="Cambria Math"/>
                <w:sz w:val="22"/>
                <w:szCs w:val="22"/>
              </w:rPr>
              <m:t>C</m:t>
            </m:r>
          </m:e>
          <m:sub>
            <m:r>
              <w:rPr>
                <w:rFonts w:ascii="Cambria Math" w:hAnsi="Cambria Math"/>
                <w:sz w:val="22"/>
                <w:szCs w:val="22"/>
              </w:rPr>
              <m:t>a</m:t>
            </m:r>
          </m:sub>
        </m:sSub>
        <m:sSub>
          <m:sSubPr>
            <m:ctrlPr>
              <w:rPr>
                <w:rFonts w:ascii="Cambria Math" w:hAnsi="Cambria Math"/>
                <w:i/>
                <w:sz w:val="22"/>
                <w:szCs w:val="22"/>
              </w:rPr>
            </m:ctrlPr>
          </m:sSubPr>
          <m:e>
            <m:r>
              <w:rPr>
                <w:rFonts w:ascii="Cambria Math" w:hAnsi="Cambria Math"/>
                <w:sz w:val="22"/>
                <w:szCs w:val="22"/>
              </w:rPr>
              <m:t>H</m:t>
            </m:r>
          </m:e>
          <m:sub>
            <m:r>
              <w:rPr>
                <w:rFonts w:ascii="Cambria Math" w:hAnsi="Cambria Math"/>
                <w:sz w:val="22"/>
                <w:szCs w:val="22"/>
              </w:rPr>
              <m:t>b</m:t>
            </m:r>
          </m:sub>
        </m:sSub>
        <m:sSub>
          <m:sSubPr>
            <m:ctrlPr>
              <w:rPr>
                <w:rFonts w:ascii="Cambria Math" w:hAnsi="Cambria Math"/>
                <w:i/>
                <w:sz w:val="22"/>
                <w:szCs w:val="22"/>
              </w:rPr>
            </m:ctrlPr>
          </m:sSubPr>
          <m:e>
            <m:r>
              <w:rPr>
                <w:rFonts w:ascii="Cambria Math" w:hAnsi="Cambria Math"/>
                <w:sz w:val="22"/>
                <w:szCs w:val="22"/>
              </w:rPr>
              <m:t>N</m:t>
            </m:r>
          </m:e>
          <m:sub>
            <m:r>
              <w:rPr>
                <w:rFonts w:ascii="Cambria Math" w:hAnsi="Cambria Math"/>
                <w:sz w:val="22"/>
                <w:szCs w:val="22"/>
              </w:rPr>
              <m:t>c</m:t>
            </m:r>
          </m:sub>
        </m:sSub>
        <m:sSub>
          <m:sSubPr>
            <m:ctrlPr>
              <w:rPr>
                <w:rFonts w:ascii="Cambria Math" w:hAnsi="Cambria Math"/>
                <w:i/>
                <w:sz w:val="22"/>
                <w:szCs w:val="22"/>
              </w:rPr>
            </m:ctrlPr>
          </m:sSubPr>
          <m:e>
            <m:r>
              <w:rPr>
                <w:rFonts w:ascii="Cambria Math" w:hAnsi="Cambria Math"/>
                <w:sz w:val="22"/>
                <w:szCs w:val="22"/>
              </w:rPr>
              <m:t>O</m:t>
            </m:r>
          </m:e>
          <m:sub>
            <m:r>
              <w:rPr>
                <w:rFonts w:ascii="Cambria Math" w:hAnsi="Cambria Math"/>
                <w:sz w:val="22"/>
                <w:szCs w:val="22"/>
              </w:rPr>
              <m:t>d</m:t>
            </m:r>
          </m:sub>
        </m:sSub>
      </m:oMath>
      <w:r w:rsidR="00337C97">
        <w:rPr>
          <w:sz w:val="22"/>
          <w:szCs w:val="22"/>
        </w:rPr>
        <w:t xml:space="preserve"> </w:t>
      </w:r>
      <w:sdt>
        <w:sdtPr>
          <w:rPr>
            <w:sz w:val="22"/>
            <w:szCs w:val="22"/>
          </w:rPr>
          <w:id w:val="-1497652154"/>
          <w:citation/>
        </w:sdtPr>
        <w:sdtEndPr/>
        <w:sdtContent>
          <w:r w:rsidR="00337C97">
            <w:rPr>
              <w:sz w:val="22"/>
              <w:szCs w:val="22"/>
            </w:rPr>
            <w:fldChar w:fldCharType="begin"/>
          </w:r>
          <w:r w:rsidR="00200445">
            <w:rPr>
              <w:sz w:val="22"/>
              <w:szCs w:val="22"/>
            </w:rPr>
            <w:instrText xml:space="preserve">CITATION Pau96 \l 2057 </w:instrText>
          </w:r>
          <w:r w:rsidR="00337C97">
            <w:rPr>
              <w:sz w:val="22"/>
              <w:szCs w:val="22"/>
            </w:rPr>
            <w:fldChar w:fldCharType="separate"/>
          </w:r>
          <w:r w:rsidR="00A367A0" w:rsidRPr="00A367A0">
            <w:rPr>
              <w:noProof/>
              <w:sz w:val="22"/>
              <w:szCs w:val="22"/>
            </w:rPr>
            <w:t>[5]</w:t>
          </w:r>
          <w:r w:rsidR="00337C97">
            <w:rPr>
              <w:sz w:val="22"/>
              <w:szCs w:val="22"/>
            </w:rPr>
            <w:fldChar w:fldCharType="end"/>
          </w:r>
        </w:sdtContent>
      </w:sdt>
      <w:r w:rsidR="00337C97">
        <w:rPr>
          <w:sz w:val="22"/>
          <w:szCs w:val="22"/>
        </w:rPr>
        <w:t>.</w:t>
      </w:r>
    </w:p>
    <w:p w14:paraId="7EAA7CBD" w14:textId="4BED6662" w:rsidR="004216B9" w:rsidRDefault="004216B9" w:rsidP="00A62720">
      <w:r>
        <w:t>There are two sets of rules that can be used to calculate which products are made from an explosive reaction</w:t>
      </w:r>
      <w:r w:rsidR="00A62720">
        <w:t xml:space="preserve"> where the oxygen balance is negative.</w:t>
      </w:r>
      <w:r>
        <w:t xml:space="preserve"> If the oxygen balance </w:t>
      </w:r>
      <w:r w:rsidR="00A62720">
        <w:t>is less than -40.0</w:t>
      </w:r>
      <w:r w:rsidR="009367D5">
        <w:t>0</w:t>
      </w:r>
      <w:r w:rsidR="00A62720">
        <w:t xml:space="preserve"> the Kistiakowsky-Wilson rules are used, and if the oxygen balance is greater than -40</w:t>
      </w:r>
      <w:r w:rsidR="009367D5">
        <w:t>.00</w:t>
      </w:r>
      <w:r w:rsidR="00A62720">
        <w:t xml:space="preserve"> the modified Kistiakowsky-Wilson rules are used </w:t>
      </w:r>
      <w:sdt>
        <w:sdtPr>
          <w:id w:val="1611464259"/>
          <w:citation/>
        </w:sdtPr>
        <w:sdtEndPr/>
        <w:sdtContent>
          <w:r w:rsidR="00A62720">
            <w:fldChar w:fldCharType="begin"/>
          </w:r>
          <w:r w:rsidR="00A62720">
            <w:instrText xml:space="preserve"> CITATION Jac22 \l 2057 </w:instrText>
          </w:r>
          <w:r w:rsidR="00A62720">
            <w:fldChar w:fldCharType="separate"/>
          </w:r>
          <w:r w:rsidR="00A367A0">
            <w:rPr>
              <w:noProof/>
            </w:rPr>
            <w:t>[3]</w:t>
          </w:r>
          <w:r w:rsidR="00A62720">
            <w:fldChar w:fldCharType="end"/>
          </w:r>
        </w:sdtContent>
      </w:sdt>
      <w:r w:rsidR="00A62720">
        <w:t>.</w:t>
      </w:r>
    </w:p>
    <w:p w14:paraId="03C418EE" w14:textId="77777777" w:rsidR="00A62720" w:rsidRDefault="00A62720" w:rsidP="00A62720">
      <w:pPr>
        <w:keepNext/>
      </w:pPr>
      <w:r w:rsidRPr="00A62720">
        <w:rPr>
          <w:noProof/>
        </w:rPr>
        <w:drawing>
          <wp:inline distT="0" distB="0" distL="0" distR="0" wp14:anchorId="33DAF02C" wp14:editId="4B552E29">
            <wp:extent cx="5400040" cy="944880"/>
            <wp:effectExtent l="0" t="0" r="0" b="7620"/>
            <wp:docPr id="289931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931678" name=""/>
                    <pic:cNvPicPr/>
                  </pic:nvPicPr>
                  <pic:blipFill>
                    <a:blip r:embed="rId25"/>
                    <a:stretch>
                      <a:fillRect/>
                    </a:stretch>
                  </pic:blipFill>
                  <pic:spPr>
                    <a:xfrm>
                      <a:off x="0" y="0"/>
                      <a:ext cx="5400040" cy="944880"/>
                    </a:xfrm>
                    <a:prstGeom prst="rect">
                      <a:avLst/>
                    </a:prstGeom>
                  </pic:spPr>
                </pic:pic>
              </a:graphicData>
            </a:graphic>
          </wp:inline>
        </w:drawing>
      </w:r>
    </w:p>
    <w:p w14:paraId="2435F021" w14:textId="74ABE749" w:rsidR="00A62720" w:rsidRDefault="00A62720" w:rsidP="00A62720">
      <w:pPr>
        <w:pStyle w:val="Caption"/>
      </w:pPr>
      <w:bookmarkStart w:id="36" w:name="_Toc217379077"/>
      <w:r>
        <w:t xml:space="preserve">Figure </w:t>
      </w:r>
      <w:r>
        <w:fldChar w:fldCharType="begin"/>
      </w:r>
      <w:r>
        <w:instrText xml:space="preserve"> SEQ Figure \* ARABIC </w:instrText>
      </w:r>
      <w:r>
        <w:fldChar w:fldCharType="separate"/>
      </w:r>
      <w:r w:rsidR="003A1C49">
        <w:rPr>
          <w:noProof/>
        </w:rPr>
        <w:t>1</w:t>
      </w:r>
      <w:r>
        <w:fldChar w:fldCharType="end"/>
      </w:r>
      <w:r>
        <w:t xml:space="preserve"> – the Kistiakowsky-Wilson rules </w:t>
      </w:r>
      <w:sdt>
        <w:sdtPr>
          <w:id w:val="-1720967752"/>
          <w:citation/>
        </w:sdtPr>
        <w:sdtEndPr/>
        <w:sdtContent>
          <w:r>
            <w:fldChar w:fldCharType="begin"/>
          </w:r>
          <w:r>
            <w:instrText xml:space="preserve"> CITATION Jac22 \l 2057 </w:instrText>
          </w:r>
          <w:r>
            <w:fldChar w:fldCharType="separate"/>
          </w:r>
          <w:r w:rsidR="00A367A0">
            <w:rPr>
              <w:noProof/>
            </w:rPr>
            <w:t>[3]</w:t>
          </w:r>
          <w:r>
            <w:fldChar w:fldCharType="end"/>
          </w:r>
        </w:sdtContent>
      </w:sdt>
      <w:r>
        <w:t>.</w:t>
      </w:r>
      <w:bookmarkEnd w:id="36"/>
    </w:p>
    <w:p w14:paraId="33820993" w14:textId="77777777" w:rsidR="00A62720" w:rsidRDefault="00A62720" w:rsidP="00A62720">
      <w:pPr>
        <w:keepNext/>
      </w:pPr>
      <w:r w:rsidRPr="00A62720">
        <w:rPr>
          <w:noProof/>
        </w:rPr>
        <w:drawing>
          <wp:inline distT="0" distB="0" distL="0" distR="0" wp14:anchorId="5741B66A" wp14:editId="417F88F6">
            <wp:extent cx="5400040" cy="1000760"/>
            <wp:effectExtent l="0" t="0" r="0" b="8890"/>
            <wp:docPr id="558649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649818" name=""/>
                    <pic:cNvPicPr/>
                  </pic:nvPicPr>
                  <pic:blipFill>
                    <a:blip r:embed="rId26"/>
                    <a:stretch>
                      <a:fillRect/>
                    </a:stretch>
                  </pic:blipFill>
                  <pic:spPr>
                    <a:xfrm>
                      <a:off x="0" y="0"/>
                      <a:ext cx="5400040" cy="1000760"/>
                    </a:xfrm>
                    <a:prstGeom prst="rect">
                      <a:avLst/>
                    </a:prstGeom>
                  </pic:spPr>
                </pic:pic>
              </a:graphicData>
            </a:graphic>
          </wp:inline>
        </w:drawing>
      </w:r>
    </w:p>
    <w:p w14:paraId="1C19334D" w14:textId="10A4D157" w:rsidR="00A62720" w:rsidRPr="00680C68" w:rsidRDefault="00A62720" w:rsidP="00A62720">
      <w:pPr>
        <w:pStyle w:val="Caption"/>
        <w:rPr>
          <w:sz w:val="24"/>
          <w:szCs w:val="24"/>
        </w:rPr>
      </w:pPr>
      <w:bookmarkStart w:id="37" w:name="_Toc217379078"/>
      <w:r>
        <w:t xml:space="preserve">Figure </w:t>
      </w:r>
      <w:r>
        <w:fldChar w:fldCharType="begin"/>
      </w:r>
      <w:r>
        <w:instrText xml:space="preserve"> SEQ Figure \* ARABIC </w:instrText>
      </w:r>
      <w:r>
        <w:fldChar w:fldCharType="separate"/>
      </w:r>
      <w:r w:rsidR="003A1C49">
        <w:rPr>
          <w:noProof/>
        </w:rPr>
        <w:t>2</w:t>
      </w:r>
      <w:r>
        <w:fldChar w:fldCharType="end"/>
      </w:r>
      <w:r>
        <w:t xml:space="preserve"> – the modified Kistiakowsky-Wilson rules </w:t>
      </w:r>
      <w:sdt>
        <w:sdtPr>
          <w:id w:val="1613174991"/>
          <w:citation/>
        </w:sdtPr>
        <w:sdtEndPr/>
        <w:sdtContent>
          <w:r>
            <w:fldChar w:fldCharType="begin"/>
          </w:r>
          <w:r>
            <w:instrText xml:space="preserve"> CITATION Jac22 \l 2057 </w:instrText>
          </w:r>
          <w:r>
            <w:fldChar w:fldCharType="separate"/>
          </w:r>
          <w:r w:rsidR="00A367A0">
            <w:rPr>
              <w:noProof/>
            </w:rPr>
            <w:t>[3]</w:t>
          </w:r>
          <w:r>
            <w:fldChar w:fldCharType="end"/>
          </w:r>
        </w:sdtContent>
      </w:sdt>
      <w:r>
        <w:t>.</w:t>
      </w:r>
      <w:bookmarkEnd w:id="37"/>
    </w:p>
    <w:p w14:paraId="2BF79FA5" w14:textId="38E39CD9" w:rsidR="00E15B2B" w:rsidRDefault="00494FD8" w:rsidP="00DA772C">
      <w:r>
        <w:t>There are several effects that can be fabricated with explosives. The most common</w:t>
      </w:r>
      <w:r w:rsidR="00DC1FC6">
        <w:t xml:space="preserve"> </w:t>
      </w:r>
      <w:r>
        <w:t>are blast, fragmentation</w:t>
      </w:r>
      <w:r w:rsidR="00DA5A71">
        <w:t xml:space="preserve"> and directed energy. These can be used in both military and commercial settings </w:t>
      </w:r>
      <w:sdt>
        <w:sdtPr>
          <w:id w:val="860475396"/>
          <w:citation/>
        </w:sdtPr>
        <w:sdtEndPr/>
        <w:sdtContent>
          <w:r w:rsidR="00DA5A71">
            <w:fldChar w:fldCharType="begin"/>
          </w:r>
          <w:r w:rsidR="00DA5A71">
            <w:instrText xml:space="preserve"> CITATION Zuk13 \l 2057 </w:instrText>
          </w:r>
          <w:r w:rsidR="00DA5A71">
            <w:fldChar w:fldCharType="separate"/>
          </w:r>
          <w:r w:rsidR="00A367A0">
            <w:rPr>
              <w:noProof/>
            </w:rPr>
            <w:t>[1]</w:t>
          </w:r>
          <w:r w:rsidR="00DA5A71">
            <w:fldChar w:fldCharType="end"/>
          </w:r>
        </w:sdtContent>
      </w:sdt>
      <w:r w:rsidR="00DA5A71">
        <w:t>.</w:t>
      </w:r>
    </w:p>
    <w:p w14:paraId="1C64DD76" w14:textId="20005E0D" w:rsidR="00857D66" w:rsidRDefault="00857D66" w:rsidP="00857D66">
      <w:pPr>
        <w:pStyle w:val="Heading3"/>
      </w:pPr>
      <w:bookmarkStart w:id="38" w:name="_Toc217379062"/>
      <w:r>
        <w:t>Detonation and Deflagration</w:t>
      </w:r>
      <w:bookmarkEnd w:id="38"/>
    </w:p>
    <w:p w14:paraId="2FD16D40" w14:textId="5B30FB56" w:rsidR="003163B5" w:rsidRDefault="003163B5" w:rsidP="00D665BC">
      <w:r>
        <w:t xml:space="preserve">For a chemical explosion to take place, it </w:t>
      </w:r>
      <w:r w:rsidR="00DE5D65">
        <w:t>has to either</w:t>
      </w:r>
      <w:r>
        <w:t xml:space="preserve"> detonate or deflagrate. </w:t>
      </w:r>
      <w:r w:rsidR="00DE5D65">
        <w:t xml:space="preserve">Combustion alone is not rapid enough </w:t>
      </w:r>
      <w:r w:rsidR="00AC347D">
        <w:t xml:space="preserve">to be classed </w:t>
      </w:r>
      <w:r w:rsidR="00DE5D65">
        <w:t>as an explosion</w:t>
      </w:r>
      <w:r w:rsidR="00891334">
        <w:t>, as the heat and gas dissipates without building up a shock front</w:t>
      </w:r>
      <w:r w:rsidR="00DE5D65">
        <w:t xml:space="preserve">. </w:t>
      </w:r>
      <w:r>
        <w:t xml:space="preserve">Detonation is </w:t>
      </w:r>
      <w:r w:rsidR="00DE5D65">
        <w:t xml:space="preserve">supersonic </w:t>
      </w:r>
      <w:r w:rsidR="00DE5D65">
        <w:lastRenderedPageBreak/>
        <w:t xml:space="preserve">and is caused by a shock front propagating into the explosive, which then heats the material via compression </w:t>
      </w:r>
      <w:sdt>
        <w:sdtPr>
          <w:id w:val="1108165432"/>
          <w:citation/>
        </w:sdtPr>
        <w:sdtEndPr/>
        <w:sdtContent>
          <w:r w:rsidR="00DE5D65">
            <w:fldChar w:fldCharType="begin"/>
          </w:r>
          <w:r w:rsidR="00DE5D65">
            <w:instrText xml:space="preserve"> CITATION Wil79 \l 2057 </w:instrText>
          </w:r>
          <w:r w:rsidR="00DE5D65">
            <w:fldChar w:fldCharType="separate"/>
          </w:r>
          <w:r w:rsidR="00A367A0">
            <w:rPr>
              <w:noProof/>
            </w:rPr>
            <w:t>[6]</w:t>
          </w:r>
          <w:r w:rsidR="00DE5D65">
            <w:fldChar w:fldCharType="end"/>
          </w:r>
        </w:sdtContent>
      </w:sdt>
      <w:r w:rsidR="00DE5D65">
        <w:t xml:space="preserve">. </w:t>
      </w:r>
      <w:r w:rsidR="00D665BC">
        <w:t xml:space="preserve">Deflagration is a shock front that travels at a subsonic speed – often referred to as a rapid combustion </w:t>
      </w:r>
      <w:sdt>
        <w:sdtPr>
          <w:id w:val="1564611467"/>
          <w:citation/>
        </w:sdtPr>
        <w:sdtEndPr/>
        <w:sdtContent>
          <w:r w:rsidR="00D665BC">
            <w:fldChar w:fldCharType="begin"/>
          </w:r>
          <w:r w:rsidR="00D665BC">
            <w:instrText xml:space="preserve"> CITATION Nol19 \l 2057 </w:instrText>
          </w:r>
          <w:r w:rsidR="00D665BC">
            <w:fldChar w:fldCharType="separate"/>
          </w:r>
          <w:r w:rsidR="00A367A0">
            <w:rPr>
              <w:noProof/>
            </w:rPr>
            <w:t>[7]</w:t>
          </w:r>
          <w:r w:rsidR="00D665BC">
            <w:fldChar w:fldCharType="end"/>
          </w:r>
        </w:sdtContent>
      </w:sdt>
      <w:r w:rsidR="00D665BC">
        <w:t>.</w:t>
      </w:r>
    </w:p>
    <w:p w14:paraId="445A372A" w14:textId="64C971C8" w:rsidR="00A65154" w:rsidRDefault="00331D68" w:rsidP="00DC1FC6">
      <w:pPr>
        <w:tabs>
          <w:tab w:val="left" w:pos="1060"/>
        </w:tabs>
      </w:pPr>
      <w:r>
        <w:t>Within the detonation wave there is an induction zone and a reaction zone. The induction zone i</w:t>
      </w:r>
      <w:r w:rsidR="00405661">
        <w:t xml:space="preserve">s </w:t>
      </w:r>
      <w:r>
        <w:t xml:space="preserve">where the endothermic reaction of the bonds breaking takes place. The reaction zone then follows </w:t>
      </w:r>
      <w:r w:rsidR="00405661">
        <w:t xml:space="preserve">the path behind the shock front, where the atoms form the product gases, building the pressure and pushing the shock front further into the unreacted explosive </w:t>
      </w:r>
      <w:sdt>
        <w:sdtPr>
          <w:id w:val="1295946153"/>
          <w:citation/>
        </w:sdtPr>
        <w:sdtEndPr/>
        <w:sdtContent>
          <w:r w:rsidR="00405661">
            <w:fldChar w:fldCharType="begin"/>
          </w:r>
          <w:r w:rsidR="00405661">
            <w:instrText xml:space="preserve"> CITATION CMT82 \l 2057 </w:instrText>
          </w:r>
          <w:r w:rsidR="00405661">
            <w:fldChar w:fldCharType="separate"/>
          </w:r>
          <w:r w:rsidR="00A367A0">
            <w:rPr>
              <w:noProof/>
            </w:rPr>
            <w:t>[8]</w:t>
          </w:r>
          <w:r w:rsidR="00405661">
            <w:fldChar w:fldCharType="end"/>
          </w:r>
        </w:sdtContent>
      </w:sdt>
      <w:r w:rsidR="00405661">
        <w:t>.</w:t>
      </w:r>
      <w:r w:rsidR="002B60B6">
        <w:t xml:space="preserve"> </w:t>
      </w:r>
    </w:p>
    <w:p w14:paraId="673B010C" w14:textId="59DDA739" w:rsidR="00DA772C" w:rsidRDefault="00DA772C" w:rsidP="00DA772C">
      <w:pPr>
        <w:pStyle w:val="Heading3"/>
      </w:pPr>
      <w:bookmarkStart w:id="39" w:name="_Toc217379063"/>
      <w:r>
        <w:t>Classifications of Explosives</w:t>
      </w:r>
      <w:bookmarkEnd w:id="39"/>
    </w:p>
    <w:p w14:paraId="6DB8A102" w14:textId="4A6E7C28" w:rsidR="00DA772C" w:rsidRPr="00DA772C" w:rsidRDefault="00DA772C" w:rsidP="0053377D">
      <w:r>
        <w:t xml:space="preserve">The different types of explosives can be split up into </w:t>
      </w:r>
      <w:r w:rsidR="009367D5">
        <w:t xml:space="preserve">categories </w:t>
      </w:r>
      <w:r>
        <w:t xml:space="preserve">based on whether they detonate of deflagrate when they are stimulated. If an explosive detonates it is called a high explosive, and if it deflagrates it is called a low explosive </w:t>
      </w:r>
      <w:sdt>
        <w:sdtPr>
          <w:id w:val="1131979599"/>
          <w:citation/>
        </w:sdtPr>
        <w:sdtEndPr/>
        <w:sdtContent>
          <w:r>
            <w:fldChar w:fldCharType="begin"/>
          </w:r>
          <w:r>
            <w:instrText xml:space="preserve"> CITATION Nor25 \l 2057 </w:instrText>
          </w:r>
          <w:r>
            <w:fldChar w:fldCharType="separate"/>
          </w:r>
          <w:r w:rsidR="00A367A0">
            <w:rPr>
              <w:noProof/>
            </w:rPr>
            <w:t>[9]</w:t>
          </w:r>
          <w:r>
            <w:fldChar w:fldCharType="end"/>
          </w:r>
        </w:sdtContent>
      </w:sdt>
      <w:r>
        <w:t xml:space="preserve">. </w:t>
      </w:r>
      <w:r w:rsidR="0053377D">
        <w:t xml:space="preserve">Some examples of a low explosive are propellants, such as nitrocellulose, and pyrotechnics, such as potassium chlorate. High explosives can be further separated into primary and secondary explosives </w:t>
      </w:r>
      <w:sdt>
        <w:sdtPr>
          <w:id w:val="-1508514892"/>
          <w:citation/>
        </w:sdtPr>
        <w:sdtEndPr/>
        <w:sdtContent>
          <w:r w:rsidR="0053377D">
            <w:fldChar w:fldCharType="begin"/>
          </w:r>
          <w:r w:rsidR="0053377D">
            <w:instrText xml:space="preserve"> CITATION Dhe19 \l 2057 </w:instrText>
          </w:r>
          <w:r w:rsidR="0053377D">
            <w:fldChar w:fldCharType="separate"/>
          </w:r>
          <w:r w:rsidR="00A367A0">
            <w:rPr>
              <w:noProof/>
            </w:rPr>
            <w:t>[10]</w:t>
          </w:r>
          <w:r w:rsidR="0053377D">
            <w:fldChar w:fldCharType="end"/>
          </w:r>
        </w:sdtContent>
      </w:sdt>
      <w:r w:rsidR="0053377D">
        <w:t xml:space="preserve">, and this is determined by an explosive’s figure of insensitiveness (FOI). If the FOI of an explosive is less than </w:t>
      </w:r>
      <w:r w:rsidR="00A55004">
        <w:t>fifty</w:t>
      </w:r>
      <w:r w:rsidR="0053377D">
        <w:t xml:space="preserve"> it is a primary explosive, and if it is greater than fifty it is a secondary. Some examples of primary explosives include lead azide and mercury fulminate, and some examples of secondary explosives include RDX and TNT.</w:t>
      </w:r>
    </w:p>
    <w:p w14:paraId="54E42AC4" w14:textId="21AC77AF" w:rsidR="008D34C3" w:rsidRDefault="008D34C3" w:rsidP="008D34C3">
      <w:pPr>
        <w:pStyle w:val="Heading2"/>
      </w:pPr>
      <w:bookmarkStart w:id="40" w:name="_Toc217379064"/>
      <w:r>
        <w:t>The</w:t>
      </w:r>
      <w:r w:rsidR="00C6117E">
        <w:t>sis Statement</w:t>
      </w:r>
      <w:bookmarkEnd w:id="40"/>
    </w:p>
    <w:p w14:paraId="31DC5D99" w14:textId="5D3B69EF" w:rsidR="00032EFE" w:rsidRDefault="00C6117E" w:rsidP="00007950">
      <w:r>
        <w:t xml:space="preserve">The purpose of this </w:t>
      </w:r>
      <w:r w:rsidR="00AD0B32">
        <w:t>report</w:t>
      </w:r>
      <w:r>
        <w:t xml:space="preserve"> is to highlight the importance of critical diameter and critical density in relation to a successful detonation</w:t>
      </w:r>
      <w:r w:rsidR="00AE0AC3">
        <w:t>, through the curation of an accurate</w:t>
      </w:r>
      <w:r w:rsidR="00145602">
        <w:t xml:space="preserve"> example of an</w:t>
      </w:r>
      <w:r w:rsidR="00AE0AC3">
        <w:t xml:space="preserve"> explosive train </w:t>
      </w:r>
      <w:r w:rsidR="00902215">
        <w:t>diagram</w:t>
      </w:r>
      <w:r w:rsidR="00854D16">
        <w:t>.</w:t>
      </w:r>
    </w:p>
    <w:p w14:paraId="56A5B133" w14:textId="77777777" w:rsidR="00032EFE" w:rsidRDefault="00032EFE">
      <w:pPr>
        <w:spacing w:before="0" w:after="200" w:line="276" w:lineRule="auto"/>
        <w:jc w:val="left"/>
      </w:pPr>
      <w:r>
        <w:br w:type="page"/>
      </w:r>
    </w:p>
    <w:p w14:paraId="7166CE9A" w14:textId="58ADB41E" w:rsidR="00902215" w:rsidRDefault="00032EFE" w:rsidP="00902215">
      <w:pPr>
        <w:pStyle w:val="Heading1"/>
      </w:pPr>
      <w:bookmarkStart w:id="41" w:name="_Toc217379065"/>
      <w:r>
        <w:lastRenderedPageBreak/>
        <w:t>Performance Characteristic</w:t>
      </w:r>
      <w:r w:rsidR="00902215">
        <w:t>s</w:t>
      </w:r>
      <w:bookmarkEnd w:id="41"/>
    </w:p>
    <w:p w14:paraId="4BA9D3B4" w14:textId="58AA3B35" w:rsidR="006E522B" w:rsidRPr="006E522B" w:rsidRDefault="006E522B" w:rsidP="006E522B">
      <w:r>
        <w:t xml:space="preserve">To produce an accurate example of an explosive train diagram, the performance characteristics of the selected primary and secondary explosives must be known and evaluated. This allows for calculations to be done on certain aspects such as the required </w:t>
      </w:r>
      <w:r w:rsidRPr="008752A2">
        <w:t xml:space="preserve">run-up length of the </w:t>
      </w:r>
      <w:r w:rsidR="0029336C" w:rsidRPr="008752A2">
        <w:t>explosive</w:t>
      </w:r>
      <w:r w:rsidR="008752A2">
        <w:t>s.</w:t>
      </w:r>
    </w:p>
    <w:p w14:paraId="7BEFCD6A" w14:textId="085F3DA8" w:rsidR="00032EFE" w:rsidRDefault="00032EFE" w:rsidP="00032EFE">
      <w:pPr>
        <w:pStyle w:val="Heading2"/>
      </w:pPr>
      <w:bookmarkStart w:id="42" w:name="_Toc217379066"/>
      <w:r>
        <w:t>Primary Explosive</w:t>
      </w:r>
      <w:bookmarkEnd w:id="42"/>
    </w:p>
    <w:p w14:paraId="420E6F36" w14:textId="13E3B979" w:rsidR="00C629A9" w:rsidRDefault="0029336C" w:rsidP="007A0341">
      <w:r>
        <w:t>The selected primary explosive is l</w:t>
      </w:r>
      <w:r w:rsidR="00AB135E">
        <w:t>ead azide</w:t>
      </w:r>
      <w:r>
        <w:t xml:space="preserve"> </w:t>
      </w:r>
      <w:r w:rsidR="007C70A1">
        <w:t>(</w:t>
      </w:r>
      <m:oMath>
        <m:sSub>
          <m:sSubPr>
            <m:ctrlPr>
              <w:rPr>
                <w:rFonts w:ascii="Cambria Math" w:hAnsi="Cambria Math"/>
                <w:i/>
              </w:rPr>
            </m:ctrlPr>
          </m:sSubPr>
          <m:e>
            <m:r>
              <w:rPr>
                <w:rFonts w:ascii="Cambria Math" w:hAnsi="Cambria Math"/>
              </w:rPr>
              <m:t>(</m:t>
            </m:r>
            <m:sSub>
              <m:sSubPr>
                <m:ctrlPr>
                  <w:rPr>
                    <w:rFonts w:ascii="Cambria Math" w:hAnsi="Cambria Math"/>
                    <w:i/>
                  </w:rPr>
                </m:ctrlPr>
              </m:sSubPr>
              <m:e>
                <m:r>
                  <w:rPr>
                    <w:rFonts w:ascii="Cambria Math" w:hAnsi="Cambria Math"/>
                  </w:rPr>
                  <m:t>PbN</m:t>
                </m:r>
              </m:e>
              <m:sub>
                <m:r>
                  <w:rPr>
                    <w:rFonts w:ascii="Cambria Math" w:hAnsi="Cambria Math"/>
                  </w:rPr>
                  <m:t>3</m:t>
                </m:r>
              </m:sub>
            </m:sSub>
            <m:r>
              <w:rPr>
                <w:rFonts w:ascii="Cambria Math" w:hAnsi="Cambria Math"/>
              </w:rPr>
              <m:t>)</m:t>
            </m:r>
          </m:e>
          <m:sub>
            <m:r>
              <w:rPr>
                <w:rFonts w:ascii="Cambria Math" w:hAnsi="Cambria Math"/>
              </w:rPr>
              <m:t>2</m:t>
            </m:r>
          </m:sub>
        </m:sSub>
      </m:oMath>
      <w:r w:rsidR="007C70A1">
        <w:t>)</w:t>
      </w:r>
      <w:r>
        <w:t xml:space="preserve">, due to its high sensitivity. The products of explosion are simply lead and nitrogen gas </w:t>
      </w:r>
      <w:sdt>
        <w:sdtPr>
          <w:id w:val="-871997901"/>
          <w:citation/>
        </w:sdtPr>
        <w:sdtEndPr/>
        <w:sdtContent>
          <w:r w:rsidR="008E6268">
            <w:fldChar w:fldCharType="begin"/>
          </w:r>
          <w:r w:rsidR="008E6268">
            <w:instrText xml:space="preserve"> CITATION Bar88 \l 2057 </w:instrText>
          </w:r>
          <w:r w:rsidR="008E6268">
            <w:fldChar w:fldCharType="separate"/>
          </w:r>
          <w:r w:rsidR="00A367A0">
            <w:rPr>
              <w:noProof/>
            </w:rPr>
            <w:t>[11]</w:t>
          </w:r>
          <w:r w:rsidR="008E6268">
            <w:fldChar w:fldCharType="end"/>
          </w:r>
        </w:sdtContent>
      </w:sdt>
      <w:r>
        <w:t xml:space="preserve">. The detonation velocity ranges between a 3000 </w:t>
      </w:r>
      <m:oMath>
        <m:sSup>
          <m:sSupPr>
            <m:ctrlPr>
              <w:rPr>
                <w:rFonts w:ascii="Cambria Math" w:hAnsi="Cambria Math"/>
                <w:i/>
              </w:rPr>
            </m:ctrlPr>
          </m:sSupPr>
          <m:e>
            <m:r>
              <w:rPr>
                <w:rFonts w:ascii="Cambria Math" w:hAnsi="Cambria Math"/>
              </w:rPr>
              <m:t>ms</m:t>
            </m:r>
          </m:e>
          <m:sup>
            <m:r>
              <w:rPr>
                <w:rFonts w:ascii="Cambria Math" w:hAnsi="Cambria Math"/>
              </w:rPr>
              <m:t>-1</m:t>
            </m:r>
          </m:sup>
        </m:sSup>
      </m:oMath>
      <w:r>
        <w:t xml:space="preserve"> deflagration for small crystals in the structure, to up to </w:t>
      </w:r>
      <w:r w:rsidRPr="00C629A9">
        <w:rPr>
          <w:rFonts w:asciiTheme="minorBidi" w:hAnsiTheme="minorBidi" w:cstheme="minorBidi"/>
        </w:rPr>
        <w:t xml:space="preserve">8000 </w:t>
      </w:r>
      <m:oMath>
        <m:sSup>
          <m:sSupPr>
            <m:ctrlPr>
              <w:rPr>
                <w:rFonts w:ascii="Cambria Math" w:hAnsi="Cambria Math" w:cstheme="minorBidi"/>
                <w:i/>
              </w:rPr>
            </m:ctrlPr>
          </m:sSupPr>
          <m:e>
            <m:r>
              <w:rPr>
                <w:rFonts w:ascii="Cambria Math" w:hAnsi="Cambria Math" w:cstheme="minorBidi"/>
              </w:rPr>
              <m:t>ms</m:t>
            </m:r>
          </m:e>
          <m:sup>
            <m:r>
              <w:rPr>
                <w:rFonts w:ascii="Cambria Math" w:hAnsi="Cambria Math" w:cstheme="minorBidi"/>
              </w:rPr>
              <m:t>-1</m:t>
            </m:r>
          </m:sup>
        </m:sSup>
      </m:oMath>
      <w:r w:rsidRPr="00C629A9">
        <w:rPr>
          <w:rFonts w:asciiTheme="minorBidi" w:hAnsiTheme="minorBidi" w:cstheme="minorBidi"/>
        </w:rPr>
        <w:t xml:space="preserve"> for</w:t>
      </w:r>
      <w:r>
        <w:t xml:space="preserve"> larger crystals </w:t>
      </w:r>
      <w:sdt>
        <w:sdtPr>
          <w:id w:val="492995577"/>
          <w:citation/>
        </w:sdtPr>
        <w:sdtEndPr/>
        <w:sdtContent>
          <w:r w:rsidR="00D0471C">
            <w:fldChar w:fldCharType="begin"/>
          </w:r>
          <w:r w:rsidR="00D0471C">
            <w:instrText xml:space="preserve"> CITATION MMC77 \l 2057 </w:instrText>
          </w:r>
          <w:r w:rsidR="00D0471C">
            <w:fldChar w:fldCharType="separate"/>
          </w:r>
          <w:r w:rsidR="00A367A0">
            <w:rPr>
              <w:noProof/>
            </w:rPr>
            <w:t>[12]</w:t>
          </w:r>
          <w:r w:rsidR="00D0471C">
            <w:fldChar w:fldCharType="end"/>
          </w:r>
        </w:sdtContent>
      </w:sdt>
      <w:r>
        <w:t xml:space="preserve">. </w:t>
      </w:r>
      <w:r w:rsidR="007A0341">
        <w:t>The detonation pressure is 15.7</w:t>
      </w:r>
      <w:r w:rsidR="00F617CB">
        <w:t>0</w:t>
      </w:r>
      <w:r w:rsidR="007A0341">
        <w:t xml:space="preserve"> GPa </w:t>
      </w:r>
      <w:sdt>
        <w:sdtPr>
          <w:id w:val="-1234614338"/>
          <w:citation/>
        </w:sdtPr>
        <w:sdtEndPr/>
        <w:sdtContent>
          <w:r w:rsidR="007A0341">
            <w:fldChar w:fldCharType="begin"/>
          </w:r>
          <w:r w:rsidR="007A0341">
            <w:instrText xml:space="preserve"> CITATION Xia24 \l 2057 </w:instrText>
          </w:r>
          <w:r w:rsidR="007A0341">
            <w:fldChar w:fldCharType="separate"/>
          </w:r>
          <w:r w:rsidR="00A367A0">
            <w:rPr>
              <w:noProof/>
            </w:rPr>
            <w:t>[13]</w:t>
          </w:r>
          <w:r w:rsidR="007A0341">
            <w:fldChar w:fldCharType="end"/>
          </w:r>
        </w:sdtContent>
      </w:sdt>
      <w:r w:rsidR="007A0341">
        <w:t xml:space="preserve">. </w:t>
      </w:r>
      <w:r>
        <w:t xml:space="preserve">The heat of explosion </w:t>
      </w:r>
      <w:r w:rsidR="00C629A9">
        <w:t>is</w:t>
      </w:r>
      <w:r w:rsidR="00D0471C">
        <w:t xml:space="preserve"> </w:t>
      </w:r>
      <w:r w:rsidR="00643A55">
        <w:t>-</w:t>
      </w:r>
      <w:r w:rsidR="00D0471C">
        <w:t>200</w:t>
      </w:r>
      <w:r w:rsidR="00F617CB">
        <w:t>.0</w:t>
      </w:r>
      <w:r w:rsidR="00C629A9">
        <w:t xml:space="preserve"> </w:t>
      </w:r>
      <m:oMath>
        <m:sSup>
          <m:sSupPr>
            <m:ctrlPr>
              <w:rPr>
                <w:rFonts w:ascii="Cambria Math" w:hAnsi="Cambria Math"/>
                <w:i/>
              </w:rPr>
            </m:ctrlPr>
          </m:sSupPr>
          <m:e>
            <m:r>
              <w:rPr>
                <w:rFonts w:ascii="Cambria Math" w:hAnsi="Cambria Math"/>
              </w:rPr>
              <m:t>kcalmol</m:t>
            </m:r>
          </m:e>
          <m:sup>
            <m:r>
              <w:rPr>
                <w:rFonts w:ascii="Cambria Math" w:hAnsi="Cambria Math"/>
              </w:rPr>
              <m:t>-1</m:t>
            </m:r>
          </m:sup>
        </m:sSup>
      </m:oMath>
      <w:r w:rsidR="00C629A9">
        <w:t xml:space="preserve"> </w:t>
      </w:r>
      <w:sdt>
        <w:sdtPr>
          <w:id w:val="-1739773741"/>
          <w:citation/>
        </w:sdtPr>
        <w:sdtEndPr/>
        <w:sdtContent>
          <w:r w:rsidR="00AB0823">
            <w:fldChar w:fldCharType="begin"/>
          </w:r>
          <w:r w:rsidR="00AB0823">
            <w:instrText xml:space="preserve"> CITATION JMG58 \l 2057 </w:instrText>
          </w:r>
          <w:r w:rsidR="00AB0823">
            <w:fldChar w:fldCharType="separate"/>
          </w:r>
          <w:r w:rsidR="00A367A0">
            <w:rPr>
              <w:noProof/>
            </w:rPr>
            <w:t>[14]</w:t>
          </w:r>
          <w:r w:rsidR="00AB0823">
            <w:fldChar w:fldCharType="end"/>
          </w:r>
        </w:sdtContent>
      </w:sdt>
      <w:r w:rsidR="00C629A9">
        <w:t xml:space="preserve"> which can be converted into </w:t>
      </w:r>
      <m:oMath>
        <m:sSup>
          <m:sSupPr>
            <m:ctrlPr>
              <w:rPr>
                <w:rFonts w:ascii="Cambria Math" w:hAnsi="Cambria Math"/>
                <w:i/>
              </w:rPr>
            </m:ctrlPr>
          </m:sSupPr>
          <m:e>
            <m:r>
              <w:rPr>
                <w:rFonts w:ascii="Cambria Math" w:hAnsi="Cambria Math"/>
              </w:rPr>
              <m:t>kJg</m:t>
            </m:r>
          </m:e>
          <m:sup>
            <m:r>
              <w:rPr>
                <w:rFonts w:ascii="Cambria Math" w:hAnsi="Cambria Math"/>
              </w:rPr>
              <m:t>-1</m:t>
            </m:r>
          </m:sup>
        </m:sSup>
      </m:oMath>
      <w:r w:rsidR="00C629A9">
        <w:t xml:space="preserve">using Equation 2 </w:t>
      </w:r>
      <w:sdt>
        <w:sdtPr>
          <w:id w:val="-1414008522"/>
          <w:citation/>
        </w:sdtPr>
        <w:sdtEndPr/>
        <w:sdtContent>
          <w:r w:rsidR="007A0341">
            <w:fldChar w:fldCharType="begin"/>
          </w:r>
          <w:r w:rsidR="007A0341">
            <w:instrText xml:space="preserve"> CITATION Jam25 \l 2057 </w:instrText>
          </w:r>
          <w:r w:rsidR="007A0341">
            <w:fldChar w:fldCharType="separate"/>
          </w:r>
          <w:r w:rsidR="00A367A0">
            <w:rPr>
              <w:noProof/>
            </w:rPr>
            <w:t>[15]</w:t>
          </w:r>
          <w:r w:rsidR="007A0341">
            <w:fldChar w:fldCharType="end"/>
          </w:r>
        </w:sdtContent>
      </w:sdt>
      <w:r w:rsidR="007A0341">
        <w:t xml:space="preserve"> </w:t>
      </w:r>
      <w:r w:rsidR="00C629A9">
        <w:t xml:space="preserve">to equal </w:t>
      </w:r>
      <w:r w:rsidR="00F617CB">
        <w:t>-</w:t>
      </w:r>
      <w:r w:rsidR="00C629A9">
        <w:t>2.87</w:t>
      </w:r>
      <w:r w:rsidR="00F617CB">
        <w:t>3</w:t>
      </w:r>
      <w:r w:rsidR="00C629A9">
        <w:t xml:space="preserve"> </w:t>
      </w:r>
      <m:oMath>
        <m:sSup>
          <m:sSupPr>
            <m:ctrlPr>
              <w:rPr>
                <w:rFonts w:ascii="Cambria Math" w:hAnsi="Cambria Math"/>
                <w:i/>
              </w:rPr>
            </m:ctrlPr>
          </m:sSupPr>
          <m:e>
            <m:r>
              <w:rPr>
                <w:rFonts w:ascii="Cambria Math" w:hAnsi="Cambria Math"/>
              </w:rPr>
              <m:t>kJg</m:t>
            </m:r>
          </m:e>
          <m:sup>
            <m:r>
              <w:rPr>
                <w:rFonts w:ascii="Cambria Math" w:hAnsi="Cambria Math"/>
              </w:rPr>
              <m:t>-1</m:t>
            </m:r>
          </m:sup>
        </m:sSup>
      </m:oMath>
      <w:r w:rsidR="00F617CB">
        <w:t>.</w:t>
      </w:r>
    </w:p>
    <w:p w14:paraId="71D80D29" w14:textId="6DB7AF4E" w:rsidR="00C629A9" w:rsidRDefault="00C629A9" w:rsidP="00C629A9">
      <w:pPr>
        <w:pStyle w:val="Caption"/>
        <w:keepNext/>
      </w:pPr>
      <w:bookmarkStart w:id="43" w:name="_Toc217379081"/>
      <w:r>
        <w:t xml:space="preserve">Equation </w:t>
      </w:r>
      <w:r>
        <w:fldChar w:fldCharType="begin"/>
      </w:r>
      <w:r>
        <w:instrText xml:space="preserve"> SEQ Equation \* ARABIC </w:instrText>
      </w:r>
      <w:r>
        <w:fldChar w:fldCharType="separate"/>
      </w:r>
      <w:r w:rsidR="003A1C49">
        <w:rPr>
          <w:noProof/>
        </w:rPr>
        <w:t>2</w:t>
      </w:r>
      <w:r>
        <w:fldChar w:fldCharType="end"/>
      </w:r>
      <w:r>
        <w:t xml:space="preserve"> – Conversion of </w:t>
      </w:r>
      <m:oMath>
        <m:sSup>
          <m:sSupPr>
            <m:ctrlPr>
              <w:rPr>
                <w:rFonts w:ascii="Cambria Math" w:hAnsi="Cambria Math"/>
                <w:i/>
                <w:sz w:val="24"/>
                <w:szCs w:val="24"/>
              </w:rPr>
            </m:ctrlPr>
          </m:sSupPr>
          <m:e>
            <m:r>
              <m:rPr>
                <m:sty m:val="bi"/>
              </m:rPr>
              <w:rPr>
                <w:rFonts w:ascii="Cambria Math" w:hAnsi="Cambria Math"/>
              </w:rPr>
              <m:t>kcalmol</m:t>
            </m:r>
          </m:e>
          <m:sup>
            <m:r>
              <m:rPr>
                <m:sty m:val="bi"/>
              </m:rPr>
              <w:rPr>
                <w:rFonts w:ascii="Cambria Math" w:hAnsi="Cambria Math"/>
              </w:rPr>
              <m:t>-1</m:t>
            </m:r>
          </m:sup>
        </m:sSup>
      </m:oMath>
      <w:r w:rsidRPr="00C629A9">
        <w:rPr>
          <w:sz w:val="24"/>
          <w:szCs w:val="24"/>
        </w:rPr>
        <w:t xml:space="preserve"> to </w:t>
      </w:r>
      <m:oMath>
        <m:sSup>
          <m:sSupPr>
            <m:ctrlPr>
              <w:rPr>
                <w:rFonts w:ascii="Cambria Math" w:hAnsi="Cambria Math"/>
                <w:i/>
                <w:sz w:val="24"/>
                <w:szCs w:val="24"/>
              </w:rPr>
            </m:ctrlPr>
          </m:sSupPr>
          <m:e>
            <m:r>
              <m:rPr>
                <m:sty m:val="bi"/>
              </m:rPr>
              <w:rPr>
                <w:rFonts w:ascii="Cambria Math" w:hAnsi="Cambria Math"/>
              </w:rPr>
              <m:t>kJg</m:t>
            </m:r>
          </m:e>
          <m:sup>
            <m:r>
              <m:rPr>
                <m:sty m:val="bi"/>
              </m:rPr>
              <w:rPr>
                <w:rFonts w:ascii="Cambria Math" w:hAnsi="Cambria Math"/>
              </w:rPr>
              <m:t>-1</m:t>
            </m:r>
          </m:sup>
        </m:sSup>
      </m:oMath>
      <w:bookmarkEnd w:id="43"/>
    </w:p>
    <w:p w14:paraId="3668BBBE" w14:textId="764A359F" w:rsidR="00C629A9" w:rsidRDefault="00996846" w:rsidP="0029336C">
      <w:pPr>
        <w:spacing w:before="0"/>
      </w:pPr>
      <m:oMathPara>
        <m:oMath>
          <m:f>
            <m:fPr>
              <m:ctrlPr>
                <w:rPr>
                  <w:rFonts w:ascii="Cambria Math" w:hAnsi="Cambria Math"/>
                  <w:i/>
                </w:rPr>
              </m:ctrlPr>
            </m:fPr>
            <m:num>
              <m:r>
                <w:rPr>
                  <w:rFonts w:ascii="Cambria Math" w:hAnsi="Cambria Math"/>
                </w:rPr>
                <m:t>Energy /</m:t>
              </m:r>
              <m:sSup>
                <m:sSupPr>
                  <m:ctrlPr>
                    <w:rPr>
                      <w:rFonts w:ascii="Cambria Math" w:hAnsi="Cambria Math"/>
                      <w:i/>
                    </w:rPr>
                  </m:ctrlPr>
                </m:sSupPr>
                <m:e>
                  <m:r>
                    <w:rPr>
                      <w:rFonts w:ascii="Cambria Math" w:hAnsi="Cambria Math"/>
                    </w:rPr>
                    <m:t>kcalmol</m:t>
                  </m:r>
                </m:e>
                <m:sup>
                  <m:r>
                    <w:rPr>
                      <w:rFonts w:ascii="Cambria Math" w:hAnsi="Cambria Math"/>
                    </w:rPr>
                    <m:t>-1</m:t>
                  </m:r>
                </m:sup>
              </m:sSup>
              <m:r>
                <w:rPr>
                  <w:rFonts w:ascii="Cambria Math" w:hAnsi="Cambria Math"/>
                </w:rPr>
                <m:t>×4.184 /</m:t>
              </m:r>
              <m:sSup>
                <m:sSupPr>
                  <m:ctrlPr>
                    <w:rPr>
                      <w:rFonts w:ascii="Cambria Math" w:hAnsi="Cambria Math"/>
                      <w:i/>
                    </w:rPr>
                  </m:ctrlPr>
                </m:sSupPr>
                <m:e>
                  <m:r>
                    <w:rPr>
                      <w:rFonts w:ascii="Cambria Math" w:hAnsi="Cambria Math"/>
                    </w:rPr>
                    <m:t>kJkcal</m:t>
                  </m:r>
                </m:e>
                <m:sup>
                  <m:r>
                    <w:rPr>
                      <w:rFonts w:ascii="Cambria Math" w:hAnsi="Cambria Math"/>
                    </w:rPr>
                    <m:t>-1</m:t>
                  </m:r>
                </m:sup>
              </m:sSup>
            </m:num>
            <m:den>
              <m:r>
                <w:rPr>
                  <w:rFonts w:ascii="Cambria Math" w:hAnsi="Cambria Math"/>
                </w:rPr>
                <m:t>Molar mass /</m:t>
              </m:r>
              <m:sSup>
                <m:sSupPr>
                  <m:ctrlPr>
                    <w:rPr>
                      <w:rFonts w:ascii="Cambria Math" w:hAnsi="Cambria Math"/>
                      <w:i/>
                    </w:rPr>
                  </m:ctrlPr>
                </m:sSupPr>
                <m:e>
                  <m:r>
                    <w:rPr>
                      <w:rFonts w:ascii="Cambria Math" w:hAnsi="Cambria Math"/>
                    </w:rPr>
                    <m:t>gmol</m:t>
                  </m:r>
                </m:e>
                <m:sup>
                  <m:r>
                    <w:rPr>
                      <w:rFonts w:ascii="Cambria Math" w:hAnsi="Cambria Math"/>
                    </w:rPr>
                    <m:t>-1</m:t>
                  </m:r>
                </m:sup>
              </m:sSup>
            </m:den>
          </m:f>
        </m:oMath>
      </m:oMathPara>
    </w:p>
    <w:p w14:paraId="08550394" w14:textId="48CD1B1D" w:rsidR="00032EFE" w:rsidRPr="00917DD5" w:rsidRDefault="00032EFE" w:rsidP="00032EFE">
      <w:pPr>
        <w:pStyle w:val="Heading2"/>
      </w:pPr>
      <w:bookmarkStart w:id="44" w:name="_Toc217379067"/>
      <w:r>
        <w:t>Secondary Explosive</w:t>
      </w:r>
      <w:bookmarkEnd w:id="44"/>
    </w:p>
    <w:p w14:paraId="025F162B" w14:textId="224F0D48" w:rsidR="00A748D5" w:rsidRDefault="007C70A1" w:rsidP="00802367">
      <w:r>
        <w:t>The selected secondary explosive is RDX (</w:t>
      </w:r>
      <m:oMath>
        <m:sSub>
          <m:sSubPr>
            <m:ctrlPr>
              <w:rPr>
                <w:rFonts w:ascii="Cambria Math" w:hAnsi="Cambria Math"/>
                <w:i/>
              </w:rPr>
            </m:ctrlPr>
          </m:sSubPr>
          <m:e>
            <m:r>
              <w:rPr>
                <w:rFonts w:ascii="Cambria Math" w:hAnsi="Cambria Math"/>
              </w:rPr>
              <m:t>C</m:t>
            </m:r>
          </m:e>
          <m:sub>
            <m:r>
              <w:rPr>
                <w:rFonts w:ascii="Cambria Math" w:hAnsi="Cambria Math"/>
              </w:rPr>
              <m:t>3</m:t>
            </m:r>
          </m:sub>
        </m:sSub>
        <m:sSub>
          <m:sSubPr>
            <m:ctrlPr>
              <w:rPr>
                <w:rFonts w:ascii="Cambria Math" w:hAnsi="Cambria Math"/>
                <w:i/>
              </w:rPr>
            </m:ctrlPr>
          </m:sSubPr>
          <m:e>
            <m:r>
              <w:rPr>
                <w:rFonts w:ascii="Cambria Math" w:hAnsi="Cambria Math"/>
              </w:rPr>
              <m:t>H</m:t>
            </m:r>
          </m:e>
          <m:sub>
            <m:r>
              <w:rPr>
                <w:rFonts w:ascii="Cambria Math" w:hAnsi="Cambria Math"/>
              </w:rPr>
              <m:t>6</m:t>
            </m:r>
          </m:sub>
        </m:sSub>
        <m:sSub>
          <m:sSubPr>
            <m:ctrlPr>
              <w:rPr>
                <w:rFonts w:ascii="Cambria Math" w:hAnsi="Cambria Math"/>
                <w:i/>
              </w:rPr>
            </m:ctrlPr>
          </m:sSubPr>
          <m:e>
            <m:r>
              <w:rPr>
                <w:rFonts w:ascii="Cambria Math" w:hAnsi="Cambria Math"/>
              </w:rPr>
              <m:t>N</m:t>
            </m:r>
          </m:e>
          <m:sub>
            <m:r>
              <w:rPr>
                <w:rFonts w:ascii="Cambria Math" w:hAnsi="Cambria Math"/>
              </w:rPr>
              <m:t>6</m:t>
            </m:r>
          </m:sub>
        </m:sSub>
        <m:sSub>
          <m:sSubPr>
            <m:ctrlPr>
              <w:rPr>
                <w:rFonts w:ascii="Cambria Math" w:hAnsi="Cambria Math"/>
                <w:i/>
              </w:rPr>
            </m:ctrlPr>
          </m:sSubPr>
          <m:e>
            <m:r>
              <w:rPr>
                <w:rFonts w:ascii="Cambria Math" w:hAnsi="Cambria Math"/>
              </w:rPr>
              <m:t>O</m:t>
            </m:r>
          </m:e>
          <m:sub>
            <m:r>
              <w:rPr>
                <w:rFonts w:ascii="Cambria Math" w:hAnsi="Cambria Math"/>
              </w:rPr>
              <m:t>6</m:t>
            </m:r>
          </m:sub>
        </m:sSub>
      </m:oMath>
      <w:r>
        <w:t>)</w:t>
      </w:r>
      <w:r w:rsidR="00C64BF0">
        <w:t xml:space="preserve">. The products of explosion are water, carbon monoxide and nitrogen gas. This was calculated using the </w:t>
      </w:r>
      <w:r w:rsidR="00350717">
        <w:t xml:space="preserve">modified Kistiakowsky-Wilson rules, as the oxygen balance for RDX is -21.6% </w:t>
      </w:r>
      <w:sdt>
        <w:sdtPr>
          <w:id w:val="995694925"/>
          <w:citation/>
        </w:sdtPr>
        <w:sdtEndPr/>
        <w:sdtContent>
          <w:r w:rsidR="008E6268">
            <w:fldChar w:fldCharType="begin"/>
          </w:r>
          <w:r w:rsidR="008E6268">
            <w:instrText xml:space="preserve"> CITATION HAb12 \l 2057 </w:instrText>
          </w:r>
          <w:r w:rsidR="008E6268">
            <w:fldChar w:fldCharType="separate"/>
          </w:r>
          <w:r w:rsidR="00A367A0">
            <w:rPr>
              <w:noProof/>
            </w:rPr>
            <w:t>[16]</w:t>
          </w:r>
          <w:r w:rsidR="008E6268">
            <w:fldChar w:fldCharType="end"/>
          </w:r>
        </w:sdtContent>
      </w:sdt>
      <w:r w:rsidR="00350717">
        <w:t xml:space="preserve">. The exact ratio is </w:t>
      </w:r>
      <m:oMath>
        <m:sSub>
          <m:sSubPr>
            <m:ctrlPr>
              <w:rPr>
                <w:rFonts w:ascii="Cambria Math" w:hAnsi="Cambria Math"/>
                <w:i/>
              </w:rPr>
            </m:ctrlPr>
          </m:sSubPr>
          <m:e>
            <m:r>
              <w:rPr>
                <w:rFonts w:ascii="Cambria Math" w:hAnsi="Cambria Math"/>
              </w:rPr>
              <m:t>3H</m:t>
            </m:r>
          </m:e>
          <m:sub>
            <m:r>
              <w:rPr>
                <w:rFonts w:ascii="Cambria Math" w:hAnsi="Cambria Math"/>
              </w:rPr>
              <m:t>2</m:t>
            </m:r>
          </m:sub>
        </m:sSub>
        <m:r>
          <w:rPr>
            <w:rFonts w:ascii="Cambria Math" w:hAnsi="Cambria Math"/>
          </w:rPr>
          <m:t xml:space="preserve">O+3CO+ </m:t>
        </m:r>
        <m:sSub>
          <m:sSubPr>
            <m:ctrlPr>
              <w:rPr>
                <w:rFonts w:ascii="Cambria Math" w:hAnsi="Cambria Math"/>
                <w:i/>
              </w:rPr>
            </m:ctrlPr>
          </m:sSubPr>
          <m:e>
            <m:r>
              <w:rPr>
                <w:rFonts w:ascii="Cambria Math" w:hAnsi="Cambria Math"/>
              </w:rPr>
              <m:t>3N</m:t>
            </m:r>
          </m:e>
          <m:sub>
            <m:r>
              <w:rPr>
                <w:rFonts w:ascii="Cambria Math" w:hAnsi="Cambria Math"/>
              </w:rPr>
              <m:t>2</m:t>
            </m:r>
          </m:sub>
        </m:sSub>
      </m:oMath>
      <w:r w:rsidR="00350717">
        <w:t xml:space="preserve">. </w:t>
      </w:r>
      <w:r w:rsidR="00643A55">
        <w:t>The</w:t>
      </w:r>
      <w:r w:rsidR="00350717">
        <w:t xml:space="preserve"> detonation velocity for RDX is 8639 </w:t>
      </w:r>
      <m:oMath>
        <m:sSup>
          <m:sSupPr>
            <m:ctrlPr>
              <w:rPr>
                <w:rFonts w:ascii="Cambria Math" w:hAnsi="Cambria Math"/>
                <w:i/>
              </w:rPr>
            </m:ctrlPr>
          </m:sSupPr>
          <m:e>
            <m:r>
              <w:rPr>
                <w:rFonts w:ascii="Cambria Math" w:hAnsi="Cambria Math"/>
              </w:rPr>
              <m:t>ms</m:t>
            </m:r>
          </m:e>
          <m:sup>
            <m:r>
              <w:rPr>
                <w:rFonts w:ascii="Cambria Math" w:hAnsi="Cambria Math"/>
              </w:rPr>
              <m:t>-1</m:t>
            </m:r>
          </m:sup>
        </m:sSup>
      </m:oMath>
      <w:r w:rsidR="00643A55">
        <w:t xml:space="preserve"> at a density of 1.767 </w:t>
      </w:r>
      <m:oMath>
        <m:sSup>
          <m:sSupPr>
            <m:ctrlPr>
              <w:rPr>
                <w:rFonts w:ascii="Cambria Math" w:hAnsi="Cambria Math"/>
                <w:i/>
              </w:rPr>
            </m:ctrlPr>
          </m:sSupPr>
          <m:e>
            <m:r>
              <w:rPr>
                <w:rFonts w:ascii="Cambria Math" w:hAnsi="Cambria Math"/>
              </w:rPr>
              <m:t>gcm</m:t>
            </m:r>
          </m:e>
          <m:sup>
            <m:r>
              <w:rPr>
                <w:rFonts w:ascii="Cambria Math" w:hAnsi="Cambria Math"/>
              </w:rPr>
              <m:t>-3</m:t>
            </m:r>
          </m:sup>
        </m:sSup>
      </m:oMath>
      <w:r w:rsidR="00643A55">
        <w:t xml:space="preserve">. The detonation pressure at the same density is 333.5 kbar which can be converted to 33.35 GPa. The heat of explosion for RDX is between </w:t>
      </w:r>
      <w:r w:rsidR="00140225">
        <w:t>-</w:t>
      </w:r>
      <w:r w:rsidR="00643A55">
        <w:t>6.318</w:t>
      </w:r>
      <w:r w:rsidR="00140225">
        <w:t xml:space="preserve"> </w:t>
      </w:r>
      <m:oMath>
        <m:sSup>
          <m:sSupPr>
            <m:ctrlPr>
              <w:rPr>
                <w:rFonts w:ascii="Cambria Math" w:hAnsi="Cambria Math"/>
                <w:i/>
              </w:rPr>
            </m:ctrlPr>
          </m:sSupPr>
          <m:e>
            <m:r>
              <w:rPr>
                <w:rFonts w:ascii="Cambria Math" w:hAnsi="Cambria Math"/>
              </w:rPr>
              <m:t>kJg</m:t>
            </m:r>
          </m:e>
          <m:sup>
            <m:r>
              <w:rPr>
                <w:rFonts w:ascii="Cambria Math" w:hAnsi="Cambria Math"/>
              </w:rPr>
              <m:t>-1</m:t>
            </m:r>
          </m:sup>
        </m:sSup>
      </m:oMath>
      <w:r w:rsidR="00643A55">
        <w:t xml:space="preserve"> when in liquid state, to </w:t>
      </w:r>
      <w:r w:rsidR="00F617CB">
        <w:t>-</w:t>
      </w:r>
      <w:r w:rsidR="00643A55" w:rsidRPr="00643A55">
        <w:t>5.941</w:t>
      </w:r>
      <w:r w:rsidR="00643A55">
        <w:t xml:space="preserve"> </w:t>
      </w:r>
      <m:oMath>
        <m:sSup>
          <m:sSupPr>
            <m:ctrlPr>
              <w:rPr>
                <w:rFonts w:ascii="Cambria Math" w:hAnsi="Cambria Math"/>
                <w:i/>
              </w:rPr>
            </m:ctrlPr>
          </m:sSupPr>
          <m:e>
            <m:r>
              <w:rPr>
                <w:rFonts w:ascii="Cambria Math" w:hAnsi="Cambria Math"/>
              </w:rPr>
              <m:t>kJg</m:t>
            </m:r>
          </m:e>
          <m:sup>
            <m:r>
              <w:rPr>
                <w:rFonts w:ascii="Cambria Math" w:hAnsi="Cambria Math"/>
              </w:rPr>
              <m:t>-1</m:t>
            </m:r>
          </m:sup>
        </m:sSup>
      </m:oMath>
      <w:r w:rsidR="00643A55">
        <w:t xml:space="preserve"> when in gas state</w:t>
      </w:r>
      <w:r w:rsidR="00140225">
        <w:t xml:space="preserve"> </w:t>
      </w:r>
      <w:sdt>
        <w:sdtPr>
          <w:id w:val="-2116347365"/>
          <w:citation/>
        </w:sdtPr>
        <w:sdtEndPr/>
        <w:sdtContent>
          <w:r w:rsidR="00140225">
            <w:fldChar w:fldCharType="begin"/>
          </w:r>
          <w:r w:rsidR="00140225">
            <w:instrText xml:space="preserve"> CITATION Rob00 \l 2057 </w:instrText>
          </w:r>
          <w:r w:rsidR="00140225">
            <w:fldChar w:fldCharType="separate"/>
          </w:r>
          <w:r w:rsidR="00A367A0">
            <w:rPr>
              <w:noProof/>
            </w:rPr>
            <w:t>[17]</w:t>
          </w:r>
          <w:r w:rsidR="00140225">
            <w:fldChar w:fldCharType="end"/>
          </w:r>
        </w:sdtContent>
      </w:sdt>
      <w:r w:rsidR="00140225">
        <w:t>.</w:t>
      </w:r>
    </w:p>
    <w:p w14:paraId="2A710D16" w14:textId="77777777" w:rsidR="0007438C" w:rsidRDefault="0007438C" w:rsidP="0007438C"/>
    <w:p w14:paraId="193DF31E" w14:textId="77777777" w:rsidR="008D3CBB" w:rsidRPr="008D3CBB" w:rsidRDefault="008D3CBB" w:rsidP="008D3CBB">
      <w:pPr>
        <w:sectPr w:rsidR="008D3CBB" w:rsidRPr="008D3CBB" w:rsidSect="00623A81">
          <w:headerReference w:type="even" r:id="rId27"/>
          <w:headerReference w:type="default" r:id="rId28"/>
          <w:footerReference w:type="even" r:id="rId29"/>
          <w:footerReference w:type="default" r:id="rId30"/>
          <w:headerReference w:type="first" r:id="rId31"/>
          <w:footerReference w:type="first" r:id="rId32"/>
          <w:pgSz w:w="11906" w:h="16838" w:code="9"/>
          <w:pgMar w:top="1701" w:right="1701" w:bottom="1701" w:left="1701" w:header="709" w:footer="851" w:gutter="0"/>
          <w:cols w:space="708"/>
          <w:docGrid w:linePitch="360"/>
        </w:sectPr>
      </w:pPr>
    </w:p>
    <w:p w14:paraId="74B9696C" w14:textId="4CEA8B7C" w:rsidR="00937E17" w:rsidRDefault="00937E17" w:rsidP="00917DD5">
      <w:pPr>
        <w:pStyle w:val="Heading1"/>
      </w:pPr>
      <w:bookmarkStart w:id="45" w:name="_Toc217379068"/>
      <w:r>
        <w:lastRenderedPageBreak/>
        <w:t>Unconfined Explosives</w:t>
      </w:r>
      <w:bookmarkEnd w:id="45"/>
    </w:p>
    <w:p w14:paraId="23A3DC38" w14:textId="0F0B5E60" w:rsidR="00937E17" w:rsidRDefault="00937E17" w:rsidP="00937E17">
      <w:pPr>
        <w:pStyle w:val="Heading2"/>
      </w:pPr>
      <w:bookmarkStart w:id="46" w:name="_Toc217379069"/>
      <w:r>
        <w:t>Critical Diameter</w:t>
      </w:r>
      <w:r w:rsidR="00145602">
        <w:t xml:space="preserve"> and Critical Density</w:t>
      </w:r>
      <w:bookmarkEnd w:id="46"/>
    </w:p>
    <w:p w14:paraId="042B2169" w14:textId="582629E6" w:rsidR="008B18FD" w:rsidRDefault="008B18FD" w:rsidP="00BA5F82">
      <w:r>
        <w:t xml:space="preserve">The critical diameter of an explosive is the minimum diameter of a cylindrical charge required for a self-sustaining detonation to propagate </w:t>
      </w:r>
      <w:sdt>
        <w:sdtPr>
          <w:id w:val="-2102100656"/>
          <w:citation/>
        </w:sdtPr>
        <w:sdtEndPr/>
        <w:sdtContent>
          <w:r>
            <w:fldChar w:fldCharType="begin"/>
          </w:r>
          <w:r>
            <w:instrText xml:space="preserve"> CITATION Irv62 \l 2057 </w:instrText>
          </w:r>
          <w:r>
            <w:fldChar w:fldCharType="separate"/>
          </w:r>
          <w:r w:rsidR="00A367A0">
            <w:rPr>
              <w:noProof/>
            </w:rPr>
            <w:t>[18]</w:t>
          </w:r>
          <w:r>
            <w:fldChar w:fldCharType="end"/>
          </w:r>
        </w:sdtContent>
      </w:sdt>
      <w:r>
        <w:t>.</w:t>
      </w:r>
    </w:p>
    <w:p w14:paraId="3E6FDDE5" w14:textId="594E747D" w:rsidR="00814529" w:rsidRPr="008B18FD" w:rsidRDefault="00814529" w:rsidP="00814529">
      <w:r>
        <w:t xml:space="preserve">The critical diameter for lead azide is between 0.40 and 0.60mm when the material is at a density of 3.14 </w:t>
      </w:r>
      <m:oMath>
        <m:sSup>
          <m:sSupPr>
            <m:ctrlPr>
              <w:rPr>
                <w:rFonts w:ascii="Cambria Math" w:hAnsi="Cambria Math"/>
                <w:i/>
              </w:rPr>
            </m:ctrlPr>
          </m:sSupPr>
          <m:e>
            <m:r>
              <w:rPr>
                <w:rFonts w:ascii="Cambria Math" w:hAnsi="Cambria Math"/>
              </w:rPr>
              <m:t>gcm</m:t>
            </m:r>
          </m:e>
          <m:sup>
            <m:r>
              <w:rPr>
                <w:rFonts w:ascii="Cambria Math" w:hAnsi="Cambria Math"/>
              </w:rPr>
              <m:t>-3</m:t>
            </m:r>
          </m:sup>
        </m:sSup>
      </m:oMath>
      <w:r>
        <w:t xml:space="preserve">. The critical diameter for pure RDX is 5.20mm at a density of 0.9 </w:t>
      </w:r>
      <m:oMath>
        <m:sSup>
          <m:sSupPr>
            <m:ctrlPr>
              <w:rPr>
                <w:rFonts w:ascii="Cambria Math" w:hAnsi="Cambria Math"/>
                <w:i/>
              </w:rPr>
            </m:ctrlPr>
          </m:sSupPr>
          <m:e>
            <m:r>
              <w:rPr>
                <w:rFonts w:ascii="Cambria Math" w:hAnsi="Cambria Math"/>
              </w:rPr>
              <m:t>gcm</m:t>
            </m:r>
          </m:e>
          <m:sup>
            <m:r>
              <w:rPr>
                <w:rFonts w:ascii="Cambria Math" w:hAnsi="Cambria Math"/>
              </w:rPr>
              <m:t>-3</m:t>
            </m:r>
          </m:sup>
        </m:sSup>
      </m:oMath>
      <w:r w:rsidR="00C74455">
        <w:t xml:space="preserve">, which is less sensitive than RDX wax </w:t>
      </w:r>
      <w:r w:rsidR="00DC4411">
        <w:t>which has a</w:t>
      </w:r>
      <w:r w:rsidR="00C74455">
        <w:t xml:space="preserve"> critical diameter of </w:t>
      </w:r>
      <w:r w:rsidR="00DC4411">
        <w:t xml:space="preserve">between </w:t>
      </w:r>
      <w:r w:rsidR="00C74455">
        <w:t>4.00</w:t>
      </w:r>
      <w:r w:rsidR="00DC4411">
        <w:t xml:space="preserve"> and 5.00mm</w:t>
      </w:r>
      <w:r w:rsidR="00C74455">
        <w:t xml:space="preserve"> at 1.05 </w:t>
      </w:r>
      <m:oMath>
        <m:sSup>
          <m:sSupPr>
            <m:ctrlPr>
              <w:rPr>
                <w:rFonts w:ascii="Cambria Math" w:hAnsi="Cambria Math"/>
                <w:i/>
              </w:rPr>
            </m:ctrlPr>
          </m:sSupPr>
          <m:e>
            <m:r>
              <w:rPr>
                <w:rFonts w:ascii="Cambria Math" w:hAnsi="Cambria Math"/>
              </w:rPr>
              <m:t>gcm</m:t>
            </m:r>
          </m:e>
          <m:sup>
            <m:r>
              <w:rPr>
                <w:rFonts w:ascii="Cambria Math" w:hAnsi="Cambria Math"/>
              </w:rPr>
              <m:t>-3</m:t>
            </m:r>
          </m:sup>
        </m:sSup>
      </m:oMath>
      <w:r>
        <w:t xml:space="preserve"> </w:t>
      </w:r>
      <w:sdt>
        <w:sdtPr>
          <w:id w:val="1727727618"/>
          <w:citation/>
        </w:sdtPr>
        <w:sdtEndPr/>
        <w:sdtContent>
          <w:r>
            <w:fldChar w:fldCharType="begin"/>
          </w:r>
          <w:r>
            <w:instrText xml:space="preserve"> CITATION BMD81 \l 2057 </w:instrText>
          </w:r>
          <w:r>
            <w:fldChar w:fldCharType="separate"/>
          </w:r>
          <w:r w:rsidR="00A367A0">
            <w:rPr>
              <w:noProof/>
            </w:rPr>
            <w:t>[19]</w:t>
          </w:r>
          <w:r>
            <w:fldChar w:fldCharType="end"/>
          </w:r>
        </w:sdtContent>
      </w:sdt>
      <w:r>
        <w:t>.</w:t>
      </w:r>
    </w:p>
    <w:p w14:paraId="04B109E7" w14:textId="70319A7B" w:rsidR="008B18FD" w:rsidRDefault="008B18FD" w:rsidP="00AA093F">
      <w:r>
        <w:t xml:space="preserve">The critical density of an explosive is the maximum density that the material can be before the detonation wave will no longer reliably propagate </w:t>
      </w:r>
      <w:sdt>
        <w:sdtPr>
          <w:id w:val="-88705607"/>
          <w:citation/>
        </w:sdtPr>
        <w:sdtEndPr/>
        <w:sdtContent>
          <w:r>
            <w:fldChar w:fldCharType="begin"/>
          </w:r>
          <w:r>
            <w:instrText xml:space="preserve"> CITATION Sek24 \l 2057 </w:instrText>
          </w:r>
          <w:r>
            <w:fldChar w:fldCharType="separate"/>
          </w:r>
          <w:r w:rsidR="00A367A0">
            <w:rPr>
              <w:noProof/>
            </w:rPr>
            <w:t>[20]</w:t>
          </w:r>
          <w:r>
            <w:fldChar w:fldCharType="end"/>
          </w:r>
        </w:sdtContent>
      </w:sdt>
      <w:r w:rsidR="00814529">
        <w:t>, also referred to as theoretical maximum density (TMD)</w:t>
      </w:r>
      <w:r>
        <w:t xml:space="preserve">. </w:t>
      </w:r>
    </w:p>
    <w:p w14:paraId="135B94CF" w14:textId="6CD8440D" w:rsidR="00DC4411" w:rsidRDefault="00AA093F" w:rsidP="00DC4411">
      <w:r>
        <w:t xml:space="preserve">The TMD for lead azide is </w:t>
      </w:r>
      <w:r w:rsidR="008442AB">
        <w:t xml:space="preserve">4.71 </w:t>
      </w:r>
      <m:oMath>
        <m:sSup>
          <m:sSupPr>
            <m:ctrlPr>
              <w:rPr>
                <w:rFonts w:ascii="Cambria Math" w:hAnsi="Cambria Math"/>
                <w:i/>
              </w:rPr>
            </m:ctrlPr>
          </m:sSupPr>
          <m:e>
            <m:r>
              <w:rPr>
                <w:rFonts w:ascii="Cambria Math" w:hAnsi="Cambria Math"/>
              </w:rPr>
              <m:t>gcm</m:t>
            </m:r>
          </m:e>
          <m:sup>
            <m:r>
              <w:rPr>
                <w:rFonts w:ascii="Cambria Math" w:hAnsi="Cambria Math"/>
              </w:rPr>
              <m:t>-3</m:t>
            </m:r>
          </m:sup>
        </m:sSup>
      </m:oMath>
      <w:r w:rsidR="008442AB">
        <w:t xml:space="preserve"> </w:t>
      </w:r>
      <w:sdt>
        <w:sdtPr>
          <w:id w:val="1897623408"/>
          <w:citation/>
        </w:sdtPr>
        <w:sdtEndPr/>
        <w:sdtContent>
          <w:r w:rsidR="008442AB">
            <w:fldChar w:fldCharType="begin"/>
          </w:r>
          <w:r w:rsidR="008442AB">
            <w:instrText xml:space="preserve"> CITATION Pet06 \l 2057 </w:instrText>
          </w:r>
          <w:r w:rsidR="008442AB">
            <w:fldChar w:fldCharType="separate"/>
          </w:r>
          <w:r w:rsidR="00A367A0">
            <w:rPr>
              <w:noProof/>
            </w:rPr>
            <w:t>[21]</w:t>
          </w:r>
          <w:r w:rsidR="008442AB">
            <w:fldChar w:fldCharType="end"/>
          </w:r>
        </w:sdtContent>
      </w:sdt>
      <w:r>
        <w:t xml:space="preserve">. </w:t>
      </w:r>
      <w:r w:rsidR="00DC4411">
        <w:t xml:space="preserve">The TMD of pure RDX is 1.806 </w:t>
      </w:r>
      <m:oMath>
        <m:sSup>
          <m:sSupPr>
            <m:ctrlPr>
              <w:rPr>
                <w:rFonts w:ascii="Cambria Math" w:hAnsi="Cambria Math"/>
                <w:i/>
              </w:rPr>
            </m:ctrlPr>
          </m:sSupPr>
          <m:e>
            <m:r>
              <w:rPr>
                <w:rFonts w:ascii="Cambria Math" w:hAnsi="Cambria Math"/>
              </w:rPr>
              <m:t>gcm</m:t>
            </m:r>
          </m:e>
          <m:sup>
            <m:r>
              <w:rPr>
                <w:rFonts w:ascii="Cambria Math" w:hAnsi="Cambria Math"/>
              </w:rPr>
              <m:t>-3</m:t>
            </m:r>
          </m:sup>
        </m:sSup>
      </m:oMath>
      <w:r w:rsidR="00DC4411">
        <w:t xml:space="preserve">, which is higher than the value for RDX wax of 1.672 </w:t>
      </w:r>
      <m:oMath>
        <m:sSup>
          <m:sSupPr>
            <m:ctrlPr>
              <w:rPr>
                <w:rFonts w:ascii="Cambria Math" w:hAnsi="Cambria Math"/>
                <w:i/>
              </w:rPr>
            </m:ctrlPr>
          </m:sSupPr>
          <m:e>
            <m:r>
              <w:rPr>
                <w:rFonts w:ascii="Cambria Math" w:hAnsi="Cambria Math"/>
              </w:rPr>
              <m:t>gcm</m:t>
            </m:r>
          </m:e>
          <m:sup>
            <m:r>
              <w:rPr>
                <w:rFonts w:ascii="Cambria Math" w:hAnsi="Cambria Math"/>
              </w:rPr>
              <m:t>-3</m:t>
            </m:r>
          </m:sup>
        </m:sSup>
      </m:oMath>
      <w:r w:rsidR="00DC4411">
        <w:t xml:space="preserve"> </w:t>
      </w:r>
      <w:sdt>
        <w:sdtPr>
          <w:id w:val="-317273775"/>
          <w:citation/>
        </w:sdtPr>
        <w:sdtEndPr/>
        <w:sdtContent>
          <w:r w:rsidR="00DC4411">
            <w:fldChar w:fldCharType="begin"/>
          </w:r>
          <w:r w:rsidR="00DC4411">
            <w:instrText xml:space="preserve"> CITATION Rob00 \l 2057 </w:instrText>
          </w:r>
          <w:r w:rsidR="00DC4411">
            <w:fldChar w:fldCharType="separate"/>
          </w:r>
          <w:r w:rsidR="00A367A0">
            <w:rPr>
              <w:noProof/>
            </w:rPr>
            <w:t>[17]</w:t>
          </w:r>
          <w:r w:rsidR="00DC4411">
            <w:fldChar w:fldCharType="end"/>
          </w:r>
        </w:sdtContent>
      </w:sdt>
      <w:r w:rsidR="00DC4411">
        <w:t>.</w:t>
      </w:r>
    </w:p>
    <w:p w14:paraId="29A48BEF" w14:textId="50096459" w:rsidR="00AA093F" w:rsidRPr="00145602" w:rsidRDefault="00AA093F" w:rsidP="00AA093F">
      <w:r>
        <w:t>An explosive needs to be within range for both critical diameter and density to reach the ignition temperature of a material.</w:t>
      </w:r>
    </w:p>
    <w:p w14:paraId="39645545" w14:textId="3AE5816B" w:rsidR="00DA28B2" w:rsidRDefault="00DC1FC6" w:rsidP="00937E17">
      <w:pPr>
        <w:pStyle w:val="Heading2"/>
      </w:pPr>
      <w:bookmarkStart w:id="47" w:name="_Toc217379070"/>
      <w:r>
        <w:t>Ignition</w:t>
      </w:r>
      <w:bookmarkEnd w:id="47"/>
    </w:p>
    <w:p w14:paraId="76DBF2EB" w14:textId="4B9FAA6C" w:rsidR="00DC1FC6" w:rsidRDefault="00DC1FC6" w:rsidP="00DC1FC6">
      <w:r>
        <w:t>For something to detonate or deflagrate there needs to be an initial transfer of energy to the system to raise its temperature – this is called the ignition.</w:t>
      </w:r>
      <w:r w:rsidRPr="004D7CB3">
        <w:t xml:space="preserve"> </w:t>
      </w:r>
      <w:r>
        <w:t xml:space="preserve">An explosive will only ignite when heated to above its ignition temperature </w:t>
      </w:r>
      <w:sdt>
        <w:sdtPr>
          <w:id w:val="1268589213"/>
          <w:citation/>
        </w:sdtPr>
        <w:sdtEndPr/>
        <w:sdtContent>
          <w:r>
            <w:fldChar w:fldCharType="begin"/>
          </w:r>
          <w:r>
            <w:instrText xml:space="preserve"> CITATION Jac22 \l 2057 </w:instrText>
          </w:r>
          <w:r>
            <w:fldChar w:fldCharType="separate"/>
          </w:r>
          <w:r w:rsidR="00A367A0">
            <w:rPr>
              <w:noProof/>
            </w:rPr>
            <w:t>[3]</w:t>
          </w:r>
          <w:r>
            <w:fldChar w:fldCharType="end"/>
          </w:r>
        </w:sdtContent>
      </w:sdt>
      <w:r>
        <w:t>. This external stimulus can come in several forms, commonly friction, impact or electrostatic discharge (ESD).</w:t>
      </w:r>
    </w:p>
    <w:p w14:paraId="6F032026" w14:textId="0111F5BE" w:rsidR="00DC1FC6" w:rsidRDefault="00DC1FC6" w:rsidP="00DC1FC6">
      <w:r>
        <w:t xml:space="preserve">The initial stimulation causes reactions within the material through hot spot interactions </w:t>
      </w:r>
      <w:sdt>
        <w:sdtPr>
          <w:id w:val="1180172896"/>
          <w:citation/>
        </w:sdtPr>
        <w:sdtEndPr/>
        <w:sdtContent>
          <w:r>
            <w:fldChar w:fldCharType="begin"/>
          </w:r>
          <w:r>
            <w:instrText xml:space="preserve"> CITATION Fen24 \l 2057 </w:instrText>
          </w:r>
          <w:r>
            <w:fldChar w:fldCharType="separate"/>
          </w:r>
          <w:r w:rsidR="00A367A0">
            <w:rPr>
              <w:noProof/>
            </w:rPr>
            <w:t>[22]</w:t>
          </w:r>
          <w:r>
            <w:fldChar w:fldCharType="end"/>
          </w:r>
        </w:sdtContent>
      </w:sdt>
      <w:r>
        <w:t>. This could be things such as fractures within the crystalline structure, or any air pockets being compressed. This in turn releases more energy, causing the temperature to rise exponentially until the heat generated exceeds the value of heat lost to the surroundings.</w:t>
      </w:r>
    </w:p>
    <w:p w14:paraId="43D0E075" w14:textId="6FC434D3" w:rsidR="00917DD5" w:rsidRDefault="00834E84" w:rsidP="004C17BD">
      <w:r>
        <w:lastRenderedPageBreak/>
        <w:t xml:space="preserve">As lead azide is so sensitive, any choice of initiator would release enough energy to cause a detonation. Therefore, the most efficient choice would be either heat or spark, which could be received from a bridge wire in an electrical </w:t>
      </w:r>
      <w:r w:rsidR="004C17BD">
        <w:t xml:space="preserve">detonator. This would be the safest option to have as a detonator, as it is resistant to any external signals (such as ESD) and will not detonate unless it receives the specific signal required </w:t>
      </w:r>
      <w:sdt>
        <w:sdtPr>
          <w:id w:val="-744492625"/>
          <w:citation/>
        </w:sdtPr>
        <w:sdtEndPr/>
        <w:sdtContent>
          <w:r w:rsidR="004C17BD">
            <w:fldChar w:fldCharType="begin"/>
          </w:r>
          <w:r w:rsidR="004C17BD">
            <w:instrText xml:space="preserve"> CITATION Har04 \l 2057 </w:instrText>
          </w:r>
          <w:r w:rsidR="004C17BD">
            <w:fldChar w:fldCharType="separate"/>
          </w:r>
          <w:r w:rsidR="00A367A0">
            <w:rPr>
              <w:noProof/>
            </w:rPr>
            <w:t>[23]</w:t>
          </w:r>
          <w:r w:rsidR="004C17BD">
            <w:fldChar w:fldCharType="end"/>
          </w:r>
        </w:sdtContent>
      </w:sdt>
      <w:r w:rsidR="004C17BD">
        <w:t>.</w:t>
      </w:r>
    </w:p>
    <w:p w14:paraId="27FD4832" w14:textId="273C5F14" w:rsidR="008D3CBB" w:rsidRPr="00917DD5" w:rsidRDefault="008D3CBB" w:rsidP="00917DD5">
      <w:pPr>
        <w:sectPr w:rsidR="008D3CBB" w:rsidRPr="00917DD5" w:rsidSect="00623A81">
          <w:headerReference w:type="even" r:id="rId33"/>
          <w:headerReference w:type="default" r:id="rId34"/>
          <w:footerReference w:type="even" r:id="rId35"/>
          <w:footerReference w:type="default" r:id="rId36"/>
          <w:headerReference w:type="first" r:id="rId37"/>
          <w:footerReference w:type="first" r:id="rId38"/>
          <w:pgSz w:w="11906" w:h="16838" w:code="9"/>
          <w:pgMar w:top="1701" w:right="1701" w:bottom="1701" w:left="1701" w:header="709" w:footer="851" w:gutter="0"/>
          <w:cols w:space="708"/>
          <w:docGrid w:linePitch="360"/>
        </w:sectPr>
      </w:pPr>
    </w:p>
    <w:p w14:paraId="12C91FE1" w14:textId="5DC1EB41" w:rsidR="00DA28B2" w:rsidRDefault="00937E17" w:rsidP="00917DD5">
      <w:pPr>
        <w:pStyle w:val="Heading1"/>
      </w:pPr>
      <w:bookmarkStart w:id="48" w:name="_Toc217379071"/>
      <w:r>
        <w:lastRenderedPageBreak/>
        <w:t>Confined Explosives</w:t>
      </w:r>
      <w:bookmarkEnd w:id="48"/>
    </w:p>
    <w:p w14:paraId="431B4D3D" w14:textId="42528723" w:rsidR="0045151B" w:rsidRDefault="0045151B" w:rsidP="00BA5F82">
      <w:r>
        <w:t>Confining an explosive greatly changes its characteristics. This is due to the fact that in unconfined explosives, a large sum of the released energy escapes from the exterior of the explosive and is unused. When this explosive is confined, the energy cannot escape and is instead reflected back into the explosive, triggering a cyclical reaction of increasing temperature.</w:t>
      </w:r>
      <w:r w:rsidR="0004019A">
        <w:t xml:space="preserve"> This also increases the gas product density</w:t>
      </w:r>
      <w:r w:rsidR="00B17B0C">
        <w:t xml:space="preserve"> </w:t>
      </w:r>
      <w:sdt>
        <w:sdtPr>
          <w:id w:val="-1526781767"/>
          <w:citation/>
        </w:sdtPr>
        <w:sdtEndPr/>
        <w:sdtContent>
          <w:r w:rsidR="0004019A">
            <w:fldChar w:fldCharType="begin"/>
          </w:r>
          <w:r w:rsidR="0004019A">
            <w:instrText xml:space="preserve"> CITATION Jix25 \l 2057 </w:instrText>
          </w:r>
          <w:r w:rsidR="0004019A">
            <w:fldChar w:fldCharType="separate"/>
          </w:r>
          <w:r w:rsidR="00A367A0">
            <w:rPr>
              <w:noProof/>
            </w:rPr>
            <w:t>[24]</w:t>
          </w:r>
          <w:r w:rsidR="0004019A">
            <w:fldChar w:fldCharType="end"/>
          </w:r>
        </w:sdtContent>
      </w:sdt>
      <w:r w:rsidR="00B17B0C">
        <w:t>, making the explosive more effective in blast.</w:t>
      </w:r>
    </w:p>
    <w:p w14:paraId="23060DB3" w14:textId="0DC6E5AD" w:rsidR="00AD4308" w:rsidRDefault="00B17B0C" w:rsidP="008178DA">
      <w:r>
        <w:t>Another benefit of confinement is that it can reduce the value of critical diameter required for a material</w:t>
      </w:r>
      <w:sdt>
        <w:sdtPr>
          <w:id w:val="392707321"/>
          <w:citation/>
        </w:sdtPr>
        <w:sdtEndPr/>
        <w:sdtContent>
          <w:r w:rsidR="00BA5F82">
            <w:fldChar w:fldCharType="begin"/>
          </w:r>
          <w:r w:rsidR="00BA5F82">
            <w:instrText xml:space="preserve"> CITATION Vje22 \l 2057 </w:instrText>
          </w:r>
          <w:r w:rsidR="00BA5F82">
            <w:fldChar w:fldCharType="separate"/>
          </w:r>
          <w:r w:rsidR="00A367A0">
            <w:rPr>
              <w:noProof/>
            </w:rPr>
            <w:t xml:space="preserve"> [25]</w:t>
          </w:r>
          <w:r w:rsidR="00BA5F82">
            <w:fldChar w:fldCharType="end"/>
          </w:r>
        </w:sdtContent>
      </w:sdt>
      <w:r w:rsidR="00BA5F82">
        <w:t>.</w:t>
      </w:r>
      <w:r>
        <w:t xml:space="preserve"> </w:t>
      </w:r>
      <w:r w:rsidR="002920A8">
        <w:t xml:space="preserve">For an ordnance, munitions and explosives (OME) professional, this </w:t>
      </w:r>
      <w:r w:rsidR="005134EA">
        <w:t xml:space="preserve">can be used in design to reduce the overall size of a munition, which then could increase the amount that can be carried at once. </w:t>
      </w:r>
      <w:r w:rsidR="008178DA">
        <w:t>It also allows for munitions to be designed to ensure that they can operate to the required standard, without the need for trials to determine their functionality, which decreases the overall cost of a product.</w:t>
      </w:r>
    </w:p>
    <w:p w14:paraId="3D5A588E" w14:textId="3B5F97F5" w:rsidR="00DA28B2" w:rsidRDefault="005134EA" w:rsidP="0053037E">
      <w:r>
        <w:t>Alongside artificial confinement (a container), an explosive can also be self-confining.</w:t>
      </w:r>
      <w:r w:rsidR="000A513C">
        <w:t xml:space="preserve"> This happens when the explosive reaches a value of diameter above its theoretical maximum, and any excess explosive acts as a container and reflects energy internally, without adding to the effect.</w:t>
      </w:r>
    </w:p>
    <w:p w14:paraId="35BA8CD2" w14:textId="77777777" w:rsidR="00DA28B2" w:rsidRDefault="00DA28B2" w:rsidP="00DA28B2">
      <w:pPr>
        <w:pStyle w:val="Heading1"/>
        <w:sectPr w:rsidR="00DA28B2" w:rsidSect="00623A81">
          <w:headerReference w:type="even" r:id="rId39"/>
          <w:headerReference w:type="default" r:id="rId40"/>
          <w:footerReference w:type="even" r:id="rId41"/>
          <w:footerReference w:type="default" r:id="rId42"/>
          <w:headerReference w:type="first" r:id="rId43"/>
          <w:footerReference w:type="first" r:id="rId44"/>
          <w:pgSz w:w="11906" w:h="16838" w:code="9"/>
          <w:pgMar w:top="1701" w:right="1701" w:bottom="1701" w:left="1701" w:header="709" w:footer="851" w:gutter="0"/>
          <w:cols w:space="708"/>
          <w:docGrid w:linePitch="360"/>
        </w:sectPr>
      </w:pPr>
    </w:p>
    <w:p w14:paraId="17440DE4" w14:textId="02FBE1CF" w:rsidR="00DA28B2" w:rsidRDefault="00937E17" w:rsidP="00937E17">
      <w:pPr>
        <w:pStyle w:val="Heading1"/>
      </w:pPr>
      <w:bookmarkStart w:id="49" w:name="_Toc217379072"/>
      <w:r>
        <w:lastRenderedPageBreak/>
        <w:t>Velocity of Detonation</w:t>
      </w:r>
      <w:bookmarkEnd w:id="49"/>
    </w:p>
    <w:p w14:paraId="1EC77B26" w14:textId="6E03357F" w:rsidR="0053037E" w:rsidRDefault="0053037E" w:rsidP="00562666">
      <w:r>
        <w:t xml:space="preserve">Velocity of detonation (VoD) is the speed at which the shock front travels through an explosive material as it detonates </w:t>
      </w:r>
      <w:sdt>
        <w:sdtPr>
          <w:id w:val="1310214168"/>
          <w:citation/>
        </w:sdtPr>
        <w:sdtEndPr/>
        <w:sdtContent>
          <w:r>
            <w:fldChar w:fldCharType="begin"/>
          </w:r>
          <w:r>
            <w:instrText xml:space="preserve"> CITATION Eug23 \l 2057 </w:instrText>
          </w:r>
          <w:r>
            <w:fldChar w:fldCharType="separate"/>
          </w:r>
          <w:r w:rsidR="00A367A0">
            <w:rPr>
              <w:noProof/>
            </w:rPr>
            <w:t>[26]</w:t>
          </w:r>
          <w:r>
            <w:fldChar w:fldCharType="end"/>
          </w:r>
        </w:sdtContent>
      </w:sdt>
      <w:r>
        <w:t xml:space="preserve">. </w:t>
      </w:r>
      <w:r w:rsidR="00562666">
        <w:t xml:space="preserve">Confining an explosive brings it closer to ideal performance by exponentially increasing the velocity of detonation </w:t>
      </w:r>
      <w:sdt>
        <w:sdtPr>
          <w:id w:val="-367835627"/>
          <w:citation/>
        </w:sdtPr>
        <w:sdtEndPr/>
        <w:sdtContent>
          <w:r w:rsidR="00562666">
            <w:fldChar w:fldCharType="begin"/>
          </w:r>
          <w:r w:rsidR="00562666">
            <w:instrText xml:space="preserve">CITATION Pau96 \l 2057 </w:instrText>
          </w:r>
          <w:r w:rsidR="00562666">
            <w:fldChar w:fldCharType="separate"/>
          </w:r>
          <w:r w:rsidR="00A367A0">
            <w:rPr>
              <w:noProof/>
            </w:rPr>
            <w:t>[5]</w:t>
          </w:r>
          <w:r w:rsidR="00562666">
            <w:fldChar w:fldCharType="end"/>
          </w:r>
        </w:sdtContent>
      </w:sdt>
      <w:r w:rsidR="00562666">
        <w:t xml:space="preserve">, and increasing the density </w:t>
      </w:r>
      <w:r w:rsidR="00303054">
        <w:t>of the material has the same effect.</w:t>
      </w:r>
    </w:p>
    <w:p w14:paraId="64B69759" w14:textId="207613A5" w:rsidR="0053037E" w:rsidRDefault="00640FB5" w:rsidP="00937E17">
      <w:r>
        <w:t xml:space="preserve">A study was done to show the difference in VoD of RDX at different densities. At a density of 1.35 </w:t>
      </w:r>
      <m:oMath>
        <m:sSup>
          <m:sSupPr>
            <m:ctrlPr>
              <w:rPr>
                <w:rFonts w:ascii="Cambria Math" w:hAnsi="Cambria Math"/>
                <w:i/>
              </w:rPr>
            </m:ctrlPr>
          </m:sSupPr>
          <m:e>
            <m:r>
              <w:rPr>
                <w:rFonts w:ascii="Cambria Math" w:hAnsi="Cambria Math"/>
              </w:rPr>
              <m:t>gcm</m:t>
            </m:r>
          </m:e>
          <m:sup>
            <m:r>
              <w:rPr>
                <w:rFonts w:ascii="Cambria Math" w:hAnsi="Cambria Math"/>
              </w:rPr>
              <m:t>-3</m:t>
            </m:r>
          </m:sup>
        </m:sSup>
      </m:oMath>
      <w:r>
        <w:t xml:space="preserve"> the VoD </w:t>
      </w:r>
      <w:r w:rsidR="00751A3A">
        <w:t xml:space="preserve">was 7315 </w:t>
      </w:r>
      <m:oMath>
        <m:sSup>
          <m:sSupPr>
            <m:ctrlPr>
              <w:rPr>
                <w:rFonts w:ascii="Cambria Math" w:hAnsi="Cambria Math"/>
                <w:i/>
              </w:rPr>
            </m:ctrlPr>
          </m:sSupPr>
          <m:e>
            <m:r>
              <w:rPr>
                <w:rFonts w:ascii="Cambria Math" w:hAnsi="Cambria Math"/>
              </w:rPr>
              <m:t>ms</m:t>
            </m:r>
          </m:e>
          <m:sup>
            <m:r>
              <w:rPr>
                <w:rFonts w:ascii="Cambria Math" w:hAnsi="Cambria Math"/>
              </w:rPr>
              <m:t>-1</m:t>
            </m:r>
          </m:sup>
        </m:sSup>
      </m:oMath>
      <w:r w:rsidR="00751A3A">
        <w:t xml:space="preserve">. At a density of 1.80 </w:t>
      </w:r>
      <m:oMath>
        <m:sSup>
          <m:sSupPr>
            <m:ctrlPr>
              <w:rPr>
                <w:rFonts w:ascii="Cambria Math" w:hAnsi="Cambria Math"/>
                <w:i/>
              </w:rPr>
            </m:ctrlPr>
          </m:sSupPr>
          <m:e>
            <m:r>
              <w:rPr>
                <w:rFonts w:ascii="Cambria Math" w:hAnsi="Cambria Math"/>
              </w:rPr>
              <m:t>gcm</m:t>
            </m:r>
          </m:e>
          <m:sup>
            <m:r>
              <w:rPr>
                <w:rFonts w:ascii="Cambria Math" w:hAnsi="Cambria Math"/>
              </w:rPr>
              <m:t>-3</m:t>
            </m:r>
          </m:sup>
        </m:sSup>
      </m:oMath>
      <w:r w:rsidR="00751A3A">
        <w:t xml:space="preserve"> (the taken value of TMD) the VoD was 8798 </w:t>
      </w:r>
      <m:oMath>
        <m:sSup>
          <m:sSupPr>
            <m:ctrlPr>
              <w:rPr>
                <w:rFonts w:ascii="Cambria Math" w:hAnsi="Cambria Math"/>
                <w:i/>
              </w:rPr>
            </m:ctrlPr>
          </m:sSupPr>
          <m:e>
            <m:r>
              <w:rPr>
                <w:rFonts w:ascii="Cambria Math" w:hAnsi="Cambria Math"/>
              </w:rPr>
              <m:t>ms</m:t>
            </m:r>
          </m:e>
          <m:sup>
            <m:r>
              <w:rPr>
                <w:rFonts w:ascii="Cambria Math" w:hAnsi="Cambria Math"/>
              </w:rPr>
              <m:t>-1</m:t>
            </m:r>
          </m:sup>
        </m:sSup>
      </m:oMath>
      <w:r w:rsidR="00751A3A">
        <w:t xml:space="preserve"> </w:t>
      </w:r>
      <w:sdt>
        <w:sdtPr>
          <w:id w:val="-834146423"/>
          <w:citation/>
        </w:sdtPr>
        <w:sdtEndPr/>
        <w:sdtContent>
          <w:r w:rsidR="00751A3A">
            <w:fldChar w:fldCharType="begin"/>
          </w:r>
          <w:r w:rsidR="00751A3A">
            <w:instrText xml:space="preserve"> CITATION Tho21 \l 2057 </w:instrText>
          </w:r>
          <w:r w:rsidR="00751A3A">
            <w:fldChar w:fldCharType="separate"/>
          </w:r>
          <w:r w:rsidR="00A367A0">
            <w:rPr>
              <w:noProof/>
            </w:rPr>
            <w:t>[27]</w:t>
          </w:r>
          <w:r w:rsidR="00751A3A">
            <w:fldChar w:fldCharType="end"/>
          </w:r>
        </w:sdtContent>
      </w:sdt>
      <w:r w:rsidR="00751A3A">
        <w:t>.</w:t>
      </w:r>
    </w:p>
    <w:p w14:paraId="11361C3A" w14:textId="645CB6BB" w:rsidR="008D3CBB" w:rsidRDefault="00751A3A" w:rsidP="00751A3A">
      <w:r>
        <w:t>As seen in the experiment, increasing the density of an explosive up to its TMD greatly increases the VoD.</w:t>
      </w:r>
    </w:p>
    <w:p w14:paraId="575FE242" w14:textId="0597F940" w:rsidR="006B4B01" w:rsidRDefault="006B4B01">
      <w:pPr>
        <w:spacing w:before="0" w:after="200" w:line="276" w:lineRule="auto"/>
        <w:jc w:val="left"/>
        <w:rPr>
          <w:rFonts w:cs="Arial"/>
          <w:b/>
          <w:bCs/>
          <w:kern w:val="32"/>
          <w:sz w:val="32"/>
          <w:szCs w:val="32"/>
        </w:rPr>
      </w:pPr>
      <w:r>
        <w:br w:type="page"/>
      </w:r>
    </w:p>
    <w:p w14:paraId="5ECAAFD8" w14:textId="3FF5FB7C" w:rsidR="00CF7D1F" w:rsidRDefault="006B4B01" w:rsidP="005C666C">
      <w:pPr>
        <w:pStyle w:val="Heading1"/>
      </w:pPr>
      <w:bookmarkStart w:id="50" w:name="_Toc217379073"/>
      <w:r>
        <w:lastRenderedPageBreak/>
        <w:t>Explosive Train</w:t>
      </w:r>
      <w:bookmarkEnd w:id="50"/>
    </w:p>
    <w:p w14:paraId="2C43AD6B" w14:textId="78FE3ED0" w:rsidR="005C666C" w:rsidRDefault="005C666C" w:rsidP="005C666C">
      <w:r>
        <w:t xml:space="preserve">For a secondary explosive to detonate, a much larger quantity of energy is required than for a primary explosive. This is done through an explosive train, which is </w:t>
      </w:r>
      <w:r w:rsidRPr="005C666C">
        <w:t xml:space="preserve">an arrangement of explosive components </w:t>
      </w:r>
      <w:r>
        <w:t xml:space="preserve">that release increasing energies upon detonation, until they trigger the detonation of </w:t>
      </w:r>
      <w:r w:rsidRPr="005C666C">
        <w:t>the main explosive composition</w:t>
      </w:r>
      <w:r>
        <w:t xml:space="preserve"> </w:t>
      </w:r>
      <w:sdt>
        <w:sdtPr>
          <w:id w:val="-610744815"/>
          <w:citation/>
        </w:sdtPr>
        <w:sdtEndPr/>
        <w:sdtContent>
          <w:r w:rsidR="003F2BEE">
            <w:fldChar w:fldCharType="begin"/>
          </w:r>
          <w:r w:rsidR="003F2BEE">
            <w:instrText xml:space="preserve"> CITATION NIS25 \l 2057 </w:instrText>
          </w:r>
          <w:r w:rsidR="003F2BEE">
            <w:fldChar w:fldCharType="separate"/>
          </w:r>
          <w:r w:rsidR="00A367A0">
            <w:rPr>
              <w:noProof/>
            </w:rPr>
            <w:t>[28]</w:t>
          </w:r>
          <w:r w:rsidR="003F2BEE">
            <w:fldChar w:fldCharType="end"/>
          </w:r>
        </w:sdtContent>
      </w:sdt>
      <w:r w:rsidR="003F2BEE">
        <w:t xml:space="preserve">. </w:t>
      </w:r>
    </w:p>
    <w:p w14:paraId="7F1F05D1" w14:textId="77F02B76" w:rsidR="00707C60" w:rsidRPr="005C666C" w:rsidRDefault="00707C60" w:rsidP="005C666C">
      <w:r>
        <w:t xml:space="preserve">A very simple explosive train would consist of a detonator containing a primary explosive, a booster containing a more sensitive secondary explosive and the main charge containing a less sensitive, but more powerful, secondary explosive. The booster acts as a bridge between the primary explosive and the main charge, amplifying the effect of the primary explosive to ensure the detonation of the main charge </w:t>
      </w:r>
      <w:sdt>
        <w:sdtPr>
          <w:id w:val="1076250492"/>
          <w:citation/>
        </w:sdtPr>
        <w:sdtEndPr/>
        <w:sdtContent>
          <w:r>
            <w:fldChar w:fldCharType="begin"/>
          </w:r>
          <w:r>
            <w:instrText xml:space="preserve"> CITATION Nat98 \l 2057 </w:instrText>
          </w:r>
          <w:r>
            <w:fldChar w:fldCharType="separate"/>
          </w:r>
          <w:r w:rsidR="00A367A0">
            <w:rPr>
              <w:noProof/>
            </w:rPr>
            <w:t>[29]</w:t>
          </w:r>
          <w:r>
            <w:fldChar w:fldCharType="end"/>
          </w:r>
        </w:sdtContent>
      </w:sdt>
      <w:r>
        <w:t xml:space="preserve">. </w:t>
      </w:r>
    </w:p>
    <w:p w14:paraId="3AC364AE" w14:textId="50BA1CDD" w:rsidR="00CF7D1F" w:rsidRPr="00CF7D1F" w:rsidRDefault="00DC4411" w:rsidP="00DC4411">
      <w:pPr>
        <w:pStyle w:val="Heading2"/>
      </w:pPr>
      <w:bookmarkStart w:id="51" w:name="_Toc217379074"/>
      <w:r>
        <w:t>Diagram of Explosive Train</w:t>
      </w:r>
      <w:bookmarkEnd w:id="51"/>
    </w:p>
    <w:p w14:paraId="02F2A842" w14:textId="77777777" w:rsidR="00DC4411" w:rsidRDefault="00DC4411" w:rsidP="00DC4411">
      <w:pPr>
        <w:keepNext/>
      </w:pPr>
      <w:r w:rsidRPr="00DC4411">
        <w:rPr>
          <w:noProof/>
        </w:rPr>
        <w:drawing>
          <wp:inline distT="0" distB="0" distL="0" distR="0" wp14:anchorId="44EEC1C0" wp14:editId="5C59B581">
            <wp:extent cx="5399690" cy="3275411"/>
            <wp:effectExtent l="0" t="0" r="0" b="1270"/>
            <wp:docPr id="484567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567153" name=""/>
                    <pic:cNvPicPr/>
                  </pic:nvPicPr>
                  <pic:blipFill rotWithShape="1">
                    <a:blip r:embed="rId45"/>
                    <a:srcRect t="5393" b="4849"/>
                    <a:stretch/>
                  </pic:blipFill>
                  <pic:spPr bwMode="auto">
                    <a:xfrm>
                      <a:off x="0" y="0"/>
                      <a:ext cx="5400040" cy="3275623"/>
                    </a:xfrm>
                    <a:prstGeom prst="rect">
                      <a:avLst/>
                    </a:prstGeom>
                    <a:ln>
                      <a:noFill/>
                    </a:ln>
                    <a:extLst>
                      <a:ext uri="{53640926-AAD7-44D8-BBD7-CCE9431645EC}">
                        <a14:shadowObscured xmlns:a14="http://schemas.microsoft.com/office/drawing/2010/main"/>
                      </a:ext>
                    </a:extLst>
                  </pic:spPr>
                </pic:pic>
              </a:graphicData>
            </a:graphic>
          </wp:inline>
        </w:drawing>
      </w:r>
    </w:p>
    <w:p w14:paraId="1331D3E9" w14:textId="702208CA" w:rsidR="00AB42EB" w:rsidRDefault="00DC4411" w:rsidP="00DC4411">
      <w:pPr>
        <w:pStyle w:val="Caption"/>
      </w:pPr>
      <w:bookmarkStart w:id="52" w:name="_Toc217379079"/>
      <w:r>
        <w:t xml:space="preserve">Figure </w:t>
      </w:r>
      <w:r>
        <w:fldChar w:fldCharType="begin"/>
      </w:r>
      <w:r>
        <w:instrText xml:space="preserve"> SEQ Figure \* ARABIC </w:instrText>
      </w:r>
      <w:r>
        <w:fldChar w:fldCharType="separate"/>
      </w:r>
      <w:r w:rsidR="003A1C49">
        <w:rPr>
          <w:noProof/>
        </w:rPr>
        <w:t>3</w:t>
      </w:r>
      <w:r>
        <w:fldChar w:fldCharType="end"/>
      </w:r>
      <w:r>
        <w:t xml:space="preserve"> – Diagram of an explosive train with measurements for chosen explosives</w:t>
      </w:r>
      <w:bookmarkEnd w:id="52"/>
    </w:p>
    <w:p w14:paraId="546FAB2A" w14:textId="660DD46D" w:rsidR="00AB42EB" w:rsidRDefault="00856C8D" w:rsidP="00856C8D">
      <w:r>
        <w:t xml:space="preserve">The diameters and densities of each material were selected based on their critical diameters and TMDs. The densities selected for each material were all very close </w:t>
      </w:r>
      <w:r>
        <w:lastRenderedPageBreak/>
        <w:t>to the values of their TMDs, rounded to two significant figures to make theoretical production simpler. The selected values of diameter were the values of critical diameter at lower densities, meaning they are guaranteed to be the minimum required diameter, without being excessively higher.</w:t>
      </w:r>
    </w:p>
    <w:p w14:paraId="76238D23" w14:textId="4CEA7E5C" w:rsidR="008F39E2" w:rsidRDefault="008F39E2">
      <w:pPr>
        <w:spacing w:before="0" w:after="200" w:line="276" w:lineRule="auto"/>
        <w:jc w:val="left"/>
      </w:pPr>
      <w:r>
        <w:br w:type="page"/>
      </w:r>
    </w:p>
    <w:p w14:paraId="5AFE78FF" w14:textId="164EAB8E" w:rsidR="008F39E2" w:rsidRDefault="008F39E2" w:rsidP="008F39E2">
      <w:pPr>
        <w:pStyle w:val="Heading1"/>
      </w:pPr>
      <w:bookmarkStart w:id="53" w:name="_Toc217379075"/>
      <w:r>
        <w:lastRenderedPageBreak/>
        <w:t>Conclusion</w:t>
      </w:r>
      <w:bookmarkEnd w:id="53"/>
    </w:p>
    <w:p w14:paraId="28D590C9" w14:textId="10931BCD" w:rsidR="00DA28B2" w:rsidRDefault="00AB42EB" w:rsidP="00AD0B32">
      <w:r>
        <w:t>T</w:t>
      </w:r>
      <w:r w:rsidR="00AD0B32">
        <w:t>o conclude, this report has shown the importance of critical diameter and critical density in relation to a successful detonation, through the curation of an accurate example of an explosive train diagram. This is crucial knowledge for an OME professional to have, to ensure that any munitions produced under their care are fully functional to the required standard and safe for anyone operating them.</w:t>
      </w:r>
    </w:p>
    <w:p w14:paraId="24204843" w14:textId="77777777" w:rsidR="00DA28B2" w:rsidRDefault="00DA28B2" w:rsidP="00941D35"/>
    <w:p w14:paraId="06AC0647" w14:textId="77777777" w:rsidR="00DA28B2" w:rsidRDefault="00DA28B2" w:rsidP="00DA28B2">
      <w:pPr>
        <w:pStyle w:val="Heading1nonumber"/>
        <w:sectPr w:rsidR="00DA28B2" w:rsidSect="00623A81">
          <w:headerReference w:type="even" r:id="rId46"/>
          <w:headerReference w:type="default" r:id="rId47"/>
          <w:footerReference w:type="even" r:id="rId48"/>
          <w:footerReference w:type="default" r:id="rId49"/>
          <w:headerReference w:type="first" r:id="rId50"/>
          <w:footerReference w:type="first" r:id="rId51"/>
          <w:pgSz w:w="11906" w:h="16838" w:code="9"/>
          <w:pgMar w:top="1701" w:right="1701" w:bottom="1701" w:left="1701" w:header="709" w:footer="851" w:gutter="0"/>
          <w:cols w:space="708"/>
          <w:docGrid w:linePitch="360"/>
        </w:sectPr>
      </w:pPr>
      <w:bookmarkStart w:id="54" w:name="_Toc51833419"/>
    </w:p>
    <w:bookmarkEnd w:id="54" w:displacedByCustomXml="next"/>
    <w:bookmarkStart w:id="55" w:name="_Toc217379076" w:displacedByCustomXml="next"/>
    <w:sdt>
      <w:sdtPr>
        <w:rPr>
          <w:rFonts w:cs="Times New Roman"/>
          <w:b w:val="0"/>
          <w:bCs w:val="0"/>
          <w:kern w:val="0"/>
          <w:sz w:val="24"/>
          <w:szCs w:val="24"/>
        </w:rPr>
        <w:id w:val="-76671041"/>
        <w:docPartObj>
          <w:docPartGallery w:val="Bibliographies"/>
          <w:docPartUnique/>
        </w:docPartObj>
      </w:sdtPr>
      <w:sdtEndPr/>
      <w:sdtContent>
        <w:p w14:paraId="64B47F33" w14:textId="62E81D44" w:rsidR="006B4B01" w:rsidRDefault="006B4B01">
          <w:pPr>
            <w:pStyle w:val="Heading1"/>
          </w:pPr>
          <w:r>
            <w:t>References</w:t>
          </w:r>
          <w:bookmarkEnd w:id="55"/>
        </w:p>
        <w:sdt>
          <w:sdtPr>
            <w:id w:val="-573587230"/>
            <w:bibliography/>
          </w:sdtPr>
          <w:sdtEndPr/>
          <w:sdtContent>
            <w:p w14:paraId="46A42BD0" w14:textId="77777777" w:rsidR="00A367A0" w:rsidRDefault="006B4B01" w:rsidP="00A367A0">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28"/>
              </w:tblGrid>
              <w:tr w:rsidR="00A367A0" w14:paraId="47DDF235" w14:textId="77777777">
                <w:trPr>
                  <w:divId w:val="516819508"/>
                  <w:tblCellSpacing w:w="15" w:type="dxa"/>
                </w:trPr>
                <w:tc>
                  <w:tcPr>
                    <w:tcW w:w="50" w:type="pct"/>
                    <w:hideMark/>
                  </w:tcPr>
                  <w:p w14:paraId="7A442559" w14:textId="44F358D8" w:rsidR="00A367A0" w:rsidRDefault="00A367A0">
                    <w:pPr>
                      <w:pStyle w:val="Bibliography"/>
                      <w:rPr>
                        <w:noProof/>
                      </w:rPr>
                    </w:pPr>
                    <w:r>
                      <w:rPr>
                        <w:noProof/>
                      </w:rPr>
                      <w:t xml:space="preserve">[1] </w:t>
                    </w:r>
                  </w:p>
                </w:tc>
                <w:tc>
                  <w:tcPr>
                    <w:tcW w:w="0" w:type="auto"/>
                    <w:hideMark/>
                  </w:tcPr>
                  <w:p w14:paraId="2359D21A" w14:textId="77777777" w:rsidR="00A367A0" w:rsidRDefault="00A367A0">
                    <w:pPr>
                      <w:pStyle w:val="Bibliography"/>
                      <w:rPr>
                        <w:noProof/>
                      </w:rPr>
                    </w:pPr>
                    <w:r>
                      <w:rPr>
                        <w:noProof/>
                      </w:rPr>
                      <w:t xml:space="preserve">J. A. Zukas, Explosive Effects and Applications, Springer, 2013. </w:t>
                    </w:r>
                  </w:p>
                </w:tc>
              </w:tr>
              <w:tr w:rsidR="00A367A0" w14:paraId="501EF393" w14:textId="77777777">
                <w:trPr>
                  <w:divId w:val="516819508"/>
                  <w:tblCellSpacing w:w="15" w:type="dxa"/>
                </w:trPr>
                <w:tc>
                  <w:tcPr>
                    <w:tcW w:w="50" w:type="pct"/>
                    <w:hideMark/>
                  </w:tcPr>
                  <w:p w14:paraId="28A1AF07" w14:textId="77777777" w:rsidR="00A367A0" w:rsidRDefault="00A367A0">
                    <w:pPr>
                      <w:pStyle w:val="Bibliography"/>
                      <w:rPr>
                        <w:noProof/>
                      </w:rPr>
                    </w:pPr>
                    <w:r>
                      <w:rPr>
                        <w:noProof/>
                      </w:rPr>
                      <w:t xml:space="preserve">[2] </w:t>
                    </w:r>
                  </w:p>
                </w:tc>
                <w:tc>
                  <w:tcPr>
                    <w:tcW w:w="0" w:type="auto"/>
                    <w:hideMark/>
                  </w:tcPr>
                  <w:p w14:paraId="5DC455DD" w14:textId="77777777" w:rsidR="00A367A0" w:rsidRDefault="00A367A0">
                    <w:pPr>
                      <w:pStyle w:val="Bibliography"/>
                      <w:rPr>
                        <w:noProof/>
                      </w:rPr>
                    </w:pPr>
                    <w:r>
                      <w:rPr>
                        <w:noProof/>
                      </w:rPr>
                      <w:t xml:space="preserve">U. M. o. Defence, Services Textbook of Explosives, DE&amp;S Wpns Tech Info &amp; Docs Pubs Mgr, 2020. </w:t>
                    </w:r>
                  </w:p>
                </w:tc>
              </w:tr>
              <w:tr w:rsidR="00A367A0" w14:paraId="020310CE" w14:textId="77777777">
                <w:trPr>
                  <w:divId w:val="516819508"/>
                  <w:tblCellSpacing w:w="15" w:type="dxa"/>
                </w:trPr>
                <w:tc>
                  <w:tcPr>
                    <w:tcW w:w="50" w:type="pct"/>
                    <w:hideMark/>
                  </w:tcPr>
                  <w:p w14:paraId="4E7324A5" w14:textId="77777777" w:rsidR="00A367A0" w:rsidRDefault="00A367A0">
                    <w:pPr>
                      <w:pStyle w:val="Bibliography"/>
                      <w:rPr>
                        <w:noProof/>
                      </w:rPr>
                    </w:pPr>
                    <w:r>
                      <w:rPr>
                        <w:noProof/>
                      </w:rPr>
                      <w:t xml:space="preserve">[3] </w:t>
                    </w:r>
                  </w:p>
                </w:tc>
                <w:tc>
                  <w:tcPr>
                    <w:tcW w:w="0" w:type="auto"/>
                    <w:hideMark/>
                  </w:tcPr>
                  <w:p w14:paraId="3251AA67" w14:textId="77777777" w:rsidR="00A367A0" w:rsidRDefault="00A367A0">
                    <w:pPr>
                      <w:pStyle w:val="Bibliography"/>
                      <w:rPr>
                        <w:noProof/>
                      </w:rPr>
                    </w:pPr>
                    <w:r>
                      <w:rPr>
                        <w:noProof/>
                      </w:rPr>
                      <w:t xml:space="preserve">J. Akhavan, The Chemistry of Explosives, London: Royal Society of Chemistry, 2022. </w:t>
                    </w:r>
                  </w:p>
                </w:tc>
              </w:tr>
              <w:tr w:rsidR="00A367A0" w14:paraId="147D49E6" w14:textId="77777777">
                <w:trPr>
                  <w:divId w:val="516819508"/>
                  <w:tblCellSpacing w:w="15" w:type="dxa"/>
                </w:trPr>
                <w:tc>
                  <w:tcPr>
                    <w:tcW w:w="50" w:type="pct"/>
                    <w:hideMark/>
                  </w:tcPr>
                  <w:p w14:paraId="4AA86B14" w14:textId="77777777" w:rsidR="00A367A0" w:rsidRDefault="00A367A0">
                    <w:pPr>
                      <w:pStyle w:val="Bibliography"/>
                      <w:rPr>
                        <w:noProof/>
                      </w:rPr>
                    </w:pPr>
                    <w:r>
                      <w:rPr>
                        <w:noProof/>
                      </w:rPr>
                      <w:t xml:space="preserve">[4] </w:t>
                    </w:r>
                  </w:p>
                </w:tc>
                <w:tc>
                  <w:tcPr>
                    <w:tcW w:w="0" w:type="auto"/>
                    <w:hideMark/>
                  </w:tcPr>
                  <w:p w14:paraId="3A20B99B" w14:textId="77777777" w:rsidR="00A367A0" w:rsidRDefault="00A367A0">
                    <w:pPr>
                      <w:pStyle w:val="Bibliography"/>
                      <w:rPr>
                        <w:noProof/>
                      </w:rPr>
                    </w:pPr>
                    <w:r>
                      <w:rPr>
                        <w:noProof/>
                      </w:rPr>
                      <w:t xml:space="preserve">F. Volk, “Performance Parameters of Explosives: Equilibrium and Non-Equilibrium Reactions,” </w:t>
                    </w:r>
                    <w:r>
                      <w:rPr>
                        <w:i/>
                        <w:iCs/>
                        <w:noProof/>
                      </w:rPr>
                      <w:t xml:space="preserve">Propellants, Explosives, Pyrotechnics, </w:t>
                    </w:r>
                    <w:r>
                      <w:rPr>
                        <w:noProof/>
                      </w:rPr>
                      <w:t xml:space="preserve">vol. 27, no. 3, pp. 136-141, 2002. </w:t>
                    </w:r>
                  </w:p>
                </w:tc>
              </w:tr>
              <w:tr w:rsidR="00A367A0" w14:paraId="51127B5F" w14:textId="77777777">
                <w:trPr>
                  <w:divId w:val="516819508"/>
                  <w:tblCellSpacing w:w="15" w:type="dxa"/>
                </w:trPr>
                <w:tc>
                  <w:tcPr>
                    <w:tcW w:w="50" w:type="pct"/>
                    <w:hideMark/>
                  </w:tcPr>
                  <w:p w14:paraId="2588C72F" w14:textId="77777777" w:rsidR="00A367A0" w:rsidRDefault="00A367A0">
                    <w:pPr>
                      <w:pStyle w:val="Bibliography"/>
                      <w:rPr>
                        <w:noProof/>
                      </w:rPr>
                    </w:pPr>
                    <w:r>
                      <w:rPr>
                        <w:noProof/>
                      </w:rPr>
                      <w:t xml:space="preserve">[5] </w:t>
                    </w:r>
                  </w:p>
                </w:tc>
                <w:tc>
                  <w:tcPr>
                    <w:tcW w:w="0" w:type="auto"/>
                    <w:hideMark/>
                  </w:tcPr>
                  <w:p w14:paraId="0B4E2C9F" w14:textId="77777777" w:rsidR="00A367A0" w:rsidRDefault="00A367A0">
                    <w:pPr>
                      <w:pStyle w:val="Bibliography"/>
                      <w:rPr>
                        <w:noProof/>
                      </w:rPr>
                    </w:pPr>
                    <w:r>
                      <w:rPr>
                        <w:noProof/>
                      </w:rPr>
                      <w:t xml:space="preserve">P. W. Cooper, Explosives Engineering, New York: John Wiley &amp; Sons, 1996. </w:t>
                    </w:r>
                  </w:p>
                </w:tc>
              </w:tr>
              <w:tr w:rsidR="00A367A0" w14:paraId="0F0B8E81" w14:textId="77777777">
                <w:trPr>
                  <w:divId w:val="516819508"/>
                  <w:tblCellSpacing w:w="15" w:type="dxa"/>
                </w:trPr>
                <w:tc>
                  <w:tcPr>
                    <w:tcW w:w="50" w:type="pct"/>
                    <w:hideMark/>
                  </w:tcPr>
                  <w:p w14:paraId="4D13BA69" w14:textId="77777777" w:rsidR="00A367A0" w:rsidRDefault="00A367A0">
                    <w:pPr>
                      <w:pStyle w:val="Bibliography"/>
                      <w:rPr>
                        <w:noProof/>
                      </w:rPr>
                    </w:pPr>
                    <w:r>
                      <w:rPr>
                        <w:noProof/>
                      </w:rPr>
                      <w:t xml:space="preserve">[6] </w:t>
                    </w:r>
                  </w:p>
                </w:tc>
                <w:tc>
                  <w:tcPr>
                    <w:tcW w:w="0" w:type="auto"/>
                    <w:hideMark/>
                  </w:tcPr>
                  <w:p w14:paraId="08E33241" w14:textId="77777777" w:rsidR="00A367A0" w:rsidRDefault="00A367A0">
                    <w:pPr>
                      <w:pStyle w:val="Bibliography"/>
                      <w:rPr>
                        <w:noProof/>
                      </w:rPr>
                    </w:pPr>
                    <w:r>
                      <w:rPr>
                        <w:noProof/>
                      </w:rPr>
                      <w:t xml:space="preserve">W. Fickett, Detonation: Theory and Experiment, New York: Dover Publications INC, 1979. </w:t>
                    </w:r>
                  </w:p>
                </w:tc>
              </w:tr>
              <w:tr w:rsidR="00A367A0" w14:paraId="707198FB" w14:textId="77777777">
                <w:trPr>
                  <w:divId w:val="516819508"/>
                  <w:tblCellSpacing w:w="15" w:type="dxa"/>
                </w:trPr>
                <w:tc>
                  <w:tcPr>
                    <w:tcW w:w="50" w:type="pct"/>
                    <w:hideMark/>
                  </w:tcPr>
                  <w:p w14:paraId="4966A8C1" w14:textId="77777777" w:rsidR="00A367A0" w:rsidRDefault="00A367A0">
                    <w:pPr>
                      <w:pStyle w:val="Bibliography"/>
                      <w:rPr>
                        <w:noProof/>
                      </w:rPr>
                    </w:pPr>
                    <w:r>
                      <w:rPr>
                        <w:noProof/>
                      </w:rPr>
                      <w:t xml:space="preserve">[7] </w:t>
                    </w:r>
                  </w:p>
                </w:tc>
                <w:tc>
                  <w:tcPr>
                    <w:tcW w:w="0" w:type="auto"/>
                    <w:hideMark/>
                  </w:tcPr>
                  <w:p w14:paraId="0264CF4E" w14:textId="77777777" w:rsidR="00A367A0" w:rsidRDefault="00A367A0">
                    <w:pPr>
                      <w:pStyle w:val="Bibliography"/>
                      <w:rPr>
                        <w:noProof/>
                      </w:rPr>
                    </w:pPr>
                    <w:r>
                      <w:rPr>
                        <w:noProof/>
                      </w:rPr>
                      <w:t xml:space="preserve">D. P. Nolan, “Chapter 5 - Characteristics of Hazardous Material Releases, Fires, and Explosions,” in </w:t>
                    </w:r>
                    <w:r>
                      <w:rPr>
                        <w:i/>
                        <w:iCs/>
                        <w:noProof/>
                      </w:rPr>
                      <w:t>Handbook of Fire and Explosion Protection Engineering Principles for Oil, Gas, Chemical, and Related Facilities</w:t>
                    </w:r>
                    <w:r>
                      <w:rPr>
                        <w:noProof/>
                      </w:rPr>
                      <w:t>, Milwaukee, GPP, 2019, pp. 89-121.</w:t>
                    </w:r>
                  </w:p>
                </w:tc>
              </w:tr>
              <w:tr w:rsidR="00A367A0" w14:paraId="36BF3BD7" w14:textId="77777777">
                <w:trPr>
                  <w:divId w:val="516819508"/>
                  <w:tblCellSpacing w:w="15" w:type="dxa"/>
                </w:trPr>
                <w:tc>
                  <w:tcPr>
                    <w:tcW w:w="50" w:type="pct"/>
                    <w:hideMark/>
                  </w:tcPr>
                  <w:p w14:paraId="5106D77C" w14:textId="77777777" w:rsidR="00A367A0" w:rsidRDefault="00A367A0">
                    <w:pPr>
                      <w:pStyle w:val="Bibliography"/>
                      <w:rPr>
                        <w:noProof/>
                      </w:rPr>
                    </w:pPr>
                    <w:r>
                      <w:rPr>
                        <w:noProof/>
                      </w:rPr>
                      <w:t xml:space="preserve">[8] </w:t>
                    </w:r>
                  </w:p>
                </w:tc>
                <w:tc>
                  <w:tcPr>
                    <w:tcW w:w="0" w:type="auto"/>
                    <w:hideMark/>
                  </w:tcPr>
                  <w:p w14:paraId="0E859C06" w14:textId="77777777" w:rsidR="00A367A0" w:rsidRDefault="00A367A0">
                    <w:pPr>
                      <w:pStyle w:val="Bibliography"/>
                      <w:rPr>
                        <w:noProof/>
                      </w:rPr>
                    </w:pPr>
                    <w:r>
                      <w:rPr>
                        <w:noProof/>
                      </w:rPr>
                      <w:t xml:space="preserve">C. M. Tarver, “Chemical energy release in self-sustaining detonation waves in condensed explosives,” </w:t>
                    </w:r>
                    <w:r>
                      <w:rPr>
                        <w:i/>
                        <w:iCs/>
                        <w:noProof/>
                      </w:rPr>
                      <w:t xml:space="preserve">Combustion and Flame, </w:t>
                    </w:r>
                    <w:r>
                      <w:rPr>
                        <w:noProof/>
                      </w:rPr>
                      <w:t xml:space="preserve">vol. 46, pp. 157-176, 1982. </w:t>
                    </w:r>
                  </w:p>
                </w:tc>
              </w:tr>
              <w:tr w:rsidR="00A367A0" w14:paraId="6FBFCD51" w14:textId="77777777">
                <w:trPr>
                  <w:divId w:val="516819508"/>
                  <w:tblCellSpacing w:w="15" w:type="dxa"/>
                </w:trPr>
                <w:tc>
                  <w:tcPr>
                    <w:tcW w:w="50" w:type="pct"/>
                    <w:hideMark/>
                  </w:tcPr>
                  <w:p w14:paraId="616780A5" w14:textId="77777777" w:rsidR="00A367A0" w:rsidRDefault="00A367A0">
                    <w:pPr>
                      <w:pStyle w:val="Bibliography"/>
                      <w:rPr>
                        <w:noProof/>
                      </w:rPr>
                    </w:pPr>
                    <w:r>
                      <w:rPr>
                        <w:noProof/>
                      </w:rPr>
                      <w:t xml:space="preserve">[9] </w:t>
                    </w:r>
                  </w:p>
                </w:tc>
                <w:tc>
                  <w:tcPr>
                    <w:tcW w:w="0" w:type="auto"/>
                    <w:hideMark/>
                  </w:tcPr>
                  <w:p w14:paraId="5ABF161A" w14:textId="77777777" w:rsidR="00A367A0" w:rsidRDefault="00A367A0">
                    <w:pPr>
                      <w:pStyle w:val="Bibliography"/>
                      <w:rPr>
                        <w:noProof/>
                      </w:rPr>
                    </w:pPr>
                    <w:r>
                      <w:rPr>
                        <w:noProof/>
                      </w:rPr>
                      <w:t xml:space="preserve">N. Johnson, “Types of Chemical Explosives,” in </w:t>
                    </w:r>
                    <w:r>
                      <w:rPr>
                        <w:i/>
                        <w:iCs/>
                        <w:noProof/>
                      </w:rPr>
                      <w:t>Britannica Encyclopedia</w:t>
                    </w:r>
                    <w:r>
                      <w:rPr>
                        <w:noProof/>
                      </w:rPr>
                      <w:t xml:space="preserve">, Chicago, Britannica Encyclopedia Inc, 2025. </w:t>
                    </w:r>
                  </w:p>
                </w:tc>
              </w:tr>
              <w:tr w:rsidR="00A367A0" w14:paraId="01C3016C" w14:textId="77777777">
                <w:trPr>
                  <w:divId w:val="516819508"/>
                  <w:tblCellSpacing w:w="15" w:type="dxa"/>
                </w:trPr>
                <w:tc>
                  <w:tcPr>
                    <w:tcW w:w="50" w:type="pct"/>
                    <w:hideMark/>
                  </w:tcPr>
                  <w:p w14:paraId="2C348F84" w14:textId="77777777" w:rsidR="00A367A0" w:rsidRDefault="00A367A0">
                    <w:pPr>
                      <w:pStyle w:val="Bibliography"/>
                      <w:rPr>
                        <w:noProof/>
                      </w:rPr>
                    </w:pPr>
                    <w:r>
                      <w:rPr>
                        <w:noProof/>
                      </w:rPr>
                      <w:t xml:space="preserve">[10] </w:t>
                    </w:r>
                  </w:p>
                </w:tc>
                <w:tc>
                  <w:tcPr>
                    <w:tcW w:w="0" w:type="auto"/>
                    <w:hideMark/>
                  </w:tcPr>
                  <w:p w14:paraId="777294CA" w14:textId="77777777" w:rsidR="00A367A0" w:rsidRDefault="00A367A0">
                    <w:pPr>
                      <w:pStyle w:val="Bibliography"/>
                      <w:rPr>
                        <w:noProof/>
                      </w:rPr>
                    </w:pPr>
                    <w:r>
                      <w:rPr>
                        <w:noProof/>
                      </w:rPr>
                      <w:t xml:space="preserve">D. Kumar, “The Explosive Chemistry of Nitrogen: A Fascinating Journey from 9th Century to the Present,” </w:t>
                    </w:r>
                    <w:r>
                      <w:rPr>
                        <w:i/>
                        <w:iCs/>
                        <w:noProof/>
                      </w:rPr>
                      <w:t xml:space="preserve">Resonance, </w:t>
                    </w:r>
                    <w:r>
                      <w:rPr>
                        <w:noProof/>
                      </w:rPr>
                      <w:t xml:space="preserve">vol. 24, 2019. </w:t>
                    </w:r>
                  </w:p>
                </w:tc>
              </w:tr>
              <w:tr w:rsidR="00A367A0" w14:paraId="222A6037" w14:textId="77777777">
                <w:trPr>
                  <w:divId w:val="516819508"/>
                  <w:tblCellSpacing w:w="15" w:type="dxa"/>
                </w:trPr>
                <w:tc>
                  <w:tcPr>
                    <w:tcW w:w="50" w:type="pct"/>
                    <w:hideMark/>
                  </w:tcPr>
                  <w:p w14:paraId="311A3F69" w14:textId="77777777" w:rsidR="00A367A0" w:rsidRDefault="00A367A0">
                    <w:pPr>
                      <w:pStyle w:val="Bibliography"/>
                      <w:rPr>
                        <w:noProof/>
                      </w:rPr>
                    </w:pPr>
                    <w:r>
                      <w:rPr>
                        <w:noProof/>
                      </w:rPr>
                      <w:lastRenderedPageBreak/>
                      <w:t xml:space="preserve">[11] </w:t>
                    </w:r>
                  </w:p>
                </w:tc>
                <w:tc>
                  <w:tcPr>
                    <w:tcW w:w="0" w:type="auto"/>
                    <w:hideMark/>
                  </w:tcPr>
                  <w:p w14:paraId="56FF7B4F" w14:textId="77777777" w:rsidR="00A367A0" w:rsidRDefault="00A367A0">
                    <w:pPr>
                      <w:pStyle w:val="Bibliography"/>
                      <w:rPr>
                        <w:noProof/>
                      </w:rPr>
                    </w:pPr>
                    <w:r>
                      <w:rPr>
                        <w:noProof/>
                      </w:rPr>
                      <w:t xml:space="preserve">I. Bar, “Recent Advances In Solid Fueled Pulsed Short-Wavelength Chemical Laser Research,” in </w:t>
                    </w:r>
                    <w:r>
                      <w:rPr>
                        <w:i/>
                        <w:iCs/>
                        <w:noProof/>
                      </w:rPr>
                      <w:t>7TH INTERNATIONAL SYMPOSIUM ON GAS FLOW AND CHEMICAL LASERS</w:t>
                    </w:r>
                    <w:r>
                      <w:rPr>
                        <w:noProof/>
                      </w:rPr>
                      <w:t xml:space="preserve">, Vienna, 1988. </w:t>
                    </w:r>
                  </w:p>
                </w:tc>
              </w:tr>
              <w:tr w:rsidR="00A367A0" w14:paraId="7011BB1E" w14:textId="77777777">
                <w:trPr>
                  <w:divId w:val="516819508"/>
                  <w:tblCellSpacing w:w="15" w:type="dxa"/>
                </w:trPr>
                <w:tc>
                  <w:tcPr>
                    <w:tcW w:w="50" w:type="pct"/>
                    <w:hideMark/>
                  </w:tcPr>
                  <w:p w14:paraId="4EB9E1A4" w14:textId="77777777" w:rsidR="00A367A0" w:rsidRDefault="00A367A0">
                    <w:pPr>
                      <w:pStyle w:val="Bibliography"/>
                      <w:rPr>
                        <w:noProof/>
                      </w:rPr>
                    </w:pPr>
                    <w:r>
                      <w:rPr>
                        <w:noProof/>
                      </w:rPr>
                      <w:t xml:space="preserve">[12] </w:t>
                    </w:r>
                  </w:p>
                </w:tc>
                <w:tc>
                  <w:tcPr>
                    <w:tcW w:w="0" w:type="auto"/>
                    <w:hideMark/>
                  </w:tcPr>
                  <w:p w14:paraId="4C122B3E" w14:textId="77777777" w:rsidR="00A367A0" w:rsidRDefault="00A367A0">
                    <w:pPr>
                      <w:pStyle w:val="Bibliography"/>
                      <w:rPr>
                        <w:noProof/>
                      </w:rPr>
                    </w:pPr>
                    <w:r>
                      <w:rPr>
                        <w:noProof/>
                      </w:rPr>
                      <w:t xml:space="preserve">M. M. Chaudhri, “The High Velocity Detonation of Single Crystals of α-Lead Azide,” </w:t>
                    </w:r>
                    <w:r>
                      <w:rPr>
                        <w:i/>
                        <w:iCs/>
                        <w:noProof/>
                      </w:rPr>
                      <w:t xml:space="preserve">Propellants, Explosives, Pyrotechnics, </w:t>
                    </w:r>
                    <w:r>
                      <w:rPr>
                        <w:noProof/>
                      </w:rPr>
                      <w:t xml:space="preserve">vol. 2, no. 5, pp. 91-93, 1977. </w:t>
                    </w:r>
                  </w:p>
                </w:tc>
              </w:tr>
              <w:tr w:rsidR="00A367A0" w14:paraId="5E033E30" w14:textId="77777777">
                <w:trPr>
                  <w:divId w:val="516819508"/>
                  <w:tblCellSpacing w:w="15" w:type="dxa"/>
                </w:trPr>
                <w:tc>
                  <w:tcPr>
                    <w:tcW w:w="50" w:type="pct"/>
                    <w:hideMark/>
                  </w:tcPr>
                  <w:p w14:paraId="734466AE" w14:textId="77777777" w:rsidR="00A367A0" w:rsidRDefault="00A367A0">
                    <w:pPr>
                      <w:pStyle w:val="Bibliography"/>
                      <w:rPr>
                        <w:noProof/>
                      </w:rPr>
                    </w:pPr>
                    <w:r>
                      <w:rPr>
                        <w:noProof/>
                      </w:rPr>
                      <w:t xml:space="preserve">[13] </w:t>
                    </w:r>
                  </w:p>
                </w:tc>
                <w:tc>
                  <w:tcPr>
                    <w:tcW w:w="0" w:type="auto"/>
                    <w:hideMark/>
                  </w:tcPr>
                  <w:p w14:paraId="222419EC" w14:textId="77777777" w:rsidR="00A367A0" w:rsidRDefault="00A367A0">
                    <w:pPr>
                      <w:pStyle w:val="Bibliography"/>
                      <w:rPr>
                        <w:noProof/>
                      </w:rPr>
                    </w:pPr>
                    <w:r>
                      <w:rPr>
                        <w:noProof/>
                      </w:rPr>
                      <w:t xml:space="preserve">X. Yuan, “The detonation pressure measurement of lead azide based on PDV technology,” </w:t>
                    </w:r>
                    <w:r>
                      <w:rPr>
                        <w:i/>
                        <w:iCs/>
                        <w:noProof/>
                      </w:rPr>
                      <w:t xml:space="preserve">Journal of Physics: Conference Series, </w:t>
                    </w:r>
                    <w:r>
                      <w:rPr>
                        <w:noProof/>
                      </w:rPr>
                      <w:t xml:space="preserve">vol. 2891, no. 2, 2024. </w:t>
                    </w:r>
                  </w:p>
                </w:tc>
              </w:tr>
              <w:tr w:rsidR="00A367A0" w14:paraId="47FD6B8A" w14:textId="77777777">
                <w:trPr>
                  <w:divId w:val="516819508"/>
                  <w:tblCellSpacing w:w="15" w:type="dxa"/>
                </w:trPr>
                <w:tc>
                  <w:tcPr>
                    <w:tcW w:w="50" w:type="pct"/>
                    <w:hideMark/>
                  </w:tcPr>
                  <w:p w14:paraId="3D758DE8" w14:textId="77777777" w:rsidR="00A367A0" w:rsidRDefault="00A367A0">
                    <w:pPr>
                      <w:pStyle w:val="Bibliography"/>
                      <w:rPr>
                        <w:noProof/>
                      </w:rPr>
                    </w:pPr>
                    <w:r>
                      <w:rPr>
                        <w:noProof/>
                      </w:rPr>
                      <w:t xml:space="preserve">[14] </w:t>
                    </w:r>
                  </w:p>
                </w:tc>
                <w:tc>
                  <w:tcPr>
                    <w:tcW w:w="0" w:type="auto"/>
                    <w:hideMark/>
                  </w:tcPr>
                  <w:p w14:paraId="61D1C848" w14:textId="77777777" w:rsidR="00A367A0" w:rsidRDefault="00A367A0">
                    <w:pPr>
                      <w:pStyle w:val="Bibliography"/>
                      <w:rPr>
                        <w:noProof/>
                      </w:rPr>
                    </w:pPr>
                    <w:r>
                      <w:rPr>
                        <w:noProof/>
                      </w:rPr>
                      <w:t xml:space="preserve">J. M. Groocock, “The thermal explosion of α-lead azide,” </w:t>
                    </w:r>
                    <w:r>
                      <w:rPr>
                        <w:i/>
                        <w:iCs/>
                        <w:noProof/>
                      </w:rPr>
                      <w:t xml:space="preserve">Transactions of the Faraday Society, </w:t>
                    </w:r>
                    <w:r>
                      <w:rPr>
                        <w:noProof/>
                      </w:rPr>
                      <w:t xml:space="preserve">vol. 54, pp. 1526-1536, 1958. </w:t>
                    </w:r>
                  </w:p>
                </w:tc>
              </w:tr>
              <w:tr w:rsidR="00A367A0" w14:paraId="252BD4F2" w14:textId="77777777">
                <w:trPr>
                  <w:divId w:val="516819508"/>
                  <w:tblCellSpacing w:w="15" w:type="dxa"/>
                </w:trPr>
                <w:tc>
                  <w:tcPr>
                    <w:tcW w:w="50" w:type="pct"/>
                    <w:hideMark/>
                  </w:tcPr>
                  <w:p w14:paraId="601370DC" w14:textId="77777777" w:rsidR="00A367A0" w:rsidRDefault="00A367A0">
                    <w:pPr>
                      <w:pStyle w:val="Bibliography"/>
                      <w:rPr>
                        <w:noProof/>
                      </w:rPr>
                    </w:pPr>
                    <w:r>
                      <w:rPr>
                        <w:noProof/>
                      </w:rPr>
                      <w:t xml:space="preserve">[15] </w:t>
                    </w:r>
                  </w:p>
                </w:tc>
                <w:tc>
                  <w:tcPr>
                    <w:tcW w:w="0" w:type="auto"/>
                    <w:hideMark/>
                  </w:tcPr>
                  <w:p w14:paraId="64DD9F0E" w14:textId="77777777" w:rsidR="00A367A0" w:rsidRDefault="00A367A0">
                    <w:pPr>
                      <w:pStyle w:val="Bibliography"/>
                      <w:rPr>
                        <w:noProof/>
                      </w:rPr>
                    </w:pPr>
                    <w:r>
                      <w:rPr>
                        <w:noProof/>
                      </w:rPr>
                      <w:t>J. Ashenhurst, “Equilibrium and Energy Relationships,” Master Organic Chemistry, 28 October 2025. [Online]. Available: https://www.masterorganicchemistry.com/2023/08/02/equilibrium-constant-delta-g-calculations-organic-chemistry/. [Accessed 11 December 2025].</w:t>
                    </w:r>
                  </w:p>
                </w:tc>
              </w:tr>
              <w:tr w:rsidR="00A367A0" w14:paraId="19E9A52D" w14:textId="77777777">
                <w:trPr>
                  <w:divId w:val="516819508"/>
                  <w:tblCellSpacing w:w="15" w:type="dxa"/>
                </w:trPr>
                <w:tc>
                  <w:tcPr>
                    <w:tcW w:w="50" w:type="pct"/>
                    <w:hideMark/>
                  </w:tcPr>
                  <w:p w14:paraId="1D95213B" w14:textId="77777777" w:rsidR="00A367A0" w:rsidRDefault="00A367A0">
                    <w:pPr>
                      <w:pStyle w:val="Bibliography"/>
                      <w:rPr>
                        <w:noProof/>
                      </w:rPr>
                    </w:pPr>
                    <w:r>
                      <w:rPr>
                        <w:noProof/>
                      </w:rPr>
                      <w:t xml:space="preserve">[16] </w:t>
                    </w:r>
                  </w:p>
                </w:tc>
                <w:tc>
                  <w:tcPr>
                    <w:tcW w:w="0" w:type="auto"/>
                    <w:hideMark/>
                  </w:tcPr>
                  <w:p w14:paraId="7D289BB0" w14:textId="77777777" w:rsidR="00A367A0" w:rsidRDefault="00A367A0">
                    <w:pPr>
                      <w:pStyle w:val="Bibliography"/>
                      <w:rPr>
                        <w:noProof/>
                      </w:rPr>
                    </w:pPr>
                    <w:r>
                      <w:rPr>
                        <w:noProof/>
                      </w:rPr>
                      <w:t xml:space="preserve">H. Abadin, Toxicological Profile for RDX, Atlanta: Agency for Toxic Substances and Disease Registry, 2012. </w:t>
                    </w:r>
                  </w:p>
                </w:tc>
              </w:tr>
              <w:tr w:rsidR="00A367A0" w14:paraId="1924F01F" w14:textId="77777777">
                <w:trPr>
                  <w:divId w:val="516819508"/>
                  <w:tblCellSpacing w:w="15" w:type="dxa"/>
                </w:trPr>
                <w:tc>
                  <w:tcPr>
                    <w:tcW w:w="50" w:type="pct"/>
                    <w:hideMark/>
                  </w:tcPr>
                  <w:p w14:paraId="33727B1A" w14:textId="77777777" w:rsidR="00A367A0" w:rsidRDefault="00A367A0">
                    <w:pPr>
                      <w:pStyle w:val="Bibliography"/>
                      <w:rPr>
                        <w:noProof/>
                      </w:rPr>
                    </w:pPr>
                    <w:r>
                      <w:rPr>
                        <w:noProof/>
                      </w:rPr>
                      <w:t xml:space="preserve">[17] </w:t>
                    </w:r>
                  </w:p>
                </w:tc>
                <w:tc>
                  <w:tcPr>
                    <w:tcW w:w="0" w:type="auto"/>
                    <w:hideMark/>
                  </w:tcPr>
                  <w:p w14:paraId="49E9606C" w14:textId="77777777" w:rsidR="00A367A0" w:rsidRDefault="00A367A0">
                    <w:pPr>
                      <w:pStyle w:val="Bibliography"/>
                      <w:rPr>
                        <w:noProof/>
                      </w:rPr>
                    </w:pPr>
                    <w:r>
                      <w:rPr>
                        <w:noProof/>
                      </w:rPr>
                      <w:t>R. Weinheimer, “Properties of Selected High Explosives,” PACSCI EMC, July 2000. [Online]. Available: https://psemc.com/resources/pyrotechnic-white-papers/properties-of-selected-high-explosives-rev/. [Accessed 11 December 2025].</w:t>
                    </w:r>
                  </w:p>
                </w:tc>
              </w:tr>
              <w:tr w:rsidR="00A367A0" w14:paraId="5EAB1408" w14:textId="77777777">
                <w:trPr>
                  <w:divId w:val="516819508"/>
                  <w:tblCellSpacing w:w="15" w:type="dxa"/>
                </w:trPr>
                <w:tc>
                  <w:tcPr>
                    <w:tcW w:w="50" w:type="pct"/>
                    <w:hideMark/>
                  </w:tcPr>
                  <w:p w14:paraId="391C836B" w14:textId="77777777" w:rsidR="00A367A0" w:rsidRDefault="00A367A0">
                    <w:pPr>
                      <w:pStyle w:val="Bibliography"/>
                      <w:rPr>
                        <w:noProof/>
                      </w:rPr>
                    </w:pPr>
                    <w:r>
                      <w:rPr>
                        <w:noProof/>
                      </w:rPr>
                      <w:t xml:space="preserve">[18] </w:t>
                    </w:r>
                  </w:p>
                </w:tc>
                <w:tc>
                  <w:tcPr>
                    <w:tcW w:w="0" w:type="auto"/>
                    <w:hideMark/>
                  </w:tcPr>
                  <w:p w14:paraId="15EA7584" w14:textId="77777777" w:rsidR="00A367A0" w:rsidRDefault="00A367A0">
                    <w:pPr>
                      <w:pStyle w:val="Bibliography"/>
                      <w:rPr>
                        <w:noProof/>
                      </w:rPr>
                    </w:pPr>
                    <w:r>
                      <w:rPr>
                        <w:noProof/>
                      </w:rPr>
                      <w:t xml:space="preserve">I. Jaffe, “Determination of the Critical Diameter of Explosive Materials,” </w:t>
                    </w:r>
                    <w:r>
                      <w:rPr>
                        <w:i/>
                        <w:iCs/>
                        <w:noProof/>
                      </w:rPr>
                      <w:t xml:space="preserve">American Rocket Society Journal, </w:t>
                    </w:r>
                    <w:r>
                      <w:rPr>
                        <w:noProof/>
                      </w:rPr>
                      <w:t xml:space="preserve">vol. 32, pp. 1060-1065, 1962. </w:t>
                    </w:r>
                  </w:p>
                </w:tc>
              </w:tr>
              <w:tr w:rsidR="00A367A0" w14:paraId="0A4AC9A0" w14:textId="77777777">
                <w:trPr>
                  <w:divId w:val="516819508"/>
                  <w:tblCellSpacing w:w="15" w:type="dxa"/>
                </w:trPr>
                <w:tc>
                  <w:tcPr>
                    <w:tcW w:w="50" w:type="pct"/>
                    <w:hideMark/>
                  </w:tcPr>
                  <w:p w14:paraId="642C50E5" w14:textId="77777777" w:rsidR="00A367A0" w:rsidRDefault="00A367A0">
                    <w:pPr>
                      <w:pStyle w:val="Bibliography"/>
                      <w:rPr>
                        <w:noProof/>
                      </w:rPr>
                    </w:pPr>
                    <w:r>
                      <w:rPr>
                        <w:noProof/>
                      </w:rPr>
                      <w:t xml:space="preserve">[19] </w:t>
                    </w:r>
                  </w:p>
                </w:tc>
                <w:tc>
                  <w:tcPr>
                    <w:tcW w:w="0" w:type="auto"/>
                    <w:hideMark/>
                  </w:tcPr>
                  <w:p w14:paraId="132840CE" w14:textId="77777777" w:rsidR="00A367A0" w:rsidRDefault="00A367A0">
                    <w:pPr>
                      <w:pStyle w:val="Bibliography"/>
                      <w:rPr>
                        <w:noProof/>
                      </w:rPr>
                    </w:pPr>
                    <w:r>
                      <w:rPr>
                        <w:noProof/>
                      </w:rPr>
                      <w:t xml:space="preserve">B. M. Dobratz, “Critical Diameter,” in </w:t>
                    </w:r>
                    <w:r>
                      <w:rPr>
                        <w:i/>
                        <w:iCs/>
                        <w:noProof/>
                      </w:rPr>
                      <w:t>LLNL Explosives Handbook: Properties of Chemical Explosives and Explosive Stimulants</w:t>
                    </w:r>
                    <w:r>
                      <w:rPr>
                        <w:noProof/>
                      </w:rPr>
                      <w:t>, Livermore, Lawrence Livermore National Laboratory, 1981, pp. 232-233.</w:t>
                    </w:r>
                  </w:p>
                </w:tc>
              </w:tr>
              <w:tr w:rsidR="00A367A0" w14:paraId="174D7FB8" w14:textId="77777777">
                <w:trPr>
                  <w:divId w:val="516819508"/>
                  <w:tblCellSpacing w:w="15" w:type="dxa"/>
                </w:trPr>
                <w:tc>
                  <w:tcPr>
                    <w:tcW w:w="50" w:type="pct"/>
                    <w:hideMark/>
                  </w:tcPr>
                  <w:p w14:paraId="7225A7BC" w14:textId="77777777" w:rsidR="00A367A0" w:rsidRDefault="00A367A0">
                    <w:pPr>
                      <w:pStyle w:val="Bibliography"/>
                      <w:rPr>
                        <w:noProof/>
                      </w:rPr>
                    </w:pPr>
                    <w:r>
                      <w:rPr>
                        <w:noProof/>
                      </w:rPr>
                      <w:lastRenderedPageBreak/>
                      <w:t xml:space="preserve">[20] </w:t>
                    </w:r>
                  </w:p>
                </w:tc>
                <w:tc>
                  <w:tcPr>
                    <w:tcW w:w="0" w:type="auto"/>
                    <w:hideMark/>
                  </w:tcPr>
                  <w:p w14:paraId="29A0C25F" w14:textId="77777777" w:rsidR="00A367A0" w:rsidRDefault="00A367A0">
                    <w:pPr>
                      <w:pStyle w:val="Bibliography"/>
                      <w:rPr>
                        <w:noProof/>
                      </w:rPr>
                    </w:pPr>
                    <w:r>
                      <w:rPr>
                        <w:noProof/>
                      </w:rPr>
                      <w:t>S. Bhattacharyya, “Key Properties Affecting Choice of Explosives,” PennState, State College, PA, 2024.</w:t>
                    </w:r>
                  </w:p>
                </w:tc>
              </w:tr>
              <w:tr w:rsidR="00A367A0" w14:paraId="3977D058" w14:textId="77777777">
                <w:trPr>
                  <w:divId w:val="516819508"/>
                  <w:tblCellSpacing w:w="15" w:type="dxa"/>
                </w:trPr>
                <w:tc>
                  <w:tcPr>
                    <w:tcW w:w="50" w:type="pct"/>
                    <w:hideMark/>
                  </w:tcPr>
                  <w:p w14:paraId="13297B15" w14:textId="77777777" w:rsidR="00A367A0" w:rsidRDefault="00A367A0">
                    <w:pPr>
                      <w:pStyle w:val="Bibliography"/>
                      <w:rPr>
                        <w:noProof/>
                      </w:rPr>
                    </w:pPr>
                    <w:r>
                      <w:rPr>
                        <w:noProof/>
                      </w:rPr>
                      <w:t xml:space="preserve">[21] </w:t>
                    </w:r>
                  </w:p>
                </w:tc>
                <w:tc>
                  <w:tcPr>
                    <w:tcW w:w="0" w:type="auto"/>
                    <w:hideMark/>
                  </w:tcPr>
                  <w:p w14:paraId="396381D0" w14:textId="77777777" w:rsidR="00A367A0" w:rsidRDefault="00A367A0">
                    <w:pPr>
                      <w:pStyle w:val="Bibliography"/>
                      <w:rPr>
                        <w:noProof/>
                      </w:rPr>
                    </w:pPr>
                    <w:r>
                      <w:rPr>
                        <w:noProof/>
                      </w:rPr>
                      <w:t>P. Jung, “Initiation and Detonation in Lead Azide and Silver Azide at Sub-Millimeter Geometries,” Texas Tech University, Lubbock, 2006.</w:t>
                    </w:r>
                  </w:p>
                </w:tc>
              </w:tr>
              <w:tr w:rsidR="00A367A0" w14:paraId="72729EBE" w14:textId="77777777">
                <w:trPr>
                  <w:divId w:val="516819508"/>
                  <w:tblCellSpacing w:w="15" w:type="dxa"/>
                </w:trPr>
                <w:tc>
                  <w:tcPr>
                    <w:tcW w:w="50" w:type="pct"/>
                    <w:hideMark/>
                  </w:tcPr>
                  <w:p w14:paraId="44809A42" w14:textId="77777777" w:rsidR="00A367A0" w:rsidRDefault="00A367A0">
                    <w:pPr>
                      <w:pStyle w:val="Bibliography"/>
                      <w:rPr>
                        <w:noProof/>
                      </w:rPr>
                    </w:pPr>
                    <w:r>
                      <w:rPr>
                        <w:noProof/>
                      </w:rPr>
                      <w:t xml:space="preserve">[22] </w:t>
                    </w:r>
                  </w:p>
                </w:tc>
                <w:tc>
                  <w:tcPr>
                    <w:tcW w:w="0" w:type="auto"/>
                    <w:hideMark/>
                  </w:tcPr>
                  <w:p w14:paraId="14AAAB19" w14:textId="77777777" w:rsidR="00A367A0" w:rsidRDefault="00A367A0">
                    <w:pPr>
                      <w:pStyle w:val="Bibliography"/>
                      <w:rPr>
                        <w:noProof/>
                      </w:rPr>
                    </w:pPr>
                    <w:r>
                      <w:rPr>
                        <w:noProof/>
                      </w:rPr>
                      <w:t xml:space="preserve">F. Guo, “Ignition mechanism and chemical reaction of the micro-damage polymer-bonded explosives under different inertial loading conditions,” </w:t>
                    </w:r>
                    <w:r>
                      <w:rPr>
                        <w:i/>
                        <w:iCs/>
                        <w:noProof/>
                      </w:rPr>
                      <w:t xml:space="preserve">Polymer Testing, </w:t>
                    </w:r>
                    <w:r>
                      <w:rPr>
                        <w:noProof/>
                      </w:rPr>
                      <w:t xml:space="preserve">vol. 137, pp. 1-12, 2024. </w:t>
                    </w:r>
                  </w:p>
                </w:tc>
              </w:tr>
              <w:tr w:rsidR="00A367A0" w14:paraId="057BAED3" w14:textId="77777777">
                <w:trPr>
                  <w:divId w:val="516819508"/>
                  <w:tblCellSpacing w:w="15" w:type="dxa"/>
                </w:trPr>
                <w:tc>
                  <w:tcPr>
                    <w:tcW w:w="50" w:type="pct"/>
                    <w:hideMark/>
                  </w:tcPr>
                  <w:p w14:paraId="3240D5DC" w14:textId="77777777" w:rsidR="00A367A0" w:rsidRDefault="00A367A0">
                    <w:pPr>
                      <w:pStyle w:val="Bibliography"/>
                      <w:rPr>
                        <w:noProof/>
                      </w:rPr>
                    </w:pPr>
                    <w:r>
                      <w:rPr>
                        <w:noProof/>
                      </w:rPr>
                      <w:t xml:space="preserve">[23] </w:t>
                    </w:r>
                  </w:p>
                </w:tc>
                <w:tc>
                  <w:tcPr>
                    <w:tcW w:w="0" w:type="auto"/>
                    <w:hideMark/>
                  </w:tcPr>
                  <w:p w14:paraId="7C59360E" w14:textId="77777777" w:rsidR="00A367A0" w:rsidRDefault="00A367A0">
                    <w:pPr>
                      <w:pStyle w:val="Bibliography"/>
                      <w:rPr>
                        <w:noProof/>
                      </w:rPr>
                    </w:pPr>
                    <w:r>
                      <w:rPr>
                        <w:noProof/>
                      </w:rPr>
                      <w:t>H. Verakis, “Evaluation of Electronic Detonators - Requirements for Shunting &amp; Circuit Testing,” UNITED STATES DEPARTMENT OF LABOR , Triadelphia, 2004.</w:t>
                    </w:r>
                  </w:p>
                </w:tc>
              </w:tr>
              <w:tr w:rsidR="00A367A0" w14:paraId="0AA50D11" w14:textId="77777777">
                <w:trPr>
                  <w:divId w:val="516819508"/>
                  <w:tblCellSpacing w:w="15" w:type="dxa"/>
                </w:trPr>
                <w:tc>
                  <w:tcPr>
                    <w:tcW w:w="50" w:type="pct"/>
                    <w:hideMark/>
                  </w:tcPr>
                  <w:p w14:paraId="74EE9251" w14:textId="77777777" w:rsidR="00A367A0" w:rsidRDefault="00A367A0">
                    <w:pPr>
                      <w:pStyle w:val="Bibliography"/>
                      <w:rPr>
                        <w:noProof/>
                      </w:rPr>
                    </w:pPr>
                    <w:r>
                      <w:rPr>
                        <w:noProof/>
                      </w:rPr>
                      <w:t xml:space="preserve">[24] </w:t>
                    </w:r>
                  </w:p>
                </w:tc>
                <w:tc>
                  <w:tcPr>
                    <w:tcW w:w="0" w:type="auto"/>
                    <w:hideMark/>
                  </w:tcPr>
                  <w:p w14:paraId="7F701A11" w14:textId="77777777" w:rsidR="00A367A0" w:rsidRDefault="00A367A0">
                    <w:pPr>
                      <w:pStyle w:val="Bibliography"/>
                      <w:rPr>
                        <w:noProof/>
                      </w:rPr>
                    </w:pPr>
                    <w:r>
                      <w:rPr>
                        <w:noProof/>
                      </w:rPr>
                      <w:t xml:space="preserve">J. Jiao, “Energy release characteristics of confined explosives at varying violence levels,” </w:t>
                    </w:r>
                    <w:r>
                      <w:rPr>
                        <w:i/>
                        <w:iCs/>
                        <w:noProof/>
                      </w:rPr>
                      <w:t xml:space="preserve">AIP Advances, </w:t>
                    </w:r>
                    <w:r>
                      <w:rPr>
                        <w:noProof/>
                      </w:rPr>
                      <w:t xml:space="preserve">vol. 15, no. 8, 2025. </w:t>
                    </w:r>
                  </w:p>
                </w:tc>
              </w:tr>
              <w:tr w:rsidR="00A367A0" w14:paraId="1CC8CD48" w14:textId="77777777">
                <w:trPr>
                  <w:divId w:val="516819508"/>
                  <w:tblCellSpacing w:w="15" w:type="dxa"/>
                </w:trPr>
                <w:tc>
                  <w:tcPr>
                    <w:tcW w:w="50" w:type="pct"/>
                    <w:hideMark/>
                  </w:tcPr>
                  <w:p w14:paraId="78F307A2" w14:textId="77777777" w:rsidR="00A367A0" w:rsidRDefault="00A367A0">
                    <w:pPr>
                      <w:pStyle w:val="Bibliography"/>
                      <w:rPr>
                        <w:noProof/>
                      </w:rPr>
                    </w:pPr>
                    <w:r>
                      <w:rPr>
                        <w:noProof/>
                      </w:rPr>
                      <w:t xml:space="preserve">[25] </w:t>
                    </w:r>
                  </w:p>
                </w:tc>
                <w:tc>
                  <w:tcPr>
                    <w:tcW w:w="0" w:type="auto"/>
                    <w:hideMark/>
                  </w:tcPr>
                  <w:p w14:paraId="1E78D67A" w14:textId="77777777" w:rsidR="00A367A0" w:rsidRDefault="00A367A0">
                    <w:pPr>
                      <w:pStyle w:val="Bibliography"/>
                      <w:rPr>
                        <w:noProof/>
                      </w:rPr>
                    </w:pPr>
                    <w:r>
                      <w:rPr>
                        <w:noProof/>
                      </w:rPr>
                      <w:t xml:space="preserve">V. Bohanek, “Effect of Confinement on Detonation Velocity and Plate Dent Test Results for ANFO Explosive,” </w:t>
                    </w:r>
                    <w:r>
                      <w:rPr>
                        <w:i/>
                        <w:iCs/>
                        <w:noProof/>
                      </w:rPr>
                      <w:t xml:space="preserve">Energies, </w:t>
                    </w:r>
                    <w:r>
                      <w:rPr>
                        <w:noProof/>
                      </w:rPr>
                      <w:t xml:space="preserve">vol. 15, no. 12, 2022. </w:t>
                    </w:r>
                  </w:p>
                </w:tc>
              </w:tr>
              <w:tr w:rsidR="00A367A0" w14:paraId="43E5B14E" w14:textId="77777777">
                <w:trPr>
                  <w:divId w:val="516819508"/>
                  <w:tblCellSpacing w:w="15" w:type="dxa"/>
                </w:trPr>
                <w:tc>
                  <w:tcPr>
                    <w:tcW w:w="50" w:type="pct"/>
                    <w:hideMark/>
                  </w:tcPr>
                  <w:p w14:paraId="5E77F728" w14:textId="77777777" w:rsidR="00A367A0" w:rsidRDefault="00A367A0">
                    <w:pPr>
                      <w:pStyle w:val="Bibliography"/>
                      <w:rPr>
                        <w:noProof/>
                      </w:rPr>
                    </w:pPr>
                    <w:r>
                      <w:rPr>
                        <w:noProof/>
                      </w:rPr>
                      <w:t xml:space="preserve">[26] </w:t>
                    </w:r>
                  </w:p>
                </w:tc>
                <w:tc>
                  <w:tcPr>
                    <w:tcW w:w="0" w:type="auto"/>
                    <w:hideMark/>
                  </w:tcPr>
                  <w:p w14:paraId="3B51959E" w14:textId="77777777" w:rsidR="00A367A0" w:rsidRDefault="00A367A0">
                    <w:pPr>
                      <w:pStyle w:val="Bibliography"/>
                      <w:rPr>
                        <w:noProof/>
                      </w:rPr>
                    </w:pPr>
                    <w:r>
                      <w:rPr>
                        <w:noProof/>
                      </w:rPr>
                      <w:t>E. Preis, “Velocity of Detonation (VoD) Explained,” ERG Industrial, 6 October 2023. [Online]. Available: https://ergindustrial.com/velocity-of-detonation-vod-explained/. [Accessed 22 December 2025].</w:t>
                    </w:r>
                  </w:p>
                </w:tc>
              </w:tr>
              <w:tr w:rsidR="00A367A0" w14:paraId="2A721554" w14:textId="77777777">
                <w:trPr>
                  <w:divId w:val="516819508"/>
                  <w:tblCellSpacing w:w="15" w:type="dxa"/>
                </w:trPr>
                <w:tc>
                  <w:tcPr>
                    <w:tcW w:w="50" w:type="pct"/>
                    <w:hideMark/>
                  </w:tcPr>
                  <w:p w14:paraId="5DCFCE2F" w14:textId="77777777" w:rsidR="00A367A0" w:rsidRDefault="00A367A0">
                    <w:pPr>
                      <w:pStyle w:val="Bibliography"/>
                      <w:rPr>
                        <w:noProof/>
                      </w:rPr>
                    </w:pPr>
                    <w:r>
                      <w:rPr>
                        <w:noProof/>
                      </w:rPr>
                      <w:t xml:space="preserve">[27] </w:t>
                    </w:r>
                  </w:p>
                </w:tc>
                <w:tc>
                  <w:tcPr>
                    <w:tcW w:w="0" w:type="auto"/>
                    <w:hideMark/>
                  </w:tcPr>
                  <w:p w14:paraId="0825BA8B" w14:textId="77777777" w:rsidR="00A367A0" w:rsidRDefault="00A367A0">
                    <w:pPr>
                      <w:pStyle w:val="Bibliography"/>
                      <w:rPr>
                        <w:noProof/>
                      </w:rPr>
                    </w:pPr>
                    <w:r>
                      <w:rPr>
                        <w:noProof/>
                      </w:rPr>
                      <w:t xml:space="preserve">T. Klapotke, “A Computational Study on the Detonation Velocity of Mixtures of Solid Explosives with Non-Explosive Liquids,” </w:t>
                    </w:r>
                    <w:r>
                      <w:rPr>
                        <w:i/>
                        <w:iCs/>
                        <w:noProof/>
                      </w:rPr>
                      <w:t xml:space="preserve">Propellants, Explosives, Pyrotechnics, </w:t>
                    </w:r>
                    <w:r>
                      <w:rPr>
                        <w:noProof/>
                      </w:rPr>
                      <w:t xml:space="preserve">vol. 46, no. 3, pp. 352-354, 2021. </w:t>
                    </w:r>
                  </w:p>
                </w:tc>
              </w:tr>
              <w:tr w:rsidR="00A367A0" w14:paraId="1671D8F8" w14:textId="77777777">
                <w:trPr>
                  <w:divId w:val="516819508"/>
                  <w:tblCellSpacing w:w="15" w:type="dxa"/>
                </w:trPr>
                <w:tc>
                  <w:tcPr>
                    <w:tcW w:w="50" w:type="pct"/>
                    <w:hideMark/>
                  </w:tcPr>
                  <w:p w14:paraId="75A8FF25" w14:textId="77777777" w:rsidR="00A367A0" w:rsidRDefault="00A367A0">
                    <w:pPr>
                      <w:pStyle w:val="Bibliography"/>
                      <w:rPr>
                        <w:noProof/>
                      </w:rPr>
                    </w:pPr>
                    <w:r>
                      <w:rPr>
                        <w:noProof/>
                      </w:rPr>
                      <w:t xml:space="preserve">[28] </w:t>
                    </w:r>
                  </w:p>
                </w:tc>
                <w:tc>
                  <w:tcPr>
                    <w:tcW w:w="0" w:type="auto"/>
                    <w:hideMark/>
                  </w:tcPr>
                  <w:p w14:paraId="6F512127" w14:textId="77777777" w:rsidR="00A367A0" w:rsidRDefault="00A367A0">
                    <w:pPr>
                      <w:pStyle w:val="Bibliography"/>
                      <w:rPr>
                        <w:noProof/>
                      </w:rPr>
                    </w:pPr>
                    <w:r>
                      <w:rPr>
                        <w:noProof/>
                      </w:rPr>
                      <w:t>NIST, “ANSI/ASTM E1732 Standard Terminology Relating to Forensic Science,” ASTM International, West Conshohocken, 2025.</w:t>
                    </w:r>
                  </w:p>
                </w:tc>
              </w:tr>
              <w:tr w:rsidR="00A367A0" w14:paraId="12FB1215" w14:textId="77777777">
                <w:trPr>
                  <w:divId w:val="516819508"/>
                  <w:tblCellSpacing w:w="15" w:type="dxa"/>
                </w:trPr>
                <w:tc>
                  <w:tcPr>
                    <w:tcW w:w="50" w:type="pct"/>
                    <w:hideMark/>
                  </w:tcPr>
                  <w:p w14:paraId="289D690D" w14:textId="77777777" w:rsidR="00A367A0" w:rsidRDefault="00A367A0">
                    <w:pPr>
                      <w:pStyle w:val="Bibliography"/>
                      <w:rPr>
                        <w:noProof/>
                      </w:rPr>
                    </w:pPr>
                    <w:r>
                      <w:rPr>
                        <w:noProof/>
                      </w:rPr>
                      <w:t xml:space="preserve">[29] </w:t>
                    </w:r>
                  </w:p>
                </w:tc>
                <w:tc>
                  <w:tcPr>
                    <w:tcW w:w="0" w:type="auto"/>
                    <w:hideMark/>
                  </w:tcPr>
                  <w:p w14:paraId="39D3F216" w14:textId="77777777" w:rsidR="00A367A0" w:rsidRDefault="00A367A0">
                    <w:pPr>
                      <w:pStyle w:val="Bibliography"/>
                      <w:rPr>
                        <w:noProof/>
                      </w:rPr>
                    </w:pPr>
                    <w:r>
                      <w:rPr>
                        <w:noProof/>
                      </w:rPr>
                      <w:t xml:space="preserve">N. R. Council, “Appendix M,” in </w:t>
                    </w:r>
                    <w:r>
                      <w:rPr>
                        <w:i/>
                        <w:iCs/>
                        <w:noProof/>
                      </w:rPr>
                      <w:t>Containing the Threat from Illegal Bombings: An Integrated National Strategy for Marking, Tagging, Rendering Inert, and Licensing Explosives and Their Precursors</w:t>
                    </w:r>
                    <w:r>
                      <w:rPr>
                        <w:noProof/>
                      </w:rPr>
                      <w:t>, Washington, National Academies Press, 1998, p. 361.</w:t>
                    </w:r>
                  </w:p>
                </w:tc>
              </w:tr>
            </w:tbl>
            <w:p w14:paraId="44F16C2C" w14:textId="77777777" w:rsidR="00A367A0" w:rsidRDefault="00A367A0">
              <w:pPr>
                <w:divId w:val="516819508"/>
                <w:rPr>
                  <w:noProof/>
                </w:rPr>
              </w:pPr>
            </w:p>
            <w:p w14:paraId="0EDE5212" w14:textId="125B1B79" w:rsidR="00B5077A" w:rsidRPr="00B5077A" w:rsidRDefault="006B4B01" w:rsidP="00A367A0">
              <w:r>
                <w:rPr>
                  <w:b/>
                  <w:bCs/>
                </w:rPr>
                <w:fldChar w:fldCharType="end"/>
              </w:r>
            </w:p>
          </w:sdtContent>
        </w:sdt>
      </w:sdtContent>
    </w:sdt>
    <w:sectPr w:rsidR="00B5077A" w:rsidRPr="00B5077A" w:rsidSect="000D3AB7">
      <w:headerReference w:type="even" r:id="rId52"/>
      <w:headerReference w:type="default" r:id="rId53"/>
      <w:footerReference w:type="even" r:id="rId54"/>
      <w:footerReference w:type="default" r:id="rId55"/>
      <w:headerReference w:type="first" r:id="rId56"/>
      <w:footerReference w:type="first" r:id="rId5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F83D1" w14:textId="77777777" w:rsidR="001D7ED1" w:rsidRDefault="001D7ED1">
      <w:r>
        <w:separator/>
      </w:r>
    </w:p>
  </w:endnote>
  <w:endnote w:type="continuationSeparator" w:id="0">
    <w:p w14:paraId="2146C3E1" w14:textId="77777777" w:rsidR="001D7ED1" w:rsidRDefault="001D7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AE4F20" w14:textId="77777777" w:rsidR="00C73465" w:rsidRDefault="00C734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529CED2C" w:rsidR="002B0693" w:rsidRDefault="002B0693" w:rsidP="00996846">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A408A" w14:textId="77777777" w:rsidR="00C73465" w:rsidRDefault="00C7346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7BE9D" w14:textId="77777777" w:rsidR="00F40B9D" w:rsidRDefault="00F40B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A78BF" w14:textId="58CC4E15" w:rsidR="00F40B9D" w:rsidRDefault="00F40B9D" w:rsidP="00996846">
    <w:pPr>
      <w:pStyle w:val="Footer"/>
      <w:spacing w:before="0"/>
      <w:jc w:val="center"/>
      <w:rPr>
        <w:rStyle w:val="PageNumber"/>
      </w:rPr>
    </w:pPr>
  </w:p>
  <w:p w14:paraId="0211CC8A" w14:textId="0CC849F8"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AF62A" w14:textId="77777777" w:rsidR="00F40B9D" w:rsidRDefault="00F40B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3E333" w14:textId="77777777" w:rsidR="00F40B9D" w:rsidRDefault="00F40B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7C860" w14:textId="03438F43" w:rsidR="00F40B9D" w:rsidRDefault="00F40B9D" w:rsidP="00996846">
    <w:pPr>
      <w:pStyle w:val="Footer"/>
      <w:spacing w:before="0"/>
      <w:jc w:val="center"/>
      <w:rPr>
        <w:rStyle w:val="PageNumber"/>
      </w:rPr>
    </w:pPr>
  </w:p>
  <w:p w14:paraId="7C2D5F0E" w14:textId="69940384"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2DB43" w14:textId="77777777" w:rsidR="00F40B9D" w:rsidRDefault="00F40B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91C67" w14:textId="77777777" w:rsidR="00F40B9D" w:rsidRDefault="00F40B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4B9CB" w14:textId="085849B2" w:rsidR="00F40B9D" w:rsidRDefault="00F40B9D" w:rsidP="00996846">
    <w:pPr>
      <w:pStyle w:val="Footer"/>
      <w:spacing w:before="0"/>
      <w:jc w:val="center"/>
      <w:rPr>
        <w:rStyle w:val="PageNumber"/>
      </w:rPr>
    </w:pPr>
  </w:p>
  <w:p w14:paraId="148EB104" w14:textId="1CA92532"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211B3" w14:textId="77777777" w:rsidR="00F40B9D" w:rsidRDefault="00F40B9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80CC1" w14:textId="77777777" w:rsidR="00F40B9D" w:rsidRDefault="00F40B9D">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B8068" w14:textId="36419E30" w:rsidR="00F40B9D" w:rsidRDefault="00F40B9D" w:rsidP="00996846">
    <w:pPr>
      <w:pStyle w:val="Footer"/>
      <w:spacing w:before="0"/>
      <w:jc w:val="center"/>
      <w:rPr>
        <w:rStyle w:val="PageNumber"/>
      </w:rPr>
    </w:pPr>
  </w:p>
  <w:p w14:paraId="4C411CAC" w14:textId="604567C9"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7AEF2" w14:textId="77777777" w:rsidR="00F40B9D" w:rsidRDefault="00F40B9D">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FCBF0" w14:textId="77777777" w:rsidR="00F40B9D" w:rsidRDefault="00F40B9D">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65350" w14:textId="4C3B674E" w:rsidR="00F40B9D" w:rsidRDefault="00F40B9D" w:rsidP="00996846">
    <w:pPr>
      <w:pStyle w:val="Footer"/>
      <w:spacing w:before="0"/>
      <w:jc w:val="center"/>
      <w:rPr>
        <w:rStyle w:val="PageNumber"/>
      </w:rPr>
    </w:pPr>
  </w:p>
  <w:p w14:paraId="509A2238" w14:textId="0E11EFB9"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7D935" w14:textId="77777777" w:rsidR="00F40B9D" w:rsidRDefault="00F40B9D">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38BEC" w14:textId="77777777" w:rsidR="00F40B9D" w:rsidRDefault="00F40B9D">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C5EFF" w14:textId="590E902F" w:rsidR="00F40B9D" w:rsidRDefault="00F40B9D" w:rsidP="00996846">
    <w:pPr>
      <w:pStyle w:val="Footer"/>
      <w:spacing w:before="0"/>
      <w:jc w:val="center"/>
      <w:rPr>
        <w:rStyle w:val="PageNumber"/>
      </w:rPr>
    </w:pPr>
  </w:p>
  <w:p w14:paraId="7D91AC24" w14:textId="1EF26C2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6F5D5" w14:textId="77777777" w:rsidR="00F40B9D" w:rsidRDefault="00F40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77933" w14:textId="77777777" w:rsidR="001D7ED1" w:rsidRDefault="001D7ED1">
      <w:r>
        <w:separator/>
      </w:r>
    </w:p>
  </w:footnote>
  <w:footnote w:type="continuationSeparator" w:id="0">
    <w:p w14:paraId="5263E90F" w14:textId="77777777" w:rsidR="001D7ED1" w:rsidRDefault="001D7E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FD73B" w14:textId="77777777" w:rsidR="00C73465" w:rsidRDefault="00C734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BFE5A" w14:textId="656DD7BA" w:rsidR="00C73465" w:rsidRDefault="00C73465" w:rsidP="009968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6E770" w14:textId="77777777" w:rsidR="00C73465" w:rsidRDefault="00C7346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8B740" w14:textId="77777777" w:rsidR="00F40B9D" w:rsidRDefault="00F40B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DF1E3" w14:textId="310246B8" w:rsidR="00F40B9D" w:rsidRDefault="00F40B9D" w:rsidP="0099684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4E325" w14:textId="77777777" w:rsidR="00F40B9D" w:rsidRDefault="00F40B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FF9AD" w14:textId="77777777" w:rsidR="00F40B9D" w:rsidRDefault="00F40B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5AEEF91B" w:rsidR="002B0693" w:rsidRDefault="002B0693" w:rsidP="0099684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C7F17" w14:textId="77777777" w:rsidR="00F40B9D" w:rsidRDefault="00F40B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18B0C" w14:textId="77777777" w:rsidR="00F40B9D" w:rsidRDefault="00F40B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104E" w14:textId="2AB5F014" w:rsidR="002B0693" w:rsidRDefault="002B0693" w:rsidP="0099684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393E1" w14:textId="77777777" w:rsidR="00F40B9D" w:rsidRDefault="00F40B9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5B649" w14:textId="77777777" w:rsidR="00F40B9D" w:rsidRDefault="00F40B9D">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D628E" w14:textId="124DC336" w:rsidR="002B0693" w:rsidRDefault="002B0693" w:rsidP="00996846">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FD0CF" w14:textId="77777777" w:rsidR="00F40B9D" w:rsidRDefault="00F40B9D">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7A455" w14:textId="77777777" w:rsidR="00F40B9D" w:rsidRDefault="00F40B9D">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8DE7C" w14:textId="081DD3C4" w:rsidR="002B0693" w:rsidRDefault="002B0693" w:rsidP="00996846">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0722D" w14:textId="77777777" w:rsidR="00F40B9D" w:rsidRDefault="00F40B9D">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1E59D" w14:textId="77777777" w:rsidR="00F40B9D" w:rsidRDefault="00F40B9D">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332D1" w14:textId="1315DEA9" w:rsidR="00F40B9D" w:rsidRDefault="00F40B9D" w:rsidP="00996846">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77F27" w14:textId="77777777" w:rsidR="00F40B9D" w:rsidRDefault="00F40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0E13427"/>
    <w:multiLevelType w:val="hybridMultilevel"/>
    <w:tmpl w:val="183637DE"/>
    <w:lvl w:ilvl="0" w:tplc="72464DF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9A86284"/>
    <w:multiLevelType w:val="multilevel"/>
    <w:tmpl w:val="4C524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714497783">
    <w:abstractNumId w:val="33"/>
  </w:num>
  <w:num w:numId="2" w16cid:durableId="1260599837">
    <w:abstractNumId w:val="18"/>
  </w:num>
  <w:num w:numId="3" w16cid:durableId="527135511">
    <w:abstractNumId w:val="14"/>
  </w:num>
  <w:num w:numId="4" w16cid:durableId="1296717857">
    <w:abstractNumId w:val="10"/>
  </w:num>
  <w:num w:numId="5" w16cid:durableId="1371762412">
    <w:abstractNumId w:val="31"/>
  </w:num>
  <w:num w:numId="6" w16cid:durableId="1757358634">
    <w:abstractNumId w:val="20"/>
  </w:num>
  <w:num w:numId="7" w16cid:durableId="595481347">
    <w:abstractNumId w:val="23"/>
  </w:num>
  <w:num w:numId="8" w16cid:durableId="231309248">
    <w:abstractNumId w:val="16"/>
  </w:num>
  <w:num w:numId="9" w16cid:durableId="78136777">
    <w:abstractNumId w:val="28"/>
  </w:num>
  <w:num w:numId="10" w16cid:durableId="1559784625">
    <w:abstractNumId w:val="34"/>
  </w:num>
  <w:num w:numId="11" w16cid:durableId="526066193">
    <w:abstractNumId w:val="13"/>
  </w:num>
  <w:num w:numId="12" w16cid:durableId="707877263">
    <w:abstractNumId w:val="22"/>
  </w:num>
  <w:num w:numId="13" w16cid:durableId="982080239">
    <w:abstractNumId w:val="9"/>
  </w:num>
  <w:num w:numId="14" w16cid:durableId="753669775">
    <w:abstractNumId w:val="7"/>
  </w:num>
  <w:num w:numId="15" w16cid:durableId="641739330">
    <w:abstractNumId w:val="6"/>
  </w:num>
  <w:num w:numId="16" w16cid:durableId="1761564018">
    <w:abstractNumId w:val="5"/>
  </w:num>
  <w:num w:numId="17" w16cid:durableId="1411582454">
    <w:abstractNumId w:val="4"/>
  </w:num>
  <w:num w:numId="18" w16cid:durableId="45497234">
    <w:abstractNumId w:val="8"/>
  </w:num>
  <w:num w:numId="19" w16cid:durableId="152306330">
    <w:abstractNumId w:val="3"/>
  </w:num>
  <w:num w:numId="20" w16cid:durableId="143277589">
    <w:abstractNumId w:val="2"/>
  </w:num>
  <w:num w:numId="21" w16cid:durableId="656693196">
    <w:abstractNumId w:val="1"/>
  </w:num>
  <w:num w:numId="22" w16cid:durableId="899822967">
    <w:abstractNumId w:val="0"/>
  </w:num>
  <w:num w:numId="23" w16cid:durableId="539755263">
    <w:abstractNumId w:val="30"/>
  </w:num>
  <w:num w:numId="24" w16cid:durableId="1693219401">
    <w:abstractNumId w:val="11"/>
  </w:num>
  <w:num w:numId="25" w16cid:durableId="496072223">
    <w:abstractNumId w:val="24"/>
  </w:num>
  <w:num w:numId="26" w16cid:durableId="2079941380">
    <w:abstractNumId w:val="12"/>
  </w:num>
  <w:num w:numId="27" w16cid:durableId="725445986">
    <w:abstractNumId w:val="26"/>
  </w:num>
  <w:num w:numId="28" w16cid:durableId="1583415618">
    <w:abstractNumId w:val="15"/>
  </w:num>
  <w:num w:numId="29" w16cid:durableId="563488008">
    <w:abstractNumId w:val="29"/>
  </w:num>
  <w:num w:numId="30" w16cid:durableId="333799029">
    <w:abstractNumId w:val="27"/>
  </w:num>
  <w:num w:numId="31" w16cid:durableId="1441684132">
    <w:abstractNumId w:val="17"/>
  </w:num>
  <w:num w:numId="32" w16cid:durableId="1798182696">
    <w:abstractNumId w:val="25"/>
  </w:num>
  <w:num w:numId="33" w16cid:durableId="1194417012">
    <w:abstractNumId w:val="19"/>
  </w:num>
  <w:num w:numId="34" w16cid:durableId="1575048375">
    <w:abstractNumId w:val="21"/>
  </w:num>
  <w:num w:numId="35" w16cid:durableId="35724597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07950"/>
    <w:rsid w:val="000146A5"/>
    <w:rsid w:val="00014E85"/>
    <w:rsid w:val="00015A13"/>
    <w:rsid w:val="00016BC8"/>
    <w:rsid w:val="0003188E"/>
    <w:rsid w:val="00032EFE"/>
    <w:rsid w:val="00034112"/>
    <w:rsid w:val="0004019A"/>
    <w:rsid w:val="00045D6F"/>
    <w:rsid w:val="00062A2E"/>
    <w:rsid w:val="00063CEE"/>
    <w:rsid w:val="00065259"/>
    <w:rsid w:val="00065A60"/>
    <w:rsid w:val="00067512"/>
    <w:rsid w:val="00071CD5"/>
    <w:rsid w:val="00072898"/>
    <w:rsid w:val="0007438C"/>
    <w:rsid w:val="00086305"/>
    <w:rsid w:val="00092119"/>
    <w:rsid w:val="00097727"/>
    <w:rsid w:val="000A4407"/>
    <w:rsid w:val="000A513C"/>
    <w:rsid w:val="000B6677"/>
    <w:rsid w:val="000C6559"/>
    <w:rsid w:val="000D1092"/>
    <w:rsid w:val="000D3236"/>
    <w:rsid w:val="000D3AB7"/>
    <w:rsid w:val="000E1E14"/>
    <w:rsid w:val="000E5531"/>
    <w:rsid w:val="000E6A2A"/>
    <w:rsid w:val="000F3FC7"/>
    <w:rsid w:val="000F5578"/>
    <w:rsid w:val="00101198"/>
    <w:rsid w:val="00126903"/>
    <w:rsid w:val="00127729"/>
    <w:rsid w:val="00130109"/>
    <w:rsid w:val="00131F99"/>
    <w:rsid w:val="00132B6A"/>
    <w:rsid w:val="00132DD5"/>
    <w:rsid w:val="00140225"/>
    <w:rsid w:val="00145332"/>
    <w:rsid w:val="00145602"/>
    <w:rsid w:val="001507DE"/>
    <w:rsid w:val="00164D92"/>
    <w:rsid w:val="00171953"/>
    <w:rsid w:val="00175EC0"/>
    <w:rsid w:val="00181091"/>
    <w:rsid w:val="001850E2"/>
    <w:rsid w:val="00187AAB"/>
    <w:rsid w:val="00196CAA"/>
    <w:rsid w:val="001B0633"/>
    <w:rsid w:val="001B2809"/>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379B"/>
    <w:rsid w:val="001F41DE"/>
    <w:rsid w:val="001F46C3"/>
    <w:rsid w:val="001F7EBB"/>
    <w:rsid w:val="00200445"/>
    <w:rsid w:val="00204473"/>
    <w:rsid w:val="00205704"/>
    <w:rsid w:val="0020744E"/>
    <w:rsid w:val="002121F3"/>
    <w:rsid w:val="00224C6D"/>
    <w:rsid w:val="00224E7F"/>
    <w:rsid w:val="00230B99"/>
    <w:rsid w:val="00232B80"/>
    <w:rsid w:val="00235DD5"/>
    <w:rsid w:val="00243313"/>
    <w:rsid w:val="00245DA7"/>
    <w:rsid w:val="00246995"/>
    <w:rsid w:val="0025099B"/>
    <w:rsid w:val="00255A0D"/>
    <w:rsid w:val="00267F4D"/>
    <w:rsid w:val="00285034"/>
    <w:rsid w:val="00286799"/>
    <w:rsid w:val="002920A8"/>
    <w:rsid w:val="0029336C"/>
    <w:rsid w:val="002A5491"/>
    <w:rsid w:val="002A7DD0"/>
    <w:rsid w:val="002B0693"/>
    <w:rsid w:val="002B133F"/>
    <w:rsid w:val="002B60B6"/>
    <w:rsid w:val="002B7456"/>
    <w:rsid w:val="002B7B28"/>
    <w:rsid w:val="002D05CE"/>
    <w:rsid w:val="002D09B4"/>
    <w:rsid w:val="002D4A7B"/>
    <w:rsid w:val="002D5CFB"/>
    <w:rsid w:val="002F28AA"/>
    <w:rsid w:val="002F7211"/>
    <w:rsid w:val="002F7B33"/>
    <w:rsid w:val="00303054"/>
    <w:rsid w:val="00304798"/>
    <w:rsid w:val="003163B5"/>
    <w:rsid w:val="00331D68"/>
    <w:rsid w:val="00337C97"/>
    <w:rsid w:val="003500A4"/>
    <w:rsid w:val="00350717"/>
    <w:rsid w:val="00351E83"/>
    <w:rsid w:val="003550A0"/>
    <w:rsid w:val="0035522C"/>
    <w:rsid w:val="0035720C"/>
    <w:rsid w:val="00361EFD"/>
    <w:rsid w:val="00362120"/>
    <w:rsid w:val="00365C7F"/>
    <w:rsid w:val="0037068D"/>
    <w:rsid w:val="00372935"/>
    <w:rsid w:val="00393F05"/>
    <w:rsid w:val="003A1C49"/>
    <w:rsid w:val="003A5815"/>
    <w:rsid w:val="003B075E"/>
    <w:rsid w:val="003B1C9F"/>
    <w:rsid w:val="003B2155"/>
    <w:rsid w:val="003E1F29"/>
    <w:rsid w:val="003F2BEE"/>
    <w:rsid w:val="003F67A2"/>
    <w:rsid w:val="004015E2"/>
    <w:rsid w:val="00402931"/>
    <w:rsid w:val="00404309"/>
    <w:rsid w:val="00405661"/>
    <w:rsid w:val="00405CE5"/>
    <w:rsid w:val="00405F98"/>
    <w:rsid w:val="00410143"/>
    <w:rsid w:val="0041685B"/>
    <w:rsid w:val="00417E77"/>
    <w:rsid w:val="004216B9"/>
    <w:rsid w:val="00423DB3"/>
    <w:rsid w:val="00445061"/>
    <w:rsid w:val="00445556"/>
    <w:rsid w:val="0045151B"/>
    <w:rsid w:val="004534AC"/>
    <w:rsid w:val="00454B14"/>
    <w:rsid w:val="00460314"/>
    <w:rsid w:val="0046152D"/>
    <w:rsid w:val="004747AF"/>
    <w:rsid w:val="004839AE"/>
    <w:rsid w:val="0049076B"/>
    <w:rsid w:val="00494FD8"/>
    <w:rsid w:val="004A1164"/>
    <w:rsid w:val="004A133A"/>
    <w:rsid w:val="004B5597"/>
    <w:rsid w:val="004B5D2E"/>
    <w:rsid w:val="004C03F0"/>
    <w:rsid w:val="004C17BD"/>
    <w:rsid w:val="004C2C9C"/>
    <w:rsid w:val="004D265B"/>
    <w:rsid w:val="004D5EBD"/>
    <w:rsid w:val="004D73AB"/>
    <w:rsid w:val="004D7CB3"/>
    <w:rsid w:val="004E7AF1"/>
    <w:rsid w:val="005064F6"/>
    <w:rsid w:val="00510826"/>
    <w:rsid w:val="005125CD"/>
    <w:rsid w:val="005134B3"/>
    <w:rsid w:val="005134EA"/>
    <w:rsid w:val="00516FC5"/>
    <w:rsid w:val="0052247A"/>
    <w:rsid w:val="00522706"/>
    <w:rsid w:val="005244BB"/>
    <w:rsid w:val="00524E57"/>
    <w:rsid w:val="0053037E"/>
    <w:rsid w:val="005304A9"/>
    <w:rsid w:val="0053377D"/>
    <w:rsid w:val="00541950"/>
    <w:rsid w:val="00543179"/>
    <w:rsid w:val="00547EA4"/>
    <w:rsid w:val="005528A4"/>
    <w:rsid w:val="00562666"/>
    <w:rsid w:val="0056285F"/>
    <w:rsid w:val="00571D27"/>
    <w:rsid w:val="005800F4"/>
    <w:rsid w:val="00586D24"/>
    <w:rsid w:val="00591D8E"/>
    <w:rsid w:val="005A29B0"/>
    <w:rsid w:val="005B5454"/>
    <w:rsid w:val="005C0AF1"/>
    <w:rsid w:val="005C1405"/>
    <w:rsid w:val="005C666C"/>
    <w:rsid w:val="005C6FA2"/>
    <w:rsid w:val="005D1B00"/>
    <w:rsid w:val="005D4968"/>
    <w:rsid w:val="005D68D1"/>
    <w:rsid w:val="005D7AEA"/>
    <w:rsid w:val="005E3ACA"/>
    <w:rsid w:val="005E4B39"/>
    <w:rsid w:val="00600F1E"/>
    <w:rsid w:val="00605D3F"/>
    <w:rsid w:val="006159AA"/>
    <w:rsid w:val="00620197"/>
    <w:rsid w:val="00623A81"/>
    <w:rsid w:val="00626744"/>
    <w:rsid w:val="0062728E"/>
    <w:rsid w:val="00627B1E"/>
    <w:rsid w:val="006342AB"/>
    <w:rsid w:val="00640FB5"/>
    <w:rsid w:val="00643A55"/>
    <w:rsid w:val="00644B71"/>
    <w:rsid w:val="006454D8"/>
    <w:rsid w:val="0065601E"/>
    <w:rsid w:val="006573D9"/>
    <w:rsid w:val="006575E8"/>
    <w:rsid w:val="00671FA2"/>
    <w:rsid w:val="00680C68"/>
    <w:rsid w:val="00684F95"/>
    <w:rsid w:val="00685088"/>
    <w:rsid w:val="00693975"/>
    <w:rsid w:val="006A19EC"/>
    <w:rsid w:val="006A3182"/>
    <w:rsid w:val="006A4B40"/>
    <w:rsid w:val="006A57E9"/>
    <w:rsid w:val="006A797F"/>
    <w:rsid w:val="006B267A"/>
    <w:rsid w:val="006B4B01"/>
    <w:rsid w:val="006B76FD"/>
    <w:rsid w:val="006C6C98"/>
    <w:rsid w:val="006D680A"/>
    <w:rsid w:val="006E522B"/>
    <w:rsid w:val="006E7473"/>
    <w:rsid w:val="006E7BE0"/>
    <w:rsid w:val="006F48A8"/>
    <w:rsid w:val="006F6F09"/>
    <w:rsid w:val="00700D30"/>
    <w:rsid w:val="0070144B"/>
    <w:rsid w:val="0070544E"/>
    <w:rsid w:val="00706FC0"/>
    <w:rsid w:val="00707564"/>
    <w:rsid w:val="00707C60"/>
    <w:rsid w:val="00712C27"/>
    <w:rsid w:val="00717228"/>
    <w:rsid w:val="00720589"/>
    <w:rsid w:val="007240B6"/>
    <w:rsid w:val="00735256"/>
    <w:rsid w:val="00747900"/>
    <w:rsid w:val="0075020C"/>
    <w:rsid w:val="00751A3A"/>
    <w:rsid w:val="00751BC0"/>
    <w:rsid w:val="0076636C"/>
    <w:rsid w:val="0077450C"/>
    <w:rsid w:val="00792A54"/>
    <w:rsid w:val="00795AC0"/>
    <w:rsid w:val="007A0341"/>
    <w:rsid w:val="007A441A"/>
    <w:rsid w:val="007A5657"/>
    <w:rsid w:val="007C70A1"/>
    <w:rsid w:val="007D3D19"/>
    <w:rsid w:val="007D48F0"/>
    <w:rsid w:val="007D51D3"/>
    <w:rsid w:val="007F0255"/>
    <w:rsid w:val="007F186D"/>
    <w:rsid w:val="007F5C55"/>
    <w:rsid w:val="00801843"/>
    <w:rsid w:val="00802367"/>
    <w:rsid w:val="008035D7"/>
    <w:rsid w:val="00804F18"/>
    <w:rsid w:val="00806B8E"/>
    <w:rsid w:val="00807610"/>
    <w:rsid w:val="00807CDF"/>
    <w:rsid w:val="00814529"/>
    <w:rsid w:val="008178DA"/>
    <w:rsid w:val="008179F0"/>
    <w:rsid w:val="00830238"/>
    <w:rsid w:val="00833618"/>
    <w:rsid w:val="00834436"/>
    <w:rsid w:val="00834E84"/>
    <w:rsid w:val="00835E1B"/>
    <w:rsid w:val="00837448"/>
    <w:rsid w:val="0084021F"/>
    <w:rsid w:val="008428F4"/>
    <w:rsid w:val="008442AB"/>
    <w:rsid w:val="008462C0"/>
    <w:rsid w:val="00851ADB"/>
    <w:rsid w:val="00854D16"/>
    <w:rsid w:val="00856C8D"/>
    <w:rsid w:val="00857D66"/>
    <w:rsid w:val="008752A2"/>
    <w:rsid w:val="00875B58"/>
    <w:rsid w:val="00876ECB"/>
    <w:rsid w:val="0088087A"/>
    <w:rsid w:val="00884ECE"/>
    <w:rsid w:val="008906BD"/>
    <w:rsid w:val="00891334"/>
    <w:rsid w:val="00891F23"/>
    <w:rsid w:val="008B18FD"/>
    <w:rsid w:val="008B72AE"/>
    <w:rsid w:val="008B731F"/>
    <w:rsid w:val="008B7FF5"/>
    <w:rsid w:val="008C56B9"/>
    <w:rsid w:val="008D00C5"/>
    <w:rsid w:val="008D0F71"/>
    <w:rsid w:val="008D1F23"/>
    <w:rsid w:val="008D34C3"/>
    <w:rsid w:val="008D3CBB"/>
    <w:rsid w:val="008D5D60"/>
    <w:rsid w:val="008D5DD7"/>
    <w:rsid w:val="008D5E4C"/>
    <w:rsid w:val="008E2CB8"/>
    <w:rsid w:val="008E5A35"/>
    <w:rsid w:val="008E6268"/>
    <w:rsid w:val="008E7822"/>
    <w:rsid w:val="008F0A2B"/>
    <w:rsid w:val="008F0F9A"/>
    <w:rsid w:val="008F2598"/>
    <w:rsid w:val="008F39E2"/>
    <w:rsid w:val="00902215"/>
    <w:rsid w:val="00907C8B"/>
    <w:rsid w:val="00910F54"/>
    <w:rsid w:val="0091262F"/>
    <w:rsid w:val="009137F3"/>
    <w:rsid w:val="00917DD5"/>
    <w:rsid w:val="00922BCA"/>
    <w:rsid w:val="00925B40"/>
    <w:rsid w:val="0093381A"/>
    <w:rsid w:val="009367D5"/>
    <w:rsid w:val="00937E17"/>
    <w:rsid w:val="009404A4"/>
    <w:rsid w:val="0094060A"/>
    <w:rsid w:val="00941D35"/>
    <w:rsid w:val="009504C2"/>
    <w:rsid w:val="009616E1"/>
    <w:rsid w:val="00963FE9"/>
    <w:rsid w:val="00974BD2"/>
    <w:rsid w:val="00975D2B"/>
    <w:rsid w:val="009770B4"/>
    <w:rsid w:val="00977DB5"/>
    <w:rsid w:val="009804C0"/>
    <w:rsid w:val="00981EB9"/>
    <w:rsid w:val="009833A5"/>
    <w:rsid w:val="00995B4F"/>
    <w:rsid w:val="00996846"/>
    <w:rsid w:val="00996FFA"/>
    <w:rsid w:val="009A0019"/>
    <w:rsid w:val="009A75FF"/>
    <w:rsid w:val="009B52E2"/>
    <w:rsid w:val="009B68EF"/>
    <w:rsid w:val="009B7734"/>
    <w:rsid w:val="009E2639"/>
    <w:rsid w:val="009E3C8A"/>
    <w:rsid w:val="009E60CC"/>
    <w:rsid w:val="009F42D6"/>
    <w:rsid w:val="009F4F9E"/>
    <w:rsid w:val="00A0329E"/>
    <w:rsid w:val="00A03D47"/>
    <w:rsid w:val="00A128AB"/>
    <w:rsid w:val="00A226AF"/>
    <w:rsid w:val="00A259D4"/>
    <w:rsid w:val="00A25E3F"/>
    <w:rsid w:val="00A30536"/>
    <w:rsid w:val="00A33D5D"/>
    <w:rsid w:val="00A367A0"/>
    <w:rsid w:val="00A36F61"/>
    <w:rsid w:val="00A55004"/>
    <w:rsid w:val="00A62720"/>
    <w:rsid w:val="00A633BD"/>
    <w:rsid w:val="00A63A85"/>
    <w:rsid w:val="00A65154"/>
    <w:rsid w:val="00A651C5"/>
    <w:rsid w:val="00A655CD"/>
    <w:rsid w:val="00A66351"/>
    <w:rsid w:val="00A748D5"/>
    <w:rsid w:val="00A916EE"/>
    <w:rsid w:val="00A95671"/>
    <w:rsid w:val="00AA093F"/>
    <w:rsid w:val="00AA1E42"/>
    <w:rsid w:val="00AA2009"/>
    <w:rsid w:val="00AA4D83"/>
    <w:rsid w:val="00AA61F1"/>
    <w:rsid w:val="00AB0823"/>
    <w:rsid w:val="00AB135E"/>
    <w:rsid w:val="00AB42EB"/>
    <w:rsid w:val="00AB6265"/>
    <w:rsid w:val="00AC347D"/>
    <w:rsid w:val="00AD0B32"/>
    <w:rsid w:val="00AD1A00"/>
    <w:rsid w:val="00AD4308"/>
    <w:rsid w:val="00AD6D75"/>
    <w:rsid w:val="00AE0AC3"/>
    <w:rsid w:val="00AE480E"/>
    <w:rsid w:val="00AE66AA"/>
    <w:rsid w:val="00AF67E1"/>
    <w:rsid w:val="00B038F2"/>
    <w:rsid w:val="00B03D9F"/>
    <w:rsid w:val="00B06074"/>
    <w:rsid w:val="00B07400"/>
    <w:rsid w:val="00B1530F"/>
    <w:rsid w:val="00B17824"/>
    <w:rsid w:val="00B17B0C"/>
    <w:rsid w:val="00B20072"/>
    <w:rsid w:val="00B20B2C"/>
    <w:rsid w:val="00B2492B"/>
    <w:rsid w:val="00B30745"/>
    <w:rsid w:val="00B317FD"/>
    <w:rsid w:val="00B3644B"/>
    <w:rsid w:val="00B40908"/>
    <w:rsid w:val="00B42B67"/>
    <w:rsid w:val="00B5077A"/>
    <w:rsid w:val="00B516D8"/>
    <w:rsid w:val="00B51A64"/>
    <w:rsid w:val="00B53E08"/>
    <w:rsid w:val="00B62048"/>
    <w:rsid w:val="00B765F2"/>
    <w:rsid w:val="00B77263"/>
    <w:rsid w:val="00B8752D"/>
    <w:rsid w:val="00B96699"/>
    <w:rsid w:val="00B96887"/>
    <w:rsid w:val="00B9798F"/>
    <w:rsid w:val="00BA0D4C"/>
    <w:rsid w:val="00BA279E"/>
    <w:rsid w:val="00BA48B5"/>
    <w:rsid w:val="00BA5321"/>
    <w:rsid w:val="00BA5F82"/>
    <w:rsid w:val="00BC00B2"/>
    <w:rsid w:val="00BC1A4D"/>
    <w:rsid w:val="00BC4978"/>
    <w:rsid w:val="00BD2A70"/>
    <w:rsid w:val="00BE05AE"/>
    <w:rsid w:val="00BE1C94"/>
    <w:rsid w:val="00BE3FCE"/>
    <w:rsid w:val="00BE77DE"/>
    <w:rsid w:val="00BF4B1B"/>
    <w:rsid w:val="00BF5778"/>
    <w:rsid w:val="00BF66ED"/>
    <w:rsid w:val="00C04DD4"/>
    <w:rsid w:val="00C069D6"/>
    <w:rsid w:val="00C10332"/>
    <w:rsid w:val="00C2171B"/>
    <w:rsid w:val="00C23009"/>
    <w:rsid w:val="00C25AAB"/>
    <w:rsid w:val="00C27103"/>
    <w:rsid w:val="00C4482E"/>
    <w:rsid w:val="00C44DF7"/>
    <w:rsid w:val="00C473DF"/>
    <w:rsid w:val="00C52F9C"/>
    <w:rsid w:val="00C53236"/>
    <w:rsid w:val="00C54B39"/>
    <w:rsid w:val="00C6117E"/>
    <w:rsid w:val="00C626AF"/>
    <w:rsid w:val="00C629A9"/>
    <w:rsid w:val="00C62DD8"/>
    <w:rsid w:val="00C64BF0"/>
    <w:rsid w:val="00C658CA"/>
    <w:rsid w:val="00C71D1F"/>
    <w:rsid w:val="00C73465"/>
    <w:rsid w:val="00C74455"/>
    <w:rsid w:val="00C82E8D"/>
    <w:rsid w:val="00C90A14"/>
    <w:rsid w:val="00CA12EC"/>
    <w:rsid w:val="00CA24EF"/>
    <w:rsid w:val="00CA7AF4"/>
    <w:rsid w:val="00CC21F1"/>
    <w:rsid w:val="00CC495A"/>
    <w:rsid w:val="00CD6BE3"/>
    <w:rsid w:val="00CD7166"/>
    <w:rsid w:val="00CE3F44"/>
    <w:rsid w:val="00CF66E5"/>
    <w:rsid w:val="00CF6AA9"/>
    <w:rsid w:val="00CF7D1F"/>
    <w:rsid w:val="00D00922"/>
    <w:rsid w:val="00D03E8E"/>
    <w:rsid w:val="00D0471C"/>
    <w:rsid w:val="00D04795"/>
    <w:rsid w:val="00D135C3"/>
    <w:rsid w:val="00D219A1"/>
    <w:rsid w:val="00D233FE"/>
    <w:rsid w:val="00D234C6"/>
    <w:rsid w:val="00D23D5B"/>
    <w:rsid w:val="00D326B1"/>
    <w:rsid w:val="00D333B2"/>
    <w:rsid w:val="00D34064"/>
    <w:rsid w:val="00D351A6"/>
    <w:rsid w:val="00D3724C"/>
    <w:rsid w:val="00D507DF"/>
    <w:rsid w:val="00D5144C"/>
    <w:rsid w:val="00D52AC3"/>
    <w:rsid w:val="00D52D8E"/>
    <w:rsid w:val="00D54B4D"/>
    <w:rsid w:val="00D65B2F"/>
    <w:rsid w:val="00D665BC"/>
    <w:rsid w:val="00D672BB"/>
    <w:rsid w:val="00DA28B2"/>
    <w:rsid w:val="00DA310F"/>
    <w:rsid w:val="00DA5A71"/>
    <w:rsid w:val="00DA772C"/>
    <w:rsid w:val="00DA7B8C"/>
    <w:rsid w:val="00DB0932"/>
    <w:rsid w:val="00DC1FC6"/>
    <w:rsid w:val="00DC4411"/>
    <w:rsid w:val="00DC6E45"/>
    <w:rsid w:val="00DD2680"/>
    <w:rsid w:val="00DD3DA3"/>
    <w:rsid w:val="00DE4B07"/>
    <w:rsid w:val="00DE5D65"/>
    <w:rsid w:val="00DF6781"/>
    <w:rsid w:val="00E025DC"/>
    <w:rsid w:val="00E06505"/>
    <w:rsid w:val="00E12174"/>
    <w:rsid w:val="00E15B2B"/>
    <w:rsid w:val="00E17857"/>
    <w:rsid w:val="00E27131"/>
    <w:rsid w:val="00E27644"/>
    <w:rsid w:val="00E367E5"/>
    <w:rsid w:val="00E37F60"/>
    <w:rsid w:val="00E37F83"/>
    <w:rsid w:val="00E4255A"/>
    <w:rsid w:val="00E42D2C"/>
    <w:rsid w:val="00E53D4B"/>
    <w:rsid w:val="00E577F9"/>
    <w:rsid w:val="00E60686"/>
    <w:rsid w:val="00E66614"/>
    <w:rsid w:val="00E71C90"/>
    <w:rsid w:val="00E75826"/>
    <w:rsid w:val="00E8030E"/>
    <w:rsid w:val="00E81DD4"/>
    <w:rsid w:val="00E94F51"/>
    <w:rsid w:val="00E94FC1"/>
    <w:rsid w:val="00EA3654"/>
    <w:rsid w:val="00EB311A"/>
    <w:rsid w:val="00EB47D6"/>
    <w:rsid w:val="00EC2177"/>
    <w:rsid w:val="00EC42E2"/>
    <w:rsid w:val="00EC4663"/>
    <w:rsid w:val="00EC473B"/>
    <w:rsid w:val="00EC746C"/>
    <w:rsid w:val="00EE07F2"/>
    <w:rsid w:val="00EF21A6"/>
    <w:rsid w:val="00EF35D7"/>
    <w:rsid w:val="00EF5C69"/>
    <w:rsid w:val="00F030D6"/>
    <w:rsid w:val="00F12F1D"/>
    <w:rsid w:val="00F15523"/>
    <w:rsid w:val="00F16E24"/>
    <w:rsid w:val="00F2159F"/>
    <w:rsid w:val="00F32ADB"/>
    <w:rsid w:val="00F33B50"/>
    <w:rsid w:val="00F4072F"/>
    <w:rsid w:val="00F40B9D"/>
    <w:rsid w:val="00F44E18"/>
    <w:rsid w:val="00F4729A"/>
    <w:rsid w:val="00F47F17"/>
    <w:rsid w:val="00F509C2"/>
    <w:rsid w:val="00F551D0"/>
    <w:rsid w:val="00F56E9E"/>
    <w:rsid w:val="00F617CB"/>
    <w:rsid w:val="00F65825"/>
    <w:rsid w:val="00F70D29"/>
    <w:rsid w:val="00F718E3"/>
    <w:rsid w:val="00F72FA5"/>
    <w:rsid w:val="00F73103"/>
    <w:rsid w:val="00F73DA6"/>
    <w:rsid w:val="00F80A8F"/>
    <w:rsid w:val="00F84DA7"/>
    <w:rsid w:val="00F86DFA"/>
    <w:rsid w:val="00FA46DB"/>
    <w:rsid w:val="00FA55B5"/>
    <w:rsid w:val="00FA7F7D"/>
    <w:rsid w:val="00FB6B73"/>
    <w:rsid w:val="00FB6BE4"/>
    <w:rsid w:val="00FD5BF5"/>
    <w:rsid w:val="00FE3ADF"/>
    <w:rsid w:val="00FE7279"/>
    <w:rsid w:val="00FE7B73"/>
    <w:rsid w:val="00FE7F1E"/>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417E77"/>
  </w:style>
  <w:style w:type="character" w:styleId="PlaceholderText">
    <w:name w:val="Placeholder Text"/>
    <w:basedOn w:val="DefaultParagraphFont"/>
    <w:uiPriority w:val="99"/>
    <w:semiHidden/>
    <w:rsid w:val="00516FC5"/>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9367">
      <w:bodyDiv w:val="1"/>
      <w:marLeft w:val="0"/>
      <w:marRight w:val="0"/>
      <w:marTop w:val="0"/>
      <w:marBottom w:val="0"/>
      <w:divBdr>
        <w:top w:val="none" w:sz="0" w:space="0" w:color="auto"/>
        <w:left w:val="none" w:sz="0" w:space="0" w:color="auto"/>
        <w:bottom w:val="none" w:sz="0" w:space="0" w:color="auto"/>
        <w:right w:val="none" w:sz="0" w:space="0" w:color="auto"/>
      </w:divBdr>
    </w:div>
    <w:div w:id="17237504">
      <w:bodyDiv w:val="1"/>
      <w:marLeft w:val="0"/>
      <w:marRight w:val="0"/>
      <w:marTop w:val="0"/>
      <w:marBottom w:val="0"/>
      <w:divBdr>
        <w:top w:val="none" w:sz="0" w:space="0" w:color="auto"/>
        <w:left w:val="none" w:sz="0" w:space="0" w:color="auto"/>
        <w:bottom w:val="none" w:sz="0" w:space="0" w:color="auto"/>
        <w:right w:val="none" w:sz="0" w:space="0" w:color="auto"/>
      </w:divBdr>
    </w:div>
    <w:div w:id="42294052">
      <w:bodyDiv w:val="1"/>
      <w:marLeft w:val="0"/>
      <w:marRight w:val="0"/>
      <w:marTop w:val="0"/>
      <w:marBottom w:val="0"/>
      <w:divBdr>
        <w:top w:val="none" w:sz="0" w:space="0" w:color="auto"/>
        <w:left w:val="none" w:sz="0" w:space="0" w:color="auto"/>
        <w:bottom w:val="none" w:sz="0" w:space="0" w:color="auto"/>
        <w:right w:val="none" w:sz="0" w:space="0" w:color="auto"/>
      </w:divBdr>
    </w:div>
    <w:div w:id="45571627">
      <w:bodyDiv w:val="1"/>
      <w:marLeft w:val="0"/>
      <w:marRight w:val="0"/>
      <w:marTop w:val="0"/>
      <w:marBottom w:val="0"/>
      <w:divBdr>
        <w:top w:val="none" w:sz="0" w:space="0" w:color="auto"/>
        <w:left w:val="none" w:sz="0" w:space="0" w:color="auto"/>
        <w:bottom w:val="none" w:sz="0" w:space="0" w:color="auto"/>
        <w:right w:val="none" w:sz="0" w:space="0" w:color="auto"/>
      </w:divBdr>
    </w:div>
    <w:div w:id="49773334">
      <w:bodyDiv w:val="1"/>
      <w:marLeft w:val="0"/>
      <w:marRight w:val="0"/>
      <w:marTop w:val="0"/>
      <w:marBottom w:val="0"/>
      <w:divBdr>
        <w:top w:val="none" w:sz="0" w:space="0" w:color="auto"/>
        <w:left w:val="none" w:sz="0" w:space="0" w:color="auto"/>
        <w:bottom w:val="none" w:sz="0" w:space="0" w:color="auto"/>
        <w:right w:val="none" w:sz="0" w:space="0" w:color="auto"/>
      </w:divBdr>
    </w:div>
    <w:div w:id="50660249">
      <w:bodyDiv w:val="1"/>
      <w:marLeft w:val="0"/>
      <w:marRight w:val="0"/>
      <w:marTop w:val="0"/>
      <w:marBottom w:val="0"/>
      <w:divBdr>
        <w:top w:val="none" w:sz="0" w:space="0" w:color="auto"/>
        <w:left w:val="none" w:sz="0" w:space="0" w:color="auto"/>
        <w:bottom w:val="none" w:sz="0" w:space="0" w:color="auto"/>
        <w:right w:val="none" w:sz="0" w:space="0" w:color="auto"/>
      </w:divBdr>
    </w:div>
    <w:div w:id="83495881">
      <w:bodyDiv w:val="1"/>
      <w:marLeft w:val="0"/>
      <w:marRight w:val="0"/>
      <w:marTop w:val="0"/>
      <w:marBottom w:val="0"/>
      <w:divBdr>
        <w:top w:val="none" w:sz="0" w:space="0" w:color="auto"/>
        <w:left w:val="none" w:sz="0" w:space="0" w:color="auto"/>
        <w:bottom w:val="none" w:sz="0" w:space="0" w:color="auto"/>
        <w:right w:val="none" w:sz="0" w:space="0" w:color="auto"/>
      </w:divBdr>
    </w:div>
    <w:div w:id="105586757">
      <w:bodyDiv w:val="1"/>
      <w:marLeft w:val="0"/>
      <w:marRight w:val="0"/>
      <w:marTop w:val="0"/>
      <w:marBottom w:val="0"/>
      <w:divBdr>
        <w:top w:val="none" w:sz="0" w:space="0" w:color="auto"/>
        <w:left w:val="none" w:sz="0" w:space="0" w:color="auto"/>
        <w:bottom w:val="none" w:sz="0" w:space="0" w:color="auto"/>
        <w:right w:val="none" w:sz="0" w:space="0" w:color="auto"/>
      </w:divBdr>
    </w:div>
    <w:div w:id="116457718">
      <w:bodyDiv w:val="1"/>
      <w:marLeft w:val="0"/>
      <w:marRight w:val="0"/>
      <w:marTop w:val="0"/>
      <w:marBottom w:val="0"/>
      <w:divBdr>
        <w:top w:val="none" w:sz="0" w:space="0" w:color="auto"/>
        <w:left w:val="none" w:sz="0" w:space="0" w:color="auto"/>
        <w:bottom w:val="none" w:sz="0" w:space="0" w:color="auto"/>
        <w:right w:val="none" w:sz="0" w:space="0" w:color="auto"/>
      </w:divBdr>
    </w:div>
    <w:div w:id="138615306">
      <w:bodyDiv w:val="1"/>
      <w:marLeft w:val="0"/>
      <w:marRight w:val="0"/>
      <w:marTop w:val="0"/>
      <w:marBottom w:val="0"/>
      <w:divBdr>
        <w:top w:val="none" w:sz="0" w:space="0" w:color="auto"/>
        <w:left w:val="none" w:sz="0" w:space="0" w:color="auto"/>
        <w:bottom w:val="none" w:sz="0" w:space="0" w:color="auto"/>
        <w:right w:val="none" w:sz="0" w:space="0" w:color="auto"/>
      </w:divBdr>
    </w:div>
    <w:div w:id="159396717">
      <w:bodyDiv w:val="1"/>
      <w:marLeft w:val="0"/>
      <w:marRight w:val="0"/>
      <w:marTop w:val="0"/>
      <w:marBottom w:val="0"/>
      <w:divBdr>
        <w:top w:val="none" w:sz="0" w:space="0" w:color="auto"/>
        <w:left w:val="none" w:sz="0" w:space="0" w:color="auto"/>
        <w:bottom w:val="none" w:sz="0" w:space="0" w:color="auto"/>
        <w:right w:val="none" w:sz="0" w:space="0" w:color="auto"/>
      </w:divBdr>
    </w:div>
    <w:div w:id="163446946">
      <w:bodyDiv w:val="1"/>
      <w:marLeft w:val="0"/>
      <w:marRight w:val="0"/>
      <w:marTop w:val="0"/>
      <w:marBottom w:val="0"/>
      <w:divBdr>
        <w:top w:val="none" w:sz="0" w:space="0" w:color="auto"/>
        <w:left w:val="none" w:sz="0" w:space="0" w:color="auto"/>
        <w:bottom w:val="none" w:sz="0" w:space="0" w:color="auto"/>
        <w:right w:val="none" w:sz="0" w:space="0" w:color="auto"/>
      </w:divBdr>
    </w:div>
    <w:div w:id="176969774">
      <w:bodyDiv w:val="1"/>
      <w:marLeft w:val="0"/>
      <w:marRight w:val="0"/>
      <w:marTop w:val="0"/>
      <w:marBottom w:val="0"/>
      <w:divBdr>
        <w:top w:val="none" w:sz="0" w:space="0" w:color="auto"/>
        <w:left w:val="none" w:sz="0" w:space="0" w:color="auto"/>
        <w:bottom w:val="none" w:sz="0" w:space="0" w:color="auto"/>
        <w:right w:val="none" w:sz="0" w:space="0" w:color="auto"/>
      </w:divBdr>
    </w:div>
    <w:div w:id="207686126">
      <w:bodyDiv w:val="1"/>
      <w:marLeft w:val="0"/>
      <w:marRight w:val="0"/>
      <w:marTop w:val="0"/>
      <w:marBottom w:val="0"/>
      <w:divBdr>
        <w:top w:val="none" w:sz="0" w:space="0" w:color="auto"/>
        <w:left w:val="none" w:sz="0" w:space="0" w:color="auto"/>
        <w:bottom w:val="none" w:sz="0" w:space="0" w:color="auto"/>
        <w:right w:val="none" w:sz="0" w:space="0" w:color="auto"/>
      </w:divBdr>
    </w:div>
    <w:div w:id="209541528">
      <w:bodyDiv w:val="1"/>
      <w:marLeft w:val="0"/>
      <w:marRight w:val="0"/>
      <w:marTop w:val="0"/>
      <w:marBottom w:val="0"/>
      <w:divBdr>
        <w:top w:val="none" w:sz="0" w:space="0" w:color="auto"/>
        <w:left w:val="none" w:sz="0" w:space="0" w:color="auto"/>
        <w:bottom w:val="none" w:sz="0" w:space="0" w:color="auto"/>
        <w:right w:val="none" w:sz="0" w:space="0" w:color="auto"/>
      </w:divBdr>
    </w:div>
    <w:div w:id="230623014">
      <w:bodyDiv w:val="1"/>
      <w:marLeft w:val="0"/>
      <w:marRight w:val="0"/>
      <w:marTop w:val="0"/>
      <w:marBottom w:val="0"/>
      <w:divBdr>
        <w:top w:val="none" w:sz="0" w:space="0" w:color="auto"/>
        <w:left w:val="none" w:sz="0" w:space="0" w:color="auto"/>
        <w:bottom w:val="none" w:sz="0" w:space="0" w:color="auto"/>
        <w:right w:val="none" w:sz="0" w:space="0" w:color="auto"/>
      </w:divBdr>
    </w:div>
    <w:div w:id="240679050">
      <w:bodyDiv w:val="1"/>
      <w:marLeft w:val="0"/>
      <w:marRight w:val="0"/>
      <w:marTop w:val="0"/>
      <w:marBottom w:val="0"/>
      <w:divBdr>
        <w:top w:val="none" w:sz="0" w:space="0" w:color="auto"/>
        <w:left w:val="none" w:sz="0" w:space="0" w:color="auto"/>
        <w:bottom w:val="none" w:sz="0" w:space="0" w:color="auto"/>
        <w:right w:val="none" w:sz="0" w:space="0" w:color="auto"/>
      </w:divBdr>
    </w:div>
    <w:div w:id="242959903">
      <w:bodyDiv w:val="1"/>
      <w:marLeft w:val="0"/>
      <w:marRight w:val="0"/>
      <w:marTop w:val="0"/>
      <w:marBottom w:val="0"/>
      <w:divBdr>
        <w:top w:val="none" w:sz="0" w:space="0" w:color="auto"/>
        <w:left w:val="none" w:sz="0" w:space="0" w:color="auto"/>
        <w:bottom w:val="none" w:sz="0" w:space="0" w:color="auto"/>
        <w:right w:val="none" w:sz="0" w:space="0" w:color="auto"/>
      </w:divBdr>
    </w:div>
    <w:div w:id="265236282">
      <w:bodyDiv w:val="1"/>
      <w:marLeft w:val="0"/>
      <w:marRight w:val="0"/>
      <w:marTop w:val="0"/>
      <w:marBottom w:val="0"/>
      <w:divBdr>
        <w:top w:val="none" w:sz="0" w:space="0" w:color="auto"/>
        <w:left w:val="none" w:sz="0" w:space="0" w:color="auto"/>
        <w:bottom w:val="none" w:sz="0" w:space="0" w:color="auto"/>
        <w:right w:val="none" w:sz="0" w:space="0" w:color="auto"/>
      </w:divBdr>
    </w:div>
    <w:div w:id="267468043">
      <w:bodyDiv w:val="1"/>
      <w:marLeft w:val="0"/>
      <w:marRight w:val="0"/>
      <w:marTop w:val="0"/>
      <w:marBottom w:val="0"/>
      <w:divBdr>
        <w:top w:val="none" w:sz="0" w:space="0" w:color="auto"/>
        <w:left w:val="none" w:sz="0" w:space="0" w:color="auto"/>
        <w:bottom w:val="none" w:sz="0" w:space="0" w:color="auto"/>
        <w:right w:val="none" w:sz="0" w:space="0" w:color="auto"/>
      </w:divBdr>
    </w:div>
    <w:div w:id="270672530">
      <w:bodyDiv w:val="1"/>
      <w:marLeft w:val="0"/>
      <w:marRight w:val="0"/>
      <w:marTop w:val="0"/>
      <w:marBottom w:val="0"/>
      <w:divBdr>
        <w:top w:val="none" w:sz="0" w:space="0" w:color="auto"/>
        <w:left w:val="none" w:sz="0" w:space="0" w:color="auto"/>
        <w:bottom w:val="none" w:sz="0" w:space="0" w:color="auto"/>
        <w:right w:val="none" w:sz="0" w:space="0" w:color="auto"/>
      </w:divBdr>
    </w:div>
    <w:div w:id="276640978">
      <w:bodyDiv w:val="1"/>
      <w:marLeft w:val="0"/>
      <w:marRight w:val="0"/>
      <w:marTop w:val="0"/>
      <w:marBottom w:val="0"/>
      <w:divBdr>
        <w:top w:val="none" w:sz="0" w:space="0" w:color="auto"/>
        <w:left w:val="none" w:sz="0" w:space="0" w:color="auto"/>
        <w:bottom w:val="none" w:sz="0" w:space="0" w:color="auto"/>
        <w:right w:val="none" w:sz="0" w:space="0" w:color="auto"/>
      </w:divBdr>
    </w:div>
    <w:div w:id="285501255">
      <w:bodyDiv w:val="1"/>
      <w:marLeft w:val="0"/>
      <w:marRight w:val="0"/>
      <w:marTop w:val="0"/>
      <w:marBottom w:val="0"/>
      <w:divBdr>
        <w:top w:val="none" w:sz="0" w:space="0" w:color="auto"/>
        <w:left w:val="none" w:sz="0" w:space="0" w:color="auto"/>
        <w:bottom w:val="none" w:sz="0" w:space="0" w:color="auto"/>
        <w:right w:val="none" w:sz="0" w:space="0" w:color="auto"/>
      </w:divBdr>
    </w:div>
    <w:div w:id="288584597">
      <w:bodyDiv w:val="1"/>
      <w:marLeft w:val="0"/>
      <w:marRight w:val="0"/>
      <w:marTop w:val="0"/>
      <w:marBottom w:val="0"/>
      <w:divBdr>
        <w:top w:val="none" w:sz="0" w:space="0" w:color="auto"/>
        <w:left w:val="none" w:sz="0" w:space="0" w:color="auto"/>
        <w:bottom w:val="none" w:sz="0" w:space="0" w:color="auto"/>
        <w:right w:val="none" w:sz="0" w:space="0" w:color="auto"/>
      </w:divBdr>
    </w:div>
    <w:div w:id="294067596">
      <w:bodyDiv w:val="1"/>
      <w:marLeft w:val="0"/>
      <w:marRight w:val="0"/>
      <w:marTop w:val="0"/>
      <w:marBottom w:val="0"/>
      <w:divBdr>
        <w:top w:val="none" w:sz="0" w:space="0" w:color="auto"/>
        <w:left w:val="none" w:sz="0" w:space="0" w:color="auto"/>
        <w:bottom w:val="none" w:sz="0" w:space="0" w:color="auto"/>
        <w:right w:val="none" w:sz="0" w:space="0" w:color="auto"/>
      </w:divBdr>
    </w:div>
    <w:div w:id="295840826">
      <w:bodyDiv w:val="1"/>
      <w:marLeft w:val="0"/>
      <w:marRight w:val="0"/>
      <w:marTop w:val="0"/>
      <w:marBottom w:val="0"/>
      <w:divBdr>
        <w:top w:val="none" w:sz="0" w:space="0" w:color="auto"/>
        <w:left w:val="none" w:sz="0" w:space="0" w:color="auto"/>
        <w:bottom w:val="none" w:sz="0" w:space="0" w:color="auto"/>
        <w:right w:val="none" w:sz="0" w:space="0" w:color="auto"/>
      </w:divBdr>
    </w:div>
    <w:div w:id="302736033">
      <w:bodyDiv w:val="1"/>
      <w:marLeft w:val="0"/>
      <w:marRight w:val="0"/>
      <w:marTop w:val="0"/>
      <w:marBottom w:val="0"/>
      <w:divBdr>
        <w:top w:val="none" w:sz="0" w:space="0" w:color="auto"/>
        <w:left w:val="none" w:sz="0" w:space="0" w:color="auto"/>
        <w:bottom w:val="none" w:sz="0" w:space="0" w:color="auto"/>
        <w:right w:val="none" w:sz="0" w:space="0" w:color="auto"/>
      </w:divBdr>
    </w:div>
    <w:div w:id="308440746">
      <w:bodyDiv w:val="1"/>
      <w:marLeft w:val="0"/>
      <w:marRight w:val="0"/>
      <w:marTop w:val="0"/>
      <w:marBottom w:val="0"/>
      <w:divBdr>
        <w:top w:val="none" w:sz="0" w:space="0" w:color="auto"/>
        <w:left w:val="none" w:sz="0" w:space="0" w:color="auto"/>
        <w:bottom w:val="none" w:sz="0" w:space="0" w:color="auto"/>
        <w:right w:val="none" w:sz="0" w:space="0" w:color="auto"/>
      </w:divBdr>
    </w:div>
    <w:div w:id="312688064">
      <w:bodyDiv w:val="1"/>
      <w:marLeft w:val="0"/>
      <w:marRight w:val="0"/>
      <w:marTop w:val="0"/>
      <w:marBottom w:val="0"/>
      <w:divBdr>
        <w:top w:val="none" w:sz="0" w:space="0" w:color="auto"/>
        <w:left w:val="none" w:sz="0" w:space="0" w:color="auto"/>
        <w:bottom w:val="none" w:sz="0" w:space="0" w:color="auto"/>
        <w:right w:val="none" w:sz="0" w:space="0" w:color="auto"/>
      </w:divBdr>
    </w:div>
    <w:div w:id="335501025">
      <w:bodyDiv w:val="1"/>
      <w:marLeft w:val="0"/>
      <w:marRight w:val="0"/>
      <w:marTop w:val="0"/>
      <w:marBottom w:val="0"/>
      <w:divBdr>
        <w:top w:val="none" w:sz="0" w:space="0" w:color="auto"/>
        <w:left w:val="none" w:sz="0" w:space="0" w:color="auto"/>
        <w:bottom w:val="none" w:sz="0" w:space="0" w:color="auto"/>
        <w:right w:val="none" w:sz="0" w:space="0" w:color="auto"/>
      </w:divBdr>
    </w:div>
    <w:div w:id="340475158">
      <w:bodyDiv w:val="1"/>
      <w:marLeft w:val="0"/>
      <w:marRight w:val="0"/>
      <w:marTop w:val="0"/>
      <w:marBottom w:val="0"/>
      <w:divBdr>
        <w:top w:val="none" w:sz="0" w:space="0" w:color="auto"/>
        <w:left w:val="none" w:sz="0" w:space="0" w:color="auto"/>
        <w:bottom w:val="none" w:sz="0" w:space="0" w:color="auto"/>
        <w:right w:val="none" w:sz="0" w:space="0" w:color="auto"/>
      </w:divBdr>
    </w:div>
    <w:div w:id="345864661">
      <w:bodyDiv w:val="1"/>
      <w:marLeft w:val="0"/>
      <w:marRight w:val="0"/>
      <w:marTop w:val="0"/>
      <w:marBottom w:val="0"/>
      <w:divBdr>
        <w:top w:val="none" w:sz="0" w:space="0" w:color="auto"/>
        <w:left w:val="none" w:sz="0" w:space="0" w:color="auto"/>
        <w:bottom w:val="none" w:sz="0" w:space="0" w:color="auto"/>
        <w:right w:val="none" w:sz="0" w:space="0" w:color="auto"/>
      </w:divBdr>
    </w:div>
    <w:div w:id="354774820">
      <w:bodyDiv w:val="1"/>
      <w:marLeft w:val="0"/>
      <w:marRight w:val="0"/>
      <w:marTop w:val="0"/>
      <w:marBottom w:val="0"/>
      <w:divBdr>
        <w:top w:val="none" w:sz="0" w:space="0" w:color="auto"/>
        <w:left w:val="none" w:sz="0" w:space="0" w:color="auto"/>
        <w:bottom w:val="none" w:sz="0" w:space="0" w:color="auto"/>
        <w:right w:val="none" w:sz="0" w:space="0" w:color="auto"/>
      </w:divBdr>
    </w:div>
    <w:div w:id="358513048">
      <w:bodyDiv w:val="1"/>
      <w:marLeft w:val="0"/>
      <w:marRight w:val="0"/>
      <w:marTop w:val="0"/>
      <w:marBottom w:val="0"/>
      <w:divBdr>
        <w:top w:val="none" w:sz="0" w:space="0" w:color="auto"/>
        <w:left w:val="none" w:sz="0" w:space="0" w:color="auto"/>
        <w:bottom w:val="none" w:sz="0" w:space="0" w:color="auto"/>
        <w:right w:val="none" w:sz="0" w:space="0" w:color="auto"/>
      </w:divBdr>
    </w:div>
    <w:div w:id="36656506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1853386">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5081813">
      <w:bodyDiv w:val="1"/>
      <w:marLeft w:val="0"/>
      <w:marRight w:val="0"/>
      <w:marTop w:val="0"/>
      <w:marBottom w:val="0"/>
      <w:divBdr>
        <w:top w:val="none" w:sz="0" w:space="0" w:color="auto"/>
        <w:left w:val="none" w:sz="0" w:space="0" w:color="auto"/>
        <w:bottom w:val="none" w:sz="0" w:space="0" w:color="auto"/>
        <w:right w:val="none" w:sz="0" w:space="0" w:color="auto"/>
      </w:divBdr>
    </w:div>
    <w:div w:id="434718310">
      <w:bodyDiv w:val="1"/>
      <w:marLeft w:val="0"/>
      <w:marRight w:val="0"/>
      <w:marTop w:val="0"/>
      <w:marBottom w:val="0"/>
      <w:divBdr>
        <w:top w:val="none" w:sz="0" w:space="0" w:color="auto"/>
        <w:left w:val="none" w:sz="0" w:space="0" w:color="auto"/>
        <w:bottom w:val="none" w:sz="0" w:space="0" w:color="auto"/>
        <w:right w:val="none" w:sz="0" w:space="0" w:color="auto"/>
      </w:divBdr>
    </w:div>
    <w:div w:id="464783638">
      <w:bodyDiv w:val="1"/>
      <w:marLeft w:val="0"/>
      <w:marRight w:val="0"/>
      <w:marTop w:val="0"/>
      <w:marBottom w:val="0"/>
      <w:divBdr>
        <w:top w:val="none" w:sz="0" w:space="0" w:color="auto"/>
        <w:left w:val="none" w:sz="0" w:space="0" w:color="auto"/>
        <w:bottom w:val="none" w:sz="0" w:space="0" w:color="auto"/>
        <w:right w:val="none" w:sz="0" w:space="0" w:color="auto"/>
      </w:divBdr>
    </w:div>
    <w:div w:id="470027532">
      <w:bodyDiv w:val="1"/>
      <w:marLeft w:val="0"/>
      <w:marRight w:val="0"/>
      <w:marTop w:val="0"/>
      <w:marBottom w:val="0"/>
      <w:divBdr>
        <w:top w:val="none" w:sz="0" w:space="0" w:color="auto"/>
        <w:left w:val="none" w:sz="0" w:space="0" w:color="auto"/>
        <w:bottom w:val="none" w:sz="0" w:space="0" w:color="auto"/>
        <w:right w:val="none" w:sz="0" w:space="0" w:color="auto"/>
      </w:divBdr>
    </w:div>
    <w:div w:id="471406084">
      <w:bodyDiv w:val="1"/>
      <w:marLeft w:val="0"/>
      <w:marRight w:val="0"/>
      <w:marTop w:val="0"/>
      <w:marBottom w:val="0"/>
      <w:divBdr>
        <w:top w:val="none" w:sz="0" w:space="0" w:color="auto"/>
        <w:left w:val="none" w:sz="0" w:space="0" w:color="auto"/>
        <w:bottom w:val="none" w:sz="0" w:space="0" w:color="auto"/>
        <w:right w:val="none" w:sz="0" w:space="0" w:color="auto"/>
      </w:divBdr>
    </w:div>
    <w:div w:id="486556637">
      <w:bodyDiv w:val="1"/>
      <w:marLeft w:val="0"/>
      <w:marRight w:val="0"/>
      <w:marTop w:val="0"/>
      <w:marBottom w:val="0"/>
      <w:divBdr>
        <w:top w:val="none" w:sz="0" w:space="0" w:color="auto"/>
        <w:left w:val="none" w:sz="0" w:space="0" w:color="auto"/>
        <w:bottom w:val="none" w:sz="0" w:space="0" w:color="auto"/>
        <w:right w:val="none" w:sz="0" w:space="0" w:color="auto"/>
      </w:divBdr>
    </w:div>
    <w:div w:id="495993773">
      <w:bodyDiv w:val="1"/>
      <w:marLeft w:val="0"/>
      <w:marRight w:val="0"/>
      <w:marTop w:val="0"/>
      <w:marBottom w:val="0"/>
      <w:divBdr>
        <w:top w:val="none" w:sz="0" w:space="0" w:color="auto"/>
        <w:left w:val="none" w:sz="0" w:space="0" w:color="auto"/>
        <w:bottom w:val="none" w:sz="0" w:space="0" w:color="auto"/>
        <w:right w:val="none" w:sz="0" w:space="0" w:color="auto"/>
      </w:divBdr>
    </w:div>
    <w:div w:id="516819508">
      <w:bodyDiv w:val="1"/>
      <w:marLeft w:val="0"/>
      <w:marRight w:val="0"/>
      <w:marTop w:val="0"/>
      <w:marBottom w:val="0"/>
      <w:divBdr>
        <w:top w:val="none" w:sz="0" w:space="0" w:color="auto"/>
        <w:left w:val="none" w:sz="0" w:space="0" w:color="auto"/>
        <w:bottom w:val="none" w:sz="0" w:space="0" w:color="auto"/>
        <w:right w:val="none" w:sz="0" w:space="0" w:color="auto"/>
      </w:divBdr>
    </w:div>
    <w:div w:id="517083472">
      <w:bodyDiv w:val="1"/>
      <w:marLeft w:val="0"/>
      <w:marRight w:val="0"/>
      <w:marTop w:val="0"/>
      <w:marBottom w:val="0"/>
      <w:divBdr>
        <w:top w:val="none" w:sz="0" w:space="0" w:color="auto"/>
        <w:left w:val="none" w:sz="0" w:space="0" w:color="auto"/>
        <w:bottom w:val="none" w:sz="0" w:space="0" w:color="auto"/>
        <w:right w:val="none" w:sz="0" w:space="0" w:color="auto"/>
      </w:divBdr>
    </w:div>
    <w:div w:id="517308104">
      <w:bodyDiv w:val="1"/>
      <w:marLeft w:val="0"/>
      <w:marRight w:val="0"/>
      <w:marTop w:val="0"/>
      <w:marBottom w:val="0"/>
      <w:divBdr>
        <w:top w:val="none" w:sz="0" w:space="0" w:color="auto"/>
        <w:left w:val="none" w:sz="0" w:space="0" w:color="auto"/>
        <w:bottom w:val="none" w:sz="0" w:space="0" w:color="auto"/>
        <w:right w:val="none" w:sz="0" w:space="0" w:color="auto"/>
      </w:divBdr>
    </w:div>
    <w:div w:id="523402883">
      <w:bodyDiv w:val="1"/>
      <w:marLeft w:val="0"/>
      <w:marRight w:val="0"/>
      <w:marTop w:val="0"/>
      <w:marBottom w:val="0"/>
      <w:divBdr>
        <w:top w:val="none" w:sz="0" w:space="0" w:color="auto"/>
        <w:left w:val="none" w:sz="0" w:space="0" w:color="auto"/>
        <w:bottom w:val="none" w:sz="0" w:space="0" w:color="auto"/>
        <w:right w:val="none" w:sz="0" w:space="0" w:color="auto"/>
      </w:divBdr>
    </w:div>
    <w:div w:id="532425521">
      <w:bodyDiv w:val="1"/>
      <w:marLeft w:val="0"/>
      <w:marRight w:val="0"/>
      <w:marTop w:val="0"/>
      <w:marBottom w:val="0"/>
      <w:divBdr>
        <w:top w:val="none" w:sz="0" w:space="0" w:color="auto"/>
        <w:left w:val="none" w:sz="0" w:space="0" w:color="auto"/>
        <w:bottom w:val="none" w:sz="0" w:space="0" w:color="auto"/>
        <w:right w:val="none" w:sz="0" w:space="0" w:color="auto"/>
      </w:divBdr>
    </w:div>
    <w:div w:id="540090854">
      <w:bodyDiv w:val="1"/>
      <w:marLeft w:val="0"/>
      <w:marRight w:val="0"/>
      <w:marTop w:val="0"/>
      <w:marBottom w:val="0"/>
      <w:divBdr>
        <w:top w:val="none" w:sz="0" w:space="0" w:color="auto"/>
        <w:left w:val="none" w:sz="0" w:space="0" w:color="auto"/>
        <w:bottom w:val="none" w:sz="0" w:space="0" w:color="auto"/>
        <w:right w:val="none" w:sz="0" w:space="0" w:color="auto"/>
      </w:divBdr>
    </w:div>
    <w:div w:id="546798080">
      <w:bodyDiv w:val="1"/>
      <w:marLeft w:val="0"/>
      <w:marRight w:val="0"/>
      <w:marTop w:val="0"/>
      <w:marBottom w:val="0"/>
      <w:divBdr>
        <w:top w:val="none" w:sz="0" w:space="0" w:color="auto"/>
        <w:left w:val="none" w:sz="0" w:space="0" w:color="auto"/>
        <w:bottom w:val="none" w:sz="0" w:space="0" w:color="auto"/>
        <w:right w:val="none" w:sz="0" w:space="0" w:color="auto"/>
      </w:divBdr>
    </w:div>
    <w:div w:id="561133871">
      <w:bodyDiv w:val="1"/>
      <w:marLeft w:val="0"/>
      <w:marRight w:val="0"/>
      <w:marTop w:val="0"/>
      <w:marBottom w:val="0"/>
      <w:divBdr>
        <w:top w:val="none" w:sz="0" w:space="0" w:color="auto"/>
        <w:left w:val="none" w:sz="0" w:space="0" w:color="auto"/>
        <w:bottom w:val="none" w:sz="0" w:space="0" w:color="auto"/>
        <w:right w:val="none" w:sz="0" w:space="0" w:color="auto"/>
      </w:divBdr>
    </w:div>
    <w:div w:id="567545008">
      <w:bodyDiv w:val="1"/>
      <w:marLeft w:val="0"/>
      <w:marRight w:val="0"/>
      <w:marTop w:val="0"/>
      <w:marBottom w:val="0"/>
      <w:divBdr>
        <w:top w:val="none" w:sz="0" w:space="0" w:color="auto"/>
        <w:left w:val="none" w:sz="0" w:space="0" w:color="auto"/>
        <w:bottom w:val="none" w:sz="0" w:space="0" w:color="auto"/>
        <w:right w:val="none" w:sz="0" w:space="0" w:color="auto"/>
      </w:divBdr>
    </w:div>
    <w:div w:id="574583379">
      <w:bodyDiv w:val="1"/>
      <w:marLeft w:val="0"/>
      <w:marRight w:val="0"/>
      <w:marTop w:val="0"/>
      <w:marBottom w:val="0"/>
      <w:divBdr>
        <w:top w:val="none" w:sz="0" w:space="0" w:color="auto"/>
        <w:left w:val="none" w:sz="0" w:space="0" w:color="auto"/>
        <w:bottom w:val="none" w:sz="0" w:space="0" w:color="auto"/>
        <w:right w:val="none" w:sz="0" w:space="0" w:color="auto"/>
      </w:divBdr>
    </w:div>
    <w:div w:id="577982671">
      <w:bodyDiv w:val="1"/>
      <w:marLeft w:val="0"/>
      <w:marRight w:val="0"/>
      <w:marTop w:val="0"/>
      <w:marBottom w:val="0"/>
      <w:divBdr>
        <w:top w:val="none" w:sz="0" w:space="0" w:color="auto"/>
        <w:left w:val="none" w:sz="0" w:space="0" w:color="auto"/>
        <w:bottom w:val="none" w:sz="0" w:space="0" w:color="auto"/>
        <w:right w:val="none" w:sz="0" w:space="0" w:color="auto"/>
      </w:divBdr>
    </w:div>
    <w:div w:id="587543800">
      <w:bodyDiv w:val="1"/>
      <w:marLeft w:val="0"/>
      <w:marRight w:val="0"/>
      <w:marTop w:val="0"/>
      <w:marBottom w:val="0"/>
      <w:divBdr>
        <w:top w:val="none" w:sz="0" w:space="0" w:color="auto"/>
        <w:left w:val="none" w:sz="0" w:space="0" w:color="auto"/>
        <w:bottom w:val="none" w:sz="0" w:space="0" w:color="auto"/>
        <w:right w:val="none" w:sz="0" w:space="0" w:color="auto"/>
      </w:divBdr>
    </w:div>
    <w:div w:id="593976715">
      <w:bodyDiv w:val="1"/>
      <w:marLeft w:val="0"/>
      <w:marRight w:val="0"/>
      <w:marTop w:val="0"/>
      <w:marBottom w:val="0"/>
      <w:divBdr>
        <w:top w:val="none" w:sz="0" w:space="0" w:color="auto"/>
        <w:left w:val="none" w:sz="0" w:space="0" w:color="auto"/>
        <w:bottom w:val="none" w:sz="0" w:space="0" w:color="auto"/>
        <w:right w:val="none" w:sz="0" w:space="0" w:color="auto"/>
      </w:divBdr>
    </w:div>
    <w:div w:id="596518958">
      <w:bodyDiv w:val="1"/>
      <w:marLeft w:val="0"/>
      <w:marRight w:val="0"/>
      <w:marTop w:val="0"/>
      <w:marBottom w:val="0"/>
      <w:divBdr>
        <w:top w:val="none" w:sz="0" w:space="0" w:color="auto"/>
        <w:left w:val="none" w:sz="0" w:space="0" w:color="auto"/>
        <w:bottom w:val="none" w:sz="0" w:space="0" w:color="auto"/>
        <w:right w:val="none" w:sz="0" w:space="0" w:color="auto"/>
      </w:divBdr>
    </w:div>
    <w:div w:id="606497737">
      <w:bodyDiv w:val="1"/>
      <w:marLeft w:val="0"/>
      <w:marRight w:val="0"/>
      <w:marTop w:val="0"/>
      <w:marBottom w:val="0"/>
      <w:divBdr>
        <w:top w:val="none" w:sz="0" w:space="0" w:color="auto"/>
        <w:left w:val="none" w:sz="0" w:space="0" w:color="auto"/>
        <w:bottom w:val="none" w:sz="0" w:space="0" w:color="auto"/>
        <w:right w:val="none" w:sz="0" w:space="0" w:color="auto"/>
      </w:divBdr>
    </w:div>
    <w:div w:id="637496646">
      <w:bodyDiv w:val="1"/>
      <w:marLeft w:val="0"/>
      <w:marRight w:val="0"/>
      <w:marTop w:val="0"/>
      <w:marBottom w:val="0"/>
      <w:divBdr>
        <w:top w:val="none" w:sz="0" w:space="0" w:color="auto"/>
        <w:left w:val="none" w:sz="0" w:space="0" w:color="auto"/>
        <w:bottom w:val="none" w:sz="0" w:space="0" w:color="auto"/>
        <w:right w:val="none" w:sz="0" w:space="0" w:color="auto"/>
      </w:divBdr>
    </w:div>
    <w:div w:id="637952788">
      <w:bodyDiv w:val="1"/>
      <w:marLeft w:val="0"/>
      <w:marRight w:val="0"/>
      <w:marTop w:val="0"/>
      <w:marBottom w:val="0"/>
      <w:divBdr>
        <w:top w:val="none" w:sz="0" w:space="0" w:color="auto"/>
        <w:left w:val="none" w:sz="0" w:space="0" w:color="auto"/>
        <w:bottom w:val="none" w:sz="0" w:space="0" w:color="auto"/>
        <w:right w:val="none" w:sz="0" w:space="0" w:color="auto"/>
      </w:divBdr>
    </w:div>
    <w:div w:id="646780438">
      <w:bodyDiv w:val="1"/>
      <w:marLeft w:val="0"/>
      <w:marRight w:val="0"/>
      <w:marTop w:val="0"/>
      <w:marBottom w:val="0"/>
      <w:divBdr>
        <w:top w:val="none" w:sz="0" w:space="0" w:color="auto"/>
        <w:left w:val="none" w:sz="0" w:space="0" w:color="auto"/>
        <w:bottom w:val="none" w:sz="0" w:space="0" w:color="auto"/>
        <w:right w:val="none" w:sz="0" w:space="0" w:color="auto"/>
      </w:divBdr>
    </w:div>
    <w:div w:id="653337457">
      <w:bodyDiv w:val="1"/>
      <w:marLeft w:val="0"/>
      <w:marRight w:val="0"/>
      <w:marTop w:val="0"/>
      <w:marBottom w:val="0"/>
      <w:divBdr>
        <w:top w:val="none" w:sz="0" w:space="0" w:color="auto"/>
        <w:left w:val="none" w:sz="0" w:space="0" w:color="auto"/>
        <w:bottom w:val="none" w:sz="0" w:space="0" w:color="auto"/>
        <w:right w:val="none" w:sz="0" w:space="0" w:color="auto"/>
      </w:divBdr>
    </w:div>
    <w:div w:id="667052809">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2850767">
      <w:bodyDiv w:val="1"/>
      <w:marLeft w:val="0"/>
      <w:marRight w:val="0"/>
      <w:marTop w:val="0"/>
      <w:marBottom w:val="0"/>
      <w:divBdr>
        <w:top w:val="none" w:sz="0" w:space="0" w:color="auto"/>
        <w:left w:val="none" w:sz="0" w:space="0" w:color="auto"/>
        <w:bottom w:val="none" w:sz="0" w:space="0" w:color="auto"/>
        <w:right w:val="none" w:sz="0" w:space="0" w:color="auto"/>
      </w:divBdr>
    </w:div>
    <w:div w:id="698899307">
      <w:bodyDiv w:val="1"/>
      <w:marLeft w:val="0"/>
      <w:marRight w:val="0"/>
      <w:marTop w:val="0"/>
      <w:marBottom w:val="0"/>
      <w:divBdr>
        <w:top w:val="none" w:sz="0" w:space="0" w:color="auto"/>
        <w:left w:val="none" w:sz="0" w:space="0" w:color="auto"/>
        <w:bottom w:val="none" w:sz="0" w:space="0" w:color="auto"/>
        <w:right w:val="none" w:sz="0" w:space="0" w:color="auto"/>
      </w:divBdr>
    </w:div>
    <w:div w:id="706108065">
      <w:bodyDiv w:val="1"/>
      <w:marLeft w:val="0"/>
      <w:marRight w:val="0"/>
      <w:marTop w:val="0"/>
      <w:marBottom w:val="0"/>
      <w:divBdr>
        <w:top w:val="none" w:sz="0" w:space="0" w:color="auto"/>
        <w:left w:val="none" w:sz="0" w:space="0" w:color="auto"/>
        <w:bottom w:val="none" w:sz="0" w:space="0" w:color="auto"/>
        <w:right w:val="none" w:sz="0" w:space="0" w:color="auto"/>
      </w:divBdr>
    </w:div>
    <w:div w:id="709188642">
      <w:bodyDiv w:val="1"/>
      <w:marLeft w:val="0"/>
      <w:marRight w:val="0"/>
      <w:marTop w:val="0"/>
      <w:marBottom w:val="0"/>
      <w:divBdr>
        <w:top w:val="none" w:sz="0" w:space="0" w:color="auto"/>
        <w:left w:val="none" w:sz="0" w:space="0" w:color="auto"/>
        <w:bottom w:val="none" w:sz="0" w:space="0" w:color="auto"/>
        <w:right w:val="none" w:sz="0" w:space="0" w:color="auto"/>
      </w:divBdr>
    </w:div>
    <w:div w:id="710112899">
      <w:bodyDiv w:val="1"/>
      <w:marLeft w:val="0"/>
      <w:marRight w:val="0"/>
      <w:marTop w:val="0"/>
      <w:marBottom w:val="0"/>
      <w:divBdr>
        <w:top w:val="none" w:sz="0" w:space="0" w:color="auto"/>
        <w:left w:val="none" w:sz="0" w:space="0" w:color="auto"/>
        <w:bottom w:val="none" w:sz="0" w:space="0" w:color="auto"/>
        <w:right w:val="none" w:sz="0" w:space="0" w:color="auto"/>
      </w:divBdr>
    </w:div>
    <w:div w:id="716706749">
      <w:bodyDiv w:val="1"/>
      <w:marLeft w:val="0"/>
      <w:marRight w:val="0"/>
      <w:marTop w:val="0"/>
      <w:marBottom w:val="0"/>
      <w:divBdr>
        <w:top w:val="none" w:sz="0" w:space="0" w:color="auto"/>
        <w:left w:val="none" w:sz="0" w:space="0" w:color="auto"/>
        <w:bottom w:val="none" w:sz="0" w:space="0" w:color="auto"/>
        <w:right w:val="none" w:sz="0" w:space="0" w:color="auto"/>
      </w:divBdr>
    </w:div>
    <w:div w:id="734595430">
      <w:bodyDiv w:val="1"/>
      <w:marLeft w:val="0"/>
      <w:marRight w:val="0"/>
      <w:marTop w:val="0"/>
      <w:marBottom w:val="0"/>
      <w:divBdr>
        <w:top w:val="none" w:sz="0" w:space="0" w:color="auto"/>
        <w:left w:val="none" w:sz="0" w:space="0" w:color="auto"/>
        <w:bottom w:val="none" w:sz="0" w:space="0" w:color="auto"/>
        <w:right w:val="none" w:sz="0" w:space="0" w:color="auto"/>
      </w:divBdr>
    </w:div>
    <w:div w:id="748771438">
      <w:bodyDiv w:val="1"/>
      <w:marLeft w:val="0"/>
      <w:marRight w:val="0"/>
      <w:marTop w:val="0"/>
      <w:marBottom w:val="0"/>
      <w:divBdr>
        <w:top w:val="none" w:sz="0" w:space="0" w:color="auto"/>
        <w:left w:val="none" w:sz="0" w:space="0" w:color="auto"/>
        <w:bottom w:val="none" w:sz="0" w:space="0" w:color="auto"/>
        <w:right w:val="none" w:sz="0" w:space="0" w:color="auto"/>
      </w:divBdr>
    </w:div>
    <w:div w:id="754399013">
      <w:bodyDiv w:val="1"/>
      <w:marLeft w:val="0"/>
      <w:marRight w:val="0"/>
      <w:marTop w:val="0"/>
      <w:marBottom w:val="0"/>
      <w:divBdr>
        <w:top w:val="none" w:sz="0" w:space="0" w:color="auto"/>
        <w:left w:val="none" w:sz="0" w:space="0" w:color="auto"/>
        <w:bottom w:val="none" w:sz="0" w:space="0" w:color="auto"/>
        <w:right w:val="none" w:sz="0" w:space="0" w:color="auto"/>
      </w:divBdr>
    </w:div>
    <w:div w:id="769619564">
      <w:bodyDiv w:val="1"/>
      <w:marLeft w:val="0"/>
      <w:marRight w:val="0"/>
      <w:marTop w:val="0"/>
      <w:marBottom w:val="0"/>
      <w:divBdr>
        <w:top w:val="none" w:sz="0" w:space="0" w:color="auto"/>
        <w:left w:val="none" w:sz="0" w:space="0" w:color="auto"/>
        <w:bottom w:val="none" w:sz="0" w:space="0" w:color="auto"/>
        <w:right w:val="none" w:sz="0" w:space="0" w:color="auto"/>
      </w:divBdr>
    </w:div>
    <w:div w:id="778793637">
      <w:bodyDiv w:val="1"/>
      <w:marLeft w:val="0"/>
      <w:marRight w:val="0"/>
      <w:marTop w:val="0"/>
      <w:marBottom w:val="0"/>
      <w:divBdr>
        <w:top w:val="none" w:sz="0" w:space="0" w:color="auto"/>
        <w:left w:val="none" w:sz="0" w:space="0" w:color="auto"/>
        <w:bottom w:val="none" w:sz="0" w:space="0" w:color="auto"/>
        <w:right w:val="none" w:sz="0" w:space="0" w:color="auto"/>
      </w:divBdr>
    </w:div>
    <w:div w:id="783883592">
      <w:bodyDiv w:val="1"/>
      <w:marLeft w:val="0"/>
      <w:marRight w:val="0"/>
      <w:marTop w:val="0"/>
      <w:marBottom w:val="0"/>
      <w:divBdr>
        <w:top w:val="none" w:sz="0" w:space="0" w:color="auto"/>
        <w:left w:val="none" w:sz="0" w:space="0" w:color="auto"/>
        <w:bottom w:val="none" w:sz="0" w:space="0" w:color="auto"/>
        <w:right w:val="none" w:sz="0" w:space="0" w:color="auto"/>
      </w:divBdr>
    </w:div>
    <w:div w:id="807011605">
      <w:bodyDiv w:val="1"/>
      <w:marLeft w:val="0"/>
      <w:marRight w:val="0"/>
      <w:marTop w:val="0"/>
      <w:marBottom w:val="0"/>
      <w:divBdr>
        <w:top w:val="none" w:sz="0" w:space="0" w:color="auto"/>
        <w:left w:val="none" w:sz="0" w:space="0" w:color="auto"/>
        <w:bottom w:val="none" w:sz="0" w:space="0" w:color="auto"/>
        <w:right w:val="none" w:sz="0" w:space="0" w:color="auto"/>
      </w:divBdr>
    </w:div>
    <w:div w:id="818154029">
      <w:bodyDiv w:val="1"/>
      <w:marLeft w:val="0"/>
      <w:marRight w:val="0"/>
      <w:marTop w:val="0"/>
      <w:marBottom w:val="0"/>
      <w:divBdr>
        <w:top w:val="none" w:sz="0" w:space="0" w:color="auto"/>
        <w:left w:val="none" w:sz="0" w:space="0" w:color="auto"/>
        <w:bottom w:val="none" w:sz="0" w:space="0" w:color="auto"/>
        <w:right w:val="none" w:sz="0" w:space="0" w:color="auto"/>
      </w:divBdr>
    </w:div>
    <w:div w:id="820850903">
      <w:bodyDiv w:val="1"/>
      <w:marLeft w:val="0"/>
      <w:marRight w:val="0"/>
      <w:marTop w:val="0"/>
      <w:marBottom w:val="0"/>
      <w:divBdr>
        <w:top w:val="none" w:sz="0" w:space="0" w:color="auto"/>
        <w:left w:val="none" w:sz="0" w:space="0" w:color="auto"/>
        <w:bottom w:val="none" w:sz="0" w:space="0" w:color="auto"/>
        <w:right w:val="none" w:sz="0" w:space="0" w:color="auto"/>
      </w:divBdr>
    </w:div>
    <w:div w:id="823550852">
      <w:bodyDiv w:val="1"/>
      <w:marLeft w:val="0"/>
      <w:marRight w:val="0"/>
      <w:marTop w:val="0"/>
      <w:marBottom w:val="0"/>
      <w:divBdr>
        <w:top w:val="none" w:sz="0" w:space="0" w:color="auto"/>
        <w:left w:val="none" w:sz="0" w:space="0" w:color="auto"/>
        <w:bottom w:val="none" w:sz="0" w:space="0" w:color="auto"/>
        <w:right w:val="none" w:sz="0" w:space="0" w:color="auto"/>
      </w:divBdr>
    </w:div>
    <w:div w:id="849635408">
      <w:bodyDiv w:val="1"/>
      <w:marLeft w:val="0"/>
      <w:marRight w:val="0"/>
      <w:marTop w:val="0"/>
      <w:marBottom w:val="0"/>
      <w:divBdr>
        <w:top w:val="none" w:sz="0" w:space="0" w:color="auto"/>
        <w:left w:val="none" w:sz="0" w:space="0" w:color="auto"/>
        <w:bottom w:val="none" w:sz="0" w:space="0" w:color="auto"/>
        <w:right w:val="none" w:sz="0" w:space="0" w:color="auto"/>
      </w:divBdr>
    </w:div>
    <w:div w:id="849955068">
      <w:bodyDiv w:val="1"/>
      <w:marLeft w:val="0"/>
      <w:marRight w:val="0"/>
      <w:marTop w:val="0"/>
      <w:marBottom w:val="0"/>
      <w:divBdr>
        <w:top w:val="none" w:sz="0" w:space="0" w:color="auto"/>
        <w:left w:val="none" w:sz="0" w:space="0" w:color="auto"/>
        <w:bottom w:val="none" w:sz="0" w:space="0" w:color="auto"/>
        <w:right w:val="none" w:sz="0" w:space="0" w:color="auto"/>
      </w:divBdr>
    </w:div>
    <w:div w:id="856886249">
      <w:bodyDiv w:val="1"/>
      <w:marLeft w:val="0"/>
      <w:marRight w:val="0"/>
      <w:marTop w:val="0"/>
      <w:marBottom w:val="0"/>
      <w:divBdr>
        <w:top w:val="none" w:sz="0" w:space="0" w:color="auto"/>
        <w:left w:val="none" w:sz="0" w:space="0" w:color="auto"/>
        <w:bottom w:val="none" w:sz="0" w:space="0" w:color="auto"/>
        <w:right w:val="none" w:sz="0" w:space="0" w:color="auto"/>
      </w:divBdr>
    </w:div>
    <w:div w:id="857230908">
      <w:bodyDiv w:val="1"/>
      <w:marLeft w:val="0"/>
      <w:marRight w:val="0"/>
      <w:marTop w:val="0"/>
      <w:marBottom w:val="0"/>
      <w:divBdr>
        <w:top w:val="none" w:sz="0" w:space="0" w:color="auto"/>
        <w:left w:val="none" w:sz="0" w:space="0" w:color="auto"/>
        <w:bottom w:val="none" w:sz="0" w:space="0" w:color="auto"/>
        <w:right w:val="none" w:sz="0" w:space="0" w:color="auto"/>
      </w:divBdr>
    </w:div>
    <w:div w:id="860047545">
      <w:bodyDiv w:val="1"/>
      <w:marLeft w:val="0"/>
      <w:marRight w:val="0"/>
      <w:marTop w:val="0"/>
      <w:marBottom w:val="0"/>
      <w:divBdr>
        <w:top w:val="none" w:sz="0" w:space="0" w:color="auto"/>
        <w:left w:val="none" w:sz="0" w:space="0" w:color="auto"/>
        <w:bottom w:val="none" w:sz="0" w:space="0" w:color="auto"/>
        <w:right w:val="none" w:sz="0" w:space="0" w:color="auto"/>
      </w:divBdr>
    </w:div>
    <w:div w:id="863053118">
      <w:bodyDiv w:val="1"/>
      <w:marLeft w:val="0"/>
      <w:marRight w:val="0"/>
      <w:marTop w:val="0"/>
      <w:marBottom w:val="0"/>
      <w:divBdr>
        <w:top w:val="none" w:sz="0" w:space="0" w:color="auto"/>
        <w:left w:val="none" w:sz="0" w:space="0" w:color="auto"/>
        <w:bottom w:val="none" w:sz="0" w:space="0" w:color="auto"/>
        <w:right w:val="none" w:sz="0" w:space="0" w:color="auto"/>
      </w:divBdr>
    </w:div>
    <w:div w:id="869757078">
      <w:bodyDiv w:val="1"/>
      <w:marLeft w:val="0"/>
      <w:marRight w:val="0"/>
      <w:marTop w:val="0"/>
      <w:marBottom w:val="0"/>
      <w:divBdr>
        <w:top w:val="none" w:sz="0" w:space="0" w:color="auto"/>
        <w:left w:val="none" w:sz="0" w:space="0" w:color="auto"/>
        <w:bottom w:val="none" w:sz="0" w:space="0" w:color="auto"/>
        <w:right w:val="none" w:sz="0" w:space="0" w:color="auto"/>
      </w:divBdr>
    </w:div>
    <w:div w:id="870992068">
      <w:bodyDiv w:val="1"/>
      <w:marLeft w:val="0"/>
      <w:marRight w:val="0"/>
      <w:marTop w:val="0"/>
      <w:marBottom w:val="0"/>
      <w:divBdr>
        <w:top w:val="none" w:sz="0" w:space="0" w:color="auto"/>
        <w:left w:val="none" w:sz="0" w:space="0" w:color="auto"/>
        <w:bottom w:val="none" w:sz="0" w:space="0" w:color="auto"/>
        <w:right w:val="none" w:sz="0" w:space="0" w:color="auto"/>
      </w:divBdr>
    </w:div>
    <w:div w:id="872110789">
      <w:bodyDiv w:val="1"/>
      <w:marLeft w:val="0"/>
      <w:marRight w:val="0"/>
      <w:marTop w:val="0"/>
      <w:marBottom w:val="0"/>
      <w:divBdr>
        <w:top w:val="none" w:sz="0" w:space="0" w:color="auto"/>
        <w:left w:val="none" w:sz="0" w:space="0" w:color="auto"/>
        <w:bottom w:val="none" w:sz="0" w:space="0" w:color="auto"/>
        <w:right w:val="none" w:sz="0" w:space="0" w:color="auto"/>
      </w:divBdr>
    </w:div>
    <w:div w:id="875198034">
      <w:bodyDiv w:val="1"/>
      <w:marLeft w:val="0"/>
      <w:marRight w:val="0"/>
      <w:marTop w:val="0"/>
      <w:marBottom w:val="0"/>
      <w:divBdr>
        <w:top w:val="none" w:sz="0" w:space="0" w:color="auto"/>
        <w:left w:val="none" w:sz="0" w:space="0" w:color="auto"/>
        <w:bottom w:val="none" w:sz="0" w:space="0" w:color="auto"/>
        <w:right w:val="none" w:sz="0" w:space="0" w:color="auto"/>
      </w:divBdr>
    </w:div>
    <w:div w:id="880442366">
      <w:bodyDiv w:val="1"/>
      <w:marLeft w:val="0"/>
      <w:marRight w:val="0"/>
      <w:marTop w:val="0"/>
      <w:marBottom w:val="0"/>
      <w:divBdr>
        <w:top w:val="none" w:sz="0" w:space="0" w:color="auto"/>
        <w:left w:val="none" w:sz="0" w:space="0" w:color="auto"/>
        <w:bottom w:val="none" w:sz="0" w:space="0" w:color="auto"/>
        <w:right w:val="none" w:sz="0" w:space="0" w:color="auto"/>
      </w:divBdr>
    </w:div>
    <w:div w:id="907881679">
      <w:bodyDiv w:val="1"/>
      <w:marLeft w:val="0"/>
      <w:marRight w:val="0"/>
      <w:marTop w:val="0"/>
      <w:marBottom w:val="0"/>
      <w:divBdr>
        <w:top w:val="none" w:sz="0" w:space="0" w:color="auto"/>
        <w:left w:val="none" w:sz="0" w:space="0" w:color="auto"/>
        <w:bottom w:val="none" w:sz="0" w:space="0" w:color="auto"/>
        <w:right w:val="none" w:sz="0" w:space="0" w:color="auto"/>
      </w:divBdr>
    </w:div>
    <w:div w:id="917638656">
      <w:bodyDiv w:val="1"/>
      <w:marLeft w:val="0"/>
      <w:marRight w:val="0"/>
      <w:marTop w:val="0"/>
      <w:marBottom w:val="0"/>
      <w:divBdr>
        <w:top w:val="none" w:sz="0" w:space="0" w:color="auto"/>
        <w:left w:val="none" w:sz="0" w:space="0" w:color="auto"/>
        <w:bottom w:val="none" w:sz="0" w:space="0" w:color="auto"/>
        <w:right w:val="none" w:sz="0" w:space="0" w:color="auto"/>
      </w:divBdr>
    </w:div>
    <w:div w:id="955722048">
      <w:bodyDiv w:val="1"/>
      <w:marLeft w:val="0"/>
      <w:marRight w:val="0"/>
      <w:marTop w:val="0"/>
      <w:marBottom w:val="0"/>
      <w:divBdr>
        <w:top w:val="none" w:sz="0" w:space="0" w:color="auto"/>
        <w:left w:val="none" w:sz="0" w:space="0" w:color="auto"/>
        <w:bottom w:val="none" w:sz="0" w:space="0" w:color="auto"/>
        <w:right w:val="none" w:sz="0" w:space="0" w:color="auto"/>
      </w:divBdr>
    </w:div>
    <w:div w:id="963390003">
      <w:bodyDiv w:val="1"/>
      <w:marLeft w:val="0"/>
      <w:marRight w:val="0"/>
      <w:marTop w:val="0"/>
      <w:marBottom w:val="0"/>
      <w:divBdr>
        <w:top w:val="none" w:sz="0" w:space="0" w:color="auto"/>
        <w:left w:val="none" w:sz="0" w:space="0" w:color="auto"/>
        <w:bottom w:val="none" w:sz="0" w:space="0" w:color="auto"/>
        <w:right w:val="none" w:sz="0" w:space="0" w:color="auto"/>
      </w:divBdr>
    </w:div>
    <w:div w:id="969672775">
      <w:bodyDiv w:val="1"/>
      <w:marLeft w:val="0"/>
      <w:marRight w:val="0"/>
      <w:marTop w:val="0"/>
      <w:marBottom w:val="0"/>
      <w:divBdr>
        <w:top w:val="none" w:sz="0" w:space="0" w:color="auto"/>
        <w:left w:val="none" w:sz="0" w:space="0" w:color="auto"/>
        <w:bottom w:val="none" w:sz="0" w:space="0" w:color="auto"/>
        <w:right w:val="none" w:sz="0" w:space="0" w:color="auto"/>
      </w:divBdr>
    </w:div>
    <w:div w:id="970791182">
      <w:bodyDiv w:val="1"/>
      <w:marLeft w:val="0"/>
      <w:marRight w:val="0"/>
      <w:marTop w:val="0"/>
      <w:marBottom w:val="0"/>
      <w:divBdr>
        <w:top w:val="none" w:sz="0" w:space="0" w:color="auto"/>
        <w:left w:val="none" w:sz="0" w:space="0" w:color="auto"/>
        <w:bottom w:val="none" w:sz="0" w:space="0" w:color="auto"/>
        <w:right w:val="none" w:sz="0" w:space="0" w:color="auto"/>
      </w:divBdr>
    </w:div>
    <w:div w:id="986858893">
      <w:bodyDiv w:val="1"/>
      <w:marLeft w:val="0"/>
      <w:marRight w:val="0"/>
      <w:marTop w:val="0"/>
      <w:marBottom w:val="0"/>
      <w:divBdr>
        <w:top w:val="none" w:sz="0" w:space="0" w:color="auto"/>
        <w:left w:val="none" w:sz="0" w:space="0" w:color="auto"/>
        <w:bottom w:val="none" w:sz="0" w:space="0" w:color="auto"/>
        <w:right w:val="none" w:sz="0" w:space="0" w:color="auto"/>
      </w:divBdr>
    </w:div>
    <w:div w:id="1004816597">
      <w:bodyDiv w:val="1"/>
      <w:marLeft w:val="0"/>
      <w:marRight w:val="0"/>
      <w:marTop w:val="0"/>
      <w:marBottom w:val="0"/>
      <w:divBdr>
        <w:top w:val="none" w:sz="0" w:space="0" w:color="auto"/>
        <w:left w:val="none" w:sz="0" w:space="0" w:color="auto"/>
        <w:bottom w:val="none" w:sz="0" w:space="0" w:color="auto"/>
        <w:right w:val="none" w:sz="0" w:space="0" w:color="auto"/>
      </w:divBdr>
    </w:div>
    <w:div w:id="1019892574">
      <w:bodyDiv w:val="1"/>
      <w:marLeft w:val="0"/>
      <w:marRight w:val="0"/>
      <w:marTop w:val="0"/>
      <w:marBottom w:val="0"/>
      <w:divBdr>
        <w:top w:val="none" w:sz="0" w:space="0" w:color="auto"/>
        <w:left w:val="none" w:sz="0" w:space="0" w:color="auto"/>
        <w:bottom w:val="none" w:sz="0" w:space="0" w:color="auto"/>
        <w:right w:val="none" w:sz="0" w:space="0" w:color="auto"/>
      </w:divBdr>
      <w:divsChild>
        <w:div w:id="690691776">
          <w:marLeft w:val="0"/>
          <w:marRight w:val="0"/>
          <w:marTop w:val="0"/>
          <w:marBottom w:val="0"/>
          <w:divBdr>
            <w:top w:val="none" w:sz="0" w:space="0" w:color="auto"/>
            <w:left w:val="none" w:sz="0" w:space="0" w:color="auto"/>
            <w:bottom w:val="none" w:sz="0" w:space="0" w:color="auto"/>
            <w:right w:val="none" w:sz="0" w:space="0" w:color="auto"/>
          </w:divBdr>
          <w:divsChild>
            <w:div w:id="1251237345">
              <w:marLeft w:val="225"/>
              <w:marRight w:val="225"/>
              <w:marTop w:val="0"/>
              <w:marBottom w:val="0"/>
              <w:divBdr>
                <w:top w:val="none" w:sz="0" w:space="0" w:color="auto"/>
                <w:left w:val="none" w:sz="0" w:space="0" w:color="auto"/>
                <w:bottom w:val="none" w:sz="0" w:space="0" w:color="auto"/>
                <w:right w:val="none" w:sz="0" w:space="0" w:color="auto"/>
              </w:divBdr>
              <w:divsChild>
                <w:div w:id="1731876565">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796562">
      <w:bodyDiv w:val="1"/>
      <w:marLeft w:val="0"/>
      <w:marRight w:val="0"/>
      <w:marTop w:val="0"/>
      <w:marBottom w:val="0"/>
      <w:divBdr>
        <w:top w:val="none" w:sz="0" w:space="0" w:color="auto"/>
        <w:left w:val="none" w:sz="0" w:space="0" w:color="auto"/>
        <w:bottom w:val="none" w:sz="0" w:space="0" w:color="auto"/>
        <w:right w:val="none" w:sz="0" w:space="0" w:color="auto"/>
      </w:divBdr>
    </w:div>
    <w:div w:id="1035034985">
      <w:bodyDiv w:val="1"/>
      <w:marLeft w:val="0"/>
      <w:marRight w:val="0"/>
      <w:marTop w:val="0"/>
      <w:marBottom w:val="0"/>
      <w:divBdr>
        <w:top w:val="none" w:sz="0" w:space="0" w:color="auto"/>
        <w:left w:val="none" w:sz="0" w:space="0" w:color="auto"/>
        <w:bottom w:val="none" w:sz="0" w:space="0" w:color="auto"/>
        <w:right w:val="none" w:sz="0" w:space="0" w:color="auto"/>
      </w:divBdr>
    </w:div>
    <w:div w:id="1035420971">
      <w:bodyDiv w:val="1"/>
      <w:marLeft w:val="0"/>
      <w:marRight w:val="0"/>
      <w:marTop w:val="0"/>
      <w:marBottom w:val="0"/>
      <w:divBdr>
        <w:top w:val="none" w:sz="0" w:space="0" w:color="auto"/>
        <w:left w:val="none" w:sz="0" w:space="0" w:color="auto"/>
        <w:bottom w:val="none" w:sz="0" w:space="0" w:color="auto"/>
        <w:right w:val="none" w:sz="0" w:space="0" w:color="auto"/>
      </w:divBdr>
    </w:div>
    <w:div w:id="1036079014">
      <w:bodyDiv w:val="1"/>
      <w:marLeft w:val="0"/>
      <w:marRight w:val="0"/>
      <w:marTop w:val="0"/>
      <w:marBottom w:val="0"/>
      <w:divBdr>
        <w:top w:val="none" w:sz="0" w:space="0" w:color="auto"/>
        <w:left w:val="none" w:sz="0" w:space="0" w:color="auto"/>
        <w:bottom w:val="none" w:sz="0" w:space="0" w:color="auto"/>
        <w:right w:val="none" w:sz="0" w:space="0" w:color="auto"/>
      </w:divBdr>
    </w:div>
    <w:div w:id="1036346658">
      <w:bodyDiv w:val="1"/>
      <w:marLeft w:val="0"/>
      <w:marRight w:val="0"/>
      <w:marTop w:val="0"/>
      <w:marBottom w:val="0"/>
      <w:divBdr>
        <w:top w:val="none" w:sz="0" w:space="0" w:color="auto"/>
        <w:left w:val="none" w:sz="0" w:space="0" w:color="auto"/>
        <w:bottom w:val="none" w:sz="0" w:space="0" w:color="auto"/>
        <w:right w:val="none" w:sz="0" w:space="0" w:color="auto"/>
      </w:divBdr>
    </w:div>
    <w:div w:id="1041058107">
      <w:bodyDiv w:val="1"/>
      <w:marLeft w:val="0"/>
      <w:marRight w:val="0"/>
      <w:marTop w:val="0"/>
      <w:marBottom w:val="0"/>
      <w:divBdr>
        <w:top w:val="none" w:sz="0" w:space="0" w:color="auto"/>
        <w:left w:val="none" w:sz="0" w:space="0" w:color="auto"/>
        <w:bottom w:val="none" w:sz="0" w:space="0" w:color="auto"/>
        <w:right w:val="none" w:sz="0" w:space="0" w:color="auto"/>
      </w:divBdr>
    </w:div>
    <w:div w:id="1047224982">
      <w:bodyDiv w:val="1"/>
      <w:marLeft w:val="0"/>
      <w:marRight w:val="0"/>
      <w:marTop w:val="0"/>
      <w:marBottom w:val="0"/>
      <w:divBdr>
        <w:top w:val="none" w:sz="0" w:space="0" w:color="auto"/>
        <w:left w:val="none" w:sz="0" w:space="0" w:color="auto"/>
        <w:bottom w:val="none" w:sz="0" w:space="0" w:color="auto"/>
        <w:right w:val="none" w:sz="0" w:space="0" w:color="auto"/>
      </w:divBdr>
    </w:div>
    <w:div w:id="1047679881">
      <w:bodyDiv w:val="1"/>
      <w:marLeft w:val="0"/>
      <w:marRight w:val="0"/>
      <w:marTop w:val="0"/>
      <w:marBottom w:val="0"/>
      <w:divBdr>
        <w:top w:val="none" w:sz="0" w:space="0" w:color="auto"/>
        <w:left w:val="none" w:sz="0" w:space="0" w:color="auto"/>
        <w:bottom w:val="none" w:sz="0" w:space="0" w:color="auto"/>
        <w:right w:val="none" w:sz="0" w:space="0" w:color="auto"/>
      </w:divBdr>
    </w:div>
    <w:div w:id="1051731985">
      <w:bodyDiv w:val="1"/>
      <w:marLeft w:val="0"/>
      <w:marRight w:val="0"/>
      <w:marTop w:val="0"/>
      <w:marBottom w:val="0"/>
      <w:divBdr>
        <w:top w:val="none" w:sz="0" w:space="0" w:color="auto"/>
        <w:left w:val="none" w:sz="0" w:space="0" w:color="auto"/>
        <w:bottom w:val="none" w:sz="0" w:space="0" w:color="auto"/>
        <w:right w:val="none" w:sz="0" w:space="0" w:color="auto"/>
      </w:divBdr>
    </w:div>
    <w:div w:id="1055858800">
      <w:bodyDiv w:val="1"/>
      <w:marLeft w:val="0"/>
      <w:marRight w:val="0"/>
      <w:marTop w:val="0"/>
      <w:marBottom w:val="0"/>
      <w:divBdr>
        <w:top w:val="none" w:sz="0" w:space="0" w:color="auto"/>
        <w:left w:val="none" w:sz="0" w:space="0" w:color="auto"/>
        <w:bottom w:val="none" w:sz="0" w:space="0" w:color="auto"/>
        <w:right w:val="none" w:sz="0" w:space="0" w:color="auto"/>
      </w:divBdr>
    </w:div>
    <w:div w:id="1062099866">
      <w:bodyDiv w:val="1"/>
      <w:marLeft w:val="0"/>
      <w:marRight w:val="0"/>
      <w:marTop w:val="0"/>
      <w:marBottom w:val="0"/>
      <w:divBdr>
        <w:top w:val="none" w:sz="0" w:space="0" w:color="auto"/>
        <w:left w:val="none" w:sz="0" w:space="0" w:color="auto"/>
        <w:bottom w:val="none" w:sz="0" w:space="0" w:color="auto"/>
        <w:right w:val="none" w:sz="0" w:space="0" w:color="auto"/>
      </w:divBdr>
    </w:div>
    <w:div w:id="1071806787">
      <w:bodyDiv w:val="1"/>
      <w:marLeft w:val="0"/>
      <w:marRight w:val="0"/>
      <w:marTop w:val="0"/>
      <w:marBottom w:val="0"/>
      <w:divBdr>
        <w:top w:val="none" w:sz="0" w:space="0" w:color="auto"/>
        <w:left w:val="none" w:sz="0" w:space="0" w:color="auto"/>
        <w:bottom w:val="none" w:sz="0" w:space="0" w:color="auto"/>
        <w:right w:val="none" w:sz="0" w:space="0" w:color="auto"/>
      </w:divBdr>
    </w:div>
    <w:div w:id="1073427077">
      <w:bodyDiv w:val="1"/>
      <w:marLeft w:val="0"/>
      <w:marRight w:val="0"/>
      <w:marTop w:val="0"/>
      <w:marBottom w:val="0"/>
      <w:divBdr>
        <w:top w:val="none" w:sz="0" w:space="0" w:color="auto"/>
        <w:left w:val="none" w:sz="0" w:space="0" w:color="auto"/>
        <w:bottom w:val="none" w:sz="0" w:space="0" w:color="auto"/>
        <w:right w:val="none" w:sz="0" w:space="0" w:color="auto"/>
      </w:divBdr>
    </w:div>
    <w:div w:id="1073967317">
      <w:bodyDiv w:val="1"/>
      <w:marLeft w:val="0"/>
      <w:marRight w:val="0"/>
      <w:marTop w:val="0"/>
      <w:marBottom w:val="0"/>
      <w:divBdr>
        <w:top w:val="none" w:sz="0" w:space="0" w:color="auto"/>
        <w:left w:val="none" w:sz="0" w:space="0" w:color="auto"/>
        <w:bottom w:val="none" w:sz="0" w:space="0" w:color="auto"/>
        <w:right w:val="none" w:sz="0" w:space="0" w:color="auto"/>
      </w:divBdr>
    </w:div>
    <w:div w:id="1087314032">
      <w:bodyDiv w:val="1"/>
      <w:marLeft w:val="0"/>
      <w:marRight w:val="0"/>
      <w:marTop w:val="0"/>
      <w:marBottom w:val="0"/>
      <w:divBdr>
        <w:top w:val="none" w:sz="0" w:space="0" w:color="auto"/>
        <w:left w:val="none" w:sz="0" w:space="0" w:color="auto"/>
        <w:bottom w:val="none" w:sz="0" w:space="0" w:color="auto"/>
        <w:right w:val="none" w:sz="0" w:space="0" w:color="auto"/>
      </w:divBdr>
    </w:div>
    <w:div w:id="1093669824">
      <w:bodyDiv w:val="1"/>
      <w:marLeft w:val="0"/>
      <w:marRight w:val="0"/>
      <w:marTop w:val="0"/>
      <w:marBottom w:val="0"/>
      <w:divBdr>
        <w:top w:val="none" w:sz="0" w:space="0" w:color="auto"/>
        <w:left w:val="none" w:sz="0" w:space="0" w:color="auto"/>
        <w:bottom w:val="none" w:sz="0" w:space="0" w:color="auto"/>
        <w:right w:val="none" w:sz="0" w:space="0" w:color="auto"/>
      </w:divBdr>
    </w:div>
    <w:div w:id="1095443031">
      <w:bodyDiv w:val="1"/>
      <w:marLeft w:val="0"/>
      <w:marRight w:val="0"/>
      <w:marTop w:val="0"/>
      <w:marBottom w:val="0"/>
      <w:divBdr>
        <w:top w:val="none" w:sz="0" w:space="0" w:color="auto"/>
        <w:left w:val="none" w:sz="0" w:space="0" w:color="auto"/>
        <w:bottom w:val="none" w:sz="0" w:space="0" w:color="auto"/>
        <w:right w:val="none" w:sz="0" w:space="0" w:color="auto"/>
      </w:divBdr>
    </w:div>
    <w:div w:id="1098326823">
      <w:bodyDiv w:val="1"/>
      <w:marLeft w:val="0"/>
      <w:marRight w:val="0"/>
      <w:marTop w:val="0"/>
      <w:marBottom w:val="0"/>
      <w:divBdr>
        <w:top w:val="none" w:sz="0" w:space="0" w:color="auto"/>
        <w:left w:val="none" w:sz="0" w:space="0" w:color="auto"/>
        <w:bottom w:val="none" w:sz="0" w:space="0" w:color="auto"/>
        <w:right w:val="none" w:sz="0" w:space="0" w:color="auto"/>
      </w:divBdr>
    </w:div>
    <w:div w:id="1109158194">
      <w:bodyDiv w:val="1"/>
      <w:marLeft w:val="0"/>
      <w:marRight w:val="0"/>
      <w:marTop w:val="0"/>
      <w:marBottom w:val="0"/>
      <w:divBdr>
        <w:top w:val="none" w:sz="0" w:space="0" w:color="auto"/>
        <w:left w:val="none" w:sz="0" w:space="0" w:color="auto"/>
        <w:bottom w:val="none" w:sz="0" w:space="0" w:color="auto"/>
        <w:right w:val="none" w:sz="0" w:space="0" w:color="auto"/>
      </w:divBdr>
    </w:div>
    <w:div w:id="1113667249">
      <w:bodyDiv w:val="1"/>
      <w:marLeft w:val="0"/>
      <w:marRight w:val="0"/>
      <w:marTop w:val="0"/>
      <w:marBottom w:val="0"/>
      <w:divBdr>
        <w:top w:val="none" w:sz="0" w:space="0" w:color="auto"/>
        <w:left w:val="none" w:sz="0" w:space="0" w:color="auto"/>
        <w:bottom w:val="none" w:sz="0" w:space="0" w:color="auto"/>
        <w:right w:val="none" w:sz="0" w:space="0" w:color="auto"/>
      </w:divBdr>
    </w:div>
    <w:div w:id="1116827221">
      <w:bodyDiv w:val="1"/>
      <w:marLeft w:val="0"/>
      <w:marRight w:val="0"/>
      <w:marTop w:val="0"/>
      <w:marBottom w:val="0"/>
      <w:divBdr>
        <w:top w:val="none" w:sz="0" w:space="0" w:color="auto"/>
        <w:left w:val="none" w:sz="0" w:space="0" w:color="auto"/>
        <w:bottom w:val="none" w:sz="0" w:space="0" w:color="auto"/>
        <w:right w:val="none" w:sz="0" w:space="0" w:color="auto"/>
      </w:divBdr>
    </w:div>
    <w:div w:id="1132866257">
      <w:bodyDiv w:val="1"/>
      <w:marLeft w:val="0"/>
      <w:marRight w:val="0"/>
      <w:marTop w:val="0"/>
      <w:marBottom w:val="0"/>
      <w:divBdr>
        <w:top w:val="none" w:sz="0" w:space="0" w:color="auto"/>
        <w:left w:val="none" w:sz="0" w:space="0" w:color="auto"/>
        <w:bottom w:val="none" w:sz="0" w:space="0" w:color="auto"/>
        <w:right w:val="none" w:sz="0" w:space="0" w:color="auto"/>
      </w:divBdr>
    </w:div>
    <w:div w:id="1136414024">
      <w:bodyDiv w:val="1"/>
      <w:marLeft w:val="0"/>
      <w:marRight w:val="0"/>
      <w:marTop w:val="0"/>
      <w:marBottom w:val="0"/>
      <w:divBdr>
        <w:top w:val="none" w:sz="0" w:space="0" w:color="auto"/>
        <w:left w:val="none" w:sz="0" w:space="0" w:color="auto"/>
        <w:bottom w:val="none" w:sz="0" w:space="0" w:color="auto"/>
        <w:right w:val="none" w:sz="0" w:space="0" w:color="auto"/>
      </w:divBdr>
    </w:div>
    <w:div w:id="1157114225">
      <w:bodyDiv w:val="1"/>
      <w:marLeft w:val="0"/>
      <w:marRight w:val="0"/>
      <w:marTop w:val="0"/>
      <w:marBottom w:val="0"/>
      <w:divBdr>
        <w:top w:val="none" w:sz="0" w:space="0" w:color="auto"/>
        <w:left w:val="none" w:sz="0" w:space="0" w:color="auto"/>
        <w:bottom w:val="none" w:sz="0" w:space="0" w:color="auto"/>
        <w:right w:val="none" w:sz="0" w:space="0" w:color="auto"/>
      </w:divBdr>
    </w:div>
    <w:div w:id="1168593835">
      <w:bodyDiv w:val="1"/>
      <w:marLeft w:val="0"/>
      <w:marRight w:val="0"/>
      <w:marTop w:val="0"/>
      <w:marBottom w:val="0"/>
      <w:divBdr>
        <w:top w:val="none" w:sz="0" w:space="0" w:color="auto"/>
        <w:left w:val="none" w:sz="0" w:space="0" w:color="auto"/>
        <w:bottom w:val="none" w:sz="0" w:space="0" w:color="auto"/>
        <w:right w:val="none" w:sz="0" w:space="0" w:color="auto"/>
      </w:divBdr>
    </w:div>
    <w:div w:id="1172602763">
      <w:bodyDiv w:val="1"/>
      <w:marLeft w:val="0"/>
      <w:marRight w:val="0"/>
      <w:marTop w:val="0"/>
      <w:marBottom w:val="0"/>
      <w:divBdr>
        <w:top w:val="none" w:sz="0" w:space="0" w:color="auto"/>
        <w:left w:val="none" w:sz="0" w:space="0" w:color="auto"/>
        <w:bottom w:val="none" w:sz="0" w:space="0" w:color="auto"/>
        <w:right w:val="none" w:sz="0" w:space="0" w:color="auto"/>
      </w:divBdr>
    </w:div>
    <w:div w:id="1186094305">
      <w:bodyDiv w:val="1"/>
      <w:marLeft w:val="0"/>
      <w:marRight w:val="0"/>
      <w:marTop w:val="0"/>
      <w:marBottom w:val="0"/>
      <w:divBdr>
        <w:top w:val="none" w:sz="0" w:space="0" w:color="auto"/>
        <w:left w:val="none" w:sz="0" w:space="0" w:color="auto"/>
        <w:bottom w:val="none" w:sz="0" w:space="0" w:color="auto"/>
        <w:right w:val="none" w:sz="0" w:space="0" w:color="auto"/>
      </w:divBdr>
    </w:div>
    <w:div w:id="1189685551">
      <w:bodyDiv w:val="1"/>
      <w:marLeft w:val="0"/>
      <w:marRight w:val="0"/>
      <w:marTop w:val="0"/>
      <w:marBottom w:val="0"/>
      <w:divBdr>
        <w:top w:val="none" w:sz="0" w:space="0" w:color="auto"/>
        <w:left w:val="none" w:sz="0" w:space="0" w:color="auto"/>
        <w:bottom w:val="none" w:sz="0" w:space="0" w:color="auto"/>
        <w:right w:val="none" w:sz="0" w:space="0" w:color="auto"/>
      </w:divBdr>
    </w:div>
    <w:div w:id="1195578299">
      <w:bodyDiv w:val="1"/>
      <w:marLeft w:val="0"/>
      <w:marRight w:val="0"/>
      <w:marTop w:val="0"/>
      <w:marBottom w:val="0"/>
      <w:divBdr>
        <w:top w:val="none" w:sz="0" w:space="0" w:color="auto"/>
        <w:left w:val="none" w:sz="0" w:space="0" w:color="auto"/>
        <w:bottom w:val="none" w:sz="0" w:space="0" w:color="auto"/>
        <w:right w:val="none" w:sz="0" w:space="0" w:color="auto"/>
      </w:divBdr>
    </w:div>
    <w:div w:id="1200975748">
      <w:bodyDiv w:val="1"/>
      <w:marLeft w:val="0"/>
      <w:marRight w:val="0"/>
      <w:marTop w:val="0"/>
      <w:marBottom w:val="0"/>
      <w:divBdr>
        <w:top w:val="none" w:sz="0" w:space="0" w:color="auto"/>
        <w:left w:val="none" w:sz="0" w:space="0" w:color="auto"/>
        <w:bottom w:val="none" w:sz="0" w:space="0" w:color="auto"/>
        <w:right w:val="none" w:sz="0" w:space="0" w:color="auto"/>
      </w:divBdr>
    </w:div>
    <w:div w:id="1206722816">
      <w:bodyDiv w:val="1"/>
      <w:marLeft w:val="0"/>
      <w:marRight w:val="0"/>
      <w:marTop w:val="0"/>
      <w:marBottom w:val="0"/>
      <w:divBdr>
        <w:top w:val="none" w:sz="0" w:space="0" w:color="auto"/>
        <w:left w:val="none" w:sz="0" w:space="0" w:color="auto"/>
        <w:bottom w:val="none" w:sz="0" w:space="0" w:color="auto"/>
        <w:right w:val="none" w:sz="0" w:space="0" w:color="auto"/>
      </w:divBdr>
    </w:div>
    <w:div w:id="1210609087">
      <w:bodyDiv w:val="1"/>
      <w:marLeft w:val="0"/>
      <w:marRight w:val="0"/>
      <w:marTop w:val="0"/>
      <w:marBottom w:val="0"/>
      <w:divBdr>
        <w:top w:val="none" w:sz="0" w:space="0" w:color="auto"/>
        <w:left w:val="none" w:sz="0" w:space="0" w:color="auto"/>
        <w:bottom w:val="none" w:sz="0" w:space="0" w:color="auto"/>
        <w:right w:val="none" w:sz="0" w:space="0" w:color="auto"/>
      </w:divBdr>
    </w:div>
    <w:div w:id="1212156717">
      <w:bodyDiv w:val="1"/>
      <w:marLeft w:val="0"/>
      <w:marRight w:val="0"/>
      <w:marTop w:val="0"/>
      <w:marBottom w:val="0"/>
      <w:divBdr>
        <w:top w:val="none" w:sz="0" w:space="0" w:color="auto"/>
        <w:left w:val="none" w:sz="0" w:space="0" w:color="auto"/>
        <w:bottom w:val="none" w:sz="0" w:space="0" w:color="auto"/>
        <w:right w:val="none" w:sz="0" w:space="0" w:color="auto"/>
      </w:divBdr>
    </w:div>
    <w:div w:id="1229462049">
      <w:bodyDiv w:val="1"/>
      <w:marLeft w:val="0"/>
      <w:marRight w:val="0"/>
      <w:marTop w:val="0"/>
      <w:marBottom w:val="0"/>
      <w:divBdr>
        <w:top w:val="none" w:sz="0" w:space="0" w:color="auto"/>
        <w:left w:val="none" w:sz="0" w:space="0" w:color="auto"/>
        <w:bottom w:val="none" w:sz="0" w:space="0" w:color="auto"/>
        <w:right w:val="none" w:sz="0" w:space="0" w:color="auto"/>
      </w:divBdr>
    </w:div>
    <w:div w:id="1236088146">
      <w:bodyDiv w:val="1"/>
      <w:marLeft w:val="0"/>
      <w:marRight w:val="0"/>
      <w:marTop w:val="0"/>
      <w:marBottom w:val="0"/>
      <w:divBdr>
        <w:top w:val="none" w:sz="0" w:space="0" w:color="auto"/>
        <w:left w:val="none" w:sz="0" w:space="0" w:color="auto"/>
        <w:bottom w:val="none" w:sz="0" w:space="0" w:color="auto"/>
        <w:right w:val="none" w:sz="0" w:space="0" w:color="auto"/>
      </w:divBdr>
    </w:div>
    <w:div w:id="1242986241">
      <w:bodyDiv w:val="1"/>
      <w:marLeft w:val="0"/>
      <w:marRight w:val="0"/>
      <w:marTop w:val="0"/>
      <w:marBottom w:val="0"/>
      <w:divBdr>
        <w:top w:val="none" w:sz="0" w:space="0" w:color="auto"/>
        <w:left w:val="none" w:sz="0" w:space="0" w:color="auto"/>
        <w:bottom w:val="none" w:sz="0" w:space="0" w:color="auto"/>
        <w:right w:val="none" w:sz="0" w:space="0" w:color="auto"/>
      </w:divBdr>
    </w:div>
    <w:div w:id="1245994514">
      <w:bodyDiv w:val="1"/>
      <w:marLeft w:val="0"/>
      <w:marRight w:val="0"/>
      <w:marTop w:val="0"/>
      <w:marBottom w:val="0"/>
      <w:divBdr>
        <w:top w:val="none" w:sz="0" w:space="0" w:color="auto"/>
        <w:left w:val="none" w:sz="0" w:space="0" w:color="auto"/>
        <w:bottom w:val="none" w:sz="0" w:space="0" w:color="auto"/>
        <w:right w:val="none" w:sz="0" w:space="0" w:color="auto"/>
      </w:divBdr>
    </w:div>
    <w:div w:id="1256288318">
      <w:bodyDiv w:val="1"/>
      <w:marLeft w:val="0"/>
      <w:marRight w:val="0"/>
      <w:marTop w:val="0"/>
      <w:marBottom w:val="0"/>
      <w:divBdr>
        <w:top w:val="none" w:sz="0" w:space="0" w:color="auto"/>
        <w:left w:val="none" w:sz="0" w:space="0" w:color="auto"/>
        <w:bottom w:val="none" w:sz="0" w:space="0" w:color="auto"/>
        <w:right w:val="none" w:sz="0" w:space="0" w:color="auto"/>
      </w:divBdr>
    </w:div>
    <w:div w:id="1258754973">
      <w:bodyDiv w:val="1"/>
      <w:marLeft w:val="0"/>
      <w:marRight w:val="0"/>
      <w:marTop w:val="0"/>
      <w:marBottom w:val="0"/>
      <w:divBdr>
        <w:top w:val="none" w:sz="0" w:space="0" w:color="auto"/>
        <w:left w:val="none" w:sz="0" w:space="0" w:color="auto"/>
        <w:bottom w:val="none" w:sz="0" w:space="0" w:color="auto"/>
        <w:right w:val="none" w:sz="0" w:space="0" w:color="auto"/>
      </w:divBdr>
    </w:div>
    <w:div w:id="1264144916">
      <w:bodyDiv w:val="1"/>
      <w:marLeft w:val="0"/>
      <w:marRight w:val="0"/>
      <w:marTop w:val="0"/>
      <w:marBottom w:val="0"/>
      <w:divBdr>
        <w:top w:val="none" w:sz="0" w:space="0" w:color="auto"/>
        <w:left w:val="none" w:sz="0" w:space="0" w:color="auto"/>
        <w:bottom w:val="none" w:sz="0" w:space="0" w:color="auto"/>
        <w:right w:val="none" w:sz="0" w:space="0" w:color="auto"/>
      </w:divBdr>
    </w:div>
    <w:div w:id="1265648288">
      <w:bodyDiv w:val="1"/>
      <w:marLeft w:val="0"/>
      <w:marRight w:val="0"/>
      <w:marTop w:val="0"/>
      <w:marBottom w:val="0"/>
      <w:divBdr>
        <w:top w:val="none" w:sz="0" w:space="0" w:color="auto"/>
        <w:left w:val="none" w:sz="0" w:space="0" w:color="auto"/>
        <w:bottom w:val="none" w:sz="0" w:space="0" w:color="auto"/>
        <w:right w:val="none" w:sz="0" w:space="0" w:color="auto"/>
      </w:divBdr>
    </w:div>
    <w:div w:id="1267425205">
      <w:bodyDiv w:val="1"/>
      <w:marLeft w:val="0"/>
      <w:marRight w:val="0"/>
      <w:marTop w:val="0"/>
      <w:marBottom w:val="0"/>
      <w:divBdr>
        <w:top w:val="none" w:sz="0" w:space="0" w:color="auto"/>
        <w:left w:val="none" w:sz="0" w:space="0" w:color="auto"/>
        <w:bottom w:val="none" w:sz="0" w:space="0" w:color="auto"/>
        <w:right w:val="none" w:sz="0" w:space="0" w:color="auto"/>
      </w:divBdr>
    </w:div>
    <w:div w:id="1270089904">
      <w:bodyDiv w:val="1"/>
      <w:marLeft w:val="0"/>
      <w:marRight w:val="0"/>
      <w:marTop w:val="0"/>
      <w:marBottom w:val="0"/>
      <w:divBdr>
        <w:top w:val="none" w:sz="0" w:space="0" w:color="auto"/>
        <w:left w:val="none" w:sz="0" w:space="0" w:color="auto"/>
        <w:bottom w:val="none" w:sz="0" w:space="0" w:color="auto"/>
        <w:right w:val="none" w:sz="0" w:space="0" w:color="auto"/>
      </w:divBdr>
    </w:div>
    <w:div w:id="1275214452">
      <w:bodyDiv w:val="1"/>
      <w:marLeft w:val="0"/>
      <w:marRight w:val="0"/>
      <w:marTop w:val="0"/>
      <w:marBottom w:val="0"/>
      <w:divBdr>
        <w:top w:val="none" w:sz="0" w:space="0" w:color="auto"/>
        <w:left w:val="none" w:sz="0" w:space="0" w:color="auto"/>
        <w:bottom w:val="none" w:sz="0" w:space="0" w:color="auto"/>
        <w:right w:val="none" w:sz="0" w:space="0" w:color="auto"/>
      </w:divBdr>
    </w:div>
    <w:div w:id="1280991981">
      <w:bodyDiv w:val="1"/>
      <w:marLeft w:val="0"/>
      <w:marRight w:val="0"/>
      <w:marTop w:val="0"/>
      <w:marBottom w:val="0"/>
      <w:divBdr>
        <w:top w:val="none" w:sz="0" w:space="0" w:color="auto"/>
        <w:left w:val="none" w:sz="0" w:space="0" w:color="auto"/>
        <w:bottom w:val="none" w:sz="0" w:space="0" w:color="auto"/>
        <w:right w:val="none" w:sz="0" w:space="0" w:color="auto"/>
      </w:divBdr>
    </w:div>
    <w:div w:id="1282961354">
      <w:bodyDiv w:val="1"/>
      <w:marLeft w:val="0"/>
      <w:marRight w:val="0"/>
      <w:marTop w:val="0"/>
      <w:marBottom w:val="0"/>
      <w:divBdr>
        <w:top w:val="none" w:sz="0" w:space="0" w:color="auto"/>
        <w:left w:val="none" w:sz="0" w:space="0" w:color="auto"/>
        <w:bottom w:val="none" w:sz="0" w:space="0" w:color="auto"/>
        <w:right w:val="none" w:sz="0" w:space="0" w:color="auto"/>
      </w:divBdr>
    </w:div>
    <w:div w:id="1294822344">
      <w:bodyDiv w:val="1"/>
      <w:marLeft w:val="0"/>
      <w:marRight w:val="0"/>
      <w:marTop w:val="0"/>
      <w:marBottom w:val="0"/>
      <w:divBdr>
        <w:top w:val="none" w:sz="0" w:space="0" w:color="auto"/>
        <w:left w:val="none" w:sz="0" w:space="0" w:color="auto"/>
        <w:bottom w:val="none" w:sz="0" w:space="0" w:color="auto"/>
        <w:right w:val="none" w:sz="0" w:space="0" w:color="auto"/>
      </w:divBdr>
    </w:div>
    <w:div w:id="1300115642">
      <w:bodyDiv w:val="1"/>
      <w:marLeft w:val="0"/>
      <w:marRight w:val="0"/>
      <w:marTop w:val="0"/>
      <w:marBottom w:val="0"/>
      <w:divBdr>
        <w:top w:val="none" w:sz="0" w:space="0" w:color="auto"/>
        <w:left w:val="none" w:sz="0" w:space="0" w:color="auto"/>
        <w:bottom w:val="none" w:sz="0" w:space="0" w:color="auto"/>
        <w:right w:val="none" w:sz="0" w:space="0" w:color="auto"/>
      </w:divBdr>
    </w:div>
    <w:div w:id="1300771410">
      <w:bodyDiv w:val="1"/>
      <w:marLeft w:val="0"/>
      <w:marRight w:val="0"/>
      <w:marTop w:val="0"/>
      <w:marBottom w:val="0"/>
      <w:divBdr>
        <w:top w:val="none" w:sz="0" w:space="0" w:color="auto"/>
        <w:left w:val="none" w:sz="0" w:space="0" w:color="auto"/>
        <w:bottom w:val="none" w:sz="0" w:space="0" w:color="auto"/>
        <w:right w:val="none" w:sz="0" w:space="0" w:color="auto"/>
      </w:divBdr>
    </w:div>
    <w:div w:id="1308434163">
      <w:bodyDiv w:val="1"/>
      <w:marLeft w:val="0"/>
      <w:marRight w:val="0"/>
      <w:marTop w:val="0"/>
      <w:marBottom w:val="0"/>
      <w:divBdr>
        <w:top w:val="none" w:sz="0" w:space="0" w:color="auto"/>
        <w:left w:val="none" w:sz="0" w:space="0" w:color="auto"/>
        <w:bottom w:val="none" w:sz="0" w:space="0" w:color="auto"/>
        <w:right w:val="none" w:sz="0" w:space="0" w:color="auto"/>
      </w:divBdr>
    </w:div>
    <w:div w:id="1318411674">
      <w:bodyDiv w:val="1"/>
      <w:marLeft w:val="0"/>
      <w:marRight w:val="0"/>
      <w:marTop w:val="0"/>
      <w:marBottom w:val="0"/>
      <w:divBdr>
        <w:top w:val="none" w:sz="0" w:space="0" w:color="auto"/>
        <w:left w:val="none" w:sz="0" w:space="0" w:color="auto"/>
        <w:bottom w:val="none" w:sz="0" w:space="0" w:color="auto"/>
        <w:right w:val="none" w:sz="0" w:space="0" w:color="auto"/>
      </w:divBdr>
    </w:div>
    <w:div w:id="1353607978">
      <w:bodyDiv w:val="1"/>
      <w:marLeft w:val="0"/>
      <w:marRight w:val="0"/>
      <w:marTop w:val="0"/>
      <w:marBottom w:val="0"/>
      <w:divBdr>
        <w:top w:val="none" w:sz="0" w:space="0" w:color="auto"/>
        <w:left w:val="none" w:sz="0" w:space="0" w:color="auto"/>
        <w:bottom w:val="none" w:sz="0" w:space="0" w:color="auto"/>
        <w:right w:val="none" w:sz="0" w:space="0" w:color="auto"/>
      </w:divBdr>
    </w:div>
    <w:div w:id="1381130079">
      <w:bodyDiv w:val="1"/>
      <w:marLeft w:val="0"/>
      <w:marRight w:val="0"/>
      <w:marTop w:val="0"/>
      <w:marBottom w:val="0"/>
      <w:divBdr>
        <w:top w:val="none" w:sz="0" w:space="0" w:color="auto"/>
        <w:left w:val="none" w:sz="0" w:space="0" w:color="auto"/>
        <w:bottom w:val="none" w:sz="0" w:space="0" w:color="auto"/>
        <w:right w:val="none" w:sz="0" w:space="0" w:color="auto"/>
      </w:divBdr>
    </w:div>
    <w:div w:id="1388189124">
      <w:bodyDiv w:val="1"/>
      <w:marLeft w:val="0"/>
      <w:marRight w:val="0"/>
      <w:marTop w:val="0"/>
      <w:marBottom w:val="0"/>
      <w:divBdr>
        <w:top w:val="none" w:sz="0" w:space="0" w:color="auto"/>
        <w:left w:val="none" w:sz="0" w:space="0" w:color="auto"/>
        <w:bottom w:val="none" w:sz="0" w:space="0" w:color="auto"/>
        <w:right w:val="none" w:sz="0" w:space="0" w:color="auto"/>
      </w:divBdr>
    </w:div>
    <w:div w:id="1404334214">
      <w:bodyDiv w:val="1"/>
      <w:marLeft w:val="0"/>
      <w:marRight w:val="0"/>
      <w:marTop w:val="0"/>
      <w:marBottom w:val="0"/>
      <w:divBdr>
        <w:top w:val="none" w:sz="0" w:space="0" w:color="auto"/>
        <w:left w:val="none" w:sz="0" w:space="0" w:color="auto"/>
        <w:bottom w:val="none" w:sz="0" w:space="0" w:color="auto"/>
        <w:right w:val="none" w:sz="0" w:space="0" w:color="auto"/>
      </w:divBdr>
    </w:div>
    <w:div w:id="1406103836">
      <w:bodyDiv w:val="1"/>
      <w:marLeft w:val="0"/>
      <w:marRight w:val="0"/>
      <w:marTop w:val="0"/>
      <w:marBottom w:val="0"/>
      <w:divBdr>
        <w:top w:val="none" w:sz="0" w:space="0" w:color="auto"/>
        <w:left w:val="none" w:sz="0" w:space="0" w:color="auto"/>
        <w:bottom w:val="none" w:sz="0" w:space="0" w:color="auto"/>
        <w:right w:val="none" w:sz="0" w:space="0" w:color="auto"/>
      </w:divBdr>
    </w:div>
    <w:div w:id="1415667180">
      <w:bodyDiv w:val="1"/>
      <w:marLeft w:val="0"/>
      <w:marRight w:val="0"/>
      <w:marTop w:val="0"/>
      <w:marBottom w:val="0"/>
      <w:divBdr>
        <w:top w:val="none" w:sz="0" w:space="0" w:color="auto"/>
        <w:left w:val="none" w:sz="0" w:space="0" w:color="auto"/>
        <w:bottom w:val="none" w:sz="0" w:space="0" w:color="auto"/>
        <w:right w:val="none" w:sz="0" w:space="0" w:color="auto"/>
      </w:divBdr>
    </w:div>
    <w:div w:id="1421178528">
      <w:bodyDiv w:val="1"/>
      <w:marLeft w:val="0"/>
      <w:marRight w:val="0"/>
      <w:marTop w:val="0"/>
      <w:marBottom w:val="0"/>
      <w:divBdr>
        <w:top w:val="none" w:sz="0" w:space="0" w:color="auto"/>
        <w:left w:val="none" w:sz="0" w:space="0" w:color="auto"/>
        <w:bottom w:val="none" w:sz="0" w:space="0" w:color="auto"/>
        <w:right w:val="none" w:sz="0" w:space="0" w:color="auto"/>
      </w:divBdr>
    </w:div>
    <w:div w:id="1440220129">
      <w:bodyDiv w:val="1"/>
      <w:marLeft w:val="0"/>
      <w:marRight w:val="0"/>
      <w:marTop w:val="0"/>
      <w:marBottom w:val="0"/>
      <w:divBdr>
        <w:top w:val="none" w:sz="0" w:space="0" w:color="auto"/>
        <w:left w:val="none" w:sz="0" w:space="0" w:color="auto"/>
        <w:bottom w:val="none" w:sz="0" w:space="0" w:color="auto"/>
        <w:right w:val="none" w:sz="0" w:space="0" w:color="auto"/>
      </w:divBdr>
    </w:div>
    <w:div w:id="1444375940">
      <w:bodyDiv w:val="1"/>
      <w:marLeft w:val="0"/>
      <w:marRight w:val="0"/>
      <w:marTop w:val="0"/>
      <w:marBottom w:val="0"/>
      <w:divBdr>
        <w:top w:val="none" w:sz="0" w:space="0" w:color="auto"/>
        <w:left w:val="none" w:sz="0" w:space="0" w:color="auto"/>
        <w:bottom w:val="none" w:sz="0" w:space="0" w:color="auto"/>
        <w:right w:val="none" w:sz="0" w:space="0" w:color="auto"/>
      </w:divBdr>
    </w:div>
    <w:div w:id="1463495061">
      <w:bodyDiv w:val="1"/>
      <w:marLeft w:val="0"/>
      <w:marRight w:val="0"/>
      <w:marTop w:val="0"/>
      <w:marBottom w:val="0"/>
      <w:divBdr>
        <w:top w:val="none" w:sz="0" w:space="0" w:color="auto"/>
        <w:left w:val="none" w:sz="0" w:space="0" w:color="auto"/>
        <w:bottom w:val="none" w:sz="0" w:space="0" w:color="auto"/>
        <w:right w:val="none" w:sz="0" w:space="0" w:color="auto"/>
      </w:divBdr>
    </w:div>
    <w:div w:id="1475678050">
      <w:bodyDiv w:val="1"/>
      <w:marLeft w:val="0"/>
      <w:marRight w:val="0"/>
      <w:marTop w:val="0"/>
      <w:marBottom w:val="0"/>
      <w:divBdr>
        <w:top w:val="none" w:sz="0" w:space="0" w:color="auto"/>
        <w:left w:val="none" w:sz="0" w:space="0" w:color="auto"/>
        <w:bottom w:val="none" w:sz="0" w:space="0" w:color="auto"/>
        <w:right w:val="none" w:sz="0" w:space="0" w:color="auto"/>
      </w:divBdr>
    </w:div>
    <w:div w:id="1478111682">
      <w:bodyDiv w:val="1"/>
      <w:marLeft w:val="0"/>
      <w:marRight w:val="0"/>
      <w:marTop w:val="0"/>
      <w:marBottom w:val="0"/>
      <w:divBdr>
        <w:top w:val="none" w:sz="0" w:space="0" w:color="auto"/>
        <w:left w:val="none" w:sz="0" w:space="0" w:color="auto"/>
        <w:bottom w:val="none" w:sz="0" w:space="0" w:color="auto"/>
        <w:right w:val="none" w:sz="0" w:space="0" w:color="auto"/>
      </w:divBdr>
    </w:div>
    <w:div w:id="1482386263">
      <w:bodyDiv w:val="1"/>
      <w:marLeft w:val="0"/>
      <w:marRight w:val="0"/>
      <w:marTop w:val="0"/>
      <w:marBottom w:val="0"/>
      <w:divBdr>
        <w:top w:val="none" w:sz="0" w:space="0" w:color="auto"/>
        <w:left w:val="none" w:sz="0" w:space="0" w:color="auto"/>
        <w:bottom w:val="none" w:sz="0" w:space="0" w:color="auto"/>
        <w:right w:val="none" w:sz="0" w:space="0" w:color="auto"/>
      </w:divBdr>
    </w:div>
    <w:div w:id="1504006267">
      <w:bodyDiv w:val="1"/>
      <w:marLeft w:val="0"/>
      <w:marRight w:val="0"/>
      <w:marTop w:val="0"/>
      <w:marBottom w:val="0"/>
      <w:divBdr>
        <w:top w:val="none" w:sz="0" w:space="0" w:color="auto"/>
        <w:left w:val="none" w:sz="0" w:space="0" w:color="auto"/>
        <w:bottom w:val="none" w:sz="0" w:space="0" w:color="auto"/>
        <w:right w:val="none" w:sz="0" w:space="0" w:color="auto"/>
      </w:divBdr>
    </w:div>
    <w:div w:id="1517768529">
      <w:bodyDiv w:val="1"/>
      <w:marLeft w:val="0"/>
      <w:marRight w:val="0"/>
      <w:marTop w:val="0"/>
      <w:marBottom w:val="0"/>
      <w:divBdr>
        <w:top w:val="none" w:sz="0" w:space="0" w:color="auto"/>
        <w:left w:val="none" w:sz="0" w:space="0" w:color="auto"/>
        <w:bottom w:val="none" w:sz="0" w:space="0" w:color="auto"/>
        <w:right w:val="none" w:sz="0" w:space="0" w:color="auto"/>
      </w:divBdr>
    </w:div>
    <w:div w:id="1539707965">
      <w:bodyDiv w:val="1"/>
      <w:marLeft w:val="0"/>
      <w:marRight w:val="0"/>
      <w:marTop w:val="0"/>
      <w:marBottom w:val="0"/>
      <w:divBdr>
        <w:top w:val="none" w:sz="0" w:space="0" w:color="auto"/>
        <w:left w:val="none" w:sz="0" w:space="0" w:color="auto"/>
        <w:bottom w:val="none" w:sz="0" w:space="0" w:color="auto"/>
        <w:right w:val="none" w:sz="0" w:space="0" w:color="auto"/>
      </w:divBdr>
    </w:div>
    <w:div w:id="1541897384">
      <w:bodyDiv w:val="1"/>
      <w:marLeft w:val="0"/>
      <w:marRight w:val="0"/>
      <w:marTop w:val="0"/>
      <w:marBottom w:val="0"/>
      <w:divBdr>
        <w:top w:val="none" w:sz="0" w:space="0" w:color="auto"/>
        <w:left w:val="none" w:sz="0" w:space="0" w:color="auto"/>
        <w:bottom w:val="none" w:sz="0" w:space="0" w:color="auto"/>
        <w:right w:val="none" w:sz="0" w:space="0" w:color="auto"/>
      </w:divBdr>
    </w:div>
    <w:div w:id="1548953699">
      <w:bodyDiv w:val="1"/>
      <w:marLeft w:val="0"/>
      <w:marRight w:val="0"/>
      <w:marTop w:val="0"/>
      <w:marBottom w:val="0"/>
      <w:divBdr>
        <w:top w:val="none" w:sz="0" w:space="0" w:color="auto"/>
        <w:left w:val="none" w:sz="0" w:space="0" w:color="auto"/>
        <w:bottom w:val="none" w:sz="0" w:space="0" w:color="auto"/>
        <w:right w:val="none" w:sz="0" w:space="0" w:color="auto"/>
      </w:divBdr>
    </w:div>
    <w:div w:id="1562062315">
      <w:bodyDiv w:val="1"/>
      <w:marLeft w:val="0"/>
      <w:marRight w:val="0"/>
      <w:marTop w:val="0"/>
      <w:marBottom w:val="0"/>
      <w:divBdr>
        <w:top w:val="none" w:sz="0" w:space="0" w:color="auto"/>
        <w:left w:val="none" w:sz="0" w:space="0" w:color="auto"/>
        <w:bottom w:val="none" w:sz="0" w:space="0" w:color="auto"/>
        <w:right w:val="none" w:sz="0" w:space="0" w:color="auto"/>
      </w:divBdr>
    </w:div>
    <w:div w:id="1569534546">
      <w:bodyDiv w:val="1"/>
      <w:marLeft w:val="0"/>
      <w:marRight w:val="0"/>
      <w:marTop w:val="0"/>
      <w:marBottom w:val="0"/>
      <w:divBdr>
        <w:top w:val="none" w:sz="0" w:space="0" w:color="auto"/>
        <w:left w:val="none" w:sz="0" w:space="0" w:color="auto"/>
        <w:bottom w:val="none" w:sz="0" w:space="0" w:color="auto"/>
        <w:right w:val="none" w:sz="0" w:space="0" w:color="auto"/>
      </w:divBdr>
    </w:div>
    <w:div w:id="1587838767">
      <w:bodyDiv w:val="1"/>
      <w:marLeft w:val="0"/>
      <w:marRight w:val="0"/>
      <w:marTop w:val="0"/>
      <w:marBottom w:val="0"/>
      <w:divBdr>
        <w:top w:val="none" w:sz="0" w:space="0" w:color="auto"/>
        <w:left w:val="none" w:sz="0" w:space="0" w:color="auto"/>
        <w:bottom w:val="none" w:sz="0" w:space="0" w:color="auto"/>
        <w:right w:val="none" w:sz="0" w:space="0" w:color="auto"/>
      </w:divBdr>
    </w:div>
    <w:div w:id="1591087892">
      <w:bodyDiv w:val="1"/>
      <w:marLeft w:val="0"/>
      <w:marRight w:val="0"/>
      <w:marTop w:val="0"/>
      <w:marBottom w:val="0"/>
      <w:divBdr>
        <w:top w:val="none" w:sz="0" w:space="0" w:color="auto"/>
        <w:left w:val="none" w:sz="0" w:space="0" w:color="auto"/>
        <w:bottom w:val="none" w:sz="0" w:space="0" w:color="auto"/>
        <w:right w:val="none" w:sz="0" w:space="0" w:color="auto"/>
      </w:divBdr>
    </w:div>
    <w:div w:id="1618678179">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3094669">
      <w:bodyDiv w:val="1"/>
      <w:marLeft w:val="0"/>
      <w:marRight w:val="0"/>
      <w:marTop w:val="0"/>
      <w:marBottom w:val="0"/>
      <w:divBdr>
        <w:top w:val="none" w:sz="0" w:space="0" w:color="auto"/>
        <w:left w:val="none" w:sz="0" w:space="0" w:color="auto"/>
        <w:bottom w:val="none" w:sz="0" w:space="0" w:color="auto"/>
        <w:right w:val="none" w:sz="0" w:space="0" w:color="auto"/>
      </w:divBdr>
    </w:div>
    <w:div w:id="1635284993">
      <w:bodyDiv w:val="1"/>
      <w:marLeft w:val="0"/>
      <w:marRight w:val="0"/>
      <w:marTop w:val="0"/>
      <w:marBottom w:val="0"/>
      <w:divBdr>
        <w:top w:val="none" w:sz="0" w:space="0" w:color="auto"/>
        <w:left w:val="none" w:sz="0" w:space="0" w:color="auto"/>
        <w:bottom w:val="none" w:sz="0" w:space="0" w:color="auto"/>
        <w:right w:val="none" w:sz="0" w:space="0" w:color="auto"/>
      </w:divBdr>
    </w:div>
    <w:div w:id="1650478194">
      <w:bodyDiv w:val="1"/>
      <w:marLeft w:val="0"/>
      <w:marRight w:val="0"/>
      <w:marTop w:val="0"/>
      <w:marBottom w:val="0"/>
      <w:divBdr>
        <w:top w:val="none" w:sz="0" w:space="0" w:color="auto"/>
        <w:left w:val="none" w:sz="0" w:space="0" w:color="auto"/>
        <w:bottom w:val="none" w:sz="0" w:space="0" w:color="auto"/>
        <w:right w:val="none" w:sz="0" w:space="0" w:color="auto"/>
      </w:divBdr>
    </w:div>
    <w:div w:id="1658454733">
      <w:bodyDiv w:val="1"/>
      <w:marLeft w:val="0"/>
      <w:marRight w:val="0"/>
      <w:marTop w:val="0"/>
      <w:marBottom w:val="0"/>
      <w:divBdr>
        <w:top w:val="none" w:sz="0" w:space="0" w:color="auto"/>
        <w:left w:val="none" w:sz="0" w:space="0" w:color="auto"/>
        <w:bottom w:val="none" w:sz="0" w:space="0" w:color="auto"/>
        <w:right w:val="none" w:sz="0" w:space="0" w:color="auto"/>
      </w:divBdr>
    </w:div>
    <w:div w:id="1659337629">
      <w:bodyDiv w:val="1"/>
      <w:marLeft w:val="0"/>
      <w:marRight w:val="0"/>
      <w:marTop w:val="0"/>
      <w:marBottom w:val="0"/>
      <w:divBdr>
        <w:top w:val="none" w:sz="0" w:space="0" w:color="auto"/>
        <w:left w:val="none" w:sz="0" w:space="0" w:color="auto"/>
        <w:bottom w:val="none" w:sz="0" w:space="0" w:color="auto"/>
        <w:right w:val="none" w:sz="0" w:space="0" w:color="auto"/>
      </w:divBdr>
    </w:div>
    <w:div w:id="1661881022">
      <w:bodyDiv w:val="1"/>
      <w:marLeft w:val="0"/>
      <w:marRight w:val="0"/>
      <w:marTop w:val="0"/>
      <w:marBottom w:val="0"/>
      <w:divBdr>
        <w:top w:val="none" w:sz="0" w:space="0" w:color="auto"/>
        <w:left w:val="none" w:sz="0" w:space="0" w:color="auto"/>
        <w:bottom w:val="none" w:sz="0" w:space="0" w:color="auto"/>
        <w:right w:val="none" w:sz="0" w:space="0" w:color="auto"/>
      </w:divBdr>
    </w:div>
    <w:div w:id="1677732144">
      <w:bodyDiv w:val="1"/>
      <w:marLeft w:val="0"/>
      <w:marRight w:val="0"/>
      <w:marTop w:val="0"/>
      <w:marBottom w:val="0"/>
      <w:divBdr>
        <w:top w:val="none" w:sz="0" w:space="0" w:color="auto"/>
        <w:left w:val="none" w:sz="0" w:space="0" w:color="auto"/>
        <w:bottom w:val="none" w:sz="0" w:space="0" w:color="auto"/>
        <w:right w:val="none" w:sz="0" w:space="0" w:color="auto"/>
      </w:divBdr>
    </w:div>
    <w:div w:id="1683238999">
      <w:bodyDiv w:val="1"/>
      <w:marLeft w:val="0"/>
      <w:marRight w:val="0"/>
      <w:marTop w:val="0"/>
      <w:marBottom w:val="0"/>
      <w:divBdr>
        <w:top w:val="none" w:sz="0" w:space="0" w:color="auto"/>
        <w:left w:val="none" w:sz="0" w:space="0" w:color="auto"/>
        <w:bottom w:val="none" w:sz="0" w:space="0" w:color="auto"/>
        <w:right w:val="none" w:sz="0" w:space="0" w:color="auto"/>
      </w:divBdr>
    </w:div>
    <w:div w:id="1721594442">
      <w:bodyDiv w:val="1"/>
      <w:marLeft w:val="0"/>
      <w:marRight w:val="0"/>
      <w:marTop w:val="0"/>
      <w:marBottom w:val="0"/>
      <w:divBdr>
        <w:top w:val="none" w:sz="0" w:space="0" w:color="auto"/>
        <w:left w:val="none" w:sz="0" w:space="0" w:color="auto"/>
        <w:bottom w:val="none" w:sz="0" w:space="0" w:color="auto"/>
        <w:right w:val="none" w:sz="0" w:space="0" w:color="auto"/>
      </w:divBdr>
    </w:div>
    <w:div w:id="1722898834">
      <w:bodyDiv w:val="1"/>
      <w:marLeft w:val="0"/>
      <w:marRight w:val="0"/>
      <w:marTop w:val="0"/>
      <w:marBottom w:val="0"/>
      <w:divBdr>
        <w:top w:val="none" w:sz="0" w:space="0" w:color="auto"/>
        <w:left w:val="none" w:sz="0" w:space="0" w:color="auto"/>
        <w:bottom w:val="none" w:sz="0" w:space="0" w:color="auto"/>
        <w:right w:val="none" w:sz="0" w:space="0" w:color="auto"/>
      </w:divBdr>
    </w:div>
    <w:div w:id="1724135853">
      <w:bodyDiv w:val="1"/>
      <w:marLeft w:val="0"/>
      <w:marRight w:val="0"/>
      <w:marTop w:val="0"/>
      <w:marBottom w:val="0"/>
      <w:divBdr>
        <w:top w:val="none" w:sz="0" w:space="0" w:color="auto"/>
        <w:left w:val="none" w:sz="0" w:space="0" w:color="auto"/>
        <w:bottom w:val="none" w:sz="0" w:space="0" w:color="auto"/>
        <w:right w:val="none" w:sz="0" w:space="0" w:color="auto"/>
      </w:divBdr>
      <w:divsChild>
        <w:div w:id="1805343316">
          <w:marLeft w:val="0"/>
          <w:marRight w:val="0"/>
          <w:marTop w:val="0"/>
          <w:marBottom w:val="0"/>
          <w:divBdr>
            <w:top w:val="none" w:sz="0" w:space="0" w:color="auto"/>
            <w:left w:val="none" w:sz="0" w:space="0" w:color="auto"/>
            <w:bottom w:val="none" w:sz="0" w:space="0" w:color="auto"/>
            <w:right w:val="none" w:sz="0" w:space="0" w:color="auto"/>
          </w:divBdr>
          <w:divsChild>
            <w:div w:id="850411377">
              <w:marLeft w:val="225"/>
              <w:marRight w:val="225"/>
              <w:marTop w:val="0"/>
              <w:marBottom w:val="0"/>
              <w:divBdr>
                <w:top w:val="none" w:sz="0" w:space="0" w:color="auto"/>
                <w:left w:val="none" w:sz="0" w:space="0" w:color="auto"/>
                <w:bottom w:val="none" w:sz="0" w:space="0" w:color="auto"/>
                <w:right w:val="none" w:sz="0" w:space="0" w:color="auto"/>
              </w:divBdr>
              <w:divsChild>
                <w:div w:id="1889104915">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799488">
      <w:bodyDiv w:val="1"/>
      <w:marLeft w:val="0"/>
      <w:marRight w:val="0"/>
      <w:marTop w:val="0"/>
      <w:marBottom w:val="0"/>
      <w:divBdr>
        <w:top w:val="none" w:sz="0" w:space="0" w:color="auto"/>
        <w:left w:val="none" w:sz="0" w:space="0" w:color="auto"/>
        <w:bottom w:val="none" w:sz="0" w:space="0" w:color="auto"/>
        <w:right w:val="none" w:sz="0" w:space="0" w:color="auto"/>
      </w:divBdr>
    </w:div>
    <w:div w:id="1753968733">
      <w:bodyDiv w:val="1"/>
      <w:marLeft w:val="0"/>
      <w:marRight w:val="0"/>
      <w:marTop w:val="0"/>
      <w:marBottom w:val="0"/>
      <w:divBdr>
        <w:top w:val="none" w:sz="0" w:space="0" w:color="auto"/>
        <w:left w:val="none" w:sz="0" w:space="0" w:color="auto"/>
        <w:bottom w:val="none" w:sz="0" w:space="0" w:color="auto"/>
        <w:right w:val="none" w:sz="0" w:space="0" w:color="auto"/>
      </w:divBdr>
    </w:div>
    <w:div w:id="1755467936">
      <w:bodyDiv w:val="1"/>
      <w:marLeft w:val="0"/>
      <w:marRight w:val="0"/>
      <w:marTop w:val="0"/>
      <w:marBottom w:val="0"/>
      <w:divBdr>
        <w:top w:val="none" w:sz="0" w:space="0" w:color="auto"/>
        <w:left w:val="none" w:sz="0" w:space="0" w:color="auto"/>
        <w:bottom w:val="none" w:sz="0" w:space="0" w:color="auto"/>
        <w:right w:val="none" w:sz="0" w:space="0" w:color="auto"/>
      </w:divBdr>
    </w:div>
    <w:div w:id="1769690697">
      <w:bodyDiv w:val="1"/>
      <w:marLeft w:val="0"/>
      <w:marRight w:val="0"/>
      <w:marTop w:val="0"/>
      <w:marBottom w:val="0"/>
      <w:divBdr>
        <w:top w:val="none" w:sz="0" w:space="0" w:color="auto"/>
        <w:left w:val="none" w:sz="0" w:space="0" w:color="auto"/>
        <w:bottom w:val="none" w:sz="0" w:space="0" w:color="auto"/>
        <w:right w:val="none" w:sz="0" w:space="0" w:color="auto"/>
      </w:divBdr>
    </w:div>
    <w:div w:id="1780955172">
      <w:bodyDiv w:val="1"/>
      <w:marLeft w:val="0"/>
      <w:marRight w:val="0"/>
      <w:marTop w:val="0"/>
      <w:marBottom w:val="0"/>
      <w:divBdr>
        <w:top w:val="none" w:sz="0" w:space="0" w:color="auto"/>
        <w:left w:val="none" w:sz="0" w:space="0" w:color="auto"/>
        <w:bottom w:val="none" w:sz="0" w:space="0" w:color="auto"/>
        <w:right w:val="none" w:sz="0" w:space="0" w:color="auto"/>
      </w:divBdr>
    </w:div>
    <w:div w:id="1801803099">
      <w:bodyDiv w:val="1"/>
      <w:marLeft w:val="0"/>
      <w:marRight w:val="0"/>
      <w:marTop w:val="0"/>
      <w:marBottom w:val="0"/>
      <w:divBdr>
        <w:top w:val="none" w:sz="0" w:space="0" w:color="auto"/>
        <w:left w:val="none" w:sz="0" w:space="0" w:color="auto"/>
        <w:bottom w:val="none" w:sz="0" w:space="0" w:color="auto"/>
        <w:right w:val="none" w:sz="0" w:space="0" w:color="auto"/>
      </w:divBdr>
    </w:div>
    <w:div w:id="1810122744">
      <w:bodyDiv w:val="1"/>
      <w:marLeft w:val="0"/>
      <w:marRight w:val="0"/>
      <w:marTop w:val="0"/>
      <w:marBottom w:val="0"/>
      <w:divBdr>
        <w:top w:val="none" w:sz="0" w:space="0" w:color="auto"/>
        <w:left w:val="none" w:sz="0" w:space="0" w:color="auto"/>
        <w:bottom w:val="none" w:sz="0" w:space="0" w:color="auto"/>
        <w:right w:val="none" w:sz="0" w:space="0" w:color="auto"/>
      </w:divBdr>
    </w:div>
    <w:div w:id="1823934739">
      <w:bodyDiv w:val="1"/>
      <w:marLeft w:val="0"/>
      <w:marRight w:val="0"/>
      <w:marTop w:val="0"/>
      <w:marBottom w:val="0"/>
      <w:divBdr>
        <w:top w:val="none" w:sz="0" w:space="0" w:color="auto"/>
        <w:left w:val="none" w:sz="0" w:space="0" w:color="auto"/>
        <w:bottom w:val="none" w:sz="0" w:space="0" w:color="auto"/>
        <w:right w:val="none" w:sz="0" w:space="0" w:color="auto"/>
      </w:divBdr>
    </w:div>
    <w:div w:id="1831481671">
      <w:bodyDiv w:val="1"/>
      <w:marLeft w:val="0"/>
      <w:marRight w:val="0"/>
      <w:marTop w:val="0"/>
      <w:marBottom w:val="0"/>
      <w:divBdr>
        <w:top w:val="none" w:sz="0" w:space="0" w:color="auto"/>
        <w:left w:val="none" w:sz="0" w:space="0" w:color="auto"/>
        <w:bottom w:val="none" w:sz="0" w:space="0" w:color="auto"/>
        <w:right w:val="none" w:sz="0" w:space="0" w:color="auto"/>
      </w:divBdr>
    </w:div>
    <w:div w:id="1847018080">
      <w:bodyDiv w:val="1"/>
      <w:marLeft w:val="0"/>
      <w:marRight w:val="0"/>
      <w:marTop w:val="0"/>
      <w:marBottom w:val="0"/>
      <w:divBdr>
        <w:top w:val="none" w:sz="0" w:space="0" w:color="auto"/>
        <w:left w:val="none" w:sz="0" w:space="0" w:color="auto"/>
        <w:bottom w:val="none" w:sz="0" w:space="0" w:color="auto"/>
        <w:right w:val="none" w:sz="0" w:space="0" w:color="auto"/>
      </w:divBdr>
    </w:div>
    <w:div w:id="1849710747">
      <w:bodyDiv w:val="1"/>
      <w:marLeft w:val="0"/>
      <w:marRight w:val="0"/>
      <w:marTop w:val="0"/>
      <w:marBottom w:val="0"/>
      <w:divBdr>
        <w:top w:val="none" w:sz="0" w:space="0" w:color="auto"/>
        <w:left w:val="none" w:sz="0" w:space="0" w:color="auto"/>
        <w:bottom w:val="none" w:sz="0" w:space="0" w:color="auto"/>
        <w:right w:val="none" w:sz="0" w:space="0" w:color="auto"/>
      </w:divBdr>
    </w:div>
    <w:div w:id="1851023232">
      <w:bodyDiv w:val="1"/>
      <w:marLeft w:val="0"/>
      <w:marRight w:val="0"/>
      <w:marTop w:val="0"/>
      <w:marBottom w:val="0"/>
      <w:divBdr>
        <w:top w:val="none" w:sz="0" w:space="0" w:color="auto"/>
        <w:left w:val="none" w:sz="0" w:space="0" w:color="auto"/>
        <w:bottom w:val="none" w:sz="0" w:space="0" w:color="auto"/>
        <w:right w:val="none" w:sz="0" w:space="0" w:color="auto"/>
      </w:divBdr>
    </w:div>
    <w:div w:id="1858426589">
      <w:bodyDiv w:val="1"/>
      <w:marLeft w:val="0"/>
      <w:marRight w:val="0"/>
      <w:marTop w:val="0"/>
      <w:marBottom w:val="0"/>
      <w:divBdr>
        <w:top w:val="none" w:sz="0" w:space="0" w:color="auto"/>
        <w:left w:val="none" w:sz="0" w:space="0" w:color="auto"/>
        <w:bottom w:val="none" w:sz="0" w:space="0" w:color="auto"/>
        <w:right w:val="none" w:sz="0" w:space="0" w:color="auto"/>
      </w:divBdr>
    </w:div>
    <w:div w:id="1885366235">
      <w:bodyDiv w:val="1"/>
      <w:marLeft w:val="0"/>
      <w:marRight w:val="0"/>
      <w:marTop w:val="0"/>
      <w:marBottom w:val="0"/>
      <w:divBdr>
        <w:top w:val="none" w:sz="0" w:space="0" w:color="auto"/>
        <w:left w:val="none" w:sz="0" w:space="0" w:color="auto"/>
        <w:bottom w:val="none" w:sz="0" w:space="0" w:color="auto"/>
        <w:right w:val="none" w:sz="0" w:space="0" w:color="auto"/>
      </w:divBdr>
    </w:div>
    <w:div w:id="1887444502">
      <w:bodyDiv w:val="1"/>
      <w:marLeft w:val="0"/>
      <w:marRight w:val="0"/>
      <w:marTop w:val="0"/>
      <w:marBottom w:val="0"/>
      <w:divBdr>
        <w:top w:val="none" w:sz="0" w:space="0" w:color="auto"/>
        <w:left w:val="none" w:sz="0" w:space="0" w:color="auto"/>
        <w:bottom w:val="none" w:sz="0" w:space="0" w:color="auto"/>
        <w:right w:val="none" w:sz="0" w:space="0" w:color="auto"/>
      </w:divBdr>
    </w:div>
    <w:div w:id="1889761417">
      <w:bodyDiv w:val="1"/>
      <w:marLeft w:val="0"/>
      <w:marRight w:val="0"/>
      <w:marTop w:val="0"/>
      <w:marBottom w:val="0"/>
      <w:divBdr>
        <w:top w:val="none" w:sz="0" w:space="0" w:color="auto"/>
        <w:left w:val="none" w:sz="0" w:space="0" w:color="auto"/>
        <w:bottom w:val="none" w:sz="0" w:space="0" w:color="auto"/>
        <w:right w:val="none" w:sz="0" w:space="0" w:color="auto"/>
      </w:divBdr>
    </w:div>
    <w:div w:id="1891571655">
      <w:bodyDiv w:val="1"/>
      <w:marLeft w:val="0"/>
      <w:marRight w:val="0"/>
      <w:marTop w:val="0"/>
      <w:marBottom w:val="0"/>
      <w:divBdr>
        <w:top w:val="none" w:sz="0" w:space="0" w:color="auto"/>
        <w:left w:val="none" w:sz="0" w:space="0" w:color="auto"/>
        <w:bottom w:val="none" w:sz="0" w:space="0" w:color="auto"/>
        <w:right w:val="none" w:sz="0" w:space="0" w:color="auto"/>
      </w:divBdr>
    </w:div>
    <w:div w:id="1910117707">
      <w:bodyDiv w:val="1"/>
      <w:marLeft w:val="0"/>
      <w:marRight w:val="0"/>
      <w:marTop w:val="0"/>
      <w:marBottom w:val="0"/>
      <w:divBdr>
        <w:top w:val="none" w:sz="0" w:space="0" w:color="auto"/>
        <w:left w:val="none" w:sz="0" w:space="0" w:color="auto"/>
        <w:bottom w:val="none" w:sz="0" w:space="0" w:color="auto"/>
        <w:right w:val="none" w:sz="0" w:space="0" w:color="auto"/>
      </w:divBdr>
    </w:div>
    <w:div w:id="1912736143">
      <w:bodyDiv w:val="1"/>
      <w:marLeft w:val="0"/>
      <w:marRight w:val="0"/>
      <w:marTop w:val="0"/>
      <w:marBottom w:val="0"/>
      <w:divBdr>
        <w:top w:val="none" w:sz="0" w:space="0" w:color="auto"/>
        <w:left w:val="none" w:sz="0" w:space="0" w:color="auto"/>
        <w:bottom w:val="none" w:sz="0" w:space="0" w:color="auto"/>
        <w:right w:val="none" w:sz="0" w:space="0" w:color="auto"/>
      </w:divBdr>
    </w:div>
    <w:div w:id="1918436057">
      <w:bodyDiv w:val="1"/>
      <w:marLeft w:val="0"/>
      <w:marRight w:val="0"/>
      <w:marTop w:val="0"/>
      <w:marBottom w:val="0"/>
      <w:divBdr>
        <w:top w:val="none" w:sz="0" w:space="0" w:color="auto"/>
        <w:left w:val="none" w:sz="0" w:space="0" w:color="auto"/>
        <w:bottom w:val="none" w:sz="0" w:space="0" w:color="auto"/>
        <w:right w:val="none" w:sz="0" w:space="0" w:color="auto"/>
      </w:divBdr>
    </w:div>
    <w:div w:id="1925147440">
      <w:bodyDiv w:val="1"/>
      <w:marLeft w:val="0"/>
      <w:marRight w:val="0"/>
      <w:marTop w:val="0"/>
      <w:marBottom w:val="0"/>
      <w:divBdr>
        <w:top w:val="none" w:sz="0" w:space="0" w:color="auto"/>
        <w:left w:val="none" w:sz="0" w:space="0" w:color="auto"/>
        <w:bottom w:val="none" w:sz="0" w:space="0" w:color="auto"/>
        <w:right w:val="none" w:sz="0" w:space="0" w:color="auto"/>
      </w:divBdr>
    </w:div>
    <w:div w:id="1931889226">
      <w:bodyDiv w:val="1"/>
      <w:marLeft w:val="0"/>
      <w:marRight w:val="0"/>
      <w:marTop w:val="0"/>
      <w:marBottom w:val="0"/>
      <w:divBdr>
        <w:top w:val="none" w:sz="0" w:space="0" w:color="auto"/>
        <w:left w:val="none" w:sz="0" w:space="0" w:color="auto"/>
        <w:bottom w:val="none" w:sz="0" w:space="0" w:color="auto"/>
        <w:right w:val="none" w:sz="0" w:space="0" w:color="auto"/>
      </w:divBdr>
    </w:div>
    <w:div w:id="1932004914">
      <w:bodyDiv w:val="1"/>
      <w:marLeft w:val="0"/>
      <w:marRight w:val="0"/>
      <w:marTop w:val="0"/>
      <w:marBottom w:val="0"/>
      <w:divBdr>
        <w:top w:val="none" w:sz="0" w:space="0" w:color="auto"/>
        <w:left w:val="none" w:sz="0" w:space="0" w:color="auto"/>
        <w:bottom w:val="none" w:sz="0" w:space="0" w:color="auto"/>
        <w:right w:val="none" w:sz="0" w:space="0" w:color="auto"/>
      </w:divBdr>
    </w:div>
    <w:div w:id="1950044473">
      <w:bodyDiv w:val="1"/>
      <w:marLeft w:val="0"/>
      <w:marRight w:val="0"/>
      <w:marTop w:val="0"/>
      <w:marBottom w:val="0"/>
      <w:divBdr>
        <w:top w:val="none" w:sz="0" w:space="0" w:color="auto"/>
        <w:left w:val="none" w:sz="0" w:space="0" w:color="auto"/>
        <w:bottom w:val="none" w:sz="0" w:space="0" w:color="auto"/>
        <w:right w:val="none" w:sz="0" w:space="0" w:color="auto"/>
      </w:divBdr>
    </w:div>
    <w:div w:id="1950314503">
      <w:bodyDiv w:val="1"/>
      <w:marLeft w:val="0"/>
      <w:marRight w:val="0"/>
      <w:marTop w:val="0"/>
      <w:marBottom w:val="0"/>
      <w:divBdr>
        <w:top w:val="none" w:sz="0" w:space="0" w:color="auto"/>
        <w:left w:val="none" w:sz="0" w:space="0" w:color="auto"/>
        <w:bottom w:val="none" w:sz="0" w:space="0" w:color="auto"/>
        <w:right w:val="none" w:sz="0" w:space="0" w:color="auto"/>
      </w:divBdr>
    </w:div>
    <w:div w:id="1956982490">
      <w:bodyDiv w:val="1"/>
      <w:marLeft w:val="0"/>
      <w:marRight w:val="0"/>
      <w:marTop w:val="0"/>
      <w:marBottom w:val="0"/>
      <w:divBdr>
        <w:top w:val="none" w:sz="0" w:space="0" w:color="auto"/>
        <w:left w:val="none" w:sz="0" w:space="0" w:color="auto"/>
        <w:bottom w:val="none" w:sz="0" w:space="0" w:color="auto"/>
        <w:right w:val="none" w:sz="0" w:space="0" w:color="auto"/>
      </w:divBdr>
    </w:div>
    <w:div w:id="1970820467">
      <w:bodyDiv w:val="1"/>
      <w:marLeft w:val="0"/>
      <w:marRight w:val="0"/>
      <w:marTop w:val="0"/>
      <w:marBottom w:val="0"/>
      <w:divBdr>
        <w:top w:val="none" w:sz="0" w:space="0" w:color="auto"/>
        <w:left w:val="none" w:sz="0" w:space="0" w:color="auto"/>
        <w:bottom w:val="none" w:sz="0" w:space="0" w:color="auto"/>
        <w:right w:val="none" w:sz="0" w:space="0" w:color="auto"/>
      </w:divBdr>
    </w:div>
    <w:div w:id="1971204339">
      <w:bodyDiv w:val="1"/>
      <w:marLeft w:val="0"/>
      <w:marRight w:val="0"/>
      <w:marTop w:val="0"/>
      <w:marBottom w:val="0"/>
      <w:divBdr>
        <w:top w:val="none" w:sz="0" w:space="0" w:color="auto"/>
        <w:left w:val="none" w:sz="0" w:space="0" w:color="auto"/>
        <w:bottom w:val="none" w:sz="0" w:space="0" w:color="auto"/>
        <w:right w:val="none" w:sz="0" w:space="0" w:color="auto"/>
      </w:divBdr>
    </w:div>
    <w:div w:id="1979528328">
      <w:bodyDiv w:val="1"/>
      <w:marLeft w:val="0"/>
      <w:marRight w:val="0"/>
      <w:marTop w:val="0"/>
      <w:marBottom w:val="0"/>
      <w:divBdr>
        <w:top w:val="none" w:sz="0" w:space="0" w:color="auto"/>
        <w:left w:val="none" w:sz="0" w:space="0" w:color="auto"/>
        <w:bottom w:val="none" w:sz="0" w:space="0" w:color="auto"/>
        <w:right w:val="none" w:sz="0" w:space="0" w:color="auto"/>
      </w:divBdr>
    </w:div>
    <w:div w:id="1990749818">
      <w:bodyDiv w:val="1"/>
      <w:marLeft w:val="0"/>
      <w:marRight w:val="0"/>
      <w:marTop w:val="0"/>
      <w:marBottom w:val="0"/>
      <w:divBdr>
        <w:top w:val="none" w:sz="0" w:space="0" w:color="auto"/>
        <w:left w:val="none" w:sz="0" w:space="0" w:color="auto"/>
        <w:bottom w:val="none" w:sz="0" w:space="0" w:color="auto"/>
        <w:right w:val="none" w:sz="0" w:space="0" w:color="auto"/>
      </w:divBdr>
    </w:div>
    <w:div w:id="2000230986">
      <w:bodyDiv w:val="1"/>
      <w:marLeft w:val="0"/>
      <w:marRight w:val="0"/>
      <w:marTop w:val="0"/>
      <w:marBottom w:val="0"/>
      <w:divBdr>
        <w:top w:val="none" w:sz="0" w:space="0" w:color="auto"/>
        <w:left w:val="none" w:sz="0" w:space="0" w:color="auto"/>
        <w:bottom w:val="none" w:sz="0" w:space="0" w:color="auto"/>
        <w:right w:val="none" w:sz="0" w:space="0" w:color="auto"/>
      </w:divBdr>
    </w:div>
    <w:div w:id="2008361249">
      <w:bodyDiv w:val="1"/>
      <w:marLeft w:val="0"/>
      <w:marRight w:val="0"/>
      <w:marTop w:val="0"/>
      <w:marBottom w:val="0"/>
      <w:divBdr>
        <w:top w:val="none" w:sz="0" w:space="0" w:color="auto"/>
        <w:left w:val="none" w:sz="0" w:space="0" w:color="auto"/>
        <w:bottom w:val="none" w:sz="0" w:space="0" w:color="auto"/>
        <w:right w:val="none" w:sz="0" w:space="0" w:color="auto"/>
      </w:divBdr>
    </w:div>
    <w:div w:id="2009864180">
      <w:bodyDiv w:val="1"/>
      <w:marLeft w:val="0"/>
      <w:marRight w:val="0"/>
      <w:marTop w:val="0"/>
      <w:marBottom w:val="0"/>
      <w:divBdr>
        <w:top w:val="none" w:sz="0" w:space="0" w:color="auto"/>
        <w:left w:val="none" w:sz="0" w:space="0" w:color="auto"/>
        <w:bottom w:val="none" w:sz="0" w:space="0" w:color="auto"/>
        <w:right w:val="none" w:sz="0" w:space="0" w:color="auto"/>
      </w:divBdr>
    </w:div>
    <w:div w:id="2030794523">
      <w:bodyDiv w:val="1"/>
      <w:marLeft w:val="0"/>
      <w:marRight w:val="0"/>
      <w:marTop w:val="0"/>
      <w:marBottom w:val="0"/>
      <w:divBdr>
        <w:top w:val="none" w:sz="0" w:space="0" w:color="auto"/>
        <w:left w:val="none" w:sz="0" w:space="0" w:color="auto"/>
        <w:bottom w:val="none" w:sz="0" w:space="0" w:color="auto"/>
        <w:right w:val="none" w:sz="0" w:space="0" w:color="auto"/>
      </w:divBdr>
    </w:div>
    <w:div w:id="2031908508">
      <w:bodyDiv w:val="1"/>
      <w:marLeft w:val="0"/>
      <w:marRight w:val="0"/>
      <w:marTop w:val="0"/>
      <w:marBottom w:val="0"/>
      <w:divBdr>
        <w:top w:val="none" w:sz="0" w:space="0" w:color="auto"/>
        <w:left w:val="none" w:sz="0" w:space="0" w:color="auto"/>
        <w:bottom w:val="none" w:sz="0" w:space="0" w:color="auto"/>
        <w:right w:val="none" w:sz="0" w:space="0" w:color="auto"/>
      </w:divBdr>
    </w:div>
    <w:div w:id="2033072510">
      <w:bodyDiv w:val="1"/>
      <w:marLeft w:val="0"/>
      <w:marRight w:val="0"/>
      <w:marTop w:val="0"/>
      <w:marBottom w:val="0"/>
      <w:divBdr>
        <w:top w:val="none" w:sz="0" w:space="0" w:color="auto"/>
        <w:left w:val="none" w:sz="0" w:space="0" w:color="auto"/>
        <w:bottom w:val="none" w:sz="0" w:space="0" w:color="auto"/>
        <w:right w:val="none" w:sz="0" w:space="0" w:color="auto"/>
      </w:divBdr>
    </w:div>
    <w:div w:id="2045134257">
      <w:bodyDiv w:val="1"/>
      <w:marLeft w:val="0"/>
      <w:marRight w:val="0"/>
      <w:marTop w:val="0"/>
      <w:marBottom w:val="0"/>
      <w:divBdr>
        <w:top w:val="none" w:sz="0" w:space="0" w:color="auto"/>
        <w:left w:val="none" w:sz="0" w:space="0" w:color="auto"/>
        <w:bottom w:val="none" w:sz="0" w:space="0" w:color="auto"/>
        <w:right w:val="none" w:sz="0" w:space="0" w:color="auto"/>
      </w:divBdr>
    </w:div>
    <w:div w:id="2054304900">
      <w:bodyDiv w:val="1"/>
      <w:marLeft w:val="0"/>
      <w:marRight w:val="0"/>
      <w:marTop w:val="0"/>
      <w:marBottom w:val="0"/>
      <w:divBdr>
        <w:top w:val="none" w:sz="0" w:space="0" w:color="auto"/>
        <w:left w:val="none" w:sz="0" w:space="0" w:color="auto"/>
        <w:bottom w:val="none" w:sz="0" w:space="0" w:color="auto"/>
        <w:right w:val="none" w:sz="0" w:space="0" w:color="auto"/>
      </w:divBdr>
    </w:div>
    <w:div w:id="2082176553">
      <w:bodyDiv w:val="1"/>
      <w:marLeft w:val="0"/>
      <w:marRight w:val="0"/>
      <w:marTop w:val="0"/>
      <w:marBottom w:val="0"/>
      <w:divBdr>
        <w:top w:val="none" w:sz="0" w:space="0" w:color="auto"/>
        <w:left w:val="none" w:sz="0" w:space="0" w:color="auto"/>
        <w:bottom w:val="none" w:sz="0" w:space="0" w:color="auto"/>
        <w:right w:val="none" w:sz="0" w:space="0" w:color="auto"/>
      </w:divBdr>
    </w:div>
    <w:div w:id="2090612469">
      <w:bodyDiv w:val="1"/>
      <w:marLeft w:val="0"/>
      <w:marRight w:val="0"/>
      <w:marTop w:val="0"/>
      <w:marBottom w:val="0"/>
      <w:divBdr>
        <w:top w:val="none" w:sz="0" w:space="0" w:color="auto"/>
        <w:left w:val="none" w:sz="0" w:space="0" w:color="auto"/>
        <w:bottom w:val="none" w:sz="0" w:space="0" w:color="auto"/>
        <w:right w:val="none" w:sz="0" w:space="0" w:color="auto"/>
      </w:divBdr>
    </w:div>
    <w:div w:id="2099398636">
      <w:bodyDiv w:val="1"/>
      <w:marLeft w:val="0"/>
      <w:marRight w:val="0"/>
      <w:marTop w:val="0"/>
      <w:marBottom w:val="0"/>
      <w:divBdr>
        <w:top w:val="none" w:sz="0" w:space="0" w:color="auto"/>
        <w:left w:val="none" w:sz="0" w:space="0" w:color="auto"/>
        <w:bottom w:val="none" w:sz="0" w:space="0" w:color="auto"/>
        <w:right w:val="none" w:sz="0" w:space="0" w:color="auto"/>
      </w:divBdr>
    </w:div>
    <w:div w:id="2109736500">
      <w:bodyDiv w:val="1"/>
      <w:marLeft w:val="0"/>
      <w:marRight w:val="0"/>
      <w:marTop w:val="0"/>
      <w:marBottom w:val="0"/>
      <w:divBdr>
        <w:top w:val="none" w:sz="0" w:space="0" w:color="auto"/>
        <w:left w:val="none" w:sz="0" w:space="0" w:color="auto"/>
        <w:bottom w:val="none" w:sz="0" w:space="0" w:color="auto"/>
        <w:right w:val="none" w:sz="0" w:space="0" w:color="auto"/>
      </w:divBdr>
    </w:div>
    <w:div w:id="2140609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3.png"/><Relationship Id="rId39" Type="http://schemas.openxmlformats.org/officeDocument/2006/relationships/header" Target="header13.xml"/><Relationship Id="rId21" Type="http://schemas.openxmlformats.org/officeDocument/2006/relationships/footer" Target="footer4.xml"/><Relationship Id="rId34" Type="http://schemas.openxmlformats.org/officeDocument/2006/relationships/header" Target="header11.xml"/><Relationship Id="rId42" Type="http://schemas.openxmlformats.org/officeDocument/2006/relationships/footer" Target="footer14.xml"/><Relationship Id="rId47" Type="http://schemas.openxmlformats.org/officeDocument/2006/relationships/header" Target="header17.xml"/><Relationship Id="rId50" Type="http://schemas.openxmlformats.org/officeDocument/2006/relationships/header" Target="header18.xml"/><Relationship Id="rId55" Type="http://schemas.openxmlformats.org/officeDocument/2006/relationships/footer" Target="footer20.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footer" Target="footer7.xml"/><Relationship Id="rId11" Type="http://schemas.openxmlformats.org/officeDocument/2006/relationships/endnotes" Target="endnotes.xml"/><Relationship Id="rId24" Type="http://schemas.openxmlformats.org/officeDocument/2006/relationships/footer" Target="footer6.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header" Target="header14.xml"/><Relationship Id="rId45" Type="http://schemas.openxmlformats.org/officeDocument/2006/relationships/image" Target="media/image4.png"/><Relationship Id="rId53" Type="http://schemas.openxmlformats.org/officeDocument/2006/relationships/header" Target="header20.xml"/><Relationship Id="rId58" Type="http://schemas.openxmlformats.org/officeDocument/2006/relationships/fontTable" Target="fontTable.xml"/><Relationship Id="rId5" Type="http://schemas.openxmlformats.org/officeDocument/2006/relationships/customXml" Target="../customXml/item5.xml"/><Relationship Id="rId19"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 Id="rId43" Type="http://schemas.openxmlformats.org/officeDocument/2006/relationships/header" Target="header15.xml"/><Relationship Id="rId48" Type="http://schemas.openxmlformats.org/officeDocument/2006/relationships/footer" Target="footer16.xml"/><Relationship Id="rId56" Type="http://schemas.openxmlformats.org/officeDocument/2006/relationships/header" Target="header21.xml"/><Relationship Id="rId8" Type="http://schemas.openxmlformats.org/officeDocument/2006/relationships/settings" Target="settings.xml"/><Relationship Id="rId51" Type="http://schemas.openxmlformats.org/officeDocument/2006/relationships/footer" Target="footer18.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image" Target="media/image2.png"/><Relationship Id="rId33" Type="http://schemas.openxmlformats.org/officeDocument/2006/relationships/header" Target="header10.xml"/><Relationship Id="rId38" Type="http://schemas.openxmlformats.org/officeDocument/2006/relationships/footer" Target="footer12.xml"/><Relationship Id="rId46" Type="http://schemas.openxmlformats.org/officeDocument/2006/relationships/header" Target="header16.xml"/><Relationship Id="rId59" Type="http://schemas.openxmlformats.org/officeDocument/2006/relationships/theme" Target="theme/theme1.xml"/><Relationship Id="rId20" Type="http://schemas.openxmlformats.org/officeDocument/2006/relationships/header" Target="header5.xml"/><Relationship Id="rId41" Type="http://schemas.openxmlformats.org/officeDocument/2006/relationships/footer" Target="footer13.xml"/><Relationship Id="rId54" Type="http://schemas.openxmlformats.org/officeDocument/2006/relationships/footer" Target="footer19.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header" Target="header8.xml"/><Relationship Id="rId36" Type="http://schemas.openxmlformats.org/officeDocument/2006/relationships/footer" Target="footer11.xml"/><Relationship Id="rId49" Type="http://schemas.openxmlformats.org/officeDocument/2006/relationships/footer" Target="footer17.xml"/><Relationship Id="rId57" Type="http://schemas.openxmlformats.org/officeDocument/2006/relationships/footer" Target="footer21.xml"/><Relationship Id="rId10" Type="http://schemas.openxmlformats.org/officeDocument/2006/relationships/footnotes" Target="footnotes.xml"/><Relationship Id="rId31" Type="http://schemas.openxmlformats.org/officeDocument/2006/relationships/header" Target="header9.xml"/><Relationship Id="rId44" Type="http://schemas.openxmlformats.org/officeDocument/2006/relationships/footer" Target="footer15.xml"/><Relationship Id="rId52" Type="http://schemas.openxmlformats.org/officeDocument/2006/relationships/header" Target="header1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titus xmlns="http://schemas.titus.com/TitusProperties/">
  <TitusGUID xmlns="">88ce082d-d3b4-4e9f-95be-e8d49814443a</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Zuk13</b:Tag>
    <b:SourceType>Book</b:SourceType>
    <b:Guid>{7CA36962-95BC-43E3-B73D-860DDB7571E9}</b:Guid>
    <b:Title>Explosive Effects and Applications</b:Title>
    <b:Year>2013</b:Year>
    <b:Author>
      <b:Author>
        <b:NameList>
          <b:Person>
            <b:Last>Zukas</b:Last>
            <b:First>Jonas</b:First>
            <b:Middle>A.</b:Middle>
          </b:Person>
        </b:NameList>
      </b:Author>
    </b:Author>
    <b:Publisher>Springer</b:Publisher>
    <b:RefOrder>1</b:RefOrder>
  </b:Source>
  <b:Source>
    <b:Tag>UKM20</b:Tag>
    <b:SourceType>Book</b:SourceType>
    <b:Guid>{3885F38D-49EE-423B-88A4-FC6B8C1362C1}</b:Guid>
    <b:Title>Services Textbook of Explosives</b:Title>
    <b:Year>2020</b:Year>
    <b:Author>
      <b:Author>
        <b:NameList>
          <b:Person>
            <b:Last>Defence</b:Last>
            <b:First>UK</b:First>
            <b:Middle>Ministry of</b:Middle>
          </b:Person>
        </b:NameList>
      </b:Author>
    </b:Author>
    <b:Publisher>DE&amp;S Wpns Tech Info &amp; Docs Pubs Mgr</b:Publisher>
    <b:RefOrder>2</b:RefOrder>
  </b:Source>
  <b:Source>
    <b:Tag>Jac22</b:Tag>
    <b:SourceType>Book</b:SourceType>
    <b:Guid>{A4D70C9C-FDCC-4D7B-9094-547A6C49DEEC}</b:Guid>
    <b:Author>
      <b:Author>
        <b:NameList>
          <b:Person>
            <b:Last>Akhavan</b:Last>
            <b:First>Jacqueline</b:First>
          </b:Person>
        </b:NameList>
      </b:Author>
    </b:Author>
    <b:Title>The Chemistry of Explosives</b:Title>
    <b:Year>2022</b:Year>
    <b:City>London</b:City>
    <b:Publisher>Royal Society of Chemistry</b:Publisher>
    <b:RefOrder>3</b:RefOrder>
  </b:Source>
  <b:Source>
    <b:Tag>Fre02</b:Tag>
    <b:SourceType>JournalArticle</b:SourceType>
    <b:Guid>{273E0029-EC3E-4CA6-8320-3126E28A6C2A}</b:Guid>
    <b:Title>Performance Parameters of Explosives: Equilibrium and Non-Equilibrium Reactions</b:Title>
    <b:Year>2002</b:Year>
    <b:Author>
      <b:Author>
        <b:NameList>
          <b:Person>
            <b:Last>Volk</b:Last>
            <b:First>Fred</b:First>
          </b:Person>
        </b:NameList>
      </b:Author>
    </b:Author>
    <b:JournalName>Propellants, Explosives, Pyrotechnics</b:JournalName>
    <b:Pages>136-141</b:Pages>
    <b:Volume>27</b:Volume>
    <b:Issue>3</b:Issue>
    <b:RefOrder>4</b:RefOrder>
  </b:Source>
  <b:Source>
    <b:Tag>Wil79</b:Tag>
    <b:SourceType>Book</b:SourceType>
    <b:Guid>{D6B8AE1D-C0A3-4EB7-B94C-596280AE3397}</b:Guid>
    <b:Title>Detonation: Theory and Experiment</b:Title>
    <b:Year>1979</b:Year>
    <b:Author>
      <b:Author>
        <b:NameList>
          <b:Person>
            <b:Last>Fickett</b:Last>
            <b:First>Wildon</b:First>
          </b:Person>
        </b:NameList>
      </b:Author>
    </b:Author>
    <b:City>New York</b:City>
    <b:Publisher>Dover Publications INC</b:Publisher>
    <b:RefOrder>6</b:RefOrder>
  </b:Source>
  <b:Source>
    <b:Tag>Nol19</b:Tag>
    <b:SourceType>BookSection</b:SourceType>
    <b:Guid>{39C8E3B0-75CB-43DA-AA74-653E9F577837}</b:Guid>
    <b:Title>Chapter 5 - Characteristics of Hazardous Material Releases, Fires, and Explosions</b:Title>
    <b:Year>2019</b:Year>
    <b:City>Milwaukee</b:City>
    <b:Publisher>GPP</b:Publisher>
    <b:Author>
      <b:Author>
        <b:NameList>
          <b:Person>
            <b:Last>Nolan</b:Last>
            <b:First>Dennis</b:First>
            <b:Middle>P.</b:Middle>
          </b:Person>
        </b:NameList>
      </b:Author>
    </b:Author>
    <b:JournalName>Handbook of Fire and Explosion Protection Engineering Principles for Oil, Gas, Chemical, and Related Facilities (Fourth Edition)</b:JournalName>
    <b:Pages>89-121</b:Pages>
    <b:BookTitle>Handbook of Fire and Explosion Protection Engineering Principles for Oil, Gas, Chemical, and Related Facilities</b:BookTitle>
    <b:RefOrder>7</b:RefOrder>
  </b:Source>
  <b:Source>
    <b:Tag>Pau96</b:Tag>
    <b:SourceType>Book</b:SourceType>
    <b:Guid>{344439AB-B324-4E42-BF6D-F5B71E75E99B}</b:Guid>
    <b:Title>Explosives Engineering</b:Title>
    <b:Year>1996</b:Year>
    <b:City>New York</b:City>
    <b:Publisher>John Wiley &amp; Sons</b:Publisher>
    <b:Author>
      <b:Author>
        <b:NameList>
          <b:Person>
            <b:Last>Cooper</b:Last>
            <b:First>Paul</b:First>
            <b:Middle>W.</b:Middle>
          </b:Person>
        </b:NameList>
      </b:Author>
    </b:Author>
    <b:RefOrder>5</b:RefOrder>
  </b:Source>
  <b:Source>
    <b:Tag>CMT82</b:Tag>
    <b:SourceType>JournalArticle</b:SourceType>
    <b:Guid>{0583D8CB-3AA9-445F-9E8E-078396106B38}</b:Guid>
    <b:Title>Chemical energy release in self-sustaining detonation waves in condensed explosives</b:Title>
    <b:Year>1982</b:Year>
    <b:Pages>157-176</b:Pages>
    <b:Author>
      <b:Author>
        <b:NameList>
          <b:Person>
            <b:Last>Tarver</b:Last>
            <b:First>C.</b:First>
            <b:Middle>M.</b:Middle>
          </b:Person>
        </b:NameList>
      </b:Author>
    </b:Author>
    <b:JournalName>Combustion and Flame</b:JournalName>
    <b:Volume>46</b:Volume>
    <b:RefOrder>8</b:RefOrder>
  </b:Source>
  <b:Source>
    <b:Tag>Fen24</b:Tag>
    <b:SourceType>JournalArticle</b:SourceType>
    <b:Guid>{F272422A-C71B-43BC-BC46-65CA2BD30543}</b:Guid>
    <b:Author>
      <b:Author>
        <b:NameList>
          <b:Person>
            <b:Last>Guo</b:Last>
            <b:First>Fengwei</b:First>
          </b:Person>
        </b:NameList>
      </b:Author>
    </b:Author>
    <b:Title>Ignition mechanism and chemical reaction of the micro-damage polymer-bonded explosives under different inertial loading conditions</b:Title>
    <b:JournalName>Polymer Testing</b:JournalName>
    <b:Year>2024</b:Year>
    <b:Pages>1-12</b:Pages>
    <b:Volume>137</b:Volume>
    <b:RefOrder>22</b:RefOrder>
  </b:Source>
  <b:Source>
    <b:Tag>Irv62</b:Tag>
    <b:SourceType>JournalArticle</b:SourceType>
    <b:Guid>{5C4AC1E4-39BB-47B3-AF6C-EE54C12936D6}</b:Guid>
    <b:Author>
      <b:Author>
        <b:NameList>
          <b:Person>
            <b:Last>Jaffe</b:Last>
            <b:First>Irving</b:First>
          </b:Person>
        </b:NameList>
      </b:Author>
    </b:Author>
    <b:Title>Determination of the Critical Diameter of Explosive Materials</b:Title>
    <b:JournalName>American Rocket Society Journal</b:JournalName>
    <b:Year>1962</b:Year>
    <b:Pages>1060-1065</b:Pages>
    <b:Volume>32</b:Volume>
    <b:RefOrder>18</b:RefOrder>
  </b:Source>
  <b:Source>
    <b:Tag>Vje22</b:Tag>
    <b:SourceType>JournalArticle</b:SourceType>
    <b:Guid>{750A09F2-BC47-4939-A5AE-D9826BCF64D7}</b:Guid>
    <b:Author>
      <b:Author>
        <b:NameList>
          <b:Person>
            <b:Last>Bohanek</b:Last>
            <b:First>Vjecslav</b:First>
          </b:Person>
        </b:NameList>
      </b:Author>
    </b:Author>
    <b:Title>Effect of Confinement on Detonation Velocity and Plate Dent Test Results for ANFO Explosive</b:Title>
    <b:JournalName>Energies</b:JournalName>
    <b:Year>2022</b:Year>
    <b:Volume>15</b:Volume>
    <b:Issue>12</b:Issue>
    <b:RefOrder>25</b:RefOrder>
  </b:Source>
  <b:Source>
    <b:Tag>Sek24</b:Tag>
    <b:SourceType>ElectronicSource</b:SourceType>
    <b:Guid>{95325DA8-576B-4843-A789-A22BD258AD1D}</b:Guid>
    <b:Title>Key Properties Affecting Choice of Explosives</b:Title>
    <b:Year>2024</b:Year>
    <b:City>State College, PA</b:City>
    <b:Publisher>PennState</b:Publisher>
    <b:Author>
      <b:Author>
        <b:NameList>
          <b:Person>
            <b:Last>Bhattacharyya</b:Last>
            <b:First>Sekhar</b:First>
          </b:Person>
        </b:NameList>
      </b:Author>
    </b:Author>
    <b:RefOrder>20</b:RefOrder>
  </b:Source>
  <b:Source>
    <b:Tag>MMC77</b:Tag>
    <b:SourceType>JournalArticle</b:SourceType>
    <b:Guid>{F7801A90-E42B-4995-BECA-52F4FD64460A}</b:Guid>
    <b:Author>
      <b:Author>
        <b:NameList>
          <b:Person>
            <b:Last>Chaudhri</b:Last>
            <b:First>M.</b:First>
            <b:Middle>M.</b:Middle>
          </b:Person>
        </b:NameList>
      </b:Author>
    </b:Author>
    <b:Title>The High Velocity Detonation of Single Crystals of α-Lead Azide</b:Title>
    <b:JournalName>Propellants, Explosives, Pyrotechnics</b:JournalName>
    <b:Year>1977</b:Year>
    <b:Pages>91-93</b:Pages>
    <b:Volume>2</b:Volume>
    <b:Issue>5</b:Issue>
    <b:RefOrder>12</b:RefOrder>
  </b:Source>
  <b:Source>
    <b:Tag>JMG58</b:Tag>
    <b:SourceType>JournalArticle</b:SourceType>
    <b:Guid>{5311C266-8DB2-43D4-AEC8-B83C0DEFDFC8}</b:Guid>
    <b:Author>
      <b:Author>
        <b:NameList>
          <b:Person>
            <b:Last>Groocock</b:Last>
            <b:First>J.</b:First>
            <b:Middle>M.</b:Middle>
          </b:Person>
        </b:NameList>
      </b:Author>
    </b:Author>
    <b:Title>The thermal explosion of α-lead azide</b:Title>
    <b:JournalName>Transactions of the Faraday Society</b:JournalName>
    <b:Year>1958</b:Year>
    <b:Pages>1526-1536</b:Pages>
    <b:Volume>54</b:Volume>
    <b:RefOrder>14</b:RefOrder>
  </b:Source>
  <b:Source>
    <b:Tag>Xia24</b:Tag>
    <b:SourceType>JournalArticle</b:SourceType>
    <b:Guid>{F3879AF5-9BE9-47F5-82BF-26573D01C39C}</b:Guid>
    <b:Author>
      <b:Author>
        <b:NameList>
          <b:Person>
            <b:Last>Yuan</b:Last>
            <b:First>Xiaoxia</b:First>
          </b:Person>
        </b:NameList>
      </b:Author>
    </b:Author>
    <b:Title>The detonation pressure measurement of lead azide based on PDV technology</b:Title>
    <b:JournalName> Journal of Physics: Conference Series</b:JournalName>
    <b:Year>2024</b:Year>
    <b:Volume>2891</b:Volume>
    <b:Issue>2</b:Issue>
    <b:RefOrder>13</b:RefOrder>
  </b:Source>
  <b:Source>
    <b:Tag>Rob00</b:Tag>
    <b:SourceType>InternetSite</b:SourceType>
    <b:Guid>{445A3CF5-6E8D-4939-8FFE-C160B6DF64FE}</b:Guid>
    <b:Title>Properties of Selected High Explosives</b:Title>
    <b:Year>2000</b:Year>
    <b:Author>
      <b:Author>
        <b:NameList>
          <b:Person>
            <b:Last>Weinheimer</b:Last>
            <b:First>Robert</b:First>
          </b:Person>
        </b:NameList>
      </b:Author>
    </b:Author>
    <b:ProductionCompany>PACSCI EMC</b:ProductionCompany>
    <b:Month>July</b:Month>
    <b:YearAccessed>2025</b:YearAccessed>
    <b:MonthAccessed>December</b:MonthAccessed>
    <b:DayAccessed>11</b:DayAccessed>
    <b:URL>https://psemc.com/resources/pyrotechnic-white-papers/properties-of-selected-high-explosives-rev/</b:URL>
    <b:RefOrder>17</b:RefOrder>
  </b:Source>
  <b:Source>
    <b:Tag>Bar88</b:Tag>
    <b:SourceType>ConferenceProceedings</b:SourceType>
    <b:Guid>{F7C4A883-1D02-48AF-8136-393B27E8BF0B}</b:Guid>
    <b:Title>Recent Advances In Solid Fueled Pulsed Short-Wavelength Chemical Laser Research</b:Title>
    <b:Year>1988</b:Year>
    <b:Author>
      <b:Author>
        <b:NameList>
          <b:Person>
            <b:Last>Bar</b:Last>
            <b:First>I.</b:First>
          </b:Person>
        </b:NameList>
      </b:Author>
    </b:Author>
    <b:JournalName>7th International Symposium on Gas Flow and Chemical Lasers</b:JournalName>
    <b:Volume>1031</b:Volume>
    <b:ConferenceName>7TH INTERNATIONAL SYMPOSIUM ON GAS FLOW AND CHEMICAL LASERS</b:ConferenceName>
    <b:City>Vienna</b:City>
    <b:RefOrder>11</b:RefOrder>
  </b:Source>
  <b:Source>
    <b:Tag>HAb12</b:Tag>
    <b:SourceType>Book</b:SourceType>
    <b:Guid>{27AA9057-5B6A-4978-82BC-E9807E015BF2}</b:Guid>
    <b:Title>Toxicological Profile for RDX</b:Title>
    <b:Year>2012</b:Year>
    <b:City>Atlanta</b:City>
    <b:Author>
      <b:Author>
        <b:NameList>
          <b:Person>
            <b:Last>Abadin</b:Last>
            <b:First>H</b:First>
          </b:Person>
        </b:NameList>
      </b:Author>
    </b:Author>
    <b:Publisher>Agency for Toxic Substances and Disease Registry</b:Publisher>
    <b:RefOrder>16</b:RefOrder>
  </b:Source>
  <b:Source>
    <b:Tag>Jam25</b:Tag>
    <b:SourceType>InternetSite</b:SourceType>
    <b:Guid>{EC846DFC-ABE9-41AB-9F58-80CF5CA9630C}</b:Guid>
    <b:Title>Equilibrium and Energy Relationships</b:Title>
    <b:Year>2025</b:Year>
    <b:Author>
      <b:Author>
        <b:NameList>
          <b:Person>
            <b:Last>Ashenhurst</b:Last>
            <b:First>James</b:First>
          </b:Person>
        </b:NameList>
      </b:Author>
    </b:Author>
    <b:ProductionCompany>Master Organic Chemistry</b:ProductionCompany>
    <b:Month>October</b:Month>
    <b:Day>28</b:Day>
    <b:YearAccessed>2025</b:YearAccessed>
    <b:MonthAccessed>December</b:MonthAccessed>
    <b:DayAccessed>11</b:DayAccessed>
    <b:URL>https://www.masterorganicchemistry.com/2023/08/02/equilibrium-constant-delta-g-calculations-organic-chemistry/</b:URL>
    <b:RefOrder>15</b:RefOrder>
  </b:Source>
  <b:Source>
    <b:Tag>BMD81</b:Tag>
    <b:SourceType>BookSection</b:SourceType>
    <b:Guid>{9DBD58E2-3F22-4B41-8834-119106E1424A}</b:Guid>
    <b:Title>Critical Diameter</b:Title>
    <b:Year>1981</b:Year>
    <b:City>Livermore</b:City>
    <b:Publisher>Lawrence Livermore National Laboratory</b:Publisher>
    <b:Author>
      <b:Author>
        <b:NameList>
          <b:Person>
            <b:Last>Dobratz</b:Last>
            <b:First>B.</b:First>
            <b:Middle>M.</b:Middle>
          </b:Person>
        </b:NameList>
      </b:Author>
    </b:Author>
    <b:BookTitle>LLNL Explosives Handbook: Properties of Chemical Explosives and Explosive Stimulants</b:BookTitle>
    <b:Pages>232-233</b:Pages>
    <b:RefOrder>19</b:RefOrder>
  </b:Source>
  <b:Source>
    <b:Tag>Pet06</b:Tag>
    <b:SourceType>Report</b:SourceType>
    <b:Guid>{DC68EEE1-5F79-484B-86A8-2A025DB33D0B}</b:Guid>
    <b:Title>Initiation and Detonation in Lead Azide and Silver Azide at Sub-Millimeter Geometries</b:Title>
    <b:Year>2006</b:Year>
    <b:City>Lubbock</b:City>
    <b:Publisher>Texas Tech University</b:Publisher>
    <b:Author>
      <b:Author>
        <b:NameList>
          <b:Person>
            <b:Last>Jung</b:Last>
            <b:First>Peter</b:First>
          </b:Person>
        </b:NameList>
      </b:Author>
    </b:Author>
    <b:RefOrder>21</b:RefOrder>
  </b:Source>
  <b:Source>
    <b:Tag>Har04</b:Tag>
    <b:SourceType>Report</b:SourceType>
    <b:Guid>{B0C56F48-6010-4ACF-8DCE-C90551E4E900}</b:Guid>
    <b:Author>
      <b:Author>
        <b:NameList>
          <b:Person>
            <b:Last>Verakis</b:Last>
            <b:First>Harry</b:First>
          </b:Person>
        </b:NameList>
      </b:Author>
    </b:Author>
    <b:Title>Evaluation of Electronic Detonators - Requirements for Shunting &amp; Circuit Testing</b:Title>
    <b:Year>2004</b:Year>
    <b:Publisher>UNITED STATES DEPARTMENT OF LABOR </b:Publisher>
    <b:City>Triadelphia</b:City>
    <b:RefOrder>23</b:RefOrder>
  </b:Source>
  <b:Source>
    <b:Tag>Jix25</b:Tag>
    <b:SourceType>JournalArticle</b:SourceType>
    <b:Guid>{24EE0D58-6CF6-4743-BCCC-8C33C9A18CB8}</b:Guid>
    <b:Title>Energy release characteristics of confined explosives at varying violence levels</b:Title>
    <b:Year>2025</b:Year>
    <b:Author>
      <b:Author>
        <b:NameList>
          <b:Person>
            <b:Last>Jiao</b:Last>
            <b:First>Jixuan</b:First>
          </b:Person>
        </b:NameList>
      </b:Author>
    </b:Author>
    <b:JournalName>AIP Advances</b:JournalName>
    <b:Volume>15</b:Volume>
    <b:Issue>8</b:Issue>
    <b:RefOrder>24</b:RefOrder>
  </b:Source>
  <b:Source>
    <b:Tag>Eug23</b:Tag>
    <b:SourceType>InternetSite</b:SourceType>
    <b:Guid>{5AD2517E-2FA7-4DF1-931E-EBE4A9B6B3D8}</b:Guid>
    <b:Title>Velocity of Detonation (VoD) Explained</b:Title>
    <b:Year>2023</b:Year>
    <b:Author>
      <b:Author>
        <b:NameList>
          <b:Person>
            <b:Last>Preis</b:Last>
            <b:First>Eugene</b:First>
          </b:Person>
        </b:NameList>
      </b:Author>
    </b:Author>
    <b:ProductionCompany>ERG Industrial</b:ProductionCompany>
    <b:Month>October</b:Month>
    <b:Day>6</b:Day>
    <b:YearAccessed>2025</b:YearAccessed>
    <b:MonthAccessed>December</b:MonthAccessed>
    <b:DayAccessed>22</b:DayAccessed>
    <b:URL>https://ergindustrial.com/velocity-of-detonation-vod-explained/</b:URL>
    <b:RefOrder>26</b:RefOrder>
  </b:Source>
  <b:Source>
    <b:Tag>Tho21</b:Tag>
    <b:SourceType>JournalArticle</b:SourceType>
    <b:Guid>{AFDC0FE0-7CFF-4865-93FE-A3D55742DECF}</b:Guid>
    <b:Title>A Computational Study on the Detonation Velocity of Mixtures of Solid Explosives with Non-Explosive Liquids</b:Title>
    <b:Year>2021</b:Year>
    <b:Author>
      <b:Author>
        <b:NameList>
          <b:Person>
            <b:Last>Klapotke</b:Last>
            <b:First>Thomas</b:First>
          </b:Person>
        </b:NameList>
      </b:Author>
    </b:Author>
    <b:JournalName>Propellants, Explosives, Pyrotechnics</b:JournalName>
    <b:Pages>352-354</b:Pages>
    <b:Volume>46</b:Volume>
    <b:Issue>3</b:Issue>
    <b:RefOrder>27</b:RefOrder>
  </b:Source>
  <b:Source>
    <b:Tag>NIS25</b:Tag>
    <b:SourceType>ElectronicSource</b:SourceType>
    <b:Guid>{3AFF8D00-446F-4BC8-AE8E-D20BBD55411A}</b:Guid>
    <b:Title>ANSI/ASTM E1732 Standard Terminology Relating to Forensic Science</b:Title>
    <b:Year>2025</b:Year>
    <b:Author>
      <b:Author>
        <b:NameList>
          <b:Person>
            <b:Last>NIST</b:Last>
          </b:Person>
        </b:NameList>
      </b:Author>
    </b:Author>
    <b:City>West Conshohocken</b:City>
    <b:Publisher>ASTM International</b:Publisher>
    <b:RefOrder>28</b:RefOrder>
  </b:Source>
  <b:Source>
    <b:Tag>Nat98</b:Tag>
    <b:SourceType>BookSection</b:SourceType>
    <b:Guid>{2F3D405F-A384-4788-AD4D-D7E75401BA4C}</b:Guid>
    <b:Title>Appendix M</b:Title>
    <b:City>Washington</b:City>
    <b:Publisher>National Academies Press</b:Publisher>
    <b:Year>1998</b:Year>
    <b:Author>
      <b:Author>
        <b:NameList>
          <b:Person>
            <b:Last>Council</b:Last>
            <b:First>National</b:First>
            <b:Middle>Research</b:Middle>
          </b:Person>
        </b:NameList>
      </b:Author>
    </b:Author>
    <b:BookTitle>Containing the Threat from Illegal Bombings: An Integrated National Strategy for Marking, Tagging, Rendering Inert, and Licensing Explosives and Their Precursors</b:BookTitle>
    <b:Pages>361</b:Pages>
    <b:RefOrder>29</b:RefOrder>
  </b:Source>
  <b:Source>
    <b:Tag>Nor25</b:Tag>
    <b:SourceType>BookSection</b:SourceType>
    <b:Guid>{AA2F795C-27AE-4756-8C15-15D36B1B1102}</b:Guid>
    <b:Title>Types of Chemical Explosives</b:Title>
    <b:BookTitle>Britannica Encyclopedia</b:BookTitle>
    <b:Year>2025</b:Year>
    <b:City>Chicago</b:City>
    <b:Publisher>Britannica Encyclopedia Inc</b:Publisher>
    <b:Author>
      <b:Author>
        <b:NameList>
          <b:Person>
            <b:Last>Johnson</b:Last>
            <b:First>Norman</b:First>
          </b:Person>
        </b:NameList>
      </b:Author>
    </b:Author>
    <b:RefOrder>9</b:RefOrder>
  </b:Source>
  <b:Source>
    <b:Tag>Dhe19</b:Tag>
    <b:SourceType>JournalArticle</b:SourceType>
    <b:Guid>{2D739A69-86AA-4802-8FF4-170AB94282E4}</b:Guid>
    <b:Title>The Explosive Chemistry of Nitrogen: A Fascinating Journey from 9th Century to the Present</b:Title>
    <b:Year>2019</b:Year>
    <b:Author>
      <b:Author>
        <b:NameList>
          <b:Person>
            <b:Last>Kumar</b:Last>
            <b:First>Dheeraj</b:First>
          </b:Person>
        </b:NameList>
      </b:Author>
    </b:Author>
    <b:JournalName>Resonance</b:JournalName>
    <b:Volume>24</b:Volume>
    <b:RefOrder>10</b:RefOrder>
  </b:Source>
</b:Sources>
</file>

<file path=customXml/itemProps1.xml><?xml version="1.0" encoding="utf-8"?>
<ds:datastoreItem xmlns:ds="http://schemas.openxmlformats.org/officeDocument/2006/customXml" ds:itemID="{93034980-3A77-432B-81CC-EF82D4C625AC}">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microsoft.com/sharepoint/v3"/>
    <ds:schemaRef ds:uri="f6a84657-7f7d-49a3-8d6a-40e484b3ca75"/>
    <ds:schemaRef ds:uri="4cd35da3-83ae-4f65-abb8-8c805dda85d5"/>
    <ds:schemaRef ds:uri="3388a729-9e12-4312-a76d-5fe9bbf8ecd2"/>
    <ds:schemaRef ds:uri="http://www.w3.org/XML/1998/namespace"/>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0565EFC8-073D-47A1-BFEB-CDD82097D6BF}">
  <ds:schemaRefs>
    <ds:schemaRef ds:uri="http://schemas.titus.com/TitusProperties/"/>
    <ds:schemaRef ds:uri=""/>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A11E5B5-0130-4B2D-8888-E75EEFF6D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3245</Words>
  <Characters>18500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Davies, Beth (UK)</cp:lastModifiedBy>
  <cp:revision>3</cp:revision>
  <cp:lastPrinted>2025-12-23T11:25:00Z</cp:lastPrinted>
  <dcterms:created xsi:type="dcterms:W3CDTF">2025-12-23T11:26:00Z</dcterms:created>
  <dcterms:modified xsi:type="dcterms:W3CDTF">2025-12-23T11:26:00Z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88ce082d-d3b4-4e9f-95be-e8d49814443a</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