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6381907"/>
        <w:docPartObj>
          <w:docPartGallery w:val="Cover Pages"/>
          <w:docPartUnique/>
        </w:docPartObj>
      </w:sdtPr>
      <w:sdtEndPr>
        <w:rPr>
          <w:sz w:val="24"/>
          <w:szCs w:val="24"/>
          <w:u w:val="single"/>
        </w:rPr>
      </w:sdtEndPr>
      <w:sdtContent>
        <w:p w14:paraId="24FCDF5D" w14:textId="7363AF54" w:rsidR="00AF464F" w:rsidRDefault="00AF464F">
          <w:r>
            <w:rPr>
              <w:noProof/>
            </w:rPr>
            <mc:AlternateContent>
              <mc:Choice Requires="wps">
                <w:drawing>
                  <wp:anchor distT="0" distB="0" distL="114300" distR="114300" simplePos="0" relativeHeight="251697152" behindDoc="1" locked="0" layoutInCell="1" allowOverlap="1" wp14:anchorId="30A66920" wp14:editId="0D4959A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6127621" w14:textId="77777777" w:rsidR="00AF464F" w:rsidRDefault="00AF464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0A66920" id="Rectangle 466" o:spid="_x0000_s1026" style="position:absolute;margin-left:0;margin-top:0;width:581.4pt;height:752.4pt;z-index:-25161932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06127621" w14:textId="77777777" w:rsidR="00AF464F" w:rsidRDefault="00AF464F"/>
                      </w:txbxContent>
                    </v:textbox>
                    <w10:wrap anchorx="page" anchory="page"/>
                  </v:rect>
                </w:pict>
              </mc:Fallback>
            </mc:AlternateContent>
          </w:r>
          <w:r>
            <w:rPr>
              <w:noProof/>
            </w:rPr>
            <mc:AlternateContent>
              <mc:Choice Requires="wps">
                <w:drawing>
                  <wp:anchor distT="0" distB="0" distL="114300" distR="114300" simplePos="0" relativeHeight="251687936" behindDoc="0" locked="0" layoutInCell="1" allowOverlap="1" wp14:anchorId="711C8C77" wp14:editId="6F459F7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7A2B38" w14:textId="470293B0" w:rsidR="00AF464F" w:rsidRDefault="0072282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54482D">
                                      <w:rPr>
                                        <w:color w:val="FFFFFF" w:themeColor="background1"/>
                                      </w:rPr>
                                      <w:t>MA Dissertation History and Heritage: HPHI7012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11C8C77" id="Rectangle 467" o:spid="_x0000_s1027" style="position:absolute;margin-left:0;margin-top:0;width:226.45pt;height:237.6pt;z-index:2516879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7D7A2B38" w14:textId="470293B0" w:rsidR="00AF464F" w:rsidRDefault="0072282D">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Pr="0054482D">
                                <w:rPr>
                                  <w:color w:val="FFFFFF" w:themeColor="background1"/>
                                </w:rPr>
                                <w:t>MA Dissertation History and Heritage: HPHI7012</w:t>
                              </w:r>
                            </w:sdtContent>
                          </w:sdt>
                        </w:p>
                      </w:txbxContent>
                    </v:textbox>
                    <w10:wrap anchorx="page" anchory="page"/>
                  </v:rect>
                </w:pict>
              </mc:Fallback>
            </mc:AlternateContent>
          </w:r>
          <w:r>
            <w:rPr>
              <w:noProof/>
            </w:rPr>
            <mc:AlternateContent>
              <mc:Choice Requires="wps">
                <w:drawing>
                  <wp:anchor distT="0" distB="0" distL="114300" distR="114300" simplePos="0" relativeHeight="251684864" behindDoc="0" locked="0" layoutInCell="1" allowOverlap="1" wp14:anchorId="5D02E01C" wp14:editId="525C6A3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83F7B32" id="Rectangle 468" o:spid="_x0000_s1026" style="position:absolute;margin-left:0;margin-top:0;width:244.8pt;height:554.4pt;z-index:2516848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94080" behindDoc="0" locked="0" layoutInCell="1" allowOverlap="1" wp14:anchorId="3E6383DE" wp14:editId="0AC6A4D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8EF64AC" id="Rectangle 469" o:spid="_x0000_s1026" style="position:absolute;margin-left:0;margin-top:0;width:226.45pt;height:9.35pt;z-index:25169408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91008" behindDoc="0" locked="0" layoutInCell="1" allowOverlap="1" wp14:anchorId="01AF2ACC" wp14:editId="380981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B78030" w14:textId="13102F02" w:rsidR="00AF464F" w:rsidRDefault="007F2DDF">
                                    <w:pPr>
                                      <w:spacing w:line="240" w:lineRule="auto"/>
                                      <w:rPr>
                                        <w:rFonts w:asciiTheme="majorHAnsi" w:eastAsiaTheme="majorEastAsia" w:hAnsiTheme="majorHAnsi" w:cstheme="majorBidi"/>
                                        <w:noProof/>
                                        <w:color w:val="4472C4" w:themeColor="accent1"/>
                                        <w:sz w:val="72"/>
                                        <w:szCs w:val="144"/>
                                      </w:rPr>
                                    </w:pPr>
                                    <w:r w:rsidRPr="007F2DDF">
                                      <w:rPr>
                                        <w:rFonts w:asciiTheme="majorHAnsi" w:eastAsiaTheme="majorEastAsia" w:hAnsiTheme="majorHAnsi" w:cstheme="majorBidi"/>
                                        <w:noProof/>
                                        <w:color w:val="4472C4" w:themeColor="accent1"/>
                                        <w:sz w:val="32"/>
                                        <w:szCs w:val="32"/>
                                      </w:rPr>
                                      <w:t>A DISSERTATION EXPLORING THE REPRESENTATIONS OF NATIVE AMERICANS IN THREE PANELS OF JACOB LAWRENCE’S ‘STRUGGLE FROM THE HISTORY OF THE AMERICAN PEOPLE’ COLLECTION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CBD9C96" w14:textId="48CF0395" w:rsidR="00AF464F" w:rsidRDefault="0072282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1AF2ACC" id="_x0000_t202" coordsize="21600,21600" o:spt="202" path="m,l,21600r21600,l21600,xe">
                    <v:stroke joinstyle="miter"/>
                    <v:path gradientshapeok="t" o:connecttype="rect"/>
                  </v:shapetype>
                  <v:shape id="Text Box 470" o:spid="_x0000_s1028" type="#_x0000_t202" style="position:absolute;margin-left:0;margin-top:0;width:220.3pt;height:194.9pt;z-index:25169100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32"/>
                              <w:szCs w:val="3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AB78030" w14:textId="13102F02" w:rsidR="00AF464F" w:rsidRDefault="007F2DDF">
                              <w:pPr>
                                <w:spacing w:line="240" w:lineRule="auto"/>
                                <w:rPr>
                                  <w:rFonts w:asciiTheme="majorHAnsi" w:eastAsiaTheme="majorEastAsia" w:hAnsiTheme="majorHAnsi" w:cstheme="majorBidi"/>
                                  <w:noProof/>
                                  <w:color w:val="4472C4" w:themeColor="accent1"/>
                                  <w:sz w:val="72"/>
                                  <w:szCs w:val="144"/>
                                </w:rPr>
                              </w:pPr>
                              <w:r w:rsidRPr="007F2DDF">
                                <w:rPr>
                                  <w:rFonts w:asciiTheme="majorHAnsi" w:eastAsiaTheme="majorEastAsia" w:hAnsiTheme="majorHAnsi" w:cstheme="majorBidi"/>
                                  <w:noProof/>
                                  <w:color w:val="4472C4" w:themeColor="accent1"/>
                                  <w:sz w:val="32"/>
                                  <w:szCs w:val="32"/>
                                </w:rPr>
                                <w:t>A DISSERTATION EXPLORING THE REPRESENTATIONS OF NATIVE AMERICANS IN THREE PANELS OF JACOB LAWRENCE’S ‘STRUGGLE FROM THE HISTORY OF THE AMERICAN PEOPLE’ COLLECTION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1CBD9C96" w14:textId="48CF0395" w:rsidR="00AF464F" w:rsidRDefault="0072282D">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484F90DE" w14:textId="524A2F43" w:rsidR="00AF464F" w:rsidRDefault="007F2DDF">
          <w:pPr>
            <w:rPr>
              <w:sz w:val="24"/>
              <w:szCs w:val="24"/>
              <w:u w:val="single"/>
            </w:rPr>
          </w:pPr>
          <w:r>
            <w:rPr>
              <w:noProof/>
            </w:rPr>
            <mc:AlternateContent>
              <mc:Choice Requires="wps">
                <w:drawing>
                  <wp:anchor distT="0" distB="0" distL="114300" distR="114300" simplePos="0" relativeHeight="251700224" behindDoc="0" locked="0" layoutInCell="1" allowOverlap="1" wp14:anchorId="1411CAD4" wp14:editId="7BE0BB35">
                    <wp:simplePos x="0" y="0"/>
                    <wp:positionH relativeFrom="page">
                      <wp:posOffset>3438939</wp:posOffset>
                    </wp:positionH>
                    <wp:positionV relativeFrom="page">
                      <wp:posOffset>6629400</wp:posOffset>
                    </wp:positionV>
                    <wp:extent cx="2797810" cy="556591"/>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556591"/>
                            </a:xfrm>
                            <a:prstGeom prst="rect">
                              <a:avLst/>
                            </a:prstGeom>
                            <a:noFill/>
                            <a:ln w="6350">
                              <a:noFill/>
                            </a:ln>
                            <a:effectLst/>
                          </wps:spPr>
                          <wps:txbx>
                            <w:txbxContent>
                              <w:p w14:paraId="4502FB44" w14:textId="49B1D16A" w:rsidR="00AF464F" w:rsidRDefault="00AF464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Rosanna Jevon (1602506)</w:t>
                                    </w:r>
                                  </w:sdtContent>
                                </w:sdt>
                                <w:r w:rsidR="007F2DDF">
                                  <w:rPr>
                                    <w:noProof/>
                                    <w:color w:val="44546A" w:themeColor="text2"/>
                                  </w:rPr>
                                  <w:t xml:space="preserve"> University of Wales Trinity Saint David’s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1411CAD4" id="Text Box 465" o:spid="_x0000_s1029" type="#_x0000_t202" style="position:absolute;margin-left:270.8pt;margin-top:522pt;width:220.3pt;height:43.85pt;z-index:25170022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" filled="f" stroked="f" strokeweight=".5pt">
                    <v:textbox>
                      <w:txbxContent>
                        <w:p w14:paraId="4502FB44" w14:textId="49B1D16A" w:rsidR="00AF464F" w:rsidRDefault="00AF464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Rosanna Jevon (1602506)</w:t>
                              </w:r>
                            </w:sdtContent>
                          </w:sdt>
                          <w:r w:rsidR="007F2DDF">
                            <w:rPr>
                              <w:noProof/>
                              <w:color w:val="44546A" w:themeColor="text2"/>
                            </w:rPr>
                            <w:t xml:space="preserve"> University of Wales Trinity Saint David’s</w:t>
                          </w:r>
                        </w:p>
                      </w:txbxContent>
                    </v:textbox>
                    <w10:wrap type="square" anchorx="page" anchory="page"/>
                  </v:shape>
                </w:pict>
              </mc:Fallback>
            </mc:AlternateContent>
          </w:r>
          <w:r w:rsidR="00AF464F">
            <w:rPr>
              <w:sz w:val="24"/>
              <w:szCs w:val="24"/>
              <w:u w:val="single"/>
            </w:rPr>
            <w:br w:type="page"/>
          </w:r>
        </w:p>
      </w:sdtContent>
    </w:sdt>
    <w:p w14:paraId="1F7EBDE3" w14:textId="5439CBE2" w:rsidR="008E53FB" w:rsidRPr="008E53FB" w:rsidRDefault="008E53FB" w:rsidP="008E53FB">
      <w:pPr>
        <w:rPr>
          <w:sz w:val="24"/>
          <w:szCs w:val="24"/>
          <w:u w:val="single"/>
        </w:rPr>
      </w:pPr>
      <w:r w:rsidRPr="008E53FB">
        <w:rPr>
          <w:sz w:val="24"/>
          <w:szCs w:val="24"/>
          <w:u w:val="single"/>
        </w:rPr>
        <w:drawing>
          <wp:inline distT="0" distB="0" distL="0" distR="0" wp14:anchorId="7BACFA7D" wp14:editId="36128C31">
            <wp:extent cx="1857375" cy="762000"/>
            <wp:effectExtent l="0" t="0" r="0" b="0"/>
            <wp:docPr id="15" name="Picture 1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C4775FE" w14:textId="77777777" w:rsidR="008E53FB" w:rsidRPr="008E53FB" w:rsidRDefault="008E53FB" w:rsidP="00344013">
      <w:pPr>
        <w:spacing w:line="240" w:lineRule="auto"/>
        <w:rPr>
          <w:sz w:val="24"/>
          <w:szCs w:val="24"/>
        </w:rPr>
      </w:pPr>
      <w:r w:rsidRPr="008E53FB">
        <w:rPr>
          <w:b/>
          <w:sz w:val="24"/>
          <w:szCs w:val="24"/>
        </w:rPr>
        <w:t>Master’s Degrees by Examination and Dissertation</w:t>
      </w:r>
    </w:p>
    <w:p w14:paraId="3C868AE2" w14:textId="77777777" w:rsidR="008E53FB" w:rsidRPr="008E53FB" w:rsidRDefault="008E53FB" w:rsidP="00344013">
      <w:pPr>
        <w:spacing w:line="240" w:lineRule="auto"/>
        <w:rPr>
          <w:sz w:val="24"/>
          <w:szCs w:val="24"/>
        </w:rPr>
      </w:pPr>
      <w:r w:rsidRPr="008E53FB">
        <w:rPr>
          <w:b/>
          <w:sz w:val="24"/>
          <w:szCs w:val="24"/>
        </w:rPr>
        <w:t>Declaration Form</w:t>
      </w:r>
    </w:p>
    <w:p w14:paraId="108AD260" w14:textId="77777777" w:rsidR="008E53FB" w:rsidRPr="008E53FB" w:rsidRDefault="008E53FB" w:rsidP="00344013">
      <w:pPr>
        <w:spacing w:line="240" w:lineRule="auto"/>
        <w:rPr>
          <w:sz w:val="24"/>
          <w:szCs w:val="24"/>
        </w:rPr>
      </w:pPr>
      <w:r w:rsidRPr="008E53FB">
        <w:rPr>
          <w:sz w:val="24"/>
          <w:szCs w:val="24"/>
        </w:rPr>
        <w:t>1. This work has not previously been accepted in substance for any degree and is not being concurrently submitted in candidature for any degree.</w:t>
      </w:r>
    </w:p>
    <w:p w14:paraId="38B57149" w14:textId="77777777" w:rsidR="008E53FB" w:rsidRPr="008E53FB" w:rsidRDefault="008E53FB" w:rsidP="00344013">
      <w:pPr>
        <w:spacing w:line="240" w:lineRule="auto"/>
        <w:rPr>
          <w:sz w:val="24"/>
          <w:szCs w:val="24"/>
        </w:rPr>
      </w:pPr>
      <w:r w:rsidRPr="008E53FB">
        <w:rPr>
          <w:sz w:val="24"/>
          <w:szCs w:val="24"/>
        </w:rPr>
        <w:t>Name. Rosanna Mary Jevon</w:t>
      </w:r>
    </w:p>
    <w:p w14:paraId="23C7D124" w14:textId="77777777" w:rsidR="008E53FB" w:rsidRPr="008E53FB" w:rsidRDefault="008E53FB" w:rsidP="00344013">
      <w:pPr>
        <w:spacing w:line="240" w:lineRule="auto"/>
        <w:rPr>
          <w:sz w:val="24"/>
          <w:szCs w:val="24"/>
        </w:rPr>
      </w:pPr>
      <w:r w:rsidRPr="008E53FB">
        <w:rPr>
          <w:sz w:val="24"/>
          <w:szCs w:val="24"/>
        </w:rPr>
        <w:t>Date. 31/01/22</w:t>
      </w:r>
    </w:p>
    <w:p w14:paraId="43AF20D4" w14:textId="77777777" w:rsidR="008E53FB" w:rsidRPr="008E53FB" w:rsidRDefault="008E53FB" w:rsidP="00344013">
      <w:pPr>
        <w:spacing w:line="240" w:lineRule="auto"/>
        <w:rPr>
          <w:sz w:val="24"/>
          <w:szCs w:val="24"/>
        </w:rPr>
      </w:pPr>
    </w:p>
    <w:p w14:paraId="308B3B2F" w14:textId="77777777" w:rsidR="008E53FB" w:rsidRPr="008E53FB" w:rsidRDefault="008E53FB" w:rsidP="00344013">
      <w:pPr>
        <w:spacing w:line="240" w:lineRule="auto"/>
        <w:rPr>
          <w:sz w:val="24"/>
          <w:szCs w:val="24"/>
        </w:rPr>
      </w:pPr>
      <w:r w:rsidRPr="008E53FB">
        <w:rPr>
          <w:sz w:val="24"/>
          <w:szCs w:val="24"/>
        </w:rPr>
        <w:t xml:space="preserve">2. This dissertation is being submitted in partial fulfilment of the requirements for the </w:t>
      </w:r>
    </w:p>
    <w:p w14:paraId="686A4F91" w14:textId="77777777" w:rsidR="008E53FB" w:rsidRPr="008E53FB" w:rsidRDefault="008E53FB" w:rsidP="00344013">
      <w:pPr>
        <w:spacing w:line="240" w:lineRule="auto"/>
        <w:rPr>
          <w:sz w:val="24"/>
          <w:szCs w:val="24"/>
        </w:rPr>
      </w:pPr>
      <w:r w:rsidRPr="008E53FB">
        <w:rPr>
          <w:sz w:val="24"/>
          <w:szCs w:val="24"/>
        </w:rPr>
        <w:t>degree of. MA Historical Studies</w:t>
      </w:r>
    </w:p>
    <w:p w14:paraId="517B512E" w14:textId="77777777" w:rsidR="008E53FB" w:rsidRPr="008E53FB" w:rsidRDefault="008E53FB" w:rsidP="00344013">
      <w:pPr>
        <w:spacing w:line="240" w:lineRule="auto"/>
        <w:rPr>
          <w:sz w:val="24"/>
          <w:szCs w:val="24"/>
        </w:rPr>
      </w:pPr>
      <w:r w:rsidRPr="008E53FB">
        <w:rPr>
          <w:sz w:val="24"/>
          <w:szCs w:val="24"/>
        </w:rPr>
        <w:t>Name. Rosanna Mary Jevon</w:t>
      </w:r>
    </w:p>
    <w:p w14:paraId="02E633F2" w14:textId="77777777" w:rsidR="008E53FB" w:rsidRPr="008E53FB" w:rsidRDefault="008E53FB" w:rsidP="00344013">
      <w:pPr>
        <w:spacing w:line="240" w:lineRule="auto"/>
        <w:rPr>
          <w:sz w:val="24"/>
          <w:szCs w:val="24"/>
        </w:rPr>
      </w:pPr>
      <w:r w:rsidRPr="008E53FB">
        <w:rPr>
          <w:sz w:val="24"/>
          <w:szCs w:val="24"/>
        </w:rPr>
        <w:t>Date. 31/03/22</w:t>
      </w:r>
    </w:p>
    <w:p w14:paraId="54638369" w14:textId="77777777" w:rsidR="008E53FB" w:rsidRPr="008E53FB" w:rsidRDefault="008E53FB" w:rsidP="00344013">
      <w:pPr>
        <w:spacing w:line="240" w:lineRule="auto"/>
        <w:rPr>
          <w:sz w:val="24"/>
          <w:szCs w:val="24"/>
        </w:rPr>
      </w:pPr>
    </w:p>
    <w:p w14:paraId="08B52B57" w14:textId="77777777" w:rsidR="008E53FB" w:rsidRPr="008E53FB" w:rsidRDefault="008E53FB" w:rsidP="00344013">
      <w:pPr>
        <w:spacing w:line="240" w:lineRule="auto"/>
        <w:rPr>
          <w:sz w:val="24"/>
          <w:szCs w:val="24"/>
        </w:rPr>
      </w:pPr>
      <w:r w:rsidRPr="008E53FB">
        <w:rPr>
          <w:sz w:val="24"/>
          <w:szCs w:val="24"/>
        </w:rPr>
        <w:t>3. This dissertation is the result of my own independent work/investigation, except where otherwise stated.</w:t>
      </w:r>
    </w:p>
    <w:p w14:paraId="294C6B12" w14:textId="77777777" w:rsidR="008E53FB" w:rsidRPr="008E53FB" w:rsidRDefault="008E53FB" w:rsidP="00344013">
      <w:pPr>
        <w:spacing w:line="240" w:lineRule="auto"/>
        <w:rPr>
          <w:sz w:val="24"/>
          <w:szCs w:val="24"/>
        </w:rPr>
      </w:pPr>
      <w:r w:rsidRPr="008E53FB">
        <w:rPr>
          <w:sz w:val="24"/>
          <w:szCs w:val="24"/>
        </w:rPr>
        <w:t xml:space="preserve">Other sources are acknowledged by footnotes giving explicit references. </w:t>
      </w:r>
    </w:p>
    <w:p w14:paraId="73B4496F" w14:textId="77777777" w:rsidR="008E53FB" w:rsidRPr="008E53FB" w:rsidRDefault="008E53FB" w:rsidP="00344013">
      <w:pPr>
        <w:spacing w:line="240" w:lineRule="auto"/>
        <w:rPr>
          <w:sz w:val="24"/>
          <w:szCs w:val="24"/>
        </w:rPr>
      </w:pPr>
      <w:r w:rsidRPr="008E53FB">
        <w:rPr>
          <w:sz w:val="24"/>
          <w:szCs w:val="24"/>
        </w:rPr>
        <w:t>A bibliography is appended.</w:t>
      </w:r>
    </w:p>
    <w:p w14:paraId="6672147E" w14:textId="77777777" w:rsidR="008E53FB" w:rsidRPr="008E53FB" w:rsidRDefault="008E53FB" w:rsidP="00344013">
      <w:pPr>
        <w:spacing w:line="240" w:lineRule="auto"/>
        <w:rPr>
          <w:sz w:val="24"/>
          <w:szCs w:val="24"/>
        </w:rPr>
      </w:pPr>
      <w:r w:rsidRPr="008E53FB">
        <w:rPr>
          <w:sz w:val="24"/>
          <w:szCs w:val="24"/>
        </w:rPr>
        <w:t>Name. Rosanna Mary Jevon</w:t>
      </w:r>
    </w:p>
    <w:p w14:paraId="418918A4" w14:textId="77777777" w:rsidR="008E53FB" w:rsidRPr="008E53FB" w:rsidRDefault="008E53FB" w:rsidP="00344013">
      <w:pPr>
        <w:spacing w:line="240" w:lineRule="auto"/>
        <w:rPr>
          <w:sz w:val="24"/>
          <w:szCs w:val="24"/>
        </w:rPr>
      </w:pPr>
      <w:r w:rsidRPr="008E53FB">
        <w:rPr>
          <w:sz w:val="24"/>
          <w:szCs w:val="24"/>
        </w:rPr>
        <w:t>Date: 31/03/22</w:t>
      </w:r>
    </w:p>
    <w:p w14:paraId="43831083" w14:textId="77777777" w:rsidR="008E53FB" w:rsidRPr="008E53FB" w:rsidRDefault="008E53FB" w:rsidP="00344013">
      <w:pPr>
        <w:spacing w:line="240" w:lineRule="auto"/>
        <w:rPr>
          <w:sz w:val="24"/>
          <w:szCs w:val="24"/>
        </w:rPr>
      </w:pPr>
      <w:r w:rsidRPr="008E53FB">
        <w:rPr>
          <w:sz w:val="24"/>
          <w:szCs w:val="24"/>
        </w:rPr>
        <w:t xml:space="preserve">  </w:t>
      </w:r>
    </w:p>
    <w:p w14:paraId="161D4FA1" w14:textId="77777777" w:rsidR="008E53FB" w:rsidRPr="008E53FB" w:rsidRDefault="008E53FB" w:rsidP="00344013">
      <w:pPr>
        <w:spacing w:line="240" w:lineRule="auto"/>
        <w:rPr>
          <w:sz w:val="24"/>
          <w:szCs w:val="24"/>
        </w:rPr>
      </w:pPr>
      <w:r w:rsidRPr="008E53FB">
        <w:rPr>
          <w:sz w:val="24"/>
          <w:szCs w:val="24"/>
        </w:rPr>
        <w:t xml:space="preserve">4. I hereby give consent for my dissertation, if accepted, to be available for photocopying, inter- library loan, and for deposit in the University’s digital repository </w:t>
      </w:r>
    </w:p>
    <w:p w14:paraId="7D848563" w14:textId="77777777" w:rsidR="008E53FB" w:rsidRPr="008E53FB" w:rsidRDefault="008E53FB" w:rsidP="00344013">
      <w:pPr>
        <w:spacing w:line="240" w:lineRule="auto"/>
        <w:rPr>
          <w:sz w:val="24"/>
          <w:szCs w:val="24"/>
        </w:rPr>
      </w:pPr>
      <w:r w:rsidRPr="008E53FB">
        <w:rPr>
          <w:sz w:val="24"/>
          <w:szCs w:val="24"/>
        </w:rPr>
        <w:t>Name. Rosanna Mary Jevon</w:t>
      </w:r>
    </w:p>
    <w:p w14:paraId="5FFE261E" w14:textId="77777777" w:rsidR="008E53FB" w:rsidRPr="008E53FB" w:rsidRDefault="008E53FB" w:rsidP="00344013">
      <w:pPr>
        <w:spacing w:line="240" w:lineRule="auto"/>
        <w:rPr>
          <w:sz w:val="24"/>
          <w:szCs w:val="24"/>
        </w:rPr>
      </w:pPr>
      <w:r w:rsidRPr="008E53FB">
        <w:rPr>
          <w:sz w:val="24"/>
          <w:szCs w:val="24"/>
        </w:rPr>
        <w:t>Date. 31/03/22</w:t>
      </w:r>
    </w:p>
    <w:p w14:paraId="3409302E" w14:textId="77777777" w:rsidR="008E53FB" w:rsidRPr="008E53FB" w:rsidRDefault="008E53FB" w:rsidP="00344013">
      <w:pPr>
        <w:spacing w:line="240" w:lineRule="auto"/>
        <w:rPr>
          <w:sz w:val="24"/>
          <w:szCs w:val="24"/>
        </w:rPr>
      </w:pPr>
      <w:r w:rsidRPr="008E53FB">
        <w:rPr>
          <w:b/>
          <w:sz w:val="24"/>
          <w:szCs w:val="24"/>
        </w:rPr>
        <w:t>Supervisor’s Declaration</w:t>
      </w:r>
      <w:r w:rsidRPr="008E53FB">
        <w:rPr>
          <w:sz w:val="24"/>
          <w:szCs w:val="24"/>
        </w:rPr>
        <w:t>.</w:t>
      </w:r>
    </w:p>
    <w:p w14:paraId="5F8A2209" w14:textId="77777777" w:rsidR="008E53FB" w:rsidRPr="008E53FB" w:rsidRDefault="008E53FB" w:rsidP="00344013">
      <w:pPr>
        <w:spacing w:line="240" w:lineRule="auto"/>
        <w:rPr>
          <w:sz w:val="24"/>
          <w:szCs w:val="24"/>
        </w:rPr>
      </w:pPr>
      <w:r w:rsidRPr="008E53FB">
        <w:rPr>
          <w:sz w:val="24"/>
          <w:szCs w:val="24"/>
        </w:rPr>
        <w:t>I am satisfied that this work is the result of the student’s own efforts.</w:t>
      </w:r>
    </w:p>
    <w:p w14:paraId="51489E7E" w14:textId="77777777" w:rsidR="008E53FB" w:rsidRPr="008E53FB" w:rsidRDefault="008E53FB" w:rsidP="00344013">
      <w:pPr>
        <w:spacing w:line="240" w:lineRule="auto"/>
        <w:rPr>
          <w:sz w:val="24"/>
          <w:szCs w:val="24"/>
        </w:rPr>
      </w:pPr>
      <w:r w:rsidRPr="008E53FB">
        <w:rPr>
          <w:sz w:val="24"/>
          <w:szCs w:val="24"/>
        </w:rPr>
        <w:t>Signed:  …………………………………………………………………………...</w:t>
      </w:r>
    </w:p>
    <w:p w14:paraId="69F51ED6" w14:textId="77777777" w:rsidR="008E53FB" w:rsidRPr="008E53FB" w:rsidRDefault="008E53FB" w:rsidP="00344013">
      <w:pPr>
        <w:spacing w:line="240" w:lineRule="auto"/>
        <w:rPr>
          <w:sz w:val="24"/>
          <w:szCs w:val="24"/>
        </w:rPr>
      </w:pPr>
      <w:r w:rsidRPr="008E53FB">
        <w:rPr>
          <w:sz w:val="24"/>
          <w:szCs w:val="24"/>
        </w:rPr>
        <w:t>Date: ………………………………………………………………………</w:t>
      </w:r>
      <w:proofErr w:type="gramStart"/>
      <w:r w:rsidRPr="008E53FB">
        <w:rPr>
          <w:sz w:val="24"/>
          <w:szCs w:val="24"/>
        </w:rPr>
        <w:t>…..</w:t>
      </w:r>
      <w:proofErr w:type="gramEnd"/>
    </w:p>
    <w:p w14:paraId="22984AB8" w14:textId="77777777" w:rsidR="00344013" w:rsidRDefault="00344013" w:rsidP="00344013">
      <w:pPr>
        <w:spacing w:line="360" w:lineRule="auto"/>
        <w:rPr>
          <w:sz w:val="24"/>
          <w:szCs w:val="24"/>
          <w:u w:val="single"/>
        </w:rPr>
      </w:pPr>
    </w:p>
    <w:p w14:paraId="1B656245" w14:textId="16E7428A" w:rsidR="008E53FB" w:rsidRDefault="008E53FB" w:rsidP="007054BF">
      <w:pPr>
        <w:spacing w:line="360" w:lineRule="auto"/>
        <w:jc w:val="center"/>
        <w:rPr>
          <w:sz w:val="24"/>
          <w:szCs w:val="24"/>
          <w:u w:val="single"/>
        </w:rPr>
      </w:pPr>
      <w:r w:rsidRPr="008E53FB">
        <w:rPr>
          <w:sz w:val="24"/>
          <w:szCs w:val="24"/>
          <w:u w:val="single"/>
        </w:rPr>
        <w:lastRenderedPageBreak/>
        <w:t>Table of Contents</w:t>
      </w:r>
    </w:p>
    <w:p w14:paraId="40F06ABF" w14:textId="623BE738" w:rsidR="004D06CD" w:rsidRDefault="004D06CD" w:rsidP="007054BF">
      <w:pPr>
        <w:spacing w:line="360" w:lineRule="auto"/>
        <w:jc w:val="center"/>
        <w:rPr>
          <w:sz w:val="24"/>
          <w:szCs w:val="24"/>
          <w:u w:val="single"/>
        </w:rPr>
      </w:pPr>
    </w:p>
    <w:p w14:paraId="343E01B6" w14:textId="32348B80" w:rsidR="004A7890" w:rsidRDefault="005F3FB0" w:rsidP="004D06CD">
      <w:pPr>
        <w:spacing w:line="360" w:lineRule="auto"/>
        <w:rPr>
          <w:sz w:val="24"/>
          <w:szCs w:val="24"/>
        </w:rPr>
      </w:pPr>
      <w:r>
        <w:rPr>
          <w:sz w:val="24"/>
          <w:szCs w:val="24"/>
        </w:rPr>
        <w:t>De</w:t>
      </w:r>
      <w:r w:rsidR="004D06CD">
        <w:rPr>
          <w:sz w:val="24"/>
          <w:szCs w:val="24"/>
        </w:rPr>
        <w:t>claration Form</w:t>
      </w:r>
      <w:r w:rsidR="004B5E7E">
        <w:rPr>
          <w:sz w:val="24"/>
          <w:szCs w:val="24"/>
        </w:rPr>
        <w:t>:</w:t>
      </w:r>
      <w:r w:rsidR="00F83D1B">
        <w:rPr>
          <w:sz w:val="24"/>
          <w:szCs w:val="24"/>
        </w:rPr>
        <w:t xml:space="preserve">     </w:t>
      </w:r>
      <w:r w:rsidR="004B5E7E">
        <w:rPr>
          <w:sz w:val="24"/>
          <w:szCs w:val="24"/>
        </w:rPr>
        <w:t xml:space="preserve">Page </w:t>
      </w:r>
      <w:r>
        <w:rPr>
          <w:sz w:val="24"/>
          <w:szCs w:val="24"/>
        </w:rPr>
        <w:t>1.</w:t>
      </w:r>
    </w:p>
    <w:p w14:paraId="766BE473" w14:textId="77777777" w:rsidR="004A7890" w:rsidRDefault="004A7890" w:rsidP="004D06CD">
      <w:pPr>
        <w:spacing w:line="360" w:lineRule="auto"/>
        <w:rPr>
          <w:sz w:val="24"/>
          <w:szCs w:val="24"/>
        </w:rPr>
      </w:pPr>
    </w:p>
    <w:p w14:paraId="2F223446" w14:textId="6F1F2C8F" w:rsidR="004D06CD" w:rsidRPr="008E53FB" w:rsidRDefault="004A7890" w:rsidP="004D06CD">
      <w:pPr>
        <w:spacing w:line="360" w:lineRule="auto"/>
        <w:rPr>
          <w:sz w:val="24"/>
          <w:szCs w:val="24"/>
        </w:rPr>
      </w:pPr>
      <w:r>
        <w:rPr>
          <w:sz w:val="24"/>
          <w:szCs w:val="24"/>
        </w:rPr>
        <w:t>Ta</w:t>
      </w:r>
      <w:r w:rsidR="00F83D1B">
        <w:rPr>
          <w:sz w:val="24"/>
          <w:szCs w:val="24"/>
        </w:rPr>
        <w:t xml:space="preserve">ble of Contents:     Page 2.    </w:t>
      </w:r>
      <w:r>
        <w:rPr>
          <w:sz w:val="24"/>
          <w:szCs w:val="24"/>
        </w:rPr>
        <w:t xml:space="preserve">                                                                  </w:t>
      </w:r>
      <w:r w:rsidR="004D06CD">
        <w:rPr>
          <w:sz w:val="24"/>
          <w:szCs w:val="24"/>
        </w:rPr>
        <w:t xml:space="preserve">                 </w:t>
      </w:r>
      <w:r w:rsidR="005F3FB0">
        <w:rPr>
          <w:sz w:val="24"/>
          <w:szCs w:val="24"/>
        </w:rPr>
        <w:t xml:space="preserve">                                                                                </w:t>
      </w:r>
    </w:p>
    <w:p w14:paraId="1B77C24B" w14:textId="77777777" w:rsidR="008E53FB" w:rsidRPr="008E53FB" w:rsidRDefault="008E53FB" w:rsidP="00344013">
      <w:pPr>
        <w:spacing w:line="360" w:lineRule="auto"/>
        <w:rPr>
          <w:sz w:val="24"/>
          <w:szCs w:val="24"/>
          <w:u w:val="single"/>
        </w:rPr>
      </w:pPr>
    </w:p>
    <w:p w14:paraId="5C657DD4" w14:textId="41226B57" w:rsidR="008E53FB" w:rsidRPr="008E53FB" w:rsidRDefault="008E53FB" w:rsidP="00344013">
      <w:pPr>
        <w:spacing w:line="360" w:lineRule="auto"/>
        <w:rPr>
          <w:sz w:val="24"/>
          <w:szCs w:val="24"/>
        </w:rPr>
      </w:pPr>
      <w:r w:rsidRPr="008E53FB">
        <w:rPr>
          <w:sz w:val="24"/>
          <w:szCs w:val="24"/>
        </w:rPr>
        <w:t>List of Illustrations</w:t>
      </w:r>
      <w:r w:rsidR="00F83D1B">
        <w:rPr>
          <w:sz w:val="24"/>
          <w:szCs w:val="24"/>
        </w:rPr>
        <w:t>:     Page 5.</w:t>
      </w:r>
      <w:r w:rsidR="004A7890">
        <w:rPr>
          <w:sz w:val="24"/>
          <w:szCs w:val="24"/>
        </w:rPr>
        <w:t xml:space="preserve">                                                                 </w:t>
      </w:r>
      <w:r w:rsidR="004B5E7E">
        <w:rPr>
          <w:sz w:val="24"/>
          <w:szCs w:val="24"/>
        </w:rPr>
        <w:t xml:space="preserve"> </w:t>
      </w:r>
    </w:p>
    <w:p w14:paraId="3C990BE7" w14:textId="77777777" w:rsidR="008E53FB" w:rsidRPr="008E53FB" w:rsidRDefault="008E53FB" w:rsidP="00344013">
      <w:pPr>
        <w:spacing w:line="360" w:lineRule="auto"/>
        <w:rPr>
          <w:sz w:val="24"/>
          <w:szCs w:val="24"/>
        </w:rPr>
      </w:pPr>
    </w:p>
    <w:p w14:paraId="566A673F" w14:textId="0004A7F7" w:rsidR="008E53FB" w:rsidRPr="008E53FB" w:rsidRDefault="008E53FB" w:rsidP="00344013">
      <w:pPr>
        <w:spacing w:line="360" w:lineRule="auto"/>
        <w:rPr>
          <w:sz w:val="24"/>
          <w:szCs w:val="24"/>
        </w:rPr>
      </w:pPr>
      <w:r w:rsidRPr="008E53FB">
        <w:rPr>
          <w:sz w:val="24"/>
          <w:szCs w:val="24"/>
        </w:rPr>
        <w:t>Abstract</w:t>
      </w:r>
      <w:r w:rsidR="00F83D1B">
        <w:rPr>
          <w:sz w:val="24"/>
          <w:szCs w:val="24"/>
        </w:rPr>
        <w:t xml:space="preserve">:     Page </w:t>
      </w:r>
      <w:r w:rsidR="00235CC4">
        <w:rPr>
          <w:sz w:val="24"/>
          <w:szCs w:val="24"/>
        </w:rPr>
        <w:t>7.</w:t>
      </w:r>
    </w:p>
    <w:p w14:paraId="4B07BCEB" w14:textId="77777777" w:rsidR="008E53FB" w:rsidRPr="008E53FB" w:rsidRDefault="008E53FB" w:rsidP="00344013">
      <w:pPr>
        <w:spacing w:line="360" w:lineRule="auto"/>
        <w:rPr>
          <w:sz w:val="24"/>
          <w:szCs w:val="24"/>
        </w:rPr>
      </w:pPr>
    </w:p>
    <w:p w14:paraId="02E765D5" w14:textId="384C76A4" w:rsidR="008E53FB" w:rsidRPr="008E53FB" w:rsidRDefault="008E53FB" w:rsidP="00344013">
      <w:pPr>
        <w:spacing w:line="360" w:lineRule="auto"/>
        <w:rPr>
          <w:sz w:val="24"/>
          <w:szCs w:val="24"/>
          <w:u w:val="single"/>
        </w:rPr>
      </w:pPr>
      <w:r w:rsidRPr="008E53FB">
        <w:rPr>
          <w:sz w:val="24"/>
          <w:szCs w:val="24"/>
          <w:u w:val="single"/>
        </w:rPr>
        <w:t>Introduction</w:t>
      </w:r>
      <w:r w:rsidR="00235CC4" w:rsidRPr="00235CC4">
        <w:rPr>
          <w:sz w:val="24"/>
          <w:szCs w:val="24"/>
        </w:rPr>
        <w:t>:      Page 8.</w:t>
      </w:r>
    </w:p>
    <w:p w14:paraId="023A436C" w14:textId="6AD1C69F" w:rsidR="008E53FB" w:rsidRPr="008E53FB" w:rsidRDefault="008E53FB" w:rsidP="00344013">
      <w:pPr>
        <w:numPr>
          <w:ilvl w:val="0"/>
          <w:numId w:val="1"/>
        </w:numPr>
        <w:spacing w:line="360" w:lineRule="auto"/>
        <w:rPr>
          <w:sz w:val="24"/>
          <w:szCs w:val="24"/>
        </w:rPr>
      </w:pPr>
      <w:r w:rsidRPr="008E53FB">
        <w:rPr>
          <w:sz w:val="24"/>
          <w:szCs w:val="24"/>
        </w:rPr>
        <w:t>Preface to Chapter One</w:t>
      </w:r>
      <w:r w:rsidR="0006662C">
        <w:rPr>
          <w:sz w:val="24"/>
          <w:szCs w:val="24"/>
        </w:rPr>
        <w:t>:     Page 9.</w:t>
      </w:r>
    </w:p>
    <w:p w14:paraId="10392BB4" w14:textId="09771E83" w:rsidR="008E53FB" w:rsidRPr="008E53FB" w:rsidRDefault="008E53FB" w:rsidP="00344013">
      <w:pPr>
        <w:numPr>
          <w:ilvl w:val="0"/>
          <w:numId w:val="1"/>
        </w:numPr>
        <w:spacing w:line="360" w:lineRule="auto"/>
        <w:rPr>
          <w:sz w:val="24"/>
          <w:szCs w:val="24"/>
        </w:rPr>
      </w:pPr>
      <w:r w:rsidRPr="008E53FB">
        <w:rPr>
          <w:sz w:val="24"/>
          <w:szCs w:val="24"/>
        </w:rPr>
        <w:t>Preface to Chapter Two</w:t>
      </w:r>
      <w:r w:rsidR="0006662C">
        <w:rPr>
          <w:sz w:val="24"/>
          <w:szCs w:val="24"/>
        </w:rPr>
        <w:t>:     Page 10.</w:t>
      </w:r>
    </w:p>
    <w:p w14:paraId="7C4E5BF8" w14:textId="4253C233" w:rsidR="008E53FB" w:rsidRPr="008E53FB" w:rsidRDefault="008E53FB" w:rsidP="00344013">
      <w:pPr>
        <w:numPr>
          <w:ilvl w:val="0"/>
          <w:numId w:val="1"/>
        </w:numPr>
        <w:spacing w:line="360" w:lineRule="auto"/>
        <w:rPr>
          <w:sz w:val="24"/>
          <w:szCs w:val="24"/>
        </w:rPr>
      </w:pPr>
      <w:r w:rsidRPr="008E53FB">
        <w:rPr>
          <w:sz w:val="24"/>
          <w:szCs w:val="24"/>
        </w:rPr>
        <w:t>Preface to Chapter Three</w:t>
      </w:r>
      <w:r w:rsidR="0006662C">
        <w:rPr>
          <w:sz w:val="24"/>
          <w:szCs w:val="24"/>
        </w:rPr>
        <w:t>:     Page 10.</w:t>
      </w:r>
    </w:p>
    <w:p w14:paraId="652B2B87" w14:textId="17FF178D" w:rsidR="008E53FB" w:rsidRPr="008E53FB" w:rsidRDefault="008E53FB" w:rsidP="00344013">
      <w:pPr>
        <w:numPr>
          <w:ilvl w:val="0"/>
          <w:numId w:val="1"/>
        </w:numPr>
        <w:spacing w:line="360" w:lineRule="auto"/>
        <w:rPr>
          <w:sz w:val="24"/>
          <w:szCs w:val="24"/>
        </w:rPr>
      </w:pPr>
      <w:r w:rsidRPr="008E53FB">
        <w:rPr>
          <w:sz w:val="24"/>
          <w:szCs w:val="24"/>
        </w:rPr>
        <w:t>Jacob Lawrence Biographical Material</w:t>
      </w:r>
      <w:r w:rsidR="0006662C">
        <w:rPr>
          <w:sz w:val="24"/>
          <w:szCs w:val="24"/>
        </w:rPr>
        <w:t>:</w:t>
      </w:r>
      <w:r w:rsidR="007B3855">
        <w:rPr>
          <w:sz w:val="24"/>
          <w:szCs w:val="24"/>
        </w:rPr>
        <w:t xml:space="preserve">     Page 11.</w:t>
      </w:r>
      <w:r w:rsidR="0006662C">
        <w:rPr>
          <w:sz w:val="24"/>
          <w:szCs w:val="24"/>
        </w:rPr>
        <w:t xml:space="preserve">     </w:t>
      </w:r>
    </w:p>
    <w:p w14:paraId="4431BA2D" w14:textId="0D9B5360" w:rsidR="008E53FB" w:rsidRPr="008E53FB" w:rsidRDefault="008E53FB" w:rsidP="00344013">
      <w:pPr>
        <w:numPr>
          <w:ilvl w:val="0"/>
          <w:numId w:val="1"/>
        </w:numPr>
        <w:spacing w:line="360" w:lineRule="auto"/>
        <w:rPr>
          <w:sz w:val="24"/>
          <w:szCs w:val="24"/>
        </w:rPr>
      </w:pPr>
      <w:r w:rsidRPr="008E53FB">
        <w:rPr>
          <w:sz w:val="24"/>
          <w:szCs w:val="24"/>
        </w:rPr>
        <w:t>Lawrence as Historian</w:t>
      </w:r>
      <w:r w:rsidR="007B3855">
        <w:rPr>
          <w:sz w:val="24"/>
          <w:szCs w:val="24"/>
        </w:rPr>
        <w:t xml:space="preserve">:     </w:t>
      </w:r>
      <w:r w:rsidR="009B4CBB">
        <w:rPr>
          <w:sz w:val="24"/>
          <w:szCs w:val="24"/>
        </w:rPr>
        <w:t>Page 12</w:t>
      </w:r>
    </w:p>
    <w:p w14:paraId="42C02BE9" w14:textId="59D01528" w:rsidR="008E53FB" w:rsidRPr="008E53FB" w:rsidRDefault="008E53FB" w:rsidP="00344013">
      <w:pPr>
        <w:numPr>
          <w:ilvl w:val="0"/>
          <w:numId w:val="1"/>
        </w:numPr>
        <w:spacing w:line="360" w:lineRule="auto"/>
        <w:rPr>
          <w:sz w:val="24"/>
          <w:szCs w:val="24"/>
        </w:rPr>
      </w:pPr>
      <w:r w:rsidRPr="008E53FB">
        <w:rPr>
          <w:sz w:val="24"/>
          <w:szCs w:val="24"/>
        </w:rPr>
        <w:t>Terminology</w:t>
      </w:r>
      <w:r w:rsidR="009B4CBB">
        <w:rPr>
          <w:sz w:val="24"/>
          <w:szCs w:val="24"/>
        </w:rPr>
        <w:t>:     Page 14.</w:t>
      </w:r>
    </w:p>
    <w:p w14:paraId="61616222" w14:textId="77777777" w:rsidR="008E53FB" w:rsidRPr="008E53FB" w:rsidRDefault="008E53FB" w:rsidP="00344013">
      <w:pPr>
        <w:spacing w:line="360" w:lineRule="auto"/>
        <w:rPr>
          <w:sz w:val="24"/>
          <w:szCs w:val="24"/>
          <w:u w:val="single"/>
        </w:rPr>
      </w:pPr>
    </w:p>
    <w:p w14:paraId="6FFEA00B" w14:textId="285C6726" w:rsidR="008E53FB" w:rsidRPr="008E53FB" w:rsidRDefault="008E53FB" w:rsidP="00344013">
      <w:pPr>
        <w:spacing w:line="360" w:lineRule="auto"/>
        <w:rPr>
          <w:sz w:val="24"/>
          <w:szCs w:val="24"/>
        </w:rPr>
      </w:pPr>
      <w:r w:rsidRPr="008E53FB">
        <w:rPr>
          <w:sz w:val="24"/>
          <w:szCs w:val="24"/>
          <w:u w:val="single"/>
        </w:rPr>
        <w:t xml:space="preserve">Chapter One: </w:t>
      </w:r>
      <w:r w:rsidRPr="008E53FB">
        <w:rPr>
          <w:i/>
          <w:iCs/>
          <w:sz w:val="24"/>
          <w:szCs w:val="24"/>
          <w:u w:val="single"/>
        </w:rPr>
        <w:t xml:space="preserve">Rally Mohawks! Bring out your </w:t>
      </w:r>
      <w:proofErr w:type="gramStart"/>
      <w:r w:rsidRPr="008E53FB">
        <w:rPr>
          <w:i/>
          <w:iCs/>
          <w:sz w:val="24"/>
          <w:szCs w:val="24"/>
          <w:u w:val="single"/>
        </w:rPr>
        <w:t>axes, and</w:t>
      </w:r>
      <w:proofErr w:type="gramEnd"/>
      <w:r w:rsidRPr="008E53FB">
        <w:rPr>
          <w:i/>
          <w:iCs/>
          <w:sz w:val="24"/>
          <w:szCs w:val="24"/>
          <w:u w:val="single"/>
        </w:rPr>
        <w:t xml:space="preserve"> tell King George we’ll pay no taxes on his foreign tea</w:t>
      </w:r>
      <w:r w:rsidR="00F344C9">
        <w:rPr>
          <w:i/>
          <w:iCs/>
          <w:sz w:val="24"/>
          <w:szCs w:val="24"/>
          <w:u w:val="single"/>
        </w:rPr>
        <w:t xml:space="preserve">: </w:t>
      </w:r>
      <w:r w:rsidR="00F344C9">
        <w:rPr>
          <w:sz w:val="24"/>
          <w:szCs w:val="24"/>
        </w:rPr>
        <w:t xml:space="preserve">    Page 16. </w:t>
      </w:r>
    </w:p>
    <w:p w14:paraId="164EC334" w14:textId="599079B8" w:rsidR="008E53FB" w:rsidRPr="008E53FB" w:rsidRDefault="008E53FB" w:rsidP="00344013">
      <w:pPr>
        <w:numPr>
          <w:ilvl w:val="0"/>
          <w:numId w:val="2"/>
        </w:numPr>
        <w:spacing w:line="360" w:lineRule="auto"/>
        <w:rPr>
          <w:sz w:val="24"/>
          <w:szCs w:val="24"/>
        </w:rPr>
      </w:pPr>
      <w:r w:rsidRPr="008E53FB">
        <w:rPr>
          <w:sz w:val="24"/>
          <w:szCs w:val="24"/>
        </w:rPr>
        <w:t>Questioning Lawrence’s Historical Argument</w:t>
      </w:r>
      <w:r w:rsidR="006A56BA">
        <w:rPr>
          <w:sz w:val="24"/>
          <w:szCs w:val="24"/>
        </w:rPr>
        <w:t>:     Page 17.</w:t>
      </w:r>
    </w:p>
    <w:p w14:paraId="66A36972" w14:textId="75932FF2" w:rsidR="008E53FB" w:rsidRPr="008E53FB" w:rsidRDefault="008E53FB" w:rsidP="00344013">
      <w:pPr>
        <w:numPr>
          <w:ilvl w:val="0"/>
          <w:numId w:val="2"/>
        </w:numPr>
        <w:spacing w:line="360" w:lineRule="auto"/>
        <w:rPr>
          <w:sz w:val="24"/>
          <w:szCs w:val="24"/>
        </w:rPr>
      </w:pPr>
      <w:r w:rsidRPr="008E53FB">
        <w:rPr>
          <w:sz w:val="24"/>
          <w:szCs w:val="24"/>
        </w:rPr>
        <w:t>Boston Mobs in Indian Dress</w:t>
      </w:r>
      <w:r w:rsidR="006A56BA">
        <w:rPr>
          <w:sz w:val="24"/>
          <w:szCs w:val="24"/>
        </w:rPr>
        <w:t>:</w:t>
      </w:r>
      <w:r w:rsidR="007C22F2">
        <w:rPr>
          <w:sz w:val="24"/>
          <w:szCs w:val="24"/>
        </w:rPr>
        <w:t xml:space="preserve">     Page 20.</w:t>
      </w:r>
      <w:r w:rsidR="006A56BA">
        <w:rPr>
          <w:sz w:val="24"/>
          <w:szCs w:val="24"/>
        </w:rPr>
        <w:t xml:space="preserve">     </w:t>
      </w:r>
    </w:p>
    <w:p w14:paraId="2611262A" w14:textId="79D183BB" w:rsidR="008E53FB" w:rsidRPr="008E53FB" w:rsidRDefault="008E53FB" w:rsidP="00344013">
      <w:pPr>
        <w:numPr>
          <w:ilvl w:val="0"/>
          <w:numId w:val="2"/>
        </w:numPr>
        <w:spacing w:line="360" w:lineRule="auto"/>
        <w:rPr>
          <w:sz w:val="24"/>
          <w:szCs w:val="24"/>
        </w:rPr>
      </w:pPr>
      <w:r w:rsidRPr="008E53FB">
        <w:rPr>
          <w:sz w:val="24"/>
          <w:szCs w:val="24"/>
        </w:rPr>
        <w:t>Amalgamation of Cultures</w:t>
      </w:r>
      <w:r w:rsidR="007C22F2">
        <w:rPr>
          <w:sz w:val="24"/>
          <w:szCs w:val="24"/>
        </w:rPr>
        <w:t>:     Page</w:t>
      </w:r>
      <w:r w:rsidR="00980FF8">
        <w:rPr>
          <w:sz w:val="24"/>
          <w:szCs w:val="24"/>
        </w:rPr>
        <w:t xml:space="preserve"> 21.</w:t>
      </w:r>
    </w:p>
    <w:p w14:paraId="7AF1D45F" w14:textId="0B0F2F5D" w:rsidR="008E53FB" w:rsidRPr="008E53FB" w:rsidRDefault="008E53FB" w:rsidP="00344013">
      <w:pPr>
        <w:numPr>
          <w:ilvl w:val="0"/>
          <w:numId w:val="2"/>
        </w:numPr>
        <w:spacing w:line="360" w:lineRule="auto"/>
        <w:rPr>
          <w:sz w:val="24"/>
          <w:szCs w:val="24"/>
        </w:rPr>
      </w:pPr>
      <w:r w:rsidRPr="008E53FB">
        <w:rPr>
          <w:sz w:val="24"/>
          <w:szCs w:val="24"/>
        </w:rPr>
        <w:t>Wampum</w:t>
      </w:r>
      <w:r w:rsidR="00980FF8">
        <w:rPr>
          <w:sz w:val="24"/>
          <w:szCs w:val="24"/>
        </w:rPr>
        <w:t>:     Page 23.</w:t>
      </w:r>
    </w:p>
    <w:p w14:paraId="2A6D4CC7" w14:textId="729DA628" w:rsidR="008E53FB" w:rsidRPr="008E53FB" w:rsidRDefault="008E53FB" w:rsidP="00344013">
      <w:pPr>
        <w:numPr>
          <w:ilvl w:val="0"/>
          <w:numId w:val="2"/>
        </w:numPr>
        <w:spacing w:line="360" w:lineRule="auto"/>
        <w:rPr>
          <w:sz w:val="24"/>
          <w:szCs w:val="24"/>
        </w:rPr>
      </w:pPr>
      <w:r w:rsidRPr="008E53FB">
        <w:rPr>
          <w:sz w:val="24"/>
          <w:szCs w:val="24"/>
        </w:rPr>
        <w:t>The Iroquois Confederacy and the Covenant Chain Alliance</w:t>
      </w:r>
      <w:r w:rsidR="00980FF8">
        <w:rPr>
          <w:sz w:val="24"/>
          <w:szCs w:val="24"/>
        </w:rPr>
        <w:t>:     Page 24.</w:t>
      </w:r>
    </w:p>
    <w:p w14:paraId="3E274955" w14:textId="5BC40658" w:rsidR="008E53FB" w:rsidRPr="008E53FB" w:rsidRDefault="008E53FB" w:rsidP="00344013">
      <w:pPr>
        <w:numPr>
          <w:ilvl w:val="0"/>
          <w:numId w:val="2"/>
        </w:numPr>
        <w:spacing w:line="360" w:lineRule="auto"/>
        <w:rPr>
          <w:sz w:val="24"/>
          <w:szCs w:val="24"/>
        </w:rPr>
      </w:pPr>
      <w:r w:rsidRPr="008E53FB">
        <w:rPr>
          <w:sz w:val="24"/>
          <w:szCs w:val="24"/>
        </w:rPr>
        <w:t>Mohawk War Culture</w:t>
      </w:r>
      <w:r w:rsidR="00980FF8">
        <w:rPr>
          <w:sz w:val="24"/>
          <w:szCs w:val="24"/>
        </w:rPr>
        <w:t xml:space="preserve">:     Page </w:t>
      </w:r>
      <w:r w:rsidR="00F96575">
        <w:rPr>
          <w:sz w:val="24"/>
          <w:szCs w:val="24"/>
        </w:rPr>
        <w:t>27.</w:t>
      </w:r>
    </w:p>
    <w:p w14:paraId="04350FF5" w14:textId="2F7D1A47" w:rsidR="008E53FB" w:rsidRPr="008E53FB" w:rsidRDefault="008E53FB" w:rsidP="00344013">
      <w:pPr>
        <w:numPr>
          <w:ilvl w:val="0"/>
          <w:numId w:val="2"/>
        </w:numPr>
        <w:spacing w:line="360" w:lineRule="auto"/>
        <w:rPr>
          <w:sz w:val="24"/>
          <w:szCs w:val="24"/>
        </w:rPr>
      </w:pPr>
      <w:r w:rsidRPr="008E53FB">
        <w:rPr>
          <w:sz w:val="24"/>
          <w:szCs w:val="24"/>
        </w:rPr>
        <w:t>Making the Familiar Alien</w:t>
      </w:r>
      <w:r w:rsidR="00980FF8">
        <w:rPr>
          <w:sz w:val="24"/>
          <w:szCs w:val="24"/>
        </w:rPr>
        <w:t>:      Page</w:t>
      </w:r>
      <w:r w:rsidR="00F96575">
        <w:rPr>
          <w:sz w:val="24"/>
          <w:szCs w:val="24"/>
        </w:rPr>
        <w:t xml:space="preserve"> </w:t>
      </w:r>
      <w:r w:rsidR="00917902">
        <w:rPr>
          <w:sz w:val="24"/>
          <w:szCs w:val="24"/>
        </w:rPr>
        <w:t>28.</w:t>
      </w:r>
    </w:p>
    <w:p w14:paraId="02B1E7D3" w14:textId="5E80FC03" w:rsidR="008E53FB" w:rsidRPr="008E53FB" w:rsidRDefault="008E53FB" w:rsidP="00344013">
      <w:pPr>
        <w:numPr>
          <w:ilvl w:val="0"/>
          <w:numId w:val="2"/>
        </w:numPr>
        <w:spacing w:line="360" w:lineRule="auto"/>
        <w:rPr>
          <w:sz w:val="24"/>
          <w:szCs w:val="24"/>
        </w:rPr>
      </w:pPr>
      <w:r w:rsidRPr="008E53FB">
        <w:rPr>
          <w:sz w:val="24"/>
          <w:szCs w:val="24"/>
        </w:rPr>
        <w:t>Conclusion</w:t>
      </w:r>
      <w:r w:rsidR="00980FF8">
        <w:rPr>
          <w:sz w:val="24"/>
          <w:szCs w:val="24"/>
        </w:rPr>
        <w:t>:     Page</w:t>
      </w:r>
      <w:r w:rsidR="00917902">
        <w:rPr>
          <w:sz w:val="24"/>
          <w:szCs w:val="24"/>
        </w:rPr>
        <w:t xml:space="preserve"> 29.</w:t>
      </w:r>
    </w:p>
    <w:p w14:paraId="7E173781" w14:textId="77777777" w:rsidR="008E53FB" w:rsidRPr="008E53FB" w:rsidRDefault="008E53FB" w:rsidP="00344013">
      <w:pPr>
        <w:spacing w:line="360" w:lineRule="auto"/>
        <w:rPr>
          <w:sz w:val="24"/>
          <w:szCs w:val="24"/>
          <w:u w:val="single"/>
        </w:rPr>
      </w:pPr>
    </w:p>
    <w:p w14:paraId="5BB9565C" w14:textId="27694BF5" w:rsidR="008E53FB" w:rsidRPr="008E53FB" w:rsidRDefault="008E53FB" w:rsidP="00344013">
      <w:pPr>
        <w:spacing w:line="360" w:lineRule="auto"/>
        <w:rPr>
          <w:sz w:val="24"/>
          <w:szCs w:val="24"/>
          <w:vertAlign w:val="superscript"/>
        </w:rPr>
      </w:pPr>
      <w:r w:rsidRPr="008E53FB">
        <w:rPr>
          <w:sz w:val="24"/>
          <w:szCs w:val="24"/>
          <w:u w:val="single"/>
        </w:rPr>
        <w:t xml:space="preserve">Chapter Two: </w:t>
      </w:r>
      <w:r w:rsidRPr="008E53FB">
        <w:rPr>
          <w:i/>
          <w:iCs/>
          <w:sz w:val="24"/>
          <w:szCs w:val="24"/>
          <w:u w:val="single"/>
        </w:rPr>
        <w:t>In all your intercourse with the natives, treat them in the most friendly and conciliatory manner which their own conduct will admit…</w:t>
      </w:r>
      <w:r w:rsidRPr="008E53FB">
        <w:rPr>
          <w:i/>
          <w:iCs/>
          <w:sz w:val="24"/>
          <w:szCs w:val="24"/>
          <w:u w:val="single"/>
        </w:rPr>
        <w:br/>
        <w:t>—Jefferson to Lewis &amp; Clark, 1803</w:t>
      </w:r>
      <w:r w:rsidR="000E5436">
        <w:rPr>
          <w:i/>
          <w:iCs/>
          <w:sz w:val="24"/>
          <w:szCs w:val="24"/>
          <w:u w:val="single"/>
        </w:rPr>
        <w:t>:</w:t>
      </w:r>
      <w:r w:rsidR="000E5436">
        <w:rPr>
          <w:sz w:val="24"/>
          <w:szCs w:val="24"/>
        </w:rPr>
        <w:t xml:space="preserve">     Page</w:t>
      </w:r>
      <w:r w:rsidR="00367427">
        <w:rPr>
          <w:sz w:val="24"/>
          <w:szCs w:val="24"/>
        </w:rPr>
        <w:t>:</w:t>
      </w:r>
      <w:r w:rsidR="00917902">
        <w:rPr>
          <w:sz w:val="24"/>
          <w:szCs w:val="24"/>
        </w:rPr>
        <w:t xml:space="preserve"> 30.</w:t>
      </w:r>
      <w:r w:rsidR="00367427">
        <w:rPr>
          <w:sz w:val="24"/>
          <w:szCs w:val="24"/>
        </w:rPr>
        <w:t xml:space="preserve"> </w:t>
      </w:r>
      <w:r w:rsidR="000E5436">
        <w:rPr>
          <w:sz w:val="24"/>
          <w:szCs w:val="24"/>
        </w:rPr>
        <w:t xml:space="preserve">    </w:t>
      </w:r>
    </w:p>
    <w:p w14:paraId="7032F9FC" w14:textId="546C9032" w:rsidR="008E53FB" w:rsidRPr="008E53FB" w:rsidRDefault="008E53FB" w:rsidP="00344013">
      <w:pPr>
        <w:numPr>
          <w:ilvl w:val="0"/>
          <w:numId w:val="3"/>
        </w:numPr>
        <w:spacing w:line="360" w:lineRule="auto"/>
        <w:rPr>
          <w:sz w:val="24"/>
          <w:szCs w:val="24"/>
        </w:rPr>
      </w:pPr>
      <w:r w:rsidRPr="008E53FB">
        <w:rPr>
          <w:sz w:val="24"/>
          <w:szCs w:val="24"/>
        </w:rPr>
        <w:t>The Louisiana Purchase and the Corps of Discovery</w:t>
      </w:r>
      <w:r w:rsidR="000E5436">
        <w:rPr>
          <w:sz w:val="24"/>
          <w:szCs w:val="24"/>
        </w:rPr>
        <w:t>:     Page</w:t>
      </w:r>
      <w:r w:rsidR="00917902">
        <w:rPr>
          <w:sz w:val="24"/>
          <w:szCs w:val="24"/>
        </w:rPr>
        <w:t xml:space="preserve"> </w:t>
      </w:r>
      <w:r w:rsidR="00152E1A">
        <w:rPr>
          <w:sz w:val="24"/>
          <w:szCs w:val="24"/>
        </w:rPr>
        <w:t>31.</w:t>
      </w:r>
    </w:p>
    <w:p w14:paraId="6EAD2E55" w14:textId="5091F0EE" w:rsidR="008E53FB" w:rsidRPr="008E53FB" w:rsidRDefault="008E53FB" w:rsidP="00344013">
      <w:pPr>
        <w:numPr>
          <w:ilvl w:val="0"/>
          <w:numId w:val="3"/>
        </w:numPr>
        <w:spacing w:line="360" w:lineRule="auto"/>
        <w:rPr>
          <w:sz w:val="24"/>
          <w:szCs w:val="24"/>
        </w:rPr>
      </w:pPr>
      <w:r w:rsidRPr="008E53FB">
        <w:rPr>
          <w:sz w:val="24"/>
          <w:szCs w:val="24"/>
        </w:rPr>
        <w:t>The Lemhi Shoshone</w:t>
      </w:r>
      <w:r w:rsidR="00E0759D">
        <w:rPr>
          <w:sz w:val="24"/>
          <w:szCs w:val="24"/>
        </w:rPr>
        <w:t>:     Page</w:t>
      </w:r>
      <w:r w:rsidR="00152E1A">
        <w:rPr>
          <w:sz w:val="24"/>
          <w:szCs w:val="24"/>
        </w:rPr>
        <w:t xml:space="preserve"> 32.</w:t>
      </w:r>
    </w:p>
    <w:p w14:paraId="04D76167" w14:textId="384E8E57" w:rsidR="008E53FB" w:rsidRPr="008E53FB" w:rsidRDefault="008E53FB" w:rsidP="00344013">
      <w:pPr>
        <w:numPr>
          <w:ilvl w:val="0"/>
          <w:numId w:val="3"/>
        </w:numPr>
        <w:spacing w:line="360" w:lineRule="auto"/>
        <w:rPr>
          <w:sz w:val="24"/>
          <w:szCs w:val="24"/>
        </w:rPr>
      </w:pPr>
      <w:r w:rsidRPr="008E53FB">
        <w:rPr>
          <w:sz w:val="24"/>
          <w:szCs w:val="24"/>
        </w:rPr>
        <w:t>Eva Emery Dye’s Creation of the Sacagawea Legend</w:t>
      </w:r>
      <w:r w:rsidR="00E0759D">
        <w:rPr>
          <w:sz w:val="24"/>
          <w:szCs w:val="24"/>
        </w:rPr>
        <w:t>:     Page</w:t>
      </w:r>
      <w:r w:rsidR="00152E1A">
        <w:rPr>
          <w:sz w:val="24"/>
          <w:szCs w:val="24"/>
        </w:rPr>
        <w:t xml:space="preserve"> 33.</w:t>
      </w:r>
    </w:p>
    <w:p w14:paraId="55C05CE5" w14:textId="7396359C" w:rsidR="008E53FB" w:rsidRPr="008E53FB" w:rsidRDefault="008E53FB" w:rsidP="00344013">
      <w:pPr>
        <w:numPr>
          <w:ilvl w:val="0"/>
          <w:numId w:val="3"/>
        </w:numPr>
        <w:spacing w:line="360" w:lineRule="auto"/>
        <w:rPr>
          <w:sz w:val="24"/>
          <w:szCs w:val="24"/>
        </w:rPr>
      </w:pPr>
      <w:r w:rsidRPr="008E53FB">
        <w:rPr>
          <w:sz w:val="24"/>
          <w:szCs w:val="24"/>
        </w:rPr>
        <w:t>Counter Arguments to Sacagawea as Legend</w:t>
      </w:r>
      <w:r w:rsidR="00E0759D">
        <w:rPr>
          <w:sz w:val="24"/>
          <w:szCs w:val="24"/>
        </w:rPr>
        <w:t>:     Page</w:t>
      </w:r>
      <w:r w:rsidR="00152E1A">
        <w:rPr>
          <w:sz w:val="24"/>
          <w:szCs w:val="24"/>
        </w:rPr>
        <w:t xml:space="preserve"> </w:t>
      </w:r>
      <w:r w:rsidR="009F7A3F">
        <w:rPr>
          <w:sz w:val="24"/>
          <w:szCs w:val="24"/>
        </w:rPr>
        <w:t>34.</w:t>
      </w:r>
    </w:p>
    <w:p w14:paraId="4FB8AB09" w14:textId="2CB3A6AE" w:rsidR="008E53FB" w:rsidRPr="008E53FB" w:rsidRDefault="008E53FB" w:rsidP="00344013">
      <w:pPr>
        <w:numPr>
          <w:ilvl w:val="0"/>
          <w:numId w:val="3"/>
        </w:numPr>
        <w:spacing w:line="360" w:lineRule="auto"/>
        <w:rPr>
          <w:sz w:val="24"/>
          <w:szCs w:val="24"/>
        </w:rPr>
      </w:pPr>
      <w:r w:rsidRPr="008E53FB">
        <w:rPr>
          <w:sz w:val="24"/>
          <w:szCs w:val="24"/>
        </w:rPr>
        <w:t>Lawrence’s Sacagawea</w:t>
      </w:r>
      <w:r w:rsidR="00E0759D">
        <w:rPr>
          <w:sz w:val="24"/>
          <w:szCs w:val="24"/>
        </w:rPr>
        <w:t>:     Page</w:t>
      </w:r>
      <w:r w:rsidR="009F7A3F">
        <w:rPr>
          <w:sz w:val="24"/>
          <w:szCs w:val="24"/>
        </w:rPr>
        <w:t xml:space="preserve"> </w:t>
      </w:r>
      <w:r w:rsidR="00407034">
        <w:rPr>
          <w:sz w:val="24"/>
          <w:szCs w:val="24"/>
        </w:rPr>
        <w:t>36.</w:t>
      </w:r>
    </w:p>
    <w:p w14:paraId="7A865D0B" w14:textId="2BBE284F" w:rsidR="008E53FB" w:rsidRPr="008E53FB" w:rsidRDefault="008E53FB" w:rsidP="00344013">
      <w:pPr>
        <w:numPr>
          <w:ilvl w:val="0"/>
          <w:numId w:val="3"/>
        </w:numPr>
        <w:spacing w:line="360" w:lineRule="auto"/>
        <w:rPr>
          <w:sz w:val="24"/>
          <w:szCs w:val="24"/>
        </w:rPr>
      </w:pPr>
      <w:r w:rsidRPr="008E53FB">
        <w:rPr>
          <w:sz w:val="24"/>
          <w:szCs w:val="24"/>
        </w:rPr>
        <w:t>Lawrence’s Perspective</w:t>
      </w:r>
      <w:r w:rsidR="00E0759D">
        <w:rPr>
          <w:sz w:val="24"/>
          <w:szCs w:val="24"/>
        </w:rPr>
        <w:t>:     Page</w:t>
      </w:r>
      <w:r w:rsidR="00407034">
        <w:rPr>
          <w:sz w:val="24"/>
          <w:szCs w:val="24"/>
        </w:rPr>
        <w:t xml:space="preserve"> 37.</w:t>
      </w:r>
    </w:p>
    <w:p w14:paraId="0FAC7AF7" w14:textId="1AFF3272" w:rsidR="008E53FB" w:rsidRPr="008E53FB" w:rsidRDefault="008E53FB" w:rsidP="00344013">
      <w:pPr>
        <w:numPr>
          <w:ilvl w:val="0"/>
          <w:numId w:val="3"/>
        </w:numPr>
        <w:spacing w:line="360" w:lineRule="auto"/>
        <w:rPr>
          <w:sz w:val="24"/>
          <w:szCs w:val="24"/>
        </w:rPr>
      </w:pPr>
      <w:r w:rsidRPr="008E53FB">
        <w:rPr>
          <w:sz w:val="24"/>
          <w:szCs w:val="24"/>
        </w:rPr>
        <w:t>The Political Tightrope</w:t>
      </w:r>
      <w:r w:rsidR="00E0759D">
        <w:rPr>
          <w:sz w:val="24"/>
          <w:szCs w:val="24"/>
        </w:rPr>
        <w:t>:     Page</w:t>
      </w:r>
      <w:r w:rsidR="00407034">
        <w:rPr>
          <w:sz w:val="24"/>
          <w:szCs w:val="24"/>
        </w:rPr>
        <w:t xml:space="preserve"> 39.</w:t>
      </w:r>
    </w:p>
    <w:p w14:paraId="66F614E5" w14:textId="08932363" w:rsidR="008E53FB" w:rsidRPr="008E53FB" w:rsidRDefault="008E53FB" w:rsidP="00344013">
      <w:pPr>
        <w:numPr>
          <w:ilvl w:val="0"/>
          <w:numId w:val="3"/>
        </w:numPr>
        <w:spacing w:line="360" w:lineRule="auto"/>
        <w:rPr>
          <w:sz w:val="24"/>
          <w:szCs w:val="24"/>
        </w:rPr>
      </w:pPr>
      <w:r w:rsidRPr="008E53FB">
        <w:rPr>
          <w:sz w:val="24"/>
          <w:szCs w:val="24"/>
        </w:rPr>
        <w:t>Conclusion</w:t>
      </w:r>
      <w:r w:rsidR="00E0759D">
        <w:rPr>
          <w:sz w:val="24"/>
          <w:szCs w:val="24"/>
        </w:rPr>
        <w:t xml:space="preserve">:     </w:t>
      </w:r>
      <w:r w:rsidR="00B211C4">
        <w:rPr>
          <w:sz w:val="24"/>
          <w:szCs w:val="24"/>
        </w:rPr>
        <w:t>Page</w:t>
      </w:r>
      <w:r w:rsidR="00407034">
        <w:rPr>
          <w:sz w:val="24"/>
          <w:szCs w:val="24"/>
        </w:rPr>
        <w:t xml:space="preserve"> </w:t>
      </w:r>
      <w:r w:rsidR="00B5309F">
        <w:rPr>
          <w:sz w:val="24"/>
          <w:szCs w:val="24"/>
        </w:rPr>
        <w:t>41.</w:t>
      </w:r>
    </w:p>
    <w:p w14:paraId="098C73C1" w14:textId="77777777" w:rsidR="008E53FB" w:rsidRPr="008E53FB" w:rsidRDefault="008E53FB" w:rsidP="00344013">
      <w:pPr>
        <w:spacing w:line="360" w:lineRule="auto"/>
        <w:rPr>
          <w:sz w:val="24"/>
          <w:szCs w:val="24"/>
          <w:u w:val="single"/>
        </w:rPr>
      </w:pPr>
    </w:p>
    <w:p w14:paraId="6C416F6E" w14:textId="5D8EB32B" w:rsidR="008E53FB" w:rsidRPr="008E53FB" w:rsidRDefault="008E53FB" w:rsidP="00344013">
      <w:pPr>
        <w:spacing w:line="360" w:lineRule="auto"/>
        <w:rPr>
          <w:i/>
          <w:iCs/>
          <w:sz w:val="24"/>
          <w:szCs w:val="24"/>
        </w:rPr>
      </w:pPr>
      <w:r w:rsidRPr="008E53FB">
        <w:rPr>
          <w:sz w:val="24"/>
          <w:szCs w:val="24"/>
          <w:u w:val="single"/>
        </w:rPr>
        <w:t>Chapter Three:</w:t>
      </w:r>
      <w:r w:rsidRPr="008E53FB">
        <w:rPr>
          <w:i/>
          <w:iCs/>
          <w:sz w:val="24"/>
          <w:szCs w:val="24"/>
          <w:u w:val="single"/>
        </w:rPr>
        <w:t xml:space="preserve"> Listen, Father! The Americans have not yet defeated us by land; neither are we sure they have done so by water—we therefore wish to remain here and fight our enemy . . . —Tecumseh to the British, Tippecanoe, 1811</w:t>
      </w:r>
      <w:r w:rsidR="006F7F82">
        <w:rPr>
          <w:i/>
          <w:iCs/>
          <w:sz w:val="24"/>
          <w:szCs w:val="24"/>
          <w:u w:val="single"/>
        </w:rPr>
        <w:t>:</w:t>
      </w:r>
      <w:r w:rsidR="006F7F82">
        <w:rPr>
          <w:i/>
          <w:iCs/>
          <w:sz w:val="24"/>
          <w:szCs w:val="24"/>
        </w:rPr>
        <w:t xml:space="preserve">     </w:t>
      </w:r>
      <w:r w:rsidR="006F7F82" w:rsidRPr="00AE5246">
        <w:rPr>
          <w:sz w:val="24"/>
          <w:szCs w:val="24"/>
        </w:rPr>
        <w:t>Page</w:t>
      </w:r>
      <w:r w:rsidR="00B5309F">
        <w:rPr>
          <w:sz w:val="24"/>
          <w:szCs w:val="24"/>
        </w:rPr>
        <w:t xml:space="preserve"> 42.</w:t>
      </w:r>
    </w:p>
    <w:p w14:paraId="255CB145" w14:textId="49618DAD" w:rsidR="008E53FB" w:rsidRPr="008E53FB" w:rsidRDefault="008E53FB" w:rsidP="00344013">
      <w:pPr>
        <w:numPr>
          <w:ilvl w:val="0"/>
          <w:numId w:val="4"/>
        </w:numPr>
        <w:spacing w:line="360" w:lineRule="auto"/>
        <w:rPr>
          <w:sz w:val="24"/>
          <w:szCs w:val="24"/>
        </w:rPr>
      </w:pPr>
      <w:r w:rsidRPr="008E53FB">
        <w:rPr>
          <w:sz w:val="24"/>
          <w:szCs w:val="24"/>
        </w:rPr>
        <w:t>‘A Great Water’</w:t>
      </w:r>
      <w:r w:rsidR="00AE5246">
        <w:rPr>
          <w:sz w:val="24"/>
          <w:szCs w:val="24"/>
        </w:rPr>
        <w:t>:     Page</w:t>
      </w:r>
      <w:r w:rsidR="00B5309F">
        <w:rPr>
          <w:sz w:val="24"/>
          <w:szCs w:val="24"/>
        </w:rPr>
        <w:t xml:space="preserve"> 43.</w:t>
      </w:r>
    </w:p>
    <w:p w14:paraId="70096387" w14:textId="3E527E47" w:rsidR="008E53FB" w:rsidRPr="008E53FB" w:rsidRDefault="008E53FB" w:rsidP="00344013">
      <w:pPr>
        <w:numPr>
          <w:ilvl w:val="0"/>
          <w:numId w:val="4"/>
        </w:numPr>
        <w:spacing w:line="360" w:lineRule="auto"/>
        <w:rPr>
          <w:sz w:val="24"/>
          <w:szCs w:val="24"/>
        </w:rPr>
      </w:pPr>
      <w:r w:rsidRPr="008E53FB">
        <w:rPr>
          <w:sz w:val="24"/>
          <w:szCs w:val="24"/>
        </w:rPr>
        <w:t>Tecumseh as Legend</w:t>
      </w:r>
      <w:r w:rsidR="00AE5246">
        <w:rPr>
          <w:sz w:val="24"/>
          <w:szCs w:val="24"/>
        </w:rPr>
        <w:t>:     Page</w:t>
      </w:r>
      <w:r w:rsidR="00B5309F">
        <w:rPr>
          <w:sz w:val="24"/>
          <w:szCs w:val="24"/>
        </w:rPr>
        <w:t xml:space="preserve"> </w:t>
      </w:r>
      <w:r w:rsidR="00712EB4">
        <w:rPr>
          <w:sz w:val="24"/>
          <w:szCs w:val="24"/>
        </w:rPr>
        <w:t>44.</w:t>
      </w:r>
    </w:p>
    <w:p w14:paraId="333C2C7A" w14:textId="044B3B72" w:rsidR="008E53FB" w:rsidRPr="008E53FB" w:rsidRDefault="008E53FB" w:rsidP="00344013">
      <w:pPr>
        <w:numPr>
          <w:ilvl w:val="0"/>
          <w:numId w:val="4"/>
        </w:numPr>
        <w:spacing w:line="360" w:lineRule="auto"/>
        <w:rPr>
          <w:sz w:val="24"/>
          <w:szCs w:val="24"/>
        </w:rPr>
      </w:pPr>
      <w:r w:rsidRPr="008E53FB">
        <w:rPr>
          <w:sz w:val="24"/>
          <w:szCs w:val="24"/>
        </w:rPr>
        <w:t>Tecumseh and his Shawnee Heritage</w:t>
      </w:r>
      <w:r w:rsidR="00AE5246">
        <w:rPr>
          <w:sz w:val="24"/>
          <w:szCs w:val="24"/>
        </w:rPr>
        <w:t>:     Page</w:t>
      </w:r>
      <w:r w:rsidR="00712EB4">
        <w:rPr>
          <w:sz w:val="24"/>
          <w:szCs w:val="24"/>
        </w:rPr>
        <w:t xml:space="preserve"> 45.</w:t>
      </w:r>
    </w:p>
    <w:p w14:paraId="268316AB" w14:textId="04EF62D6" w:rsidR="008E53FB" w:rsidRPr="008E53FB" w:rsidRDefault="008E53FB" w:rsidP="00344013">
      <w:pPr>
        <w:numPr>
          <w:ilvl w:val="0"/>
          <w:numId w:val="4"/>
        </w:numPr>
        <w:spacing w:line="360" w:lineRule="auto"/>
        <w:rPr>
          <w:sz w:val="24"/>
          <w:szCs w:val="24"/>
        </w:rPr>
      </w:pPr>
      <w:r w:rsidRPr="008E53FB">
        <w:rPr>
          <w:sz w:val="24"/>
          <w:szCs w:val="24"/>
        </w:rPr>
        <w:t>Lawrence’s Use of Colour</w:t>
      </w:r>
      <w:r w:rsidR="00AE5246">
        <w:rPr>
          <w:sz w:val="24"/>
          <w:szCs w:val="24"/>
        </w:rPr>
        <w:t>:     Page</w:t>
      </w:r>
      <w:r w:rsidR="00712EB4">
        <w:rPr>
          <w:sz w:val="24"/>
          <w:szCs w:val="24"/>
        </w:rPr>
        <w:t xml:space="preserve"> 47.</w:t>
      </w:r>
    </w:p>
    <w:p w14:paraId="0E096981" w14:textId="177B8648" w:rsidR="008E53FB" w:rsidRPr="008E53FB" w:rsidRDefault="008E53FB" w:rsidP="00344013">
      <w:pPr>
        <w:numPr>
          <w:ilvl w:val="0"/>
          <w:numId w:val="4"/>
        </w:numPr>
        <w:spacing w:line="360" w:lineRule="auto"/>
        <w:rPr>
          <w:sz w:val="24"/>
          <w:szCs w:val="24"/>
        </w:rPr>
      </w:pPr>
      <w:r w:rsidRPr="008E53FB">
        <w:rPr>
          <w:sz w:val="24"/>
          <w:szCs w:val="24"/>
        </w:rPr>
        <w:t>Lawrence’s Coastguard Service</w:t>
      </w:r>
      <w:r w:rsidR="00AE5246">
        <w:rPr>
          <w:sz w:val="24"/>
          <w:szCs w:val="24"/>
        </w:rPr>
        <w:t>:      Page</w:t>
      </w:r>
      <w:r w:rsidR="00462E2F">
        <w:rPr>
          <w:sz w:val="24"/>
          <w:szCs w:val="24"/>
        </w:rPr>
        <w:t xml:space="preserve"> 50.</w:t>
      </w:r>
    </w:p>
    <w:p w14:paraId="1A212300" w14:textId="010CEE23" w:rsidR="008E53FB" w:rsidRPr="008E53FB" w:rsidRDefault="008E53FB" w:rsidP="00344013">
      <w:pPr>
        <w:numPr>
          <w:ilvl w:val="0"/>
          <w:numId w:val="4"/>
        </w:numPr>
        <w:spacing w:line="360" w:lineRule="auto"/>
        <w:rPr>
          <w:sz w:val="24"/>
          <w:szCs w:val="24"/>
        </w:rPr>
      </w:pPr>
      <w:r w:rsidRPr="008E53FB">
        <w:rPr>
          <w:sz w:val="24"/>
          <w:szCs w:val="24"/>
        </w:rPr>
        <w:t>A Comparison of Lawrence’s</w:t>
      </w:r>
      <w:r w:rsidRPr="008E53FB">
        <w:rPr>
          <w:i/>
          <w:iCs/>
          <w:sz w:val="24"/>
          <w:szCs w:val="24"/>
        </w:rPr>
        <w:t xml:space="preserve"> Coastguard</w:t>
      </w:r>
      <w:r w:rsidRPr="008E53FB">
        <w:rPr>
          <w:sz w:val="24"/>
          <w:szCs w:val="24"/>
        </w:rPr>
        <w:t xml:space="preserve"> and </w:t>
      </w:r>
      <w:r w:rsidRPr="008E53FB">
        <w:rPr>
          <w:i/>
          <w:iCs/>
          <w:sz w:val="24"/>
          <w:szCs w:val="24"/>
        </w:rPr>
        <w:t>Struggle</w:t>
      </w:r>
      <w:r w:rsidRPr="008E53FB">
        <w:rPr>
          <w:sz w:val="24"/>
          <w:szCs w:val="24"/>
        </w:rPr>
        <w:t xml:space="preserve"> Collections</w:t>
      </w:r>
      <w:r w:rsidR="00AE5246">
        <w:rPr>
          <w:sz w:val="24"/>
          <w:szCs w:val="24"/>
        </w:rPr>
        <w:t>:     Page</w:t>
      </w:r>
      <w:r w:rsidR="00462E2F">
        <w:rPr>
          <w:sz w:val="24"/>
          <w:szCs w:val="24"/>
        </w:rPr>
        <w:t xml:space="preserve"> 52.</w:t>
      </w:r>
    </w:p>
    <w:p w14:paraId="04488621" w14:textId="42454ACA" w:rsidR="008E53FB" w:rsidRPr="008E53FB" w:rsidRDefault="008E53FB" w:rsidP="00344013">
      <w:pPr>
        <w:numPr>
          <w:ilvl w:val="0"/>
          <w:numId w:val="4"/>
        </w:numPr>
        <w:spacing w:line="360" w:lineRule="auto"/>
        <w:rPr>
          <w:sz w:val="24"/>
          <w:szCs w:val="24"/>
        </w:rPr>
      </w:pPr>
      <w:r w:rsidRPr="008E53FB">
        <w:rPr>
          <w:sz w:val="24"/>
          <w:szCs w:val="24"/>
        </w:rPr>
        <w:t>Conclusion</w:t>
      </w:r>
      <w:r w:rsidR="00AE5246">
        <w:rPr>
          <w:sz w:val="24"/>
          <w:szCs w:val="24"/>
        </w:rPr>
        <w:t>:     Page</w:t>
      </w:r>
      <w:r w:rsidR="00462E2F">
        <w:rPr>
          <w:sz w:val="24"/>
          <w:szCs w:val="24"/>
        </w:rPr>
        <w:t xml:space="preserve"> 54</w:t>
      </w:r>
      <w:r w:rsidR="00AE770F">
        <w:rPr>
          <w:sz w:val="24"/>
          <w:szCs w:val="24"/>
        </w:rPr>
        <w:t>.</w:t>
      </w:r>
    </w:p>
    <w:p w14:paraId="6D4E4C45" w14:textId="77777777" w:rsidR="008E53FB" w:rsidRPr="008E53FB" w:rsidRDefault="008E53FB" w:rsidP="00344013">
      <w:pPr>
        <w:spacing w:line="360" w:lineRule="auto"/>
        <w:rPr>
          <w:sz w:val="24"/>
          <w:szCs w:val="24"/>
          <w:u w:val="single"/>
        </w:rPr>
      </w:pPr>
    </w:p>
    <w:p w14:paraId="6FD0DA51" w14:textId="752375FC" w:rsidR="008E53FB" w:rsidRPr="008E53FB" w:rsidRDefault="008E53FB" w:rsidP="00344013">
      <w:pPr>
        <w:spacing w:line="360" w:lineRule="auto"/>
        <w:rPr>
          <w:sz w:val="24"/>
          <w:szCs w:val="24"/>
        </w:rPr>
      </w:pPr>
      <w:r w:rsidRPr="008E53FB">
        <w:rPr>
          <w:sz w:val="24"/>
          <w:szCs w:val="24"/>
        </w:rPr>
        <w:lastRenderedPageBreak/>
        <w:t>Conclusion</w:t>
      </w:r>
      <w:r w:rsidR="00AE5246">
        <w:rPr>
          <w:sz w:val="24"/>
          <w:szCs w:val="24"/>
        </w:rPr>
        <w:t>:     Page</w:t>
      </w:r>
      <w:r w:rsidR="00AE770F">
        <w:rPr>
          <w:sz w:val="24"/>
          <w:szCs w:val="24"/>
        </w:rPr>
        <w:t xml:space="preserve"> 55.</w:t>
      </w:r>
    </w:p>
    <w:p w14:paraId="3A543AF4" w14:textId="77777777" w:rsidR="008E53FB" w:rsidRPr="008E53FB" w:rsidRDefault="008E53FB" w:rsidP="00344013">
      <w:pPr>
        <w:spacing w:line="360" w:lineRule="auto"/>
        <w:rPr>
          <w:sz w:val="24"/>
          <w:szCs w:val="24"/>
        </w:rPr>
      </w:pPr>
    </w:p>
    <w:p w14:paraId="4C668146" w14:textId="5E6D7584" w:rsidR="008E53FB" w:rsidRPr="008E53FB" w:rsidRDefault="008E53FB" w:rsidP="00344013">
      <w:pPr>
        <w:spacing w:line="360" w:lineRule="auto"/>
        <w:rPr>
          <w:sz w:val="24"/>
          <w:szCs w:val="24"/>
        </w:rPr>
      </w:pPr>
      <w:r w:rsidRPr="008E53FB">
        <w:rPr>
          <w:sz w:val="24"/>
          <w:szCs w:val="24"/>
        </w:rPr>
        <w:t>Bibliography</w:t>
      </w:r>
      <w:r w:rsidR="00AE5246">
        <w:rPr>
          <w:sz w:val="24"/>
          <w:szCs w:val="24"/>
        </w:rPr>
        <w:t>:     Page</w:t>
      </w:r>
      <w:r w:rsidR="00AE770F">
        <w:rPr>
          <w:sz w:val="24"/>
          <w:szCs w:val="24"/>
        </w:rPr>
        <w:t xml:space="preserve"> 58.</w:t>
      </w:r>
    </w:p>
    <w:p w14:paraId="137A4415" w14:textId="77777777" w:rsidR="008E53FB" w:rsidRPr="008E53FB" w:rsidRDefault="008E53FB" w:rsidP="00344013">
      <w:pPr>
        <w:spacing w:line="360" w:lineRule="auto"/>
        <w:rPr>
          <w:sz w:val="24"/>
          <w:szCs w:val="24"/>
          <w:u w:val="single"/>
        </w:rPr>
      </w:pPr>
    </w:p>
    <w:p w14:paraId="193AD7DE" w14:textId="4744CD03" w:rsidR="000070C8" w:rsidRPr="00344013" w:rsidRDefault="000070C8" w:rsidP="00344013">
      <w:pPr>
        <w:spacing w:line="360" w:lineRule="auto"/>
        <w:rPr>
          <w:sz w:val="24"/>
          <w:szCs w:val="24"/>
        </w:rPr>
      </w:pPr>
    </w:p>
    <w:p w14:paraId="3579D54A" w14:textId="1DF852A0" w:rsidR="008E53FB" w:rsidRPr="00344013" w:rsidRDefault="008E53FB" w:rsidP="00344013">
      <w:pPr>
        <w:spacing w:line="360" w:lineRule="auto"/>
        <w:rPr>
          <w:sz w:val="24"/>
          <w:szCs w:val="24"/>
        </w:rPr>
      </w:pPr>
    </w:p>
    <w:p w14:paraId="5A867653" w14:textId="737642D0" w:rsidR="008E53FB" w:rsidRPr="00344013" w:rsidRDefault="008E53FB" w:rsidP="00344013">
      <w:pPr>
        <w:spacing w:line="360" w:lineRule="auto"/>
        <w:rPr>
          <w:sz w:val="24"/>
          <w:szCs w:val="24"/>
        </w:rPr>
      </w:pPr>
    </w:p>
    <w:p w14:paraId="1AEE1EA6" w14:textId="3C1A8E29" w:rsidR="008E53FB" w:rsidRPr="00344013" w:rsidRDefault="008E53FB" w:rsidP="00344013">
      <w:pPr>
        <w:spacing w:line="360" w:lineRule="auto"/>
        <w:rPr>
          <w:sz w:val="24"/>
          <w:szCs w:val="24"/>
        </w:rPr>
      </w:pPr>
    </w:p>
    <w:p w14:paraId="61CC9C26" w14:textId="018F552B" w:rsidR="008E53FB" w:rsidRPr="00344013" w:rsidRDefault="008E53FB" w:rsidP="00344013">
      <w:pPr>
        <w:spacing w:line="360" w:lineRule="auto"/>
        <w:rPr>
          <w:sz w:val="24"/>
          <w:szCs w:val="24"/>
        </w:rPr>
      </w:pPr>
    </w:p>
    <w:p w14:paraId="72C313A8" w14:textId="40D60759" w:rsidR="008E53FB" w:rsidRPr="00344013" w:rsidRDefault="008E53FB" w:rsidP="00344013">
      <w:pPr>
        <w:spacing w:line="360" w:lineRule="auto"/>
        <w:rPr>
          <w:sz w:val="24"/>
          <w:szCs w:val="24"/>
        </w:rPr>
      </w:pPr>
    </w:p>
    <w:p w14:paraId="6DE4B553" w14:textId="7A0D22BE" w:rsidR="008E53FB" w:rsidRPr="00344013" w:rsidRDefault="008E53FB" w:rsidP="00344013">
      <w:pPr>
        <w:spacing w:line="360" w:lineRule="auto"/>
        <w:rPr>
          <w:sz w:val="24"/>
          <w:szCs w:val="24"/>
        </w:rPr>
      </w:pPr>
    </w:p>
    <w:p w14:paraId="64FABAF2" w14:textId="01E2D3B9" w:rsidR="008E53FB" w:rsidRPr="00344013" w:rsidRDefault="008E53FB" w:rsidP="00344013">
      <w:pPr>
        <w:spacing w:line="360" w:lineRule="auto"/>
        <w:rPr>
          <w:sz w:val="24"/>
          <w:szCs w:val="24"/>
        </w:rPr>
      </w:pPr>
    </w:p>
    <w:p w14:paraId="2BE338FC" w14:textId="77777777" w:rsidR="00344013" w:rsidRPr="00344013" w:rsidRDefault="00344013" w:rsidP="00344013">
      <w:pPr>
        <w:spacing w:line="360" w:lineRule="auto"/>
        <w:rPr>
          <w:sz w:val="24"/>
          <w:szCs w:val="24"/>
          <w:u w:val="single"/>
        </w:rPr>
      </w:pPr>
    </w:p>
    <w:p w14:paraId="7886C271" w14:textId="77777777" w:rsidR="00344013" w:rsidRPr="00344013" w:rsidRDefault="00344013" w:rsidP="00344013">
      <w:pPr>
        <w:spacing w:line="360" w:lineRule="auto"/>
        <w:rPr>
          <w:sz w:val="24"/>
          <w:szCs w:val="24"/>
          <w:u w:val="single"/>
        </w:rPr>
      </w:pPr>
    </w:p>
    <w:p w14:paraId="4381540C" w14:textId="77777777" w:rsidR="00344013" w:rsidRPr="00344013" w:rsidRDefault="00344013" w:rsidP="00344013">
      <w:pPr>
        <w:spacing w:line="360" w:lineRule="auto"/>
        <w:rPr>
          <w:sz w:val="24"/>
          <w:szCs w:val="24"/>
          <w:u w:val="single"/>
        </w:rPr>
      </w:pPr>
    </w:p>
    <w:p w14:paraId="43C4D642" w14:textId="77777777" w:rsidR="00344013" w:rsidRPr="00344013" w:rsidRDefault="00344013" w:rsidP="00344013">
      <w:pPr>
        <w:spacing w:line="360" w:lineRule="auto"/>
        <w:rPr>
          <w:sz w:val="24"/>
          <w:szCs w:val="24"/>
          <w:u w:val="single"/>
        </w:rPr>
      </w:pPr>
    </w:p>
    <w:p w14:paraId="063199A4" w14:textId="77777777" w:rsidR="00344013" w:rsidRPr="00344013" w:rsidRDefault="00344013" w:rsidP="00344013">
      <w:pPr>
        <w:spacing w:line="360" w:lineRule="auto"/>
        <w:rPr>
          <w:sz w:val="24"/>
          <w:szCs w:val="24"/>
          <w:u w:val="single"/>
        </w:rPr>
      </w:pPr>
    </w:p>
    <w:p w14:paraId="238545B0" w14:textId="77777777" w:rsidR="00344013" w:rsidRPr="00344013" w:rsidRDefault="00344013" w:rsidP="00344013">
      <w:pPr>
        <w:spacing w:line="360" w:lineRule="auto"/>
        <w:rPr>
          <w:sz w:val="24"/>
          <w:szCs w:val="24"/>
          <w:u w:val="single"/>
        </w:rPr>
      </w:pPr>
    </w:p>
    <w:p w14:paraId="64746608" w14:textId="77777777" w:rsidR="007054BF" w:rsidRDefault="007054BF" w:rsidP="00344013">
      <w:pPr>
        <w:spacing w:line="360" w:lineRule="auto"/>
        <w:rPr>
          <w:sz w:val="24"/>
          <w:szCs w:val="24"/>
          <w:u w:val="single"/>
        </w:rPr>
      </w:pPr>
    </w:p>
    <w:p w14:paraId="2F9CD18F" w14:textId="7F1426F3" w:rsidR="008E53FB" w:rsidRPr="008E53FB" w:rsidRDefault="008E53FB" w:rsidP="00F83D1B">
      <w:pPr>
        <w:spacing w:line="360" w:lineRule="auto"/>
        <w:jc w:val="center"/>
        <w:rPr>
          <w:sz w:val="24"/>
          <w:szCs w:val="24"/>
          <w:u w:val="single"/>
        </w:rPr>
      </w:pPr>
      <w:r w:rsidRPr="008E53FB">
        <w:rPr>
          <w:sz w:val="24"/>
          <w:szCs w:val="24"/>
          <w:u w:val="single"/>
        </w:rPr>
        <w:t>List of Illustrations</w:t>
      </w:r>
    </w:p>
    <w:p w14:paraId="2E201E50" w14:textId="77777777" w:rsidR="008E53FB" w:rsidRPr="008E53FB" w:rsidRDefault="008E53FB" w:rsidP="00344013">
      <w:pPr>
        <w:spacing w:line="360" w:lineRule="auto"/>
        <w:rPr>
          <w:sz w:val="24"/>
          <w:szCs w:val="24"/>
          <w:u w:val="single"/>
        </w:rPr>
      </w:pPr>
    </w:p>
    <w:p w14:paraId="2137A1DB" w14:textId="77777777" w:rsidR="008E53FB" w:rsidRPr="008E53FB" w:rsidRDefault="008E53FB" w:rsidP="00344013">
      <w:pPr>
        <w:spacing w:line="360" w:lineRule="auto"/>
        <w:rPr>
          <w:sz w:val="24"/>
          <w:szCs w:val="24"/>
        </w:rPr>
      </w:pPr>
      <w:r w:rsidRPr="008E53FB">
        <w:rPr>
          <w:sz w:val="24"/>
          <w:szCs w:val="24"/>
        </w:rPr>
        <w:t xml:space="preserve">Fig 1: Jacob Lawrence, Panel 3, </w:t>
      </w:r>
      <w:r w:rsidRPr="008E53FB">
        <w:rPr>
          <w:i/>
          <w:iCs/>
          <w:sz w:val="24"/>
          <w:szCs w:val="24"/>
        </w:rPr>
        <w:t xml:space="preserve">Rally Mohawks! Bring out your </w:t>
      </w:r>
      <w:proofErr w:type="gramStart"/>
      <w:r w:rsidRPr="008E53FB">
        <w:rPr>
          <w:i/>
          <w:iCs/>
          <w:sz w:val="24"/>
          <w:szCs w:val="24"/>
        </w:rPr>
        <w:t>axes, and</w:t>
      </w:r>
      <w:proofErr w:type="gramEnd"/>
      <w:r w:rsidRPr="008E53FB">
        <w:rPr>
          <w:i/>
          <w:iCs/>
          <w:sz w:val="24"/>
          <w:szCs w:val="24"/>
        </w:rPr>
        <w:t xml:space="preserve"> tell King George we’ll pay no taxes on his foreign tea</w:t>
      </w:r>
      <w:r w:rsidRPr="008E53FB">
        <w:rPr>
          <w:sz w:val="24"/>
          <w:szCs w:val="24"/>
        </w:rPr>
        <w:t>, from Struggle: From the History of the American People, 1954–56, egg tempera on hardboard 12 × 15 1/2 in. (30.5 × 39.4 cm).</w:t>
      </w:r>
    </w:p>
    <w:p w14:paraId="6E490A46" w14:textId="77777777" w:rsidR="008E53FB" w:rsidRPr="008E53FB" w:rsidRDefault="008E53FB" w:rsidP="00344013">
      <w:pPr>
        <w:spacing w:line="360" w:lineRule="auto"/>
        <w:rPr>
          <w:sz w:val="24"/>
          <w:szCs w:val="24"/>
          <w:vertAlign w:val="superscript"/>
        </w:rPr>
      </w:pPr>
    </w:p>
    <w:p w14:paraId="031C16B8" w14:textId="77777777" w:rsidR="008E53FB" w:rsidRPr="008E53FB" w:rsidRDefault="008E53FB" w:rsidP="00344013">
      <w:pPr>
        <w:spacing w:line="360" w:lineRule="auto"/>
        <w:rPr>
          <w:sz w:val="24"/>
          <w:szCs w:val="24"/>
        </w:rPr>
      </w:pPr>
      <w:r w:rsidRPr="008E53FB">
        <w:rPr>
          <w:sz w:val="24"/>
          <w:szCs w:val="24"/>
        </w:rPr>
        <w:t>Fig 2: Nathaniel Currier, The Destruction of Tea at Boston Harbour, 1846, hand-coloured lithograph, 7 11/16 x 12 ½ inches.</w:t>
      </w:r>
    </w:p>
    <w:p w14:paraId="67A04AE9" w14:textId="77777777" w:rsidR="008E53FB" w:rsidRPr="008E53FB" w:rsidRDefault="008E53FB" w:rsidP="00344013">
      <w:pPr>
        <w:spacing w:line="360" w:lineRule="auto"/>
        <w:rPr>
          <w:sz w:val="24"/>
          <w:szCs w:val="24"/>
        </w:rPr>
      </w:pPr>
    </w:p>
    <w:p w14:paraId="0B66C416" w14:textId="77777777" w:rsidR="008E53FB" w:rsidRPr="008E53FB" w:rsidRDefault="008E53FB" w:rsidP="00344013">
      <w:pPr>
        <w:spacing w:line="360" w:lineRule="auto"/>
        <w:rPr>
          <w:sz w:val="24"/>
          <w:szCs w:val="24"/>
        </w:rPr>
      </w:pPr>
      <w:r w:rsidRPr="008E53FB">
        <w:rPr>
          <w:sz w:val="24"/>
          <w:szCs w:val="24"/>
        </w:rPr>
        <w:t xml:space="preserve">Fig 3: Luis </w:t>
      </w:r>
      <w:proofErr w:type="spellStart"/>
      <w:r w:rsidRPr="008E53FB">
        <w:rPr>
          <w:sz w:val="24"/>
          <w:szCs w:val="24"/>
        </w:rPr>
        <w:t>Arcas</w:t>
      </w:r>
      <w:proofErr w:type="spellEnd"/>
      <w:r w:rsidRPr="008E53FB">
        <w:rPr>
          <w:sz w:val="24"/>
          <w:szCs w:val="24"/>
        </w:rPr>
        <w:t xml:space="preserve"> </w:t>
      </w:r>
      <w:proofErr w:type="spellStart"/>
      <w:r w:rsidRPr="008E53FB">
        <w:rPr>
          <w:sz w:val="24"/>
          <w:szCs w:val="24"/>
        </w:rPr>
        <w:t>Brauner</w:t>
      </w:r>
      <w:proofErr w:type="spellEnd"/>
      <w:r w:rsidRPr="008E53FB">
        <w:rPr>
          <w:sz w:val="24"/>
          <w:szCs w:val="24"/>
        </w:rPr>
        <w:t xml:space="preserve"> (1934-89), </w:t>
      </w:r>
      <w:r w:rsidRPr="008E53FB">
        <w:rPr>
          <w:i/>
          <w:iCs/>
          <w:sz w:val="24"/>
          <w:szCs w:val="24"/>
        </w:rPr>
        <w:t>The Boston Tea Party</w:t>
      </w:r>
      <w:r w:rsidRPr="008E53FB">
        <w:rPr>
          <w:sz w:val="24"/>
          <w:szCs w:val="24"/>
        </w:rPr>
        <w:t>, oil on canvas.</w:t>
      </w:r>
    </w:p>
    <w:p w14:paraId="007D38A4" w14:textId="77777777" w:rsidR="008E53FB" w:rsidRPr="008E53FB" w:rsidRDefault="008E53FB" w:rsidP="00344013">
      <w:pPr>
        <w:spacing w:line="360" w:lineRule="auto"/>
        <w:rPr>
          <w:sz w:val="24"/>
          <w:szCs w:val="24"/>
        </w:rPr>
      </w:pPr>
    </w:p>
    <w:p w14:paraId="5EF2AB57" w14:textId="77777777" w:rsidR="008E53FB" w:rsidRPr="008E53FB" w:rsidRDefault="008E53FB" w:rsidP="00344013">
      <w:pPr>
        <w:spacing w:line="360" w:lineRule="auto"/>
        <w:rPr>
          <w:sz w:val="24"/>
          <w:szCs w:val="24"/>
        </w:rPr>
      </w:pPr>
      <w:r w:rsidRPr="008E53FB">
        <w:rPr>
          <w:sz w:val="24"/>
          <w:szCs w:val="24"/>
        </w:rPr>
        <w:t>Fig 4: Jacob Lawrence, Panel 18,</w:t>
      </w:r>
      <w:r w:rsidRPr="008E53FB">
        <w:rPr>
          <w:i/>
          <w:iCs/>
          <w:sz w:val="24"/>
          <w:szCs w:val="24"/>
        </w:rPr>
        <w:t xml:space="preserve"> In all your intercourse with the natives, treat them in the most friendly and conciliatory manner which their own conduct will admit…</w:t>
      </w:r>
      <w:r w:rsidRPr="008E53FB">
        <w:rPr>
          <w:i/>
          <w:iCs/>
          <w:sz w:val="24"/>
          <w:szCs w:val="24"/>
        </w:rPr>
        <w:br/>
        <w:t>—Jefferson to Lewis &amp; Clark, 1803,</w:t>
      </w:r>
      <w:r w:rsidRPr="008E53FB">
        <w:rPr>
          <w:sz w:val="24"/>
          <w:szCs w:val="24"/>
        </w:rPr>
        <w:t xml:space="preserve"> from Struggle: From the History of the American People, 1954–56, egg tempera on hardboard 12 × 15 1/2 in. (30.5 × 39.4 cm).</w:t>
      </w:r>
    </w:p>
    <w:p w14:paraId="1EA4188D" w14:textId="77777777" w:rsidR="008E53FB" w:rsidRPr="008E53FB" w:rsidRDefault="008E53FB" w:rsidP="00344013">
      <w:pPr>
        <w:spacing w:line="360" w:lineRule="auto"/>
        <w:rPr>
          <w:sz w:val="24"/>
          <w:szCs w:val="24"/>
        </w:rPr>
      </w:pPr>
    </w:p>
    <w:p w14:paraId="184EA667" w14:textId="77777777" w:rsidR="008E53FB" w:rsidRPr="008E53FB" w:rsidRDefault="008E53FB" w:rsidP="00344013">
      <w:pPr>
        <w:spacing w:line="360" w:lineRule="auto"/>
        <w:rPr>
          <w:sz w:val="24"/>
          <w:szCs w:val="24"/>
        </w:rPr>
      </w:pPr>
      <w:r w:rsidRPr="008E53FB">
        <w:rPr>
          <w:sz w:val="24"/>
          <w:szCs w:val="24"/>
        </w:rPr>
        <mc:AlternateContent>
          <mc:Choice Requires="wpi">
            <w:drawing>
              <wp:anchor distT="0" distB="0" distL="114300" distR="114300" simplePos="0" relativeHeight="251639808" behindDoc="0" locked="0" layoutInCell="1" allowOverlap="1" wp14:anchorId="35B4F5E2" wp14:editId="7A49B02C">
                <wp:simplePos x="0" y="0"/>
                <wp:positionH relativeFrom="column">
                  <wp:posOffset>-44502</wp:posOffset>
                </wp:positionH>
                <wp:positionV relativeFrom="paragraph">
                  <wp:posOffset>4570662</wp:posOffset>
                </wp:positionV>
                <wp:extent cx="360" cy="360"/>
                <wp:effectExtent l="38100" t="38100" r="57150" b="57150"/>
                <wp:wrapNone/>
                <wp:docPr id="7"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161DAE9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4.2pt;margin-top:359.2pt;width:1.45pt;height:1.45pt;z-index:251639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">
                <v:imagedata r:id="rId10" o:title=""/>
              </v:shape>
            </w:pict>
          </mc:Fallback>
        </mc:AlternateContent>
      </w:r>
      <w:r w:rsidRPr="008E53FB">
        <w:rPr>
          <w:sz w:val="24"/>
          <w:szCs w:val="24"/>
        </w:rPr>
        <mc:AlternateContent>
          <mc:Choice Requires="wpi">
            <w:drawing>
              <wp:anchor distT="0" distB="0" distL="114300" distR="114300" simplePos="0" relativeHeight="251634688" behindDoc="0" locked="0" layoutInCell="1" allowOverlap="1" wp14:anchorId="77F8765A" wp14:editId="11E149F8">
                <wp:simplePos x="0" y="0"/>
                <wp:positionH relativeFrom="column">
                  <wp:posOffset>-35502</wp:posOffset>
                </wp:positionH>
                <wp:positionV relativeFrom="paragraph">
                  <wp:posOffset>4588302</wp:posOffset>
                </wp:positionV>
                <wp:extent cx="360" cy="360"/>
                <wp:effectExtent l="38100" t="38100" r="57150" b="57150"/>
                <wp:wrapNone/>
                <wp:docPr id="10" name="Ink 10"/>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6341D670" id="Ink 10" o:spid="_x0000_s1026" type="#_x0000_t75" style="position:absolute;margin-left:-3.5pt;margin-top:360.6pt;width:1.45pt;height:1.45pt;z-index:251634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">
                <v:imagedata r:id="rId10" o:title=""/>
              </v:shape>
            </w:pict>
          </mc:Fallback>
        </mc:AlternateContent>
      </w:r>
      <w:r w:rsidRPr="008E53FB">
        <w:rPr>
          <w:sz w:val="24"/>
          <w:szCs w:val="24"/>
        </w:rPr>
        <mc:AlternateContent>
          <mc:Choice Requires="wpi">
            <w:drawing>
              <wp:anchor distT="0" distB="0" distL="114300" distR="114300" simplePos="0" relativeHeight="251629568" behindDoc="0" locked="0" layoutInCell="1" allowOverlap="1" wp14:anchorId="0ADF5888" wp14:editId="35541E0B">
                <wp:simplePos x="0" y="0"/>
                <wp:positionH relativeFrom="column">
                  <wp:posOffset>5075510</wp:posOffset>
                </wp:positionH>
                <wp:positionV relativeFrom="paragraph">
                  <wp:posOffset>-34577</wp:posOffset>
                </wp:positionV>
                <wp:extent cx="38880" cy="228600"/>
                <wp:effectExtent l="38100" t="38100" r="56515" b="57150"/>
                <wp:wrapNone/>
                <wp:docPr id="12" name="Ink 12"/>
                <wp:cNvGraphicFramePr/>
                <a:graphic xmlns:a="http://schemas.openxmlformats.org/drawingml/2006/main">
                  <a:graphicData uri="http://schemas.microsoft.com/office/word/2010/wordprocessingInk">
                    <w14:contentPart bwMode="auto" r:id="rId12">
                      <w14:nvContentPartPr>
                        <w14:cNvContentPartPr/>
                      </w14:nvContentPartPr>
                      <w14:xfrm>
                        <a:off x="0" y="0"/>
                        <a:ext cx="38880" cy="228600"/>
                      </w14:xfrm>
                    </w14:contentPart>
                  </a:graphicData>
                </a:graphic>
              </wp:anchor>
            </w:drawing>
          </mc:Choice>
          <mc:Fallback>
            <w:pict>
              <v:shape w14:anchorId="685ECA22" id="Ink 12" o:spid="_x0000_s1026" type="#_x0000_t75" style="position:absolute;margin-left:398.95pt;margin-top:-3.4pt;width:4.45pt;height:19.4pt;z-index:251629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">
                <v:imagedata r:id="rId13" o:title=""/>
              </v:shape>
            </w:pict>
          </mc:Fallback>
        </mc:AlternateContent>
      </w:r>
      <w:r w:rsidRPr="008E53FB">
        <w:rPr>
          <w:sz w:val="24"/>
          <w:szCs w:val="24"/>
        </w:rPr>
        <mc:AlternateContent>
          <mc:Choice Requires="wpi">
            <w:drawing>
              <wp:anchor distT="0" distB="0" distL="114300" distR="114300" simplePos="0" relativeHeight="251624448" behindDoc="0" locked="0" layoutInCell="1" allowOverlap="1" wp14:anchorId="77114E28" wp14:editId="6DF03D47">
                <wp:simplePos x="0" y="0"/>
                <wp:positionH relativeFrom="column">
                  <wp:posOffset>1377106</wp:posOffset>
                </wp:positionH>
                <wp:positionV relativeFrom="paragraph">
                  <wp:posOffset>307458</wp:posOffset>
                </wp:positionV>
                <wp:extent cx="360" cy="360"/>
                <wp:effectExtent l="38100" t="38100" r="57150" b="57150"/>
                <wp:wrapNone/>
                <wp:docPr id="13" name="Ink 13"/>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06524868" id="Ink 13" o:spid="_x0000_s1026" type="#_x0000_t75" style="position:absolute;margin-left:107.75pt;margin-top:23.5pt;width:1.45pt;height:1.45pt;z-index:251624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">
                <v:imagedata r:id="rId10" o:title=""/>
              </v:shape>
            </w:pict>
          </mc:Fallback>
        </mc:AlternateContent>
      </w:r>
      <w:r w:rsidRPr="008E53FB">
        <w:rPr>
          <w:sz w:val="24"/>
          <w:szCs w:val="24"/>
        </w:rPr>
        <mc:AlternateContent>
          <mc:Choice Requires="wpi">
            <w:drawing>
              <wp:anchor distT="0" distB="0" distL="114300" distR="114300" simplePos="0" relativeHeight="251619328" behindDoc="0" locked="0" layoutInCell="1" allowOverlap="1" wp14:anchorId="346BCA99" wp14:editId="26482886">
                <wp:simplePos x="0" y="0"/>
                <wp:positionH relativeFrom="column">
                  <wp:posOffset>-484062</wp:posOffset>
                </wp:positionH>
                <wp:positionV relativeFrom="paragraph">
                  <wp:posOffset>1282338</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5894A231" id="Ink 14" o:spid="_x0000_s1026" type="#_x0000_t75" style="position:absolute;margin-left:-38.8pt;margin-top:100.25pt;width:1.45pt;height:1.45pt;z-index:251619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DlcHYYxwEAAGgEAAAQAAAAAAAAAAAAAAAAANADAABk&#10;cnMvaW5rL2luazEueG1sUEsBAi0AFAAGAAgAAAAhADTfGt3iAAAACwEAAA8AAAAAAAAAAAAAAAAA&#10;xQUAAGRycy9kb3ducmV2LnhtbFBLAQItABQABgAIAAAAIQB5GLydvwAAACEBAAAZAAAAAAAAAAAA&#10;AAAAANQGAABkcnMvX3JlbHMvZTJvRG9jLnhtbC5yZWxzUEsFBgAAAAAGAAYAeAEAAMoHAAAAAA==&#10;">
                <v:imagedata r:id="rId16" o:title=""/>
              </v:shape>
            </w:pict>
          </mc:Fallback>
        </mc:AlternateContent>
      </w:r>
      <w:r w:rsidRPr="008E53FB">
        <w:rPr>
          <w:sz w:val="24"/>
          <w:szCs w:val="24"/>
        </w:rPr>
        <w:t>Fig 5: Jacob Lawrence, Panel 21,</w:t>
      </w:r>
      <w:r w:rsidRPr="008E53FB">
        <w:rPr>
          <w:i/>
          <w:iCs/>
          <w:sz w:val="24"/>
          <w:szCs w:val="24"/>
        </w:rPr>
        <w:t xml:space="preserve"> Listen, Father! The Americans have not yet defeated us by land; neither are we sure they have done so by water—we therefore wish to remain here and fight our enemy . . .—Tecumseh to the British, Tippecanoe, 1811,</w:t>
      </w:r>
      <w:r w:rsidRPr="008E53FB">
        <w:rPr>
          <w:sz w:val="24"/>
          <w:szCs w:val="24"/>
        </w:rPr>
        <w:t xml:space="preserve"> from Struggle: From the History of the American People, 1954–56, egg tempera on hardboard 12 × 15 1/2 in. (30.5 × 39.4 cm).</w:t>
      </w:r>
    </w:p>
    <w:p w14:paraId="1C527458" w14:textId="77777777" w:rsidR="008E53FB" w:rsidRPr="008E53FB" w:rsidRDefault="008E53FB" w:rsidP="00344013">
      <w:pPr>
        <w:spacing w:line="360" w:lineRule="auto"/>
        <w:rPr>
          <w:sz w:val="24"/>
          <w:szCs w:val="24"/>
        </w:rPr>
      </w:pPr>
    </w:p>
    <w:p w14:paraId="22460CEB" w14:textId="77777777" w:rsidR="008E53FB" w:rsidRPr="008E53FB" w:rsidRDefault="008E53FB" w:rsidP="00344013">
      <w:pPr>
        <w:spacing w:line="360" w:lineRule="auto"/>
        <w:rPr>
          <w:sz w:val="24"/>
          <w:szCs w:val="24"/>
        </w:rPr>
      </w:pPr>
      <w:r w:rsidRPr="008E53FB">
        <w:rPr>
          <w:sz w:val="24"/>
          <w:szCs w:val="24"/>
        </w:rPr>
        <w:t>Fig 6: Jacob Lawrence, </w:t>
      </w:r>
      <w:r w:rsidRPr="008E53FB">
        <w:rPr>
          <w:i/>
          <w:iCs/>
          <w:sz w:val="24"/>
          <w:szCs w:val="24"/>
        </w:rPr>
        <w:t>Recreation</w:t>
      </w:r>
      <w:r w:rsidRPr="008E53FB">
        <w:rPr>
          <w:sz w:val="24"/>
          <w:szCs w:val="24"/>
        </w:rPr>
        <w:t> (1944).</w:t>
      </w:r>
    </w:p>
    <w:p w14:paraId="746A48A4" w14:textId="77777777" w:rsidR="008E53FB" w:rsidRPr="008E53FB" w:rsidRDefault="008E53FB" w:rsidP="00344013">
      <w:pPr>
        <w:spacing w:line="360" w:lineRule="auto"/>
        <w:rPr>
          <w:sz w:val="24"/>
          <w:szCs w:val="24"/>
        </w:rPr>
      </w:pPr>
    </w:p>
    <w:p w14:paraId="2C71C167" w14:textId="77777777" w:rsidR="008E53FB" w:rsidRPr="008E53FB" w:rsidRDefault="008E53FB" w:rsidP="00344013">
      <w:pPr>
        <w:spacing w:line="360" w:lineRule="auto"/>
        <w:rPr>
          <w:sz w:val="24"/>
          <w:szCs w:val="24"/>
        </w:rPr>
      </w:pPr>
      <w:r w:rsidRPr="008E53FB">
        <w:rPr>
          <w:sz w:val="24"/>
          <w:szCs w:val="24"/>
        </w:rPr>
        <w:t>Fig 7: Jacob Lawrence, </w:t>
      </w:r>
      <w:r w:rsidRPr="008E53FB">
        <w:rPr>
          <w:i/>
          <w:iCs/>
          <w:sz w:val="24"/>
          <w:szCs w:val="24"/>
        </w:rPr>
        <w:t>Prayer</w:t>
      </w:r>
      <w:r w:rsidRPr="008E53FB">
        <w:rPr>
          <w:sz w:val="24"/>
          <w:szCs w:val="24"/>
        </w:rPr>
        <w:t> (1944).</w:t>
      </w:r>
    </w:p>
    <w:p w14:paraId="23154FC8" w14:textId="77777777" w:rsidR="008E53FB" w:rsidRPr="008E53FB" w:rsidRDefault="008E53FB" w:rsidP="00344013">
      <w:pPr>
        <w:spacing w:line="360" w:lineRule="auto"/>
        <w:rPr>
          <w:sz w:val="24"/>
          <w:szCs w:val="24"/>
        </w:rPr>
      </w:pPr>
    </w:p>
    <w:p w14:paraId="03A26A73" w14:textId="77777777" w:rsidR="008E53FB" w:rsidRPr="008E53FB" w:rsidRDefault="008E53FB" w:rsidP="00344013">
      <w:pPr>
        <w:spacing w:line="360" w:lineRule="auto"/>
        <w:rPr>
          <w:sz w:val="24"/>
          <w:szCs w:val="24"/>
        </w:rPr>
      </w:pPr>
      <w:r w:rsidRPr="008E53FB">
        <w:rPr>
          <w:sz w:val="24"/>
          <w:szCs w:val="24"/>
        </w:rPr>
        <w:lastRenderedPageBreak/>
        <w:t xml:space="preserve">Fig 8: Jacob Lawrence, </w:t>
      </w:r>
      <w:r w:rsidRPr="008E53FB">
        <w:rPr>
          <w:i/>
          <w:iCs/>
          <w:sz w:val="24"/>
          <w:szCs w:val="24"/>
        </w:rPr>
        <w:t>Celebration of Heritage</w:t>
      </w:r>
      <w:r w:rsidRPr="008E53FB">
        <w:rPr>
          <w:sz w:val="24"/>
          <w:szCs w:val="24"/>
        </w:rPr>
        <w:t>, Lithograph, Seattle Office of Arts and Culture, 30" x 22 1/4", (1992).</w:t>
      </w:r>
    </w:p>
    <w:p w14:paraId="08DA7980" w14:textId="77777777" w:rsidR="008E53FB" w:rsidRPr="008E53FB" w:rsidRDefault="008E53FB" w:rsidP="00344013">
      <w:pPr>
        <w:spacing w:line="360" w:lineRule="auto"/>
        <w:rPr>
          <w:sz w:val="24"/>
          <w:szCs w:val="24"/>
          <w:u w:val="single"/>
        </w:rPr>
      </w:pPr>
    </w:p>
    <w:p w14:paraId="4073CE0F" w14:textId="77777777" w:rsidR="008E53FB" w:rsidRPr="008E53FB" w:rsidRDefault="008E53FB" w:rsidP="00344013">
      <w:pPr>
        <w:spacing w:line="360" w:lineRule="auto"/>
        <w:rPr>
          <w:sz w:val="24"/>
          <w:szCs w:val="24"/>
          <w:u w:val="single"/>
        </w:rPr>
      </w:pPr>
    </w:p>
    <w:p w14:paraId="75E112B5" w14:textId="3458C733" w:rsidR="008E53FB" w:rsidRPr="00344013" w:rsidRDefault="008E53FB" w:rsidP="00344013">
      <w:pPr>
        <w:spacing w:line="360" w:lineRule="auto"/>
        <w:rPr>
          <w:sz w:val="24"/>
          <w:szCs w:val="24"/>
        </w:rPr>
      </w:pPr>
    </w:p>
    <w:p w14:paraId="4CDEC2C6" w14:textId="18E2F834" w:rsidR="008E53FB" w:rsidRPr="00344013" w:rsidRDefault="008E53FB" w:rsidP="00344013">
      <w:pPr>
        <w:spacing w:line="360" w:lineRule="auto"/>
        <w:rPr>
          <w:sz w:val="24"/>
          <w:szCs w:val="24"/>
        </w:rPr>
      </w:pPr>
    </w:p>
    <w:p w14:paraId="5658A74D" w14:textId="22170898" w:rsidR="008E53FB" w:rsidRPr="00344013" w:rsidRDefault="008E53FB" w:rsidP="00344013">
      <w:pPr>
        <w:spacing w:line="360" w:lineRule="auto"/>
        <w:rPr>
          <w:sz w:val="24"/>
          <w:szCs w:val="24"/>
        </w:rPr>
      </w:pPr>
    </w:p>
    <w:p w14:paraId="47F601AB" w14:textId="77777777" w:rsidR="007054BF" w:rsidRDefault="007054BF" w:rsidP="00344013">
      <w:pPr>
        <w:spacing w:line="360" w:lineRule="auto"/>
        <w:rPr>
          <w:sz w:val="24"/>
          <w:szCs w:val="24"/>
        </w:rPr>
      </w:pPr>
    </w:p>
    <w:p w14:paraId="0B6FF3C4" w14:textId="77777777" w:rsidR="007054BF" w:rsidRDefault="007054BF" w:rsidP="00344013">
      <w:pPr>
        <w:spacing w:line="360" w:lineRule="auto"/>
        <w:rPr>
          <w:sz w:val="24"/>
          <w:szCs w:val="24"/>
        </w:rPr>
      </w:pPr>
    </w:p>
    <w:p w14:paraId="29B553DD" w14:textId="77777777" w:rsidR="007054BF" w:rsidRDefault="007054BF" w:rsidP="00344013">
      <w:pPr>
        <w:spacing w:line="360" w:lineRule="auto"/>
        <w:rPr>
          <w:sz w:val="24"/>
          <w:szCs w:val="24"/>
        </w:rPr>
      </w:pPr>
    </w:p>
    <w:p w14:paraId="54D0079C" w14:textId="77777777" w:rsidR="007054BF" w:rsidRDefault="007054BF" w:rsidP="00344013">
      <w:pPr>
        <w:spacing w:line="360" w:lineRule="auto"/>
        <w:rPr>
          <w:sz w:val="24"/>
          <w:szCs w:val="24"/>
        </w:rPr>
      </w:pPr>
    </w:p>
    <w:p w14:paraId="411A9996" w14:textId="77777777" w:rsidR="007054BF" w:rsidRDefault="007054BF" w:rsidP="00344013">
      <w:pPr>
        <w:spacing w:line="360" w:lineRule="auto"/>
        <w:rPr>
          <w:sz w:val="24"/>
          <w:szCs w:val="24"/>
        </w:rPr>
      </w:pPr>
    </w:p>
    <w:p w14:paraId="1A97D213" w14:textId="77777777" w:rsidR="007054BF" w:rsidRDefault="007054BF" w:rsidP="00344013">
      <w:pPr>
        <w:spacing w:line="360" w:lineRule="auto"/>
        <w:rPr>
          <w:sz w:val="24"/>
          <w:szCs w:val="24"/>
        </w:rPr>
      </w:pPr>
    </w:p>
    <w:p w14:paraId="65BB4268" w14:textId="77777777" w:rsidR="007054BF" w:rsidRDefault="007054BF" w:rsidP="00344013">
      <w:pPr>
        <w:spacing w:line="360" w:lineRule="auto"/>
        <w:rPr>
          <w:sz w:val="24"/>
          <w:szCs w:val="24"/>
        </w:rPr>
      </w:pPr>
    </w:p>
    <w:p w14:paraId="0C68B6C8" w14:textId="77777777" w:rsidR="007054BF" w:rsidRDefault="007054BF" w:rsidP="00344013">
      <w:pPr>
        <w:spacing w:line="360" w:lineRule="auto"/>
        <w:rPr>
          <w:sz w:val="24"/>
          <w:szCs w:val="24"/>
        </w:rPr>
      </w:pPr>
    </w:p>
    <w:p w14:paraId="23BB2287" w14:textId="77777777" w:rsidR="007054BF" w:rsidRDefault="007054BF" w:rsidP="00344013">
      <w:pPr>
        <w:spacing w:line="360" w:lineRule="auto"/>
        <w:rPr>
          <w:sz w:val="24"/>
          <w:szCs w:val="24"/>
        </w:rPr>
      </w:pPr>
    </w:p>
    <w:p w14:paraId="715B3AFB" w14:textId="77777777" w:rsidR="007054BF" w:rsidRDefault="007054BF" w:rsidP="00344013">
      <w:pPr>
        <w:spacing w:line="360" w:lineRule="auto"/>
        <w:rPr>
          <w:sz w:val="24"/>
          <w:szCs w:val="24"/>
        </w:rPr>
      </w:pPr>
    </w:p>
    <w:p w14:paraId="1DFA94D6" w14:textId="77777777" w:rsidR="007054BF" w:rsidRDefault="007054BF" w:rsidP="00344013">
      <w:pPr>
        <w:spacing w:line="360" w:lineRule="auto"/>
        <w:rPr>
          <w:sz w:val="24"/>
          <w:szCs w:val="24"/>
        </w:rPr>
      </w:pPr>
    </w:p>
    <w:p w14:paraId="19982178" w14:textId="77777777" w:rsidR="007054BF" w:rsidRDefault="007054BF" w:rsidP="00344013">
      <w:pPr>
        <w:spacing w:line="360" w:lineRule="auto"/>
        <w:rPr>
          <w:sz w:val="24"/>
          <w:szCs w:val="24"/>
        </w:rPr>
      </w:pPr>
    </w:p>
    <w:p w14:paraId="0C0F13EE" w14:textId="77777777" w:rsidR="007054BF" w:rsidRDefault="007054BF" w:rsidP="00344013">
      <w:pPr>
        <w:spacing w:line="360" w:lineRule="auto"/>
        <w:rPr>
          <w:sz w:val="24"/>
          <w:szCs w:val="24"/>
        </w:rPr>
      </w:pPr>
    </w:p>
    <w:p w14:paraId="6E314B15" w14:textId="77777777" w:rsidR="007054BF" w:rsidRDefault="007054BF" w:rsidP="00344013">
      <w:pPr>
        <w:spacing w:line="360" w:lineRule="auto"/>
        <w:rPr>
          <w:sz w:val="24"/>
          <w:szCs w:val="24"/>
        </w:rPr>
      </w:pPr>
    </w:p>
    <w:p w14:paraId="327B9E0F" w14:textId="77777777" w:rsidR="007054BF" w:rsidRDefault="007054BF" w:rsidP="00344013">
      <w:pPr>
        <w:spacing w:line="360" w:lineRule="auto"/>
        <w:rPr>
          <w:sz w:val="24"/>
          <w:szCs w:val="24"/>
        </w:rPr>
      </w:pPr>
    </w:p>
    <w:p w14:paraId="7580913E" w14:textId="77777777" w:rsidR="007054BF" w:rsidRDefault="007054BF" w:rsidP="00344013">
      <w:pPr>
        <w:spacing w:line="360" w:lineRule="auto"/>
        <w:rPr>
          <w:sz w:val="24"/>
          <w:szCs w:val="24"/>
        </w:rPr>
      </w:pPr>
    </w:p>
    <w:p w14:paraId="1B98BF34" w14:textId="77777777" w:rsidR="007054BF" w:rsidRDefault="007054BF" w:rsidP="00344013">
      <w:pPr>
        <w:spacing w:line="360" w:lineRule="auto"/>
        <w:rPr>
          <w:sz w:val="24"/>
          <w:szCs w:val="24"/>
        </w:rPr>
      </w:pPr>
    </w:p>
    <w:p w14:paraId="1DDB5BB9" w14:textId="6050ECC9" w:rsidR="008E53FB" w:rsidRPr="007054BF" w:rsidRDefault="008E53FB" w:rsidP="007054BF">
      <w:pPr>
        <w:spacing w:line="360" w:lineRule="auto"/>
        <w:jc w:val="center"/>
        <w:rPr>
          <w:sz w:val="24"/>
          <w:szCs w:val="24"/>
          <w:u w:val="single"/>
        </w:rPr>
      </w:pPr>
      <w:r w:rsidRPr="007054BF">
        <w:rPr>
          <w:sz w:val="24"/>
          <w:szCs w:val="24"/>
          <w:u w:val="single"/>
        </w:rPr>
        <w:lastRenderedPageBreak/>
        <w:t>Abstract</w:t>
      </w:r>
    </w:p>
    <w:p w14:paraId="035A9097" w14:textId="77777777" w:rsidR="008E53FB" w:rsidRPr="00344013" w:rsidRDefault="008E53FB" w:rsidP="00344013">
      <w:pPr>
        <w:spacing w:line="360" w:lineRule="auto"/>
        <w:rPr>
          <w:sz w:val="24"/>
          <w:szCs w:val="24"/>
        </w:rPr>
      </w:pPr>
    </w:p>
    <w:p w14:paraId="68B17DF7" w14:textId="2A0D79C4" w:rsidR="008E53FB" w:rsidRPr="00344013" w:rsidRDefault="008E53FB" w:rsidP="00344013">
      <w:pPr>
        <w:spacing w:line="360" w:lineRule="auto"/>
        <w:rPr>
          <w:sz w:val="24"/>
          <w:szCs w:val="24"/>
        </w:rPr>
      </w:pPr>
      <w:r w:rsidRPr="00344013">
        <w:rPr>
          <w:sz w:val="24"/>
          <w:szCs w:val="24"/>
        </w:rPr>
        <w:t>Between 1954-56 Jacob Lawrence created his Struggle from the History of the American People collection. This collection of paintings comprises thirty individual panels that charts the history of the United States, from the Revolutionary Period in 1775 to mass immigration into the U.S. between 1920-40. Within this collection are three panels that depict iconic moments in American history, The Boston Tea Party, The Lewis and Clark Expedition, and Tecumseh’s last stand at the Battle of the Thames. These are the only three paintings in the entire collection that depict Native American Indians. This dissertation explores the importance of scholarly research into the much-neglected area of Afro-Indigenous history, investigates the mythology behind these three iconic episodes of American history, and examines the political messages Lawrence sublimated in the three paintings. Lawrence was an African American who grew up in Harlem during the depression. His skill as an abstract artist saw him rise to great fame at a time when African Americans were openly discriminated against in the north, and Jim Crow Laws were causing untold misery to millions of people in the south. This dissertation also explores the positive and negative aspects of Lawrence’s success in a harsh climate of racism and discrimination. The conclusion of this dissertation highlights the negative impact of cultural appropriation and examines how Lawrence used abstraction to condemn and subvert it.</w:t>
      </w:r>
    </w:p>
    <w:p w14:paraId="62052353" w14:textId="7A292029" w:rsidR="008E53FB" w:rsidRPr="00344013" w:rsidRDefault="008E53FB" w:rsidP="00344013">
      <w:pPr>
        <w:spacing w:line="360" w:lineRule="auto"/>
        <w:rPr>
          <w:sz w:val="24"/>
          <w:szCs w:val="24"/>
        </w:rPr>
      </w:pPr>
    </w:p>
    <w:p w14:paraId="16C3AC26" w14:textId="6BAFECF8" w:rsidR="008E53FB" w:rsidRPr="00344013" w:rsidRDefault="008E53FB" w:rsidP="00344013">
      <w:pPr>
        <w:spacing w:line="360" w:lineRule="auto"/>
        <w:rPr>
          <w:sz w:val="24"/>
          <w:szCs w:val="24"/>
        </w:rPr>
      </w:pPr>
    </w:p>
    <w:p w14:paraId="5722C4A7" w14:textId="6BDF1D7F" w:rsidR="008E53FB" w:rsidRPr="00344013" w:rsidRDefault="008E53FB" w:rsidP="00344013">
      <w:pPr>
        <w:spacing w:line="360" w:lineRule="auto"/>
        <w:rPr>
          <w:sz w:val="24"/>
          <w:szCs w:val="24"/>
        </w:rPr>
      </w:pPr>
    </w:p>
    <w:p w14:paraId="697B8161" w14:textId="421F43F9" w:rsidR="008E53FB" w:rsidRPr="00344013" w:rsidRDefault="008E53FB" w:rsidP="00344013">
      <w:pPr>
        <w:spacing w:line="360" w:lineRule="auto"/>
        <w:rPr>
          <w:sz w:val="24"/>
          <w:szCs w:val="24"/>
        </w:rPr>
      </w:pPr>
    </w:p>
    <w:p w14:paraId="447F8A36" w14:textId="6BE622E4" w:rsidR="008E53FB" w:rsidRPr="00344013" w:rsidRDefault="008E53FB" w:rsidP="00344013">
      <w:pPr>
        <w:spacing w:line="360" w:lineRule="auto"/>
        <w:rPr>
          <w:sz w:val="24"/>
          <w:szCs w:val="24"/>
        </w:rPr>
      </w:pPr>
    </w:p>
    <w:p w14:paraId="76D56688" w14:textId="73CB6A36" w:rsidR="008E53FB" w:rsidRPr="00344013" w:rsidRDefault="008E53FB" w:rsidP="00344013">
      <w:pPr>
        <w:spacing w:line="360" w:lineRule="auto"/>
        <w:rPr>
          <w:sz w:val="24"/>
          <w:szCs w:val="24"/>
        </w:rPr>
      </w:pPr>
    </w:p>
    <w:p w14:paraId="5DB68EBB" w14:textId="3F8E722D" w:rsidR="008E53FB" w:rsidRPr="00344013" w:rsidRDefault="008E53FB" w:rsidP="00344013">
      <w:pPr>
        <w:spacing w:line="360" w:lineRule="auto"/>
        <w:rPr>
          <w:sz w:val="24"/>
          <w:szCs w:val="24"/>
        </w:rPr>
      </w:pPr>
    </w:p>
    <w:p w14:paraId="56BF04CF" w14:textId="79285894" w:rsidR="008E53FB" w:rsidRPr="00344013" w:rsidRDefault="008E53FB" w:rsidP="00344013">
      <w:pPr>
        <w:spacing w:line="360" w:lineRule="auto"/>
        <w:rPr>
          <w:sz w:val="24"/>
          <w:szCs w:val="24"/>
        </w:rPr>
      </w:pPr>
    </w:p>
    <w:p w14:paraId="6C5A0E84" w14:textId="77777777" w:rsidR="007054BF" w:rsidRDefault="007054BF" w:rsidP="00344013">
      <w:pPr>
        <w:spacing w:line="360" w:lineRule="auto"/>
        <w:rPr>
          <w:sz w:val="24"/>
          <w:szCs w:val="24"/>
          <w:u w:val="single"/>
        </w:rPr>
      </w:pPr>
    </w:p>
    <w:p w14:paraId="483DECEB" w14:textId="4DEBDBBF" w:rsidR="008E53FB" w:rsidRPr="008E53FB" w:rsidRDefault="008E53FB" w:rsidP="00344013">
      <w:pPr>
        <w:spacing w:line="360" w:lineRule="auto"/>
        <w:rPr>
          <w:sz w:val="24"/>
          <w:szCs w:val="24"/>
          <w:u w:val="single"/>
        </w:rPr>
      </w:pPr>
      <w:r w:rsidRPr="008E53FB">
        <w:rPr>
          <w:sz w:val="24"/>
          <w:szCs w:val="24"/>
          <w:u w:val="single"/>
        </w:rPr>
        <w:lastRenderedPageBreak/>
        <w:t>Introduction</w:t>
      </w:r>
    </w:p>
    <w:p w14:paraId="0AB6DF1F" w14:textId="77777777" w:rsidR="008E53FB" w:rsidRPr="008E53FB" w:rsidRDefault="008E53FB" w:rsidP="00344013">
      <w:pPr>
        <w:spacing w:line="360" w:lineRule="auto"/>
        <w:rPr>
          <w:sz w:val="24"/>
          <w:szCs w:val="24"/>
          <w:u w:val="single"/>
        </w:rPr>
      </w:pPr>
    </w:p>
    <w:p w14:paraId="249A6362" w14:textId="77777777" w:rsidR="008E53FB" w:rsidRPr="008E53FB" w:rsidRDefault="008E53FB" w:rsidP="00344013">
      <w:pPr>
        <w:spacing w:line="360" w:lineRule="auto"/>
        <w:rPr>
          <w:sz w:val="24"/>
          <w:szCs w:val="24"/>
        </w:rPr>
      </w:pPr>
      <w:r w:rsidRPr="008E53FB">
        <w:rPr>
          <w:sz w:val="24"/>
          <w:szCs w:val="24"/>
        </w:rPr>
        <w:t xml:space="preserve">In 1949, Jacob Lawrence began research at the Schomburg library for his </w:t>
      </w:r>
      <w:r w:rsidRPr="008E53FB">
        <w:rPr>
          <w:i/>
          <w:iCs/>
          <w:sz w:val="24"/>
          <w:szCs w:val="24"/>
        </w:rPr>
        <w:t>Struggle from the History of the American People</w:t>
      </w:r>
      <w:r w:rsidRPr="008E53FB">
        <w:rPr>
          <w:sz w:val="24"/>
          <w:szCs w:val="24"/>
        </w:rPr>
        <w:t xml:space="preserve"> collection; he completed thirty of the intended sixty panels which were exhibited in 1956 at the Alan Gallery.</w:t>
      </w:r>
      <w:r w:rsidRPr="008E53FB">
        <w:rPr>
          <w:sz w:val="24"/>
          <w:szCs w:val="24"/>
          <w:vertAlign w:val="superscript"/>
        </w:rPr>
        <w:footnoteReference w:id="1"/>
      </w:r>
      <w:r w:rsidRPr="008E53FB">
        <w:rPr>
          <w:sz w:val="24"/>
          <w:szCs w:val="24"/>
        </w:rPr>
        <w:t xml:space="preserve"> </w:t>
      </w:r>
      <w:r w:rsidRPr="008E53FB">
        <w:rPr>
          <w:i/>
          <w:iCs/>
          <w:sz w:val="24"/>
          <w:szCs w:val="24"/>
        </w:rPr>
        <w:t>Struggle</w:t>
      </w:r>
      <w:r w:rsidRPr="008E53FB">
        <w:rPr>
          <w:sz w:val="24"/>
          <w:szCs w:val="24"/>
        </w:rPr>
        <w:t xml:space="preserve"> differs from Lawrence’s earlier works in which his focus was on painting black people, culture, and history. He expressed in an interview, ‘Years ago, I was just interested in expressing the Negro in American life, but a larger concern, an expression of humanity and of America, developed. My </w:t>
      </w:r>
      <w:proofErr w:type="gramStart"/>
      <w:r w:rsidRPr="008E53FB">
        <w:rPr>
          <w:sz w:val="24"/>
          <w:szCs w:val="24"/>
        </w:rPr>
        <w:t>History</w:t>
      </w:r>
      <w:proofErr w:type="gramEnd"/>
      <w:r w:rsidRPr="008E53FB">
        <w:rPr>
          <w:sz w:val="24"/>
          <w:szCs w:val="24"/>
        </w:rPr>
        <w:t xml:space="preserve"> series grew out of that concern’. The collection spanned modern American history with a timeline from the </w:t>
      </w:r>
      <w:bookmarkStart w:id="0" w:name="_Hlk99546019"/>
      <w:r w:rsidRPr="008E53FB">
        <w:rPr>
          <w:sz w:val="24"/>
          <w:szCs w:val="24"/>
        </w:rPr>
        <w:t xml:space="preserve">Revolutionary Period in 1775 </w:t>
      </w:r>
      <w:bookmarkEnd w:id="0"/>
      <w:r w:rsidRPr="008E53FB">
        <w:rPr>
          <w:sz w:val="24"/>
          <w:szCs w:val="24"/>
        </w:rPr>
        <w:t>to the mass immigrations into the U.S. between 1820-40. The collection was exhibited again in 1958 before being purchased by a single buyer who separated and sold off individual panels.</w:t>
      </w:r>
      <w:r w:rsidRPr="008E53FB">
        <w:rPr>
          <w:sz w:val="24"/>
          <w:szCs w:val="24"/>
          <w:vertAlign w:val="superscript"/>
        </w:rPr>
        <w:footnoteReference w:id="2"/>
      </w:r>
      <w:r w:rsidRPr="008E53FB">
        <w:rPr>
          <w:sz w:val="24"/>
          <w:szCs w:val="24"/>
        </w:rPr>
        <w:t xml:space="preserve"> Twenty-five of those panels have since been recovered and were due for a U.S. national tour in 2021. In this dissertation, I have focussed on three of Lawrence’s </w:t>
      </w:r>
      <w:r w:rsidRPr="008E53FB">
        <w:rPr>
          <w:i/>
          <w:iCs/>
          <w:sz w:val="24"/>
          <w:szCs w:val="24"/>
        </w:rPr>
        <w:t>Struggle</w:t>
      </w:r>
      <w:r w:rsidRPr="008E53FB">
        <w:rPr>
          <w:sz w:val="24"/>
          <w:szCs w:val="24"/>
        </w:rPr>
        <w:t xml:space="preserve"> panels; they are the only panels within the collection that depict Indians.</w:t>
      </w:r>
    </w:p>
    <w:p w14:paraId="51E36624" w14:textId="77777777" w:rsidR="008E53FB" w:rsidRPr="008E53FB" w:rsidRDefault="008E53FB" w:rsidP="00344013">
      <w:pPr>
        <w:spacing w:line="360" w:lineRule="auto"/>
        <w:rPr>
          <w:sz w:val="24"/>
          <w:szCs w:val="24"/>
        </w:rPr>
      </w:pPr>
      <w:r w:rsidRPr="008E53FB">
        <w:rPr>
          <w:sz w:val="24"/>
          <w:szCs w:val="24"/>
        </w:rPr>
        <w:t xml:space="preserve">In analysing these three panels, what became apparent was Lawrence’s skill in subverting the status-quo; especially evident in panel three, which depicts the Boston Tea Party, is his clever use of subversion to create a new narrative from the existing norm. The other two scenes depicted are The Lewis and Clark Expedition, and Tecumseh in battle; all three paintings depict iconic and familiar tales about Indians in American history. However, as Mark Charles claims in his 2016 lecture </w:t>
      </w:r>
      <w:r w:rsidRPr="008E53FB">
        <w:rPr>
          <w:i/>
          <w:iCs/>
          <w:sz w:val="24"/>
          <w:szCs w:val="24"/>
        </w:rPr>
        <w:t>A Native Perspective on the Buried History of America</w:t>
      </w:r>
      <w:r w:rsidRPr="008E53FB">
        <w:rPr>
          <w:sz w:val="24"/>
          <w:szCs w:val="24"/>
        </w:rPr>
        <w:t>, Americans do not teach history, they teach mythology.</w:t>
      </w:r>
      <w:r w:rsidRPr="008E53FB">
        <w:rPr>
          <w:sz w:val="24"/>
          <w:szCs w:val="24"/>
          <w:vertAlign w:val="superscript"/>
        </w:rPr>
        <w:footnoteReference w:id="3"/>
      </w:r>
      <w:r w:rsidRPr="008E53FB">
        <w:rPr>
          <w:sz w:val="24"/>
          <w:szCs w:val="24"/>
        </w:rPr>
        <w:t xml:space="preserve"> Throughout this dissertation, I argue that Lawrence took the existing mythology surrounding these three events and, using his talents as an abstract painter, repurposed them to create a new mythology, one that represents the oppressed rather than the oppressor. As John Ott explains, Lawrence had to be subversive and subtle when making political statements; early </w:t>
      </w:r>
      <w:r w:rsidRPr="008E53FB">
        <w:rPr>
          <w:sz w:val="24"/>
          <w:szCs w:val="24"/>
        </w:rPr>
        <w:lastRenderedPageBreak/>
        <w:t xml:space="preserve">in his career, he learned that the art world did not respond positively to overtly political paintings, especially paintings about race. Lawrence’s dealer, Edith </w:t>
      </w:r>
      <w:proofErr w:type="spellStart"/>
      <w:r w:rsidRPr="008E53FB">
        <w:rPr>
          <w:sz w:val="24"/>
          <w:szCs w:val="24"/>
        </w:rPr>
        <w:t>Halpert</w:t>
      </w:r>
      <w:proofErr w:type="spellEnd"/>
      <w:r w:rsidRPr="008E53FB">
        <w:rPr>
          <w:sz w:val="24"/>
          <w:szCs w:val="24"/>
        </w:rPr>
        <w:t>, had even refused to exhibit some of his earlier works depicting scenes of segregation. Lawrence had to rely on indirection when including political statements in his art.</w:t>
      </w:r>
      <w:r w:rsidRPr="008E53FB">
        <w:rPr>
          <w:sz w:val="24"/>
          <w:szCs w:val="24"/>
          <w:vertAlign w:val="superscript"/>
        </w:rPr>
        <w:footnoteReference w:id="4"/>
      </w:r>
      <w:r w:rsidRPr="008E53FB">
        <w:rPr>
          <w:sz w:val="24"/>
          <w:szCs w:val="24"/>
        </w:rPr>
        <w:t xml:space="preserve"> It is this indirection that I have followed, partially to analyse and understand what political messages Lawrence concealed in his paintings and to build a historical narrative around the depicted scenes. </w:t>
      </w:r>
    </w:p>
    <w:p w14:paraId="1BD24E1E" w14:textId="77777777" w:rsidR="008E53FB" w:rsidRPr="008E53FB" w:rsidRDefault="008E53FB" w:rsidP="00344013">
      <w:pPr>
        <w:spacing w:line="360" w:lineRule="auto"/>
        <w:rPr>
          <w:sz w:val="24"/>
          <w:szCs w:val="24"/>
        </w:rPr>
      </w:pPr>
    </w:p>
    <w:p w14:paraId="6E0BA2F9" w14:textId="77777777" w:rsidR="008E53FB" w:rsidRPr="008E53FB" w:rsidRDefault="008E53FB" w:rsidP="00344013">
      <w:pPr>
        <w:spacing w:line="360" w:lineRule="auto"/>
        <w:rPr>
          <w:i/>
          <w:iCs/>
          <w:sz w:val="24"/>
          <w:szCs w:val="24"/>
          <w:u w:val="single"/>
        </w:rPr>
      </w:pPr>
      <w:r w:rsidRPr="008E53FB">
        <w:rPr>
          <w:sz w:val="24"/>
          <w:szCs w:val="24"/>
          <w:u w:val="single"/>
        </w:rPr>
        <w:t xml:space="preserve">Preface to Chapter One: </w:t>
      </w:r>
      <w:r w:rsidRPr="008E53FB">
        <w:rPr>
          <w:i/>
          <w:iCs/>
          <w:sz w:val="24"/>
          <w:szCs w:val="24"/>
          <w:u w:val="single"/>
        </w:rPr>
        <w:t>Rally Mohawks! Bring out your axes, and tell King George we’ll pay no taxes on his foreign tea</w:t>
      </w:r>
    </w:p>
    <w:p w14:paraId="4F780EA3" w14:textId="77777777" w:rsidR="008E53FB" w:rsidRPr="008E53FB" w:rsidRDefault="008E53FB" w:rsidP="00344013">
      <w:pPr>
        <w:spacing w:line="360" w:lineRule="auto"/>
        <w:rPr>
          <w:sz w:val="24"/>
          <w:szCs w:val="24"/>
          <w:u w:val="single"/>
        </w:rPr>
      </w:pPr>
    </w:p>
    <w:p w14:paraId="4BD65782" w14:textId="77777777" w:rsidR="008E53FB" w:rsidRPr="008E53FB" w:rsidRDefault="008E53FB" w:rsidP="00344013">
      <w:pPr>
        <w:spacing w:line="360" w:lineRule="auto"/>
        <w:rPr>
          <w:sz w:val="24"/>
          <w:szCs w:val="24"/>
        </w:rPr>
      </w:pPr>
      <w:r w:rsidRPr="008E53FB">
        <w:rPr>
          <w:sz w:val="24"/>
          <w:szCs w:val="24"/>
        </w:rPr>
        <w:t>Chapter one discusses panel three of the collection, and it depicts a conflict during the Boston Tea Party. As no such conflict ever occurred, this chapter questions why Lawrence chose to depict such an altercation and why he focussed on just one aspect, the Mohawk disguises, of the Boston Tea Party. As this chapter discusses the revolutionary period, it is necessary to formalise some terms; the Revolution refers to the changes which took place in the minds of the rebellious colonists, whereas the War of Independence refers to the war that broke out as a result of the Revolution. Patriot refers to colonists who rebelled against British rule; loyalist refers to colonists who supported British rule. In this chapter, I argue that Lawrence used depictions of Mohawk disguises worn by Patriots to disguise a political message within his work and have set this argument within the larger historical setting of the pre-revolutionary Mohawk and Euro-American society. Not only is the clash of Mohawk and European culture a complex and interesting area of study it is also an important subject to understand when analysing this image. The extent to which European, Mohawk, and the wider Indian culture had become amalgamated by the 18</w:t>
      </w:r>
      <w:r w:rsidRPr="008E53FB">
        <w:rPr>
          <w:sz w:val="24"/>
          <w:szCs w:val="24"/>
          <w:vertAlign w:val="superscript"/>
        </w:rPr>
        <w:t>th</w:t>
      </w:r>
      <w:r w:rsidRPr="008E53FB">
        <w:rPr>
          <w:sz w:val="24"/>
          <w:szCs w:val="24"/>
        </w:rPr>
        <w:t xml:space="preserve"> century is represented in Lawrence’s painting; I therefore deemed it necessary to include much contextual information. </w:t>
      </w:r>
    </w:p>
    <w:p w14:paraId="2D2E0E13" w14:textId="77777777" w:rsidR="008E53FB" w:rsidRPr="008E53FB" w:rsidRDefault="008E53FB" w:rsidP="00344013">
      <w:pPr>
        <w:spacing w:line="360" w:lineRule="auto"/>
        <w:rPr>
          <w:i/>
          <w:iCs/>
          <w:sz w:val="24"/>
          <w:szCs w:val="24"/>
          <w:u w:val="single"/>
        </w:rPr>
      </w:pPr>
      <w:r w:rsidRPr="008E53FB">
        <w:rPr>
          <w:sz w:val="24"/>
          <w:szCs w:val="24"/>
          <w:u w:val="single"/>
        </w:rPr>
        <w:lastRenderedPageBreak/>
        <w:t xml:space="preserve">Preface to Chapter Two: </w:t>
      </w:r>
      <w:r w:rsidRPr="008E53FB">
        <w:rPr>
          <w:i/>
          <w:iCs/>
          <w:sz w:val="24"/>
          <w:szCs w:val="24"/>
          <w:u w:val="single"/>
        </w:rPr>
        <w:t>In all your intercourse with the natives, treat them in the most friendly and conciliatory manner which their own conduct will admit…</w:t>
      </w:r>
      <w:r w:rsidRPr="008E53FB">
        <w:rPr>
          <w:i/>
          <w:iCs/>
          <w:sz w:val="24"/>
          <w:szCs w:val="24"/>
          <w:u w:val="single"/>
        </w:rPr>
        <w:br/>
        <w:t>—Jefferson to Lewis &amp; Clark, 1803</w:t>
      </w:r>
    </w:p>
    <w:p w14:paraId="5ADEB1BD" w14:textId="77777777" w:rsidR="008E53FB" w:rsidRPr="008E53FB" w:rsidRDefault="008E53FB" w:rsidP="00344013">
      <w:pPr>
        <w:spacing w:line="360" w:lineRule="auto"/>
        <w:rPr>
          <w:sz w:val="24"/>
          <w:szCs w:val="24"/>
          <w:u w:val="single"/>
        </w:rPr>
      </w:pPr>
    </w:p>
    <w:p w14:paraId="2C557A66" w14:textId="77777777" w:rsidR="008E53FB" w:rsidRPr="008E53FB" w:rsidRDefault="008E53FB" w:rsidP="00344013">
      <w:pPr>
        <w:spacing w:line="360" w:lineRule="auto"/>
        <w:rPr>
          <w:sz w:val="24"/>
          <w:szCs w:val="24"/>
        </w:rPr>
      </w:pPr>
      <w:r w:rsidRPr="008E53FB">
        <w:rPr>
          <w:sz w:val="24"/>
          <w:szCs w:val="24"/>
        </w:rPr>
        <w:t xml:space="preserve">Chapter two discusses panel eighteen and its depiction of the Lewis and Clark expedition, specifically the reunion between Sacagawea and her brother Chief </w:t>
      </w:r>
      <w:proofErr w:type="spellStart"/>
      <w:r w:rsidRPr="008E53FB">
        <w:rPr>
          <w:sz w:val="24"/>
          <w:szCs w:val="24"/>
        </w:rPr>
        <w:t>Cameahwait</w:t>
      </w:r>
      <w:proofErr w:type="spellEnd"/>
      <w:r w:rsidRPr="008E53FB">
        <w:rPr>
          <w:sz w:val="24"/>
          <w:szCs w:val="24"/>
        </w:rPr>
        <w:t>. Many texts written about Sacagawea refer to her in derogatory terms, I will not be using any of these words even in direct quotes as I believe doing so would be gratuitous. There is controversy surrounding the spelling of the name Sacagawea; the controversy stems from conflicting accounts of which tribe the young woman belonged. The name spelled as Sacajawea is derived from the Shoshoni and means Boat Pusher or Boat Launcher; the spelling Sacagawea derives from the Hidatsa tribe and translates as Bird Woman. My choice of Sacagawea, as opposed to Sacajawea, is in no way political. I have chosen it simply because it has been the most common way of spelling it that I have seen.</w:t>
      </w:r>
      <w:r w:rsidRPr="008E53FB">
        <w:rPr>
          <w:sz w:val="24"/>
          <w:szCs w:val="24"/>
          <w:vertAlign w:val="superscript"/>
        </w:rPr>
        <w:footnoteReference w:id="5"/>
      </w:r>
      <w:r w:rsidRPr="008E53FB">
        <w:rPr>
          <w:sz w:val="24"/>
          <w:szCs w:val="24"/>
        </w:rPr>
        <w:t xml:space="preserve"> In this chapter, I discuss how misunderstandings regarding Lawrence’s political messages have arisen and argue that Lawrence has played with perspective to establish a political message within the painting. I also discuss how this painting relates to Lawrence’s childhood experience of foster care and the death of his sister.</w:t>
      </w:r>
    </w:p>
    <w:p w14:paraId="6645739E" w14:textId="77777777" w:rsidR="008E53FB" w:rsidRPr="008E53FB" w:rsidRDefault="008E53FB" w:rsidP="00344013">
      <w:pPr>
        <w:spacing w:line="360" w:lineRule="auto"/>
        <w:rPr>
          <w:sz w:val="24"/>
          <w:szCs w:val="24"/>
        </w:rPr>
      </w:pPr>
    </w:p>
    <w:p w14:paraId="11716911" w14:textId="77777777" w:rsidR="008E53FB" w:rsidRPr="008E53FB" w:rsidRDefault="008E53FB" w:rsidP="00344013">
      <w:pPr>
        <w:spacing w:line="360" w:lineRule="auto"/>
        <w:rPr>
          <w:i/>
          <w:iCs/>
          <w:sz w:val="24"/>
          <w:szCs w:val="24"/>
          <w:u w:val="single"/>
        </w:rPr>
      </w:pPr>
      <w:r w:rsidRPr="008E53FB">
        <w:rPr>
          <w:sz w:val="24"/>
          <w:szCs w:val="24"/>
          <w:u w:val="single"/>
        </w:rPr>
        <w:t xml:space="preserve">Preface to </w:t>
      </w:r>
      <w:bookmarkStart w:id="1" w:name="_Hlk99637095"/>
      <w:r w:rsidRPr="008E53FB">
        <w:rPr>
          <w:sz w:val="24"/>
          <w:szCs w:val="24"/>
          <w:u w:val="single"/>
        </w:rPr>
        <w:t xml:space="preserve">Chapter Three: </w:t>
      </w:r>
      <w:r w:rsidRPr="008E53FB">
        <w:rPr>
          <w:i/>
          <w:iCs/>
          <w:sz w:val="24"/>
          <w:szCs w:val="24"/>
          <w:u w:val="single"/>
        </w:rPr>
        <w:t>Listen, Father! The Americans have not yet defeated us by land; neither are we sure they have done so by water—we therefore wish to remain here and fight our enemy . . . —Tecumseh to the British, Tippecanoe, 1811</w:t>
      </w:r>
      <w:bookmarkEnd w:id="1"/>
    </w:p>
    <w:p w14:paraId="46D85D89" w14:textId="77777777" w:rsidR="008E53FB" w:rsidRPr="008E53FB" w:rsidRDefault="008E53FB" w:rsidP="00344013">
      <w:pPr>
        <w:spacing w:line="360" w:lineRule="auto"/>
        <w:rPr>
          <w:i/>
          <w:iCs/>
          <w:sz w:val="24"/>
          <w:szCs w:val="24"/>
          <w:u w:val="single"/>
        </w:rPr>
      </w:pPr>
    </w:p>
    <w:p w14:paraId="7589189F" w14:textId="24F696D3" w:rsidR="008E53FB" w:rsidRPr="00344013" w:rsidRDefault="008E53FB" w:rsidP="00344013">
      <w:pPr>
        <w:spacing w:line="360" w:lineRule="auto"/>
        <w:rPr>
          <w:sz w:val="24"/>
          <w:szCs w:val="24"/>
        </w:rPr>
      </w:pPr>
      <w:r w:rsidRPr="008E53FB">
        <w:rPr>
          <w:sz w:val="24"/>
          <w:szCs w:val="24"/>
        </w:rPr>
        <w:t xml:space="preserve">Chapter three discusses panel twenty-one that shows the defeat of Shawnee warrior Tecumseh in the Battle of the Thames in 1813. His brother Tenskwatawa is also discussed in this chapter. Tenskwatawa also appears in records as </w:t>
      </w:r>
      <w:proofErr w:type="spellStart"/>
      <w:r w:rsidRPr="008E53FB">
        <w:rPr>
          <w:sz w:val="24"/>
          <w:szCs w:val="24"/>
        </w:rPr>
        <w:t>Lalawethika</w:t>
      </w:r>
      <w:proofErr w:type="spellEnd"/>
      <w:r w:rsidRPr="008E53FB">
        <w:rPr>
          <w:sz w:val="24"/>
          <w:szCs w:val="24"/>
        </w:rPr>
        <w:t xml:space="preserve">, the Prophet, or the Shawnee Prophet. </w:t>
      </w:r>
      <w:proofErr w:type="spellStart"/>
      <w:r w:rsidRPr="008E53FB">
        <w:rPr>
          <w:sz w:val="24"/>
          <w:szCs w:val="24"/>
        </w:rPr>
        <w:t>Lalawethika</w:t>
      </w:r>
      <w:proofErr w:type="spellEnd"/>
      <w:r w:rsidRPr="008E53FB">
        <w:rPr>
          <w:sz w:val="24"/>
          <w:szCs w:val="24"/>
        </w:rPr>
        <w:t xml:space="preserve"> was his original name which meant ‘Noise Maker’, after </w:t>
      </w:r>
      <w:r w:rsidRPr="008E53FB">
        <w:rPr>
          <w:sz w:val="24"/>
          <w:szCs w:val="24"/>
        </w:rPr>
        <w:lastRenderedPageBreak/>
        <w:t>undergoing a spiritual awakening he changed his name to Tenskwatawa which meant ‘Open Door’; he then became leader of a spiritual movement which earned him the title of Prophet.</w:t>
      </w:r>
      <w:r w:rsidRPr="008E53FB">
        <w:rPr>
          <w:sz w:val="24"/>
          <w:szCs w:val="24"/>
          <w:vertAlign w:val="superscript"/>
        </w:rPr>
        <w:footnoteReference w:id="6"/>
      </w:r>
      <w:r w:rsidRPr="008E53FB">
        <w:rPr>
          <w:sz w:val="24"/>
          <w:szCs w:val="24"/>
        </w:rPr>
        <w:t xml:space="preserve"> I refer to Tecumseh’s brother only as Tenskwatawa as it was the </w:t>
      </w:r>
      <w:proofErr w:type="gramStart"/>
      <w:r w:rsidRPr="008E53FB">
        <w:rPr>
          <w:sz w:val="24"/>
          <w:szCs w:val="24"/>
        </w:rPr>
        <w:t>name</w:t>
      </w:r>
      <w:proofErr w:type="gramEnd"/>
      <w:r w:rsidRPr="008E53FB">
        <w:rPr>
          <w:sz w:val="24"/>
          <w:szCs w:val="24"/>
        </w:rPr>
        <w:t xml:space="preserve"> he chose for himself and for consistency. In this chapter, I also argue that Lawrence used colour as a means of subversion. This argument, however, applies to all three paintings as he has used a similar palette in all of them. Also discussed is the relevance of these three panels within the wider context of the entire </w:t>
      </w:r>
      <w:r w:rsidRPr="008E53FB">
        <w:rPr>
          <w:i/>
          <w:iCs/>
          <w:sz w:val="24"/>
          <w:szCs w:val="24"/>
        </w:rPr>
        <w:t>Struggle</w:t>
      </w:r>
      <w:r w:rsidRPr="008E53FB">
        <w:rPr>
          <w:sz w:val="24"/>
          <w:szCs w:val="24"/>
        </w:rPr>
        <w:t xml:space="preserve"> collection. I have also argued that there is a link between the reputation of Tecumseh and that of Lawrence in that they were both respected as exceptional among their people; I discuss why this is an inaccurate and unfair representation which only served to validate bigoted opinions. </w:t>
      </w:r>
    </w:p>
    <w:p w14:paraId="2304EEA0" w14:textId="0F433F07" w:rsidR="008E53FB" w:rsidRPr="00344013" w:rsidRDefault="008E53FB" w:rsidP="00344013">
      <w:pPr>
        <w:spacing w:line="360" w:lineRule="auto"/>
        <w:rPr>
          <w:sz w:val="24"/>
          <w:szCs w:val="24"/>
        </w:rPr>
      </w:pPr>
    </w:p>
    <w:p w14:paraId="3FAD3D13" w14:textId="77777777" w:rsidR="00344013" w:rsidRPr="00344013" w:rsidRDefault="00344013" w:rsidP="00344013">
      <w:pPr>
        <w:spacing w:line="360" w:lineRule="auto"/>
        <w:rPr>
          <w:sz w:val="24"/>
          <w:szCs w:val="24"/>
          <w:u w:val="single"/>
        </w:rPr>
      </w:pPr>
      <w:r w:rsidRPr="00344013">
        <w:rPr>
          <w:sz w:val="24"/>
          <w:szCs w:val="24"/>
          <w:u w:val="single"/>
        </w:rPr>
        <w:t>Jacob Lawrence Biographical Material</w:t>
      </w:r>
    </w:p>
    <w:p w14:paraId="740CE255" w14:textId="77777777" w:rsidR="00344013" w:rsidRPr="00344013" w:rsidRDefault="00344013" w:rsidP="00344013">
      <w:pPr>
        <w:spacing w:line="360" w:lineRule="auto"/>
        <w:rPr>
          <w:sz w:val="24"/>
          <w:szCs w:val="24"/>
          <w:u w:val="single"/>
        </w:rPr>
      </w:pPr>
    </w:p>
    <w:p w14:paraId="2D53CE51" w14:textId="77777777" w:rsidR="00344013" w:rsidRPr="00344013" w:rsidRDefault="00344013" w:rsidP="00344013">
      <w:pPr>
        <w:spacing w:line="360" w:lineRule="auto"/>
        <w:rPr>
          <w:sz w:val="24"/>
          <w:szCs w:val="24"/>
        </w:rPr>
      </w:pPr>
      <w:r w:rsidRPr="00344013">
        <w:rPr>
          <w:sz w:val="24"/>
          <w:szCs w:val="24"/>
        </w:rPr>
        <w:t>Jacob Lawrence was born September 7</w:t>
      </w:r>
      <w:r w:rsidRPr="00344013">
        <w:rPr>
          <w:sz w:val="24"/>
          <w:szCs w:val="24"/>
          <w:vertAlign w:val="superscript"/>
        </w:rPr>
        <w:t>th,</w:t>
      </w:r>
      <w:r w:rsidRPr="00344013">
        <w:rPr>
          <w:sz w:val="24"/>
          <w:szCs w:val="24"/>
        </w:rPr>
        <w:t xml:space="preserve"> 1917, in Atlantic City New Jersey; he spent his formative years in Harlem with his mother and two younger siblings. Lawrence belonged to the generation that followed the Harlem Renaissance; he was influenced by the movement through teachers and mentors including Charles Alston and Augusta Savage. As a teenager, Lawrence was a student at Frederick Douglass Junior High School; he attended an after-school programme at the Utopia Children’s House where he began to study art. Lawrence then moved to the High School of Commerce and continued his art training at the WPA Harlem Art Workshop. In 1935, Lawrence met historian and lecturer Professor Charles Seifert. Not only did Seifert give Lawrence access to his collection of African and African American history texts, he also recommended that Lawrence visit the Schomburg collection of African American literature housed at the New York Public Library.</w:t>
      </w:r>
      <w:r w:rsidRPr="00344013">
        <w:rPr>
          <w:sz w:val="24"/>
          <w:szCs w:val="24"/>
          <w:vertAlign w:val="superscript"/>
        </w:rPr>
        <w:footnoteReference w:id="7"/>
      </w:r>
      <w:r w:rsidRPr="00344013">
        <w:rPr>
          <w:sz w:val="24"/>
          <w:szCs w:val="24"/>
        </w:rPr>
        <w:t xml:space="preserve"> As an emerging artist he shared a loft space with fellow artists such as Romare Bearden and Claude McKay; as he was older than Lawrence, McKay also acted as a mentor.</w:t>
      </w:r>
      <w:r w:rsidRPr="00344013">
        <w:rPr>
          <w:sz w:val="24"/>
          <w:szCs w:val="24"/>
          <w:vertAlign w:val="superscript"/>
        </w:rPr>
        <w:footnoteReference w:id="8"/>
      </w:r>
      <w:r w:rsidRPr="00344013">
        <w:rPr>
          <w:sz w:val="24"/>
          <w:szCs w:val="24"/>
        </w:rPr>
        <w:t xml:space="preserve"> Lawrence continued to progress </w:t>
      </w:r>
      <w:r w:rsidRPr="00344013">
        <w:rPr>
          <w:sz w:val="24"/>
          <w:szCs w:val="24"/>
        </w:rPr>
        <w:lastRenderedPageBreak/>
        <w:t xml:space="preserve">as an artist, being influenced by everything around him and creating many paintings depicting his Harlem neighbourhood that he began to exhibit in 1935. His career and style progressed with the creation of his </w:t>
      </w:r>
      <w:r w:rsidRPr="00344013">
        <w:rPr>
          <w:i/>
          <w:iCs/>
          <w:sz w:val="24"/>
          <w:szCs w:val="24"/>
        </w:rPr>
        <w:t>Frederick Douglass</w:t>
      </w:r>
      <w:r w:rsidRPr="00344013">
        <w:rPr>
          <w:sz w:val="24"/>
          <w:szCs w:val="24"/>
        </w:rPr>
        <w:t xml:space="preserve"> series in 1939. Lawrence categorised his work as expressionist in style, cubist in form, and social in content.</w:t>
      </w:r>
      <w:r w:rsidRPr="00344013">
        <w:rPr>
          <w:sz w:val="24"/>
          <w:szCs w:val="24"/>
          <w:vertAlign w:val="superscript"/>
        </w:rPr>
        <w:footnoteReference w:id="9"/>
      </w:r>
      <w:r w:rsidRPr="00344013">
        <w:rPr>
          <w:sz w:val="24"/>
          <w:szCs w:val="24"/>
        </w:rPr>
        <w:t xml:space="preserve"> In 1941 Lawrence married fellow artist Gwendolyn Knight; the couple honeymooned in New Orleans, where Lawrence first encountered the brutality of the Jim Crow laws. This trip to the south coincided with his work on his </w:t>
      </w:r>
      <w:r w:rsidRPr="00344013">
        <w:rPr>
          <w:i/>
          <w:iCs/>
          <w:sz w:val="24"/>
          <w:szCs w:val="24"/>
        </w:rPr>
        <w:t xml:space="preserve">Migration of the Negro </w:t>
      </w:r>
      <w:r w:rsidRPr="00344013">
        <w:rPr>
          <w:sz w:val="24"/>
          <w:szCs w:val="24"/>
        </w:rPr>
        <w:t>series that documented the mass exodus of African Americans from the southern to the northern United States; Lawrence’s parents had been a part of the Great Migration.</w:t>
      </w:r>
      <w:r w:rsidRPr="00344013">
        <w:rPr>
          <w:sz w:val="24"/>
          <w:szCs w:val="24"/>
          <w:vertAlign w:val="superscript"/>
        </w:rPr>
        <w:footnoteReference w:id="10"/>
      </w:r>
      <w:r w:rsidRPr="00344013">
        <w:rPr>
          <w:sz w:val="24"/>
          <w:szCs w:val="24"/>
        </w:rPr>
        <w:t xml:space="preserve"> During World War II Lawrence served in the U.S. Coastguard. He was able to keep painting initially due to his supportive captain, Carleton Skinner, and was later employed as an official combat artist. In 1949 Lawrence voluntarily checked himself into Hillside Hospital, where he received treatment for depression. While in hospital, he continued to paint, and he exhibited his hospital paintings in 1950. I do not include any discussion of Lawrence’s life after the 1950s, although later interviews of Lawrence discussing his early life and career have formed a large area of my research and have been included. It is only left to say that Lawrence continued to paint and teach until shortly before his death in 2000 at the age of 82; he also remained happily married to Gwendolyn Knight for the rest of his life.</w:t>
      </w:r>
      <w:r w:rsidRPr="00344013">
        <w:rPr>
          <w:sz w:val="24"/>
          <w:szCs w:val="24"/>
          <w:vertAlign w:val="superscript"/>
        </w:rPr>
        <w:footnoteReference w:id="11"/>
      </w:r>
    </w:p>
    <w:p w14:paraId="031EC196" w14:textId="77777777" w:rsidR="00344013" w:rsidRPr="00344013" w:rsidRDefault="00344013" w:rsidP="00344013">
      <w:pPr>
        <w:spacing w:line="360" w:lineRule="auto"/>
        <w:rPr>
          <w:sz w:val="24"/>
          <w:szCs w:val="24"/>
        </w:rPr>
      </w:pPr>
    </w:p>
    <w:p w14:paraId="4DF547E5" w14:textId="77777777" w:rsidR="00344013" w:rsidRPr="00344013" w:rsidRDefault="00344013" w:rsidP="00344013">
      <w:pPr>
        <w:spacing w:line="360" w:lineRule="auto"/>
        <w:rPr>
          <w:sz w:val="24"/>
          <w:szCs w:val="24"/>
          <w:u w:val="single"/>
        </w:rPr>
      </w:pPr>
      <w:r w:rsidRPr="00344013">
        <w:rPr>
          <w:sz w:val="24"/>
          <w:szCs w:val="24"/>
          <w:u w:val="single"/>
        </w:rPr>
        <w:t>Lawrence as Historian</w:t>
      </w:r>
    </w:p>
    <w:p w14:paraId="55D40312" w14:textId="77777777" w:rsidR="00344013" w:rsidRPr="00344013" w:rsidRDefault="00344013" w:rsidP="00344013">
      <w:pPr>
        <w:spacing w:line="360" w:lineRule="auto"/>
        <w:rPr>
          <w:sz w:val="24"/>
          <w:szCs w:val="24"/>
        </w:rPr>
      </w:pPr>
    </w:p>
    <w:p w14:paraId="4186A314" w14:textId="77777777" w:rsidR="00344013" w:rsidRPr="00344013" w:rsidRDefault="00344013" w:rsidP="00344013">
      <w:pPr>
        <w:spacing w:line="360" w:lineRule="auto"/>
        <w:rPr>
          <w:sz w:val="24"/>
          <w:szCs w:val="24"/>
        </w:rPr>
      </w:pPr>
      <w:r w:rsidRPr="00344013">
        <w:rPr>
          <w:sz w:val="24"/>
          <w:szCs w:val="24"/>
        </w:rPr>
        <w:t xml:space="preserve">In 1926, the 135th Street branch of the New York Public Library acquired the Schomburg Collection. The amassing of this collection of African and African American historical documents had been the passion of Arthur Schomburg, a black Puerto Rican who dedicated himself to promoting black history. His collection now contains approximately eleven million items. Lawrence regularly studied at the library and used the Schomburg collection for many </w:t>
      </w:r>
      <w:r w:rsidRPr="00344013">
        <w:rPr>
          <w:sz w:val="24"/>
          <w:szCs w:val="24"/>
        </w:rPr>
        <w:lastRenderedPageBreak/>
        <w:t>of his works, including the </w:t>
      </w:r>
      <w:r w:rsidRPr="00344013">
        <w:rPr>
          <w:i/>
          <w:iCs/>
          <w:sz w:val="24"/>
          <w:szCs w:val="24"/>
        </w:rPr>
        <w:t>Struggle</w:t>
      </w:r>
      <w:r w:rsidRPr="00344013">
        <w:rPr>
          <w:sz w:val="24"/>
          <w:szCs w:val="24"/>
        </w:rPr>
        <w:t> collection. Lawrence described his research process in preparation for the creation of his </w:t>
      </w:r>
      <w:r w:rsidRPr="00344013">
        <w:rPr>
          <w:i/>
          <w:iCs/>
          <w:sz w:val="24"/>
          <w:szCs w:val="24"/>
        </w:rPr>
        <w:t>Migration</w:t>
      </w:r>
      <w:r w:rsidRPr="00344013">
        <w:rPr>
          <w:sz w:val="24"/>
          <w:szCs w:val="24"/>
        </w:rPr>
        <w:t> series, ‘I did plenty of research in books and pamphlets written during the migration and afterward</w:t>
      </w:r>
      <w:proofErr w:type="gramStart"/>
      <w:r w:rsidRPr="00344013">
        <w:rPr>
          <w:sz w:val="24"/>
          <w:szCs w:val="24"/>
        </w:rPr>
        <w:t>….I</w:t>
      </w:r>
      <w:proofErr w:type="gramEnd"/>
      <w:r w:rsidRPr="00344013">
        <w:rPr>
          <w:sz w:val="24"/>
          <w:szCs w:val="24"/>
        </w:rPr>
        <w:t xml:space="preserve"> took notes. Sometimes I would make ten or twenty sketches for one incident.’</w:t>
      </w:r>
      <w:r w:rsidRPr="00344013">
        <w:rPr>
          <w:sz w:val="24"/>
          <w:szCs w:val="24"/>
          <w:vertAlign w:val="superscript"/>
        </w:rPr>
        <w:footnoteReference w:id="12"/>
      </w:r>
      <w:r w:rsidRPr="00344013">
        <w:rPr>
          <w:sz w:val="24"/>
          <w:szCs w:val="24"/>
        </w:rPr>
        <w:t> </w:t>
      </w:r>
      <w:r w:rsidRPr="00344013">
        <w:rPr>
          <w:i/>
          <w:iCs/>
          <w:sz w:val="24"/>
          <w:szCs w:val="24"/>
        </w:rPr>
        <w:t>Struggle</w:t>
      </w:r>
      <w:r w:rsidRPr="00344013">
        <w:rPr>
          <w:sz w:val="24"/>
          <w:szCs w:val="24"/>
        </w:rPr>
        <w:t xml:space="preserve"> was Lawrence’s first collection which did not exclusively represent black history, it is difficult to ascertain how much information he would have had regarding Indian history. Lawrence’s main source of historical material was about African American culture; the only sources of Indian history he had access to were told through a white American lens. This explains why he chose well-known historical Indian characters and incidents as, despite his proficiency for historical research, he was restricted by a lack of reliable and accurate resources on Indian culture and history.   </w:t>
      </w:r>
    </w:p>
    <w:p w14:paraId="652B126D" w14:textId="77777777" w:rsidR="00344013" w:rsidRPr="00344013" w:rsidRDefault="00344013" w:rsidP="00344013">
      <w:pPr>
        <w:spacing w:line="360" w:lineRule="auto"/>
        <w:rPr>
          <w:sz w:val="24"/>
          <w:szCs w:val="24"/>
        </w:rPr>
      </w:pPr>
      <w:r w:rsidRPr="00344013">
        <w:rPr>
          <w:sz w:val="24"/>
          <w:szCs w:val="24"/>
        </w:rPr>
        <w:t xml:space="preserve">In Kyle T. Mays’ </w:t>
      </w:r>
      <w:proofErr w:type="gramStart"/>
      <w:r w:rsidRPr="00344013">
        <w:rPr>
          <w:i/>
          <w:iCs/>
          <w:sz w:val="24"/>
          <w:szCs w:val="24"/>
        </w:rPr>
        <w:t>An</w:t>
      </w:r>
      <w:proofErr w:type="gramEnd"/>
      <w:r w:rsidRPr="00344013">
        <w:rPr>
          <w:i/>
          <w:iCs/>
          <w:sz w:val="24"/>
          <w:szCs w:val="24"/>
        </w:rPr>
        <w:t xml:space="preserve"> Afro-Indigenous History of the United States, </w:t>
      </w:r>
      <w:r w:rsidRPr="00344013">
        <w:rPr>
          <w:sz w:val="24"/>
          <w:szCs w:val="24"/>
        </w:rPr>
        <w:t>he states that historically, black people were exploited for their labour, and Indians were exploited for their land. This created a schism in the experiences of both groups, with peoples of African descent being needed in large and self-perpetuating numbers to provide free labour, and Indians were displaced and murdered in large numbers to provide land for white Americans. Mays argues that this schism has perpetuated the misconception that there is little Afro-indigenous history as the experiences of both groups were effectively opposed; his book then proves this misconception wrong.</w:t>
      </w:r>
      <w:r w:rsidRPr="00344013">
        <w:rPr>
          <w:sz w:val="24"/>
          <w:szCs w:val="24"/>
          <w:vertAlign w:val="superscript"/>
        </w:rPr>
        <w:footnoteReference w:id="13"/>
      </w:r>
      <w:r w:rsidRPr="00344013">
        <w:rPr>
          <w:sz w:val="24"/>
          <w:szCs w:val="24"/>
        </w:rPr>
        <w:t xml:space="preserve"> However, by the time Lawrence created </w:t>
      </w:r>
      <w:r w:rsidRPr="00344013">
        <w:rPr>
          <w:i/>
          <w:iCs/>
          <w:sz w:val="24"/>
          <w:szCs w:val="24"/>
        </w:rPr>
        <w:t>Struggle</w:t>
      </w:r>
      <w:r w:rsidRPr="00344013">
        <w:rPr>
          <w:sz w:val="24"/>
          <w:szCs w:val="24"/>
        </w:rPr>
        <w:t xml:space="preserve"> in the 1950s, this pattern of exploitation had changed. By 1887 all Indian land had been seized by the U.S. government, </w:t>
      </w:r>
      <w:proofErr w:type="gramStart"/>
      <w:r w:rsidRPr="00344013">
        <w:rPr>
          <w:sz w:val="24"/>
          <w:szCs w:val="24"/>
        </w:rPr>
        <w:t>with the exception of</w:t>
      </w:r>
      <w:proofErr w:type="gramEnd"/>
      <w:r w:rsidRPr="00344013">
        <w:rPr>
          <w:sz w:val="24"/>
          <w:szCs w:val="24"/>
        </w:rPr>
        <w:t xml:space="preserve"> reservations, and despite African Americans still being undervalued and underpaid second-class citizens, they were no longer enslaved.</w:t>
      </w:r>
      <w:r w:rsidRPr="00344013">
        <w:rPr>
          <w:sz w:val="24"/>
          <w:szCs w:val="24"/>
          <w:vertAlign w:val="superscript"/>
        </w:rPr>
        <w:footnoteReference w:id="14"/>
      </w:r>
      <w:r w:rsidRPr="00344013">
        <w:rPr>
          <w:sz w:val="24"/>
          <w:szCs w:val="24"/>
        </w:rPr>
        <w:t xml:space="preserve">  This change in circumstances would have brought the experiences of these two groups of people closer together. As Indians were confined to reservations, black people were similarly confined by Jim Crow laws in the south, and lack of access to housing opportunities in the north saw black communities confined to substandard inner-city ghettos. Black communities were often displaced to make way for housing or offices for mostly or exclusively white communities, actions comparable with the removal of Indian peoples in the preceding </w:t>
      </w:r>
      <w:r w:rsidRPr="00344013">
        <w:rPr>
          <w:sz w:val="24"/>
          <w:szCs w:val="24"/>
        </w:rPr>
        <w:lastRenderedPageBreak/>
        <w:t>centuries. Black people were also no longer needed for their labour in the same numbers, unemployment among black communities was rife during the depression and even with the economic stimulus of WWII, many industries would rather be understaffed than employ black workers.</w:t>
      </w:r>
      <w:r w:rsidRPr="00344013">
        <w:rPr>
          <w:sz w:val="24"/>
          <w:szCs w:val="24"/>
          <w:vertAlign w:val="superscript"/>
        </w:rPr>
        <w:footnoteReference w:id="15"/>
      </w:r>
      <w:r w:rsidRPr="00344013">
        <w:rPr>
          <w:sz w:val="24"/>
          <w:szCs w:val="24"/>
        </w:rPr>
        <w:t xml:space="preserve"> I have considered throughout this paper that Lawrence was depicting scenes from history which occurred when black and Indian experiences of exploitation were opposed; however, he was creating the paintings at a time when their experiences had in some ways converged. This not only illustrates Lawrence’s importance as a historian it validates the necessity of an analysis of these three panels. As Mays has claimed, the history of Afro-Indigenous Americans has been woefully overlooked. Lawrence was not of Indian descent, but he was an African American representing Indian history. These paintings, therefore, are part of an underrepresented area of historical study that calls for a deeper understanding of them.</w:t>
      </w:r>
    </w:p>
    <w:p w14:paraId="406EC979" w14:textId="77777777" w:rsidR="00344013" w:rsidRPr="00344013" w:rsidRDefault="00344013" w:rsidP="00344013">
      <w:pPr>
        <w:spacing w:line="360" w:lineRule="auto"/>
        <w:rPr>
          <w:sz w:val="24"/>
          <w:szCs w:val="24"/>
        </w:rPr>
      </w:pPr>
      <w:r w:rsidRPr="00344013">
        <w:rPr>
          <w:sz w:val="24"/>
          <w:szCs w:val="24"/>
        </w:rPr>
        <w:t xml:space="preserve"> </w:t>
      </w:r>
    </w:p>
    <w:p w14:paraId="7533F3AE" w14:textId="77777777" w:rsidR="00344013" w:rsidRPr="00344013" w:rsidRDefault="00344013" w:rsidP="00344013">
      <w:pPr>
        <w:spacing w:line="360" w:lineRule="auto"/>
        <w:rPr>
          <w:sz w:val="24"/>
          <w:szCs w:val="24"/>
          <w:u w:val="single"/>
        </w:rPr>
      </w:pPr>
      <w:r w:rsidRPr="00344013">
        <w:rPr>
          <w:sz w:val="24"/>
          <w:szCs w:val="24"/>
          <w:u w:val="single"/>
        </w:rPr>
        <w:t>Terminology</w:t>
      </w:r>
    </w:p>
    <w:p w14:paraId="65185A69" w14:textId="77777777" w:rsidR="00344013" w:rsidRPr="00344013" w:rsidRDefault="00344013" w:rsidP="00344013">
      <w:pPr>
        <w:spacing w:line="360" w:lineRule="auto"/>
        <w:rPr>
          <w:sz w:val="24"/>
          <w:szCs w:val="24"/>
          <w:u w:val="single"/>
        </w:rPr>
      </w:pPr>
    </w:p>
    <w:p w14:paraId="72516640" w14:textId="77777777" w:rsidR="00344013" w:rsidRPr="00344013" w:rsidRDefault="00344013" w:rsidP="00344013">
      <w:pPr>
        <w:spacing w:line="360" w:lineRule="auto"/>
        <w:rPr>
          <w:sz w:val="24"/>
          <w:szCs w:val="24"/>
        </w:rPr>
      </w:pPr>
      <w:r w:rsidRPr="00344013">
        <w:rPr>
          <w:sz w:val="24"/>
          <w:szCs w:val="24"/>
        </w:rPr>
        <w:t>It was not until 1965 that the term negro started to be replaced by the term black, especially by the younger generation, and it remained present in common dialect for many years after.</w:t>
      </w:r>
      <w:r w:rsidRPr="00344013">
        <w:rPr>
          <w:sz w:val="24"/>
          <w:szCs w:val="24"/>
          <w:vertAlign w:val="superscript"/>
        </w:rPr>
        <w:footnoteReference w:id="16"/>
      </w:r>
      <w:r w:rsidRPr="00344013">
        <w:rPr>
          <w:sz w:val="24"/>
          <w:szCs w:val="24"/>
        </w:rPr>
        <w:t xml:space="preserve"> As this paper discusses Lawrence’s life and work up to and including the 1950s, I have regrettably been unable to avoid using the term throughout. In everyday language I would use the term Native American as it is the one with which I am most familiar. However, Anton </w:t>
      </w:r>
      <w:proofErr w:type="spellStart"/>
      <w:r w:rsidRPr="00344013">
        <w:rPr>
          <w:sz w:val="24"/>
          <w:szCs w:val="24"/>
        </w:rPr>
        <w:t>Treuer</w:t>
      </w:r>
      <w:proofErr w:type="spellEnd"/>
      <w:r w:rsidRPr="00344013">
        <w:rPr>
          <w:sz w:val="24"/>
          <w:szCs w:val="24"/>
        </w:rPr>
        <w:t xml:space="preserve"> describes that every term attributed to Indians such as </w:t>
      </w:r>
      <w:r w:rsidRPr="00344013">
        <w:rPr>
          <w:i/>
          <w:iCs/>
          <w:sz w:val="24"/>
          <w:szCs w:val="24"/>
        </w:rPr>
        <w:t>First Nation Person, Indigenous</w:t>
      </w:r>
      <w:r w:rsidRPr="00344013">
        <w:rPr>
          <w:sz w:val="24"/>
          <w:szCs w:val="24"/>
        </w:rPr>
        <w:t xml:space="preserve">, or </w:t>
      </w:r>
      <w:r w:rsidRPr="00344013">
        <w:rPr>
          <w:i/>
          <w:iCs/>
          <w:sz w:val="24"/>
          <w:szCs w:val="24"/>
        </w:rPr>
        <w:t>Aboriginal</w:t>
      </w:r>
      <w:r w:rsidRPr="00344013">
        <w:rPr>
          <w:sz w:val="24"/>
          <w:szCs w:val="24"/>
        </w:rPr>
        <w:t xml:space="preserve"> all have their critics and problems.</w:t>
      </w:r>
      <w:r w:rsidRPr="00344013">
        <w:rPr>
          <w:sz w:val="24"/>
          <w:szCs w:val="24"/>
          <w:vertAlign w:val="superscript"/>
        </w:rPr>
        <w:footnoteReference w:id="17"/>
      </w:r>
      <w:r w:rsidRPr="00344013">
        <w:rPr>
          <w:sz w:val="24"/>
          <w:szCs w:val="24"/>
        </w:rPr>
        <w:t xml:space="preserve"> I, therefore, settled on the term Indian due to its conciseness. I have used this term when referring to Indian people or culture in general and refer to individual nations or confederacies when possible. The </w:t>
      </w:r>
      <w:r w:rsidRPr="00344013">
        <w:rPr>
          <w:i/>
          <w:iCs/>
          <w:sz w:val="24"/>
          <w:szCs w:val="24"/>
        </w:rPr>
        <w:t>Struggle</w:t>
      </w:r>
      <w:r w:rsidRPr="00344013">
        <w:rPr>
          <w:sz w:val="24"/>
          <w:szCs w:val="24"/>
        </w:rPr>
        <w:t xml:space="preserve"> collection is usually referred to as a series, however, in an interview with Xavier Nicholas, Lawrence clearly states that it is not a series but a theme. </w:t>
      </w:r>
      <w:r w:rsidRPr="00344013">
        <w:rPr>
          <w:i/>
          <w:iCs/>
          <w:sz w:val="24"/>
          <w:szCs w:val="24"/>
        </w:rPr>
        <w:t>Struggle</w:t>
      </w:r>
      <w:r w:rsidRPr="00344013">
        <w:rPr>
          <w:sz w:val="24"/>
          <w:szCs w:val="24"/>
        </w:rPr>
        <w:t xml:space="preserve"> is not a </w:t>
      </w:r>
      <w:r w:rsidRPr="00344013">
        <w:rPr>
          <w:sz w:val="24"/>
          <w:szCs w:val="24"/>
        </w:rPr>
        <w:lastRenderedPageBreak/>
        <w:t xml:space="preserve">connected narrative but a single subject; I, therefore, refer to </w:t>
      </w:r>
      <w:r w:rsidRPr="00344013">
        <w:rPr>
          <w:i/>
          <w:iCs/>
          <w:sz w:val="24"/>
          <w:szCs w:val="24"/>
        </w:rPr>
        <w:t>Struggle</w:t>
      </w:r>
      <w:r w:rsidRPr="00344013">
        <w:rPr>
          <w:sz w:val="24"/>
          <w:szCs w:val="24"/>
        </w:rPr>
        <w:t xml:space="preserve"> as a collection rather than a series.</w:t>
      </w:r>
      <w:r w:rsidRPr="00344013">
        <w:rPr>
          <w:sz w:val="24"/>
          <w:szCs w:val="24"/>
          <w:vertAlign w:val="superscript"/>
        </w:rPr>
        <w:footnoteReference w:id="18"/>
      </w:r>
      <w:r w:rsidRPr="00344013">
        <w:rPr>
          <w:sz w:val="24"/>
          <w:szCs w:val="24"/>
        </w:rPr>
        <w:t xml:space="preserve"> </w:t>
      </w:r>
    </w:p>
    <w:p w14:paraId="37CCABF9" w14:textId="77777777" w:rsidR="00344013" w:rsidRPr="00344013" w:rsidRDefault="00344013" w:rsidP="00344013">
      <w:pPr>
        <w:spacing w:line="360" w:lineRule="auto"/>
        <w:rPr>
          <w:sz w:val="24"/>
          <w:szCs w:val="24"/>
        </w:rPr>
      </w:pPr>
    </w:p>
    <w:p w14:paraId="41EE39B6" w14:textId="77777777" w:rsidR="00344013" w:rsidRPr="00344013" w:rsidRDefault="00344013" w:rsidP="00344013">
      <w:pPr>
        <w:spacing w:line="360" w:lineRule="auto"/>
        <w:rPr>
          <w:sz w:val="24"/>
          <w:szCs w:val="24"/>
          <w:u w:val="single"/>
        </w:rPr>
      </w:pPr>
      <w:r w:rsidRPr="00344013">
        <w:rPr>
          <w:sz w:val="24"/>
          <w:szCs w:val="24"/>
          <w:u w:val="single"/>
        </w:rPr>
        <w:br w:type="page"/>
      </w:r>
    </w:p>
    <w:p w14:paraId="6B28D52E" w14:textId="77777777" w:rsidR="00344013" w:rsidRPr="00344013" w:rsidRDefault="00344013" w:rsidP="00344013">
      <w:pPr>
        <w:spacing w:line="360" w:lineRule="auto"/>
        <w:rPr>
          <w:sz w:val="24"/>
          <w:szCs w:val="24"/>
          <w:u w:val="single"/>
        </w:rPr>
      </w:pPr>
      <w:r w:rsidRPr="00344013">
        <w:rPr>
          <w:sz w:val="24"/>
          <w:szCs w:val="24"/>
          <w:u w:val="single"/>
        </w:rPr>
        <w:lastRenderedPageBreak/>
        <w:t xml:space="preserve">Chapter One: </w:t>
      </w:r>
      <w:bookmarkStart w:id="5" w:name="_Hlk99438548"/>
      <w:r w:rsidRPr="00344013">
        <w:rPr>
          <w:i/>
          <w:iCs/>
          <w:sz w:val="24"/>
          <w:szCs w:val="24"/>
          <w:u w:val="single"/>
        </w:rPr>
        <w:t xml:space="preserve">Rally Mohawks! Bring out your </w:t>
      </w:r>
      <w:proofErr w:type="gramStart"/>
      <w:r w:rsidRPr="00344013">
        <w:rPr>
          <w:i/>
          <w:iCs/>
          <w:sz w:val="24"/>
          <w:szCs w:val="24"/>
          <w:u w:val="single"/>
        </w:rPr>
        <w:t>axes, and</w:t>
      </w:r>
      <w:proofErr w:type="gramEnd"/>
      <w:r w:rsidRPr="00344013">
        <w:rPr>
          <w:i/>
          <w:iCs/>
          <w:sz w:val="24"/>
          <w:szCs w:val="24"/>
          <w:u w:val="single"/>
        </w:rPr>
        <w:t xml:space="preserve"> tell King George we’ll pay no taxes on his foreign tea</w:t>
      </w:r>
      <w:r w:rsidRPr="00344013">
        <w:rPr>
          <w:sz w:val="24"/>
          <w:szCs w:val="24"/>
          <w:u w:val="single"/>
        </w:rPr>
        <w:t xml:space="preserve"> </w:t>
      </w:r>
      <w:bookmarkEnd w:id="5"/>
      <w:r w:rsidRPr="00344013">
        <w:rPr>
          <w:sz w:val="24"/>
          <w:szCs w:val="24"/>
          <w:u w:val="single"/>
        </w:rPr>
        <w:t>. . ..</w:t>
      </w:r>
    </w:p>
    <w:p w14:paraId="18872C4A" w14:textId="77777777" w:rsidR="00344013" w:rsidRPr="00344013" w:rsidRDefault="00344013" w:rsidP="00344013">
      <w:pPr>
        <w:spacing w:line="360" w:lineRule="auto"/>
        <w:rPr>
          <w:sz w:val="24"/>
          <w:szCs w:val="24"/>
          <w:u w:val="single"/>
        </w:rPr>
      </w:pPr>
    </w:p>
    <w:p w14:paraId="14BADFFD" w14:textId="77777777" w:rsidR="00344013" w:rsidRPr="00344013" w:rsidRDefault="00344013" w:rsidP="00344013">
      <w:pPr>
        <w:spacing w:line="360" w:lineRule="auto"/>
        <w:rPr>
          <w:sz w:val="24"/>
          <w:szCs w:val="24"/>
          <w:u w:val="single"/>
        </w:rPr>
      </w:pPr>
      <w:r w:rsidRPr="00344013">
        <w:rPr>
          <w:sz w:val="24"/>
          <w:szCs w:val="24"/>
          <w:u w:val="single"/>
        </w:rPr>
        <w:drawing>
          <wp:inline distT="0" distB="0" distL="0" distR="0" wp14:anchorId="113F3796" wp14:editId="4144217A">
            <wp:extent cx="5994422" cy="5011420"/>
            <wp:effectExtent l="0" t="0" r="6350" b="0"/>
            <wp:docPr id="1" name="Picture 1" descr="A picture containing kite, colorful, clothing, clot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ite, colorful, clothing, clothe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10551" cy="5024904"/>
                    </a:xfrm>
                    <a:prstGeom prst="rect">
                      <a:avLst/>
                    </a:prstGeom>
                    <a:noFill/>
                  </pic:spPr>
                </pic:pic>
              </a:graphicData>
            </a:graphic>
          </wp:inline>
        </w:drawing>
      </w:r>
    </w:p>
    <w:p w14:paraId="602F9CDD" w14:textId="77777777" w:rsidR="00344013" w:rsidRPr="00344013" w:rsidRDefault="00344013" w:rsidP="00344013">
      <w:pPr>
        <w:spacing w:line="360" w:lineRule="auto"/>
        <w:rPr>
          <w:sz w:val="20"/>
          <w:szCs w:val="20"/>
        </w:rPr>
      </w:pPr>
      <w:r w:rsidRPr="00344013">
        <w:rPr>
          <w:sz w:val="20"/>
          <w:szCs w:val="20"/>
        </w:rPr>
        <w:t xml:space="preserve">Fig 1: Jacob Lawrence, Panel 3, </w:t>
      </w:r>
      <w:r w:rsidRPr="00344013">
        <w:rPr>
          <w:i/>
          <w:iCs/>
          <w:sz w:val="20"/>
          <w:szCs w:val="20"/>
        </w:rPr>
        <w:t xml:space="preserve">Rally Mohawks! Bring out your </w:t>
      </w:r>
      <w:proofErr w:type="gramStart"/>
      <w:r w:rsidRPr="00344013">
        <w:rPr>
          <w:i/>
          <w:iCs/>
          <w:sz w:val="20"/>
          <w:szCs w:val="20"/>
        </w:rPr>
        <w:t>axes, and</w:t>
      </w:r>
      <w:proofErr w:type="gramEnd"/>
      <w:r w:rsidRPr="00344013">
        <w:rPr>
          <w:i/>
          <w:iCs/>
          <w:sz w:val="20"/>
          <w:szCs w:val="20"/>
        </w:rPr>
        <w:t xml:space="preserve"> tell King George we’ll pay no taxes on his foreign tea</w:t>
      </w:r>
      <w:r w:rsidRPr="00344013">
        <w:rPr>
          <w:sz w:val="20"/>
          <w:szCs w:val="20"/>
        </w:rPr>
        <w:t>, from Struggle: From the History of the American People, 1954–56, egg tempera on hardboard 12 × 15 1/2 in. (30.5 × 39.4 cm).</w:t>
      </w:r>
      <w:r w:rsidRPr="00344013">
        <w:rPr>
          <w:sz w:val="20"/>
          <w:szCs w:val="20"/>
          <w:vertAlign w:val="superscript"/>
        </w:rPr>
        <w:footnoteReference w:id="19"/>
      </w:r>
    </w:p>
    <w:p w14:paraId="1DA1ADB8" w14:textId="77777777" w:rsidR="00344013" w:rsidRPr="00344013" w:rsidRDefault="00344013" w:rsidP="00344013">
      <w:pPr>
        <w:spacing w:line="360" w:lineRule="auto"/>
        <w:rPr>
          <w:sz w:val="24"/>
          <w:szCs w:val="24"/>
        </w:rPr>
      </w:pPr>
    </w:p>
    <w:p w14:paraId="5E9220BE" w14:textId="77777777" w:rsidR="00344013" w:rsidRPr="00344013" w:rsidRDefault="00344013" w:rsidP="00344013">
      <w:pPr>
        <w:spacing w:line="360" w:lineRule="auto"/>
        <w:rPr>
          <w:sz w:val="24"/>
          <w:szCs w:val="24"/>
        </w:rPr>
      </w:pPr>
      <w:r w:rsidRPr="00344013">
        <w:rPr>
          <w:sz w:val="24"/>
          <w:szCs w:val="24"/>
        </w:rPr>
        <w:t xml:space="preserve">If one word had to be used to describe this painting, I would choose ‘chaotic’; my initial notes when first analysing this painting encapsulate the urgency with which the image </w:t>
      </w:r>
      <w:r w:rsidRPr="00344013">
        <w:rPr>
          <w:sz w:val="24"/>
          <w:szCs w:val="24"/>
        </w:rPr>
        <w:lastRenderedPageBreak/>
        <w:t>presents itself. I can see six hands, two faces but no other distinctive body parts, just draped cloaks. Both the faces are being grabbed by hands, there are two hands holding axes, the draped cloaks obscure everything else. There are two spears and two more faces that are not instantly recognisable. All four faces are being grabbed by hands. Yet another face appears in the top right corner.</w:t>
      </w:r>
    </w:p>
    <w:p w14:paraId="26FEFC01" w14:textId="77777777" w:rsidR="00344013" w:rsidRPr="00344013" w:rsidRDefault="00344013" w:rsidP="00344013">
      <w:pPr>
        <w:spacing w:line="360" w:lineRule="auto"/>
        <w:rPr>
          <w:sz w:val="24"/>
          <w:szCs w:val="24"/>
        </w:rPr>
      </w:pPr>
    </w:p>
    <w:p w14:paraId="1F168A2E" w14:textId="77777777" w:rsidR="00344013" w:rsidRPr="00344013" w:rsidRDefault="00344013" w:rsidP="00344013">
      <w:pPr>
        <w:spacing w:line="360" w:lineRule="auto"/>
        <w:rPr>
          <w:sz w:val="24"/>
          <w:szCs w:val="24"/>
          <w:u w:val="single"/>
        </w:rPr>
      </w:pPr>
      <w:r w:rsidRPr="00344013">
        <w:rPr>
          <w:sz w:val="24"/>
          <w:szCs w:val="24"/>
          <w:u w:val="single"/>
        </w:rPr>
        <w:t>Questioning Lawrence’s Historical Argument</w:t>
      </w:r>
    </w:p>
    <w:p w14:paraId="3EBFDC0E" w14:textId="77777777" w:rsidR="00344013" w:rsidRPr="00344013" w:rsidRDefault="00344013" w:rsidP="00344013">
      <w:pPr>
        <w:spacing w:line="360" w:lineRule="auto"/>
        <w:rPr>
          <w:sz w:val="24"/>
          <w:szCs w:val="24"/>
          <w:u w:val="single"/>
        </w:rPr>
      </w:pPr>
      <w:r w:rsidRPr="00344013">
        <w:rPr>
          <w:sz w:val="24"/>
          <w:szCs w:val="24"/>
          <w:u w:val="single"/>
        </w:rPr>
        <w:t xml:space="preserve"> </w:t>
      </w:r>
    </w:p>
    <w:p w14:paraId="6169DAA7" w14:textId="77777777" w:rsidR="00344013" w:rsidRPr="00344013" w:rsidRDefault="00344013" w:rsidP="00344013">
      <w:pPr>
        <w:spacing w:line="360" w:lineRule="auto"/>
        <w:rPr>
          <w:sz w:val="24"/>
          <w:szCs w:val="24"/>
        </w:rPr>
      </w:pPr>
      <w:r w:rsidRPr="00344013">
        <w:rPr>
          <w:sz w:val="24"/>
          <w:szCs w:val="24"/>
        </w:rPr>
        <w:t>When viewing this painting, there are no discernible links with the Boston tea party. Most, if not all, other depictions like Nathaniel Currier’s ‘</w:t>
      </w:r>
      <w:r w:rsidRPr="00344013">
        <w:rPr>
          <w:i/>
          <w:iCs/>
          <w:sz w:val="24"/>
          <w:szCs w:val="24"/>
        </w:rPr>
        <w:t xml:space="preserve">The Destruction of Tea at Boston Harbour’ </w:t>
      </w:r>
      <w:r w:rsidRPr="00344013">
        <w:rPr>
          <w:sz w:val="24"/>
          <w:szCs w:val="24"/>
        </w:rPr>
        <w:t xml:space="preserve">and Luis </w:t>
      </w:r>
      <w:proofErr w:type="spellStart"/>
      <w:r w:rsidRPr="00344013">
        <w:rPr>
          <w:sz w:val="24"/>
          <w:szCs w:val="24"/>
        </w:rPr>
        <w:t>Arcas</w:t>
      </w:r>
      <w:proofErr w:type="spellEnd"/>
      <w:r w:rsidRPr="00344013">
        <w:rPr>
          <w:sz w:val="24"/>
          <w:szCs w:val="24"/>
        </w:rPr>
        <w:t xml:space="preserve"> </w:t>
      </w:r>
      <w:proofErr w:type="spellStart"/>
      <w:r w:rsidRPr="00344013">
        <w:rPr>
          <w:sz w:val="24"/>
          <w:szCs w:val="24"/>
        </w:rPr>
        <w:t>Brauner’s</w:t>
      </w:r>
      <w:proofErr w:type="spellEnd"/>
      <w:r w:rsidRPr="00344013">
        <w:rPr>
          <w:sz w:val="24"/>
          <w:szCs w:val="24"/>
        </w:rPr>
        <w:t xml:space="preserve"> ‘</w:t>
      </w:r>
      <w:r w:rsidRPr="00344013">
        <w:rPr>
          <w:i/>
          <w:iCs/>
          <w:sz w:val="24"/>
          <w:szCs w:val="24"/>
        </w:rPr>
        <w:t>The Boston Tea Party’</w:t>
      </w:r>
      <w:r w:rsidRPr="00344013">
        <w:rPr>
          <w:sz w:val="24"/>
          <w:szCs w:val="24"/>
        </w:rPr>
        <w:t xml:space="preserve"> have many elements in common. They all show ships, tea crates, Boston Harbour, spectators, Boston buildings in the background, and Indian dress.</w:t>
      </w:r>
    </w:p>
    <w:p w14:paraId="34F62324" w14:textId="77777777" w:rsidR="00344013" w:rsidRPr="00344013" w:rsidRDefault="00344013" w:rsidP="00344013">
      <w:pPr>
        <w:spacing w:line="360" w:lineRule="auto"/>
        <w:rPr>
          <w:sz w:val="24"/>
          <w:szCs w:val="24"/>
        </w:rPr>
      </w:pPr>
    </w:p>
    <w:p w14:paraId="61AEFA30" w14:textId="77777777" w:rsidR="00344013" w:rsidRPr="00344013" w:rsidRDefault="00344013" w:rsidP="00344013">
      <w:pPr>
        <w:spacing w:line="360" w:lineRule="auto"/>
        <w:rPr>
          <w:i/>
          <w:iCs/>
          <w:sz w:val="24"/>
          <w:szCs w:val="24"/>
        </w:rPr>
      </w:pPr>
      <w:r w:rsidRPr="00344013">
        <w:rPr>
          <w:i/>
          <w:iCs/>
          <w:sz w:val="20"/>
          <w:szCs w:val="20"/>
        </w:rPr>
        <w:drawing>
          <wp:anchor distT="0" distB="0" distL="114300" distR="114300" simplePos="0" relativeHeight="251651072" behindDoc="0" locked="0" layoutInCell="1" allowOverlap="1" wp14:anchorId="6DC510B2" wp14:editId="3C1E7287">
            <wp:simplePos x="0" y="0"/>
            <wp:positionH relativeFrom="column">
              <wp:posOffset>0</wp:posOffset>
            </wp:positionH>
            <wp:positionV relativeFrom="paragraph">
              <wp:posOffset>1270</wp:posOffset>
            </wp:positionV>
            <wp:extent cx="3724910" cy="2468880"/>
            <wp:effectExtent l="0" t="0" r="8890" b="7620"/>
            <wp:wrapTopAndBottom/>
            <wp:docPr id="2" name="Picture 2" descr="A group of people on a bo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on a boat&#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24910" cy="2468880"/>
                    </a:xfrm>
                    <a:prstGeom prst="rect">
                      <a:avLst/>
                    </a:prstGeom>
                    <a:noFill/>
                  </pic:spPr>
                </pic:pic>
              </a:graphicData>
            </a:graphic>
            <wp14:sizeRelH relativeFrom="page">
              <wp14:pctWidth>0</wp14:pctWidth>
            </wp14:sizeRelH>
            <wp14:sizeRelV relativeFrom="page">
              <wp14:pctHeight>0</wp14:pctHeight>
            </wp14:sizeRelV>
          </wp:anchor>
        </w:drawing>
      </w:r>
      <w:r w:rsidRPr="00344013">
        <w:rPr>
          <w:sz w:val="20"/>
          <w:szCs w:val="20"/>
        </w:rPr>
        <w:t>Fig 2: Nathaniel Currier, The Destruction of Tea at Boston Harbour, 1846, hand-coloured lithograph, 7 11/16 x 12 ½ inches.</w:t>
      </w:r>
      <w:r w:rsidRPr="00344013">
        <w:rPr>
          <w:sz w:val="20"/>
          <w:szCs w:val="20"/>
          <w:vertAlign w:val="superscript"/>
        </w:rPr>
        <w:t xml:space="preserve"> </w:t>
      </w:r>
      <w:r w:rsidRPr="00344013">
        <w:rPr>
          <w:sz w:val="24"/>
          <w:szCs w:val="24"/>
          <w:vertAlign w:val="superscript"/>
        </w:rPr>
        <w:footnoteReference w:id="20"/>
      </w:r>
    </w:p>
    <w:p w14:paraId="10C0E2AD" w14:textId="77777777" w:rsidR="00344013" w:rsidRPr="00344013" w:rsidRDefault="00344013" w:rsidP="00344013">
      <w:pPr>
        <w:spacing w:line="360" w:lineRule="auto"/>
        <w:rPr>
          <w:i/>
          <w:iCs/>
          <w:sz w:val="24"/>
          <w:szCs w:val="24"/>
        </w:rPr>
      </w:pPr>
    </w:p>
    <w:p w14:paraId="52C4B527" w14:textId="77777777" w:rsidR="00344013" w:rsidRPr="00344013" w:rsidRDefault="00344013" w:rsidP="00344013">
      <w:pPr>
        <w:spacing w:line="360" w:lineRule="auto"/>
        <w:rPr>
          <w:sz w:val="24"/>
          <w:szCs w:val="24"/>
        </w:rPr>
      </w:pPr>
      <w:r w:rsidRPr="00344013">
        <w:rPr>
          <w:sz w:val="24"/>
          <w:szCs w:val="24"/>
        </w:rPr>
        <w:lastRenderedPageBreak/>
        <w:t xml:space="preserve">                                                                    </w:t>
      </w:r>
      <w:r w:rsidRPr="00344013">
        <w:rPr>
          <w:sz w:val="24"/>
          <w:szCs w:val="24"/>
        </w:rPr>
        <w:drawing>
          <wp:anchor distT="0" distB="0" distL="114300" distR="114300" simplePos="0" relativeHeight="251644928" behindDoc="0" locked="0" layoutInCell="1" allowOverlap="1" wp14:anchorId="771C743D" wp14:editId="19A44824">
            <wp:simplePos x="0" y="0"/>
            <wp:positionH relativeFrom="column">
              <wp:posOffset>0</wp:posOffset>
            </wp:positionH>
            <wp:positionV relativeFrom="paragraph">
              <wp:posOffset>276225</wp:posOffset>
            </wp:positionV>
            <wp:extent cx="3700780" cy="3127375"/>
            <wp:effectExtent l="0" t="0" r="0" b="0"/>
            <wp:wrapTopAndBottom/>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00780" cy="3127375"/>
                    </a:xfrm>
                    <a:prstGeom prst="rect">
                      <a:avLst/>
                    </a:prstGeom>
                    <a:noFill/>
                  </pic:spPr>
                </pic:pic>
              </a:graphicData>
            </a:graphic>
            <wp14:sizeRelH relativeFrom="page">
              <wp14:pctWidth>0</wp14:pctWidth>
            </wp14:sizeRelH>
            <wp14:sizeRelV relativeFrom="page">
              <wp14:pctHeight>0</wp14:pctHeight>
            </wp14:sizeRelV>
          </wp:anchor>
        </w:drawing>
      </w:r>
    </w:p>
    <w:p w14:paraId="5F667CBF" w14:textId="77777777" w:rsidR="00344013" w:rsidRPr="00344013" w:rsidRDefault="00344013" w:rsidP="00344013">
      <w:pPr>
        <w:spacing w:line="360" w:lineRule="auto"/>
        <w:rPr>
          <w:sz w:val="24"/>
          <w:szCs w:val="24"/>
        </w:rPr>
      </w:pPr>
      <w:r w:rsidRPr="00344013">
        <w:rPr>
          <w:sz w:val="20"/>
          <w:szCs w:val="20"/>
        </w:rPr>
        <w:t xml:space="preserve">Fig 3: Luis </w:t>
      </w:r>
      <w:proofErr w:type="spellStart"/>
      <w:r w:rsidRPr="00344013">
        <w:rPr>
          <w:sz w:val="20"/>
          <w:szCs w:val="20"/>
        </w:rPr>
        <w:t>Arcas</w:t>
      </w:r>
      <w:proofErr w:type="spellEnd"/>
      <w:r w:rsidRPr="00344013">
        <w:rPr>
          <w:sz w:val="20"/>
          <w:szCs w:val="20"/>
        </w:rPr>
        <w:t xml:space="preserve"> </w:t>
      </w:r>
      <w:proofErr w:type="spellStart"/>
      <w:r w:rsidRPr="00344013">
        <w:rPr>
          <w:sz w:val="20"/>
          <w:szCs w:val="20"/>
        </w:rPr>
        <w:t>Brauner</w:t>
      </w:r>
      <w:proofErr w:type="spellEnd"/>
      <w:r w:rsidRPr="00344013">
        <w:rPr>
          <w:sz w:val="20"/>
          <w:szCs w:val="20"/>
        </w:rPr>
        <w:t xml:space="preserve"> (1934-89), </w:t>
      </w:r>
      <w:r w:rsidRPr="00344013">
        <w:rPr>
          <w:i/>
          <w:iCs/>
          <w:sz w:val="20"/>
          <w:szCs w:val="20"/>
        </w:rPr>
        <w:t>The Boston Tea Party</w:t>
      </w:r>
      <w:r w:rsidRPr="00344013">
        <w:rPr>
          <w:sz w:val="20"/>
          <w:szCs w:val="20"/>
        </w:rPr>
        <w:t>, oil on canvas</w:t>
      </w:r>
      <w:r w:rsidRPr="00344013">
        <w:rPr>
          <w:sz w:val="24"/>
          <w:szCs w:val="24"/>
        </w:rPr>
        <w:t>.</w:t>
      </w:r>
      <w:r w:rsidRPr="00344013">
        <w:rPr>
          <w:sz w:val="24"/>
          <w:szCs w:val="24"/>
          <w:vertAlign w:val="superscript"/>
        </w:rPr>
        <w:footnoteReference w:id="21"/>
      </w:r>
    </w:p>
    <w:p w14:paraId="79CC9495" w14:textId="77777777" w:rsidR="00344013" w:rsidRPr="00344013" w:rsidRDefault="00344013" w:rsidP="00344013">
      <w:pPr>
        <w:spacing w:line="360" w:lineRule="auto"/>
        <w:rPr>
          <w:sz w:val="24"/>
          <w:szCs w:val="24"/>
        </w:rPr>
      </w:pPr>
    </w:p>
    <w:p w14:paraId="386D193B" w14:textId="77777777" w:rsidR="00344013" w:rsidRPr="00344013" w:rsidRDefault="00344013" w:rsidP="00344013">
      <w:pPr>
        <w:spacing w:line="360" w:lineRule="auto"/>
        <w:rPr>
          <w:sz w:val="24"/>
          <w:szCs w:val="24"/>
        </w:rPr>
      </w:pPr>
      <w:r w:rsidRPr="00344013">
        <w:rPr>
          <w:sz w:val="24"/>
          <w:szCs w:val="24"/>
        </w:rPr>
        <w:t xml:space="preserve">Lawrence’s painting only depicts the Indian dress element, with no other features to suggest what this image represents; without the title, it would be impossible to know that this painting depicts the Boston Tea Party. As Christopher </w:t>
      </w:r>
      <w:proofErr w:type="spellStart"/>
      <w:r w:rsidRPr="00344013">
        <w:rPr>
          <w:sz w:val="24"/>
          <w:szCs w:val="24"/>
        </w:rPr>
        <w:t>Capozzola</w:t>
      </w:r>
      <w:proofErr w:type="spellEnd"/>
      <w:r w:rsidRPr="00344013">
        <w:rPr>
          <w:sz w:val="24"/>
          <w:szCs w:val="24"/>
        </w:rPr>
        <w:t xml:space="preserve"> writes of Lawrence’s </w:t>
      </w:r>
      <w:r w:rsidRPr="00344013">
        <w:rPr>
          <w:i/>
          <w:iCs/>
          <w:sz w:val="24"/>
          <w:szCs w:val="24"/>
        </w:rPr>
        <w:t>‘Migration’</w:t>
      </w:r>
      <w:r w:rsidRPr="00344013">
        <w:rPr>
          <w:sz w:val="24"/>
          <w:szCs w:val="24"/>
        </w:rPr>
        <w:t xml:space="preserve"> series, ‘Lawrence’s historical argument requires both the literary narrative of the captions as well as the evocative renderings of the images.’ Lawrence had served in the U.S. Coastguard during World War II and had acted as a combat artist creating approximately forty-eight paintings, most of which are now lost. He also created his </w:t>
      </w:r>
      <w:r w:rsidRPr="00344013">
        <w:rPr>
          <w:i/>
          <w:iCs/>
          <w:sz w:val="24"/>
          <w:szCs w:val="24"/>
        </w:rPr>
        <w:t>Coastguard</w:t>
      </w:r>
      <w:r w:rsidRPr="00344013">
        <w:rPr>
          <w:sz w:val="24"/>
          <w:szCs w:val="24"/>
        </w:rPr>
        <w:t xml:space="preserve"> series, which depicted scenes of life at sea. During his twenty-six-month service, Lawrence would have obtained the skills necessary to create an accurate and varied portrayal of the Boston Tea Party but instead he chose to focus on a single aspect and fabricate a conflict.</w:t>
      </w:r>
      <w:r w:rsidRPr="00344013">
        <w:rPr>
          <w:sz w:val="24"/>
          <w:szCs w:val="24"/>
          <w:vertAlign w:val="superscript"/>
        </w:rPr>
        <w:footnoteReference w:id="22"/>
      </w:r>
      <w:r w:rsidRPr="00344013">
        <w:rPr>
          <w:sz w:val="24"/>
          <w:szCs w:val="24"/>
        </w:rPr>
        <w:t xml:space="preserve"> All this begs the question, why did Lawrence choose to portray only the Indian disguise element of the Boston Tea Party? Lawrence’s painting shows a violent struggle, despite no such clash ever taking place. The Boston Tea Party was a relatively peaceful affair with no fighting or casualties, which raises another question, why did Lawrence choose to depict an altercation </w:t>
      </w:r>
      <w:r w:rsidRPr="00344013">
        <w:rPr>
          <w:sz w:val="24"/>
          <w:szCs w:val="24"/>
        </w:rPr>
        <w:lastRenderedPageBreak/>
        <w:t>which never took place? These two questions are addressed throughout this chapter, with an investigation into the lives of Indians, especially Mohawk Indians, in the decades before the American Revolution.</w:t>
      </w:r>
    </w:p>
    <w:p w14:paraId="4C6DC513" w14:textId="77777777" w:rsidR="00344013" w:rsidRPr="00344013" w:rsidRDefault="00344013" w:rsidP="00344013">
      <w:pPr>
        <w:spacing w:line="360" w:lineRule="auto"/>
        <w:rPr>
          <w:sz w:val="24"/>
          <w:szCs w:val="24"/>
        </w:rPr>
      </w:pPr>
      <w:r w:rsidRPr="00344013">
        <w:rPr>
          <w:sz w:val="24"/>
          <w:szCs w:val="24"/>
        </w:rPr>
        <w:t xml:space="preserve">As the initial panic of the scene subsides, the painting can be viewed objectively, and the skills used by Lawrence to create this work become clearer. First, the composition of the work provides no context. The audience can only see a brawling </w:t>
      </w:r>
      <w:proofErr w:type="gramStart"/>
      <w:r w:rsidRPr="00344013">
        <w:rPr>
          <w:sz w:val="24"/>
          <w:szCs w:val="24"/>
        </w:rPr>
        <w:t>mass</w:t>
      </w:r>
      <w:proofErr w:type="gramEnd"/>
      <w:r w:rsidRPr="00344013">
        <w:rPr>
          <w:sz w:val="24"/>
          <w:szCs w:val="24"/>
        </w:rPr>
        <w:t xml:space="preserve"> and, without context, it is as though the audience is walking into a fight with no idea who is involved, what it is about, or who is to blame. By not providing context, the painting calls on the audience to form an opinion of their own without the benefit of any knowledge, creating a sense of unease. There is no framing in this image, in fact, the two spears act as counter framing devices and, as they cut across and behind the figures, they jar the audience’s eye. With the lack of a focal point and no beginning or end to this image, Lawrence has created a chaotically tense scene, where the audience is seemingly thrown into the chaos. Several forms are obvious such as the hands which are very clearly defined, as are two of the Indian faces, so too are the distinctive feather headdresses and two hammers or hatchets wielded. There is no delicacy in this painting every element is sharp, angular, and brutal; even the feathers are sharp and weapon-like. This image is bright; the intense reds found in one of the cloaks and the deep blue background create a rich and enveloping atmosphere. The deep blue in the top left of the painting echoes in the blue highlights of the green cloak in the bottom right corner. This use of colour serves to constrict the fighting men, as though they are in a cramped space, creating an increased sense of tension. The reds, blacks, and blues of the cloaks repeat in the feather headdresses. A brown cloak fills the middle of the image, the fighting hands and faces surround it; I would interpret this brown cloak as a symbol of contested land over which the Indians and Euro-Americans are in a constant state of battle. </w:t>
      </w:r>
    </w:p>
    <w:p w14:paraId="2A2E3F2C" w14:textId="77777777" w:rsidR="00344013" w:rsidRPr="00344013" w:rsidRDefault="00344013" w:rsidP="00344013">
      <w:pPr>
        <w:spacing w:line="360" w:lineRule="auto"/>
        <w:rPr>
          <w:sz w:val="24"/>
          <w:szCs w:val="24"/>
          <w:u w:val="single"/>
        </w:rPr>
      </w:pPr>
    </w:p>
    <w:p w14:paraId="4B3A4995" w14:textId="77777777" w:rsidR="00344013" w:rsidRPr="00344013" w:rsidRDefault="00344013" w:rsidP="00344013">
      <w:pPr>
        <w:spacing w:line="360" w:lineRule="auto"/>
        <w:rPr>
          <w:sz w:val="24"/>
          <w:szCs w:val="24"/>
          <w:u w:val="single"/>
        </w:rPr>
      </w:pPr>
      <w:r w:rsidRPr="00344013">
        <w:rPr>
          <w:sz w:val="24"/>
          <w:szCs w:val="24"/>
          <w:u w:val="single"/>
        </w:rPr>
        <w:br w:type="page"/>
      </w:r>
    </w:p>
    <w:p w14:paraId="1625C7BA" w14:textId="77777777" w:rsidR="00344013" w:rsidRPr="00344013" w:rsidRDefault="00344013" w:rsidP="00344013">
      <w:pPr>
        <w:spacing w:line="360" w:lineRule="auto"/>
        <w:rPr>
          <w:sz w:val="24"/>
          <w:szCs w:val="24"/>
          <w:u w:val="single"/>
        </w:rPr>
      </w:pPr>
      <w:r w:rsidRPr="00344013">
        <w:rPr>
          <w:sz w:val="24"/>
          <w:szCs w:val="24"/>
          <w:u w:val="single"/>
        </w:rPr>
        <w:lastRenderedPageBreak/>
        <w:t>Boston Mobs in Indian Dress</w:t>
      </w:r>
    </w:p>
    <w:p w14:paraId="426BE1F1" w14:textId="77777777" w:rsidR="00344013" w:rsidRPr="00344013" w:rsidRDefault="00344013" w:rsidP="00344013">
      <w:pPr>
        <w:spacing w:line="360" w:lineRule="auto"/>
        <w:rPr>
          <w:sz w:val="24"/>
          <w:szCs w:val="24"/>
          <w:u w:val="single"/>
        </w:rPr>
      </w:pPr>
    </w:p>
    <w:p w14:paraId="3FC7BD4E" w14:textId="77777777" w:rsidR="00344013" w:rsidRPr="00344013" w:rsidRDefault="00344013" w:rsidP="00344013">
      <w:pPr>
        <w:spacing w:line="360" w:lineRule="auto"/>
        <w:rPr>
          <w:sz w:val="24"/>
          <w:szCs w:val="24"/>
        </w:rPr>
      </w:pPr>
      <w:r w:rsidRPr="00344013">
        <w:rPr>
          <w:sz w:val="24"/>
          <w:szCs w:val="24"/>
        </w:rPr>
        <w:t xml:space="preserve"> To answer the question of why Lawrence only focussed on the Indian disguise element, it is necessary to understand why the tea partiers chose to disguise themselves as Indians. The Boston Tea Party was not unique when it came to colonists adopting Indian dress or disguise. Many frontier colonists adopted Indian dress and were proud of it; however, Boston could not be described as a frontier town by the 1700s.</w:t>
      </w:r>
      <w:r w:rsidRPr="00344013">
        <w:rPr>
          <w:sz w:val="24"/>
          <w:szCs w:val="24"/>
          <w:vertAlign w:val="superscript"/>
        </w:rPr>
        <w:footnoteReference w:id="23"/>
      </w:r>
      <w:r w:rsidRPr="00344013">
        <w:rPr>
          <w:sz w:val="24"/>
          <w:szCs w:val="24"/>
        </w:rPr>
        <w:t xml:space="preserve"> As the revolutionary fervour continued to grow in the colonies, many loyalists were evicted from their property and sought refuge with Indian tribes. These refugees adopted Indian dress and customs and fought the rebels alongside their Indian hosts. It is unlikely that the tea partiers dressed as Mohawks to try to shift blame onto the loyalists as the knowledge of loyalists joining Indian tribes would have been scarce at that point.</w:t>
      </w:r>
      <w:r w:rsidRPr="00344013">
        <w:rPr>
          <w:sz w:val="24"/>
          <w:szCs w:val="24"/>
          <w:vertAlign w:val="superscript"/>
        </w:rPr>
        <w:footnoteReference w:id="24"/>
      </w:r>
      <w:r w:rsidRPr="00344013">
        <w:rPr>
          <w:sz w:val="24"/>
          <w:szCs w:val="24"/>
        </w:rPr>
        <w:t xml:space="preserve"> A more likely explanation is alluded to in the letters of loyalist Ann </w:t>
      </w:r>
      <w:proofErr w:type="spellStart"/>
      <w:r w:rsidRPr="00344013">
        <w:rPr>
          <w:sz w:val="24"/>
          <w:szCs w:val="24"/>
        </w:rPr>
        <w:t>Hulton</w:t>
      </w:r>
      <w:proofErr w:type="spellEnd"/>
      <w:r w:rsidRPr="00344013">
        <w:rPr>
          <w:sz w:val="24"/>
          <w:szCs w:val="24"/>
        </w:rPr>
        <w:t>, in which she described a mob attack on the home of hated Massachusetts Governor, Thomas Hutchinson. Ann wrote, ‘They have produced above twenty witnesses that prove they met upon the road from Boston toward my brother’s house, parties of men who appeared disguised, their faces blacked, with white nightcaps, and all with great clubs in their hands. One of them asked the way to Mr. Hutchinson’s’ house’. Ann then wrote, ‘I can tell you that the persons who were thus active to bring the dark deed to light, were immediately stopped and silenced, being given to understand that if they made any further stir about the matter, they might expect to be treated in the same manner as Mr. Hutchinson’.</w:t>
      </w:r>
      <w:r w:rsidRPr="00344013">
        <w:rPr>
          <w:sz w:val="24"/>
          <w:szCs w:val="24"/>
          <w:vertAlign w:val="superscript"/>
        </w:rPr>
        <w:footnoteReference w:id="25"/>
      </w:r>
      <w:r w:rsidRPr="00344013">
        <w:rPr>
          <w:sz w:val="24"/>
          <w:szCs w:val="24"/>
        </w:rPr>
        <w:t xml:space="preserve"> This was a common enough occurrence in 18</w:t>
      </w:r>
      <w:r w:rsidRPr="00344013">
        <w:rPr>
          <w:sz w:val="24"/>
          <w:szCs w:val="24"/>
          <w:vertAlign w:val="superscript"/>
        </w:rPr>
        <w:t>th</w:t>
      </w:r>
      <w:r w:rsidRPr="00344013">
        <w:rPr>
          <w:sz w:val="24"/>
          <w:szCs w:val="24"/>
        </w:rPr>
        <w:t xml:space="preserve"> century Boston; mobs terrorised anyone with whom they disagreed, and by being disguised as black or Indian they afforded themselves a degree of anonymity. Although their disguises were often insufficient to disguise their real identities, they provided an excuse for witnesses to claim that they could not recognise who any mob participants really were when questioned by authorities. </w:t>
      </w:r>
    </w:p>
    <w:p w14:paraId="6CB6429C" w14:textId="77777777" w:rsidR="00344013" w:rsidRPr="00344013" w:rsidRDefault="00344013" w:rsidP="00344013">
      <w:pPr>
        <w:spacing w:line="360" w:lineRule="auto"/>
        <w:rPr>
          <w:sz w:val="24"/>
          <w:szCs w:val="24"/>
        </w:rPr>
      </w:pPr>
      <w:r w:rsidRPr="00344013">
        <w:rPr>
          <w:sz w:val="24"/>
          <w:szCs w:val="24"/>
        </w:rPr>
        <w:lastRenderedPageBreak/>
        <w:t>Lawrence’s decision to focus on the Native American dress worn by some of the perpetrators of the Boston Tea Party was to highlight the contemporary historiography available to him. As Ethan A. Schmidt writes, many historians have relegated Indians to a tertiary position in the American Revolutionary era likening their input to that of the stamp act.</w:t>
      </w:r>
      <w:r w:rsidRPr="00344013">
        <w:rPr>
          <w:sz w:val="24"/>
          <w:szCs w:val="24"/>
          <w:vertAlign w:val="superscript"/>
        </w:rPr>
        <w:footnoteReference w:id="26"/>
      </w:r>
      <w:r w:rsidRPr="00344013">
        <w:rPr>
          <w:sz w:val="24"/>
          <w:szCs w:val="24"/>
        </w:rPr>
        <w:t xml:space="preserve"> In the 1950’s the idea that any contribution made by Indians to the revolutionary fervour was as inanimate onlookers. Along with women, children, and African Americans they were portrayed as props in the scenery while the main stage was occupied by white male Europeans. Lawrence’s work subverts this notion, he makes Indians both the focus of his painting by putting stereotypical Indian dress front and centre of the image and highlights how they were relegated to the periphery of the historical record with his title indicating that these were white people in Indian dress. Lawrence’s painting draws attention to the fact that Native peoples were only discussed through the lens of the actions of white colonists.</w:t>
      </w:r>
    </w:p>
    <w:p w14:paraId="27263C61" w14:textId="77777777" w:rsidR="00344013" w:rsidRPr="00344013" w:rsidRDefault="00344013" w:rsidP="00344013">
      <w:pPr>
        <w:spacing w:line="360" w:lineRule="auto"/>
        <w:rPr>
          <w:sz w:val="24"/>
          <w:szCs w:val="24"/>
        </w:rPr>
      </w:pPr>
    </w:p>
    <w:p w14:paraId="00E729B0" w14:textId="77777777" w:rsidR="00344013" w:rsidRPr="00344013" w:rsidRDefault="00344013" w:rsidP="00344013">
      <w:pPr>
        <w:spacing w:line="360" w:lineRule="auto"/>
        <w:rPr>
          <w:sz w:val="24"/>
          <w:szCs w:val="24"/>
          <w:u w:val="single"/>
        </w:rPr>
      </w:pPr>
      <w:r w:rsidRPr="00344013">
        <w:rPr>
          <w:sz w:val="24"/>
          <w:szCs w:val="24"/>
          <w:u w:val="single"/>
        </w:rPr>
        <w:t>Amalgamation of Cultures</w:t>
      </w:r>
    </w:p>
    <w:p w14:paraId="3F36ED40" w14:textId="77777777" w:rsidR="00344013" w:rsidRPr="00344013" w:rsidRDefault="00344013" w:rsidP="00344013">
      <w:pPr>
        <w:spacing w:line="360" w:lineRule="auto"/>
        <w:rPr>
          <w:sz w:val="24"/>
          <w:szCs w:val="24"/>
          <w:u w:val="single"/>
        </w:rPr>
      </w:pPr>
    </w:p>
    <w:p w14:paraId="39387F73" w14:textId="77777777" w:rsidR="00344013" w:rsidRPr="00344013" w:rsidRDefault="00344013" w:rsidP="00344013">
      <w:pPr>
        <w:spacing w:line="360" w:lineRule="auto"/>
        <w:rPr>
          <w:sz w:val="24"/>
          <w:szCs w:val="24"/>
        </w:rPr>
      </w:pPr>
      <w:r w:rsidRPr="00344013">
        <w:rPr>
          <w:sz w:val="24"/>
          <w:szCs w:val="24"/>
        </w:rPr>
        <w:t xml:space="preserve">The feather headdresses and red skin indicate that this painting is of Indians despite there being no Indian participants in the Boston Tea Party. The three Indian style figures are locked in a struggle with two non-Indian figures, the irregular circular pattern suggests it is a perpetual struggle. There is no perspective in this painting, with the lack of orthogonal lines and a vanishing point adding to the chaos of the image. The positioning of the faces makes it impossible for an audience to understand where the viewpoint of this painting is. All the faces are looking in different directions, with one looking directly out of the image. Are we, the audience, viewing this scene from above, below, straight ahead? This mass of figures fills most of the painting with only a strip of vibrant blue running along the top and down the left side of the painting. There is a difficulty in trying to understand form in this image; the figures are intertwined and indistinguishable from each other. Even with Lawrence’s signature blocking of colour, that here, defines the cloaks, it is impossible to ascertain which </w:t>
      </w:r>
      <w:r w:rsidRPr="00344013">
        <w:rPr>
          <w:sz w:val="24"/>
          <w:szCs w:val="24"/>
        </w:rPr>
        <w:lastRenderedPageBreak/>
        <w:t>head belongs to which cloaked body. They are an entangled mass. Lawrence has managed to create this sense of amalgamation even though his colour blocking technique creates distinction. Lawrence has used clearly defined lines between the cloaks, spears, and arms to form, counterintuitively, a homogonous mass.</w:t>
      </w:r>
    </w:p>
    <w:p w14:paraId="477E43DB" w14:textId="77777777" w:rsidR="00344013" w:rsidRPr="00344013" w:rsidRDefault="00344013" w:rsidP="00344013">
      <w:pPr>
        <w:spacing w:line="360" w:lineRule="auto"/>
        <w:rPr>
          <w:sz w:val="24"/>
          <w:szCs w:val="24"/>
        </w:rPr>
      </w:pPr>
      <w:r w:rsidRPr="00344013">
        <w:rPr>
          <w:sz w:val="24"/>
          <w:szCs w:val="24"/>
        </w:rPr>
        <w:t xml:space="preserve"> This amalgamation of forms is representative of the fusion of cultures that had taken place by the 18</w:t>
      </w:r>
      <w:r w:rsidRPr="00344013">
        <w:rPr>
          <w:sz w:val="24"/>
          <w:szCs w:val="24"/>
          <w:vertAlign w:val="superscript"/>
        </w:rPr>
        <w:t>th</w:t>
      </w:r>
      <w:r w:rsidRPr="00344013">
        <w:rPr>
          <w:sz w:val="24"/>
          <w:szCs w:val="24"/>
        </w:rPr>
        <w:t xml:space="preserve"> century. An understanding of Mohawk and Colonial historical relations is required to make sense of the amalgamation of forms in this painting. Indians and Europeans had been directly or indirectly in contact for two centuries. The Indians of the 18</w:t>
      </w:r>
      <w:r w:rsidRPr="00344013">
        <w:rPr>
          <w:sz w:val="24"/>
          <w:szCs w:val="24"/>
          <w:vertAlign w:val="superscript"/>
        </w:rPr>
        <w:t>th</w:t>
      </w:r>
      <w:r w:rsidRPr="00344013">
        <w:rPr>
          <w:sz w:val="24"/>
          <w:szCs w:val="24"/>
        </w:rPr>
        <w:t xml:space="preserve"> century were already profoundly affected by multiple generations of European contact; theirs was not an untainted view of traditional Indian life for that had been lost already. These were traumatised people living through one of the worst genocides ever committed and desperately trying to find a foothold in a world which, once had been exclusively theirs, was now disappearing before their very eyes. The Iroquois nation in the eighteenth century consisted of six tribes the Onondaga, Cayuga, Seneca, Tuscarora, Oneida, and the Mohawks. Due to their eastern position within the nation, the Mohawks were called the ‘keepers of the eastern door of the lodge’.</w:t>
      </w:r>
      <w:r w:rsidRPr="00344013">
        <w:rPr>
          <w:sz w:val="24"/>
          <w:szCs w:val="24"/>
          <w:vertAlign w:val="superscript"/>
        </w:rPr>
        <w:footnoteReference w:id="27"/>
      </w:r>
      <w:r w:rsidRPr="00344013">
        <w:rPr>
          <w:sz w:val="24"/>
          <w:szCs w:val="24"/>
        </w:rPr>
        <w:t xml:space="preserve"> This eastern position brought the Mohawks into close contact with European colonists, the Mohawks shared their valley with Germans, Dutch, Scots, Irish, and English people. This close contact exposed them to disease and deprived them of land faster than the other member tribes.</w:t>
      </w:r>
      <w:r w:rsidRPr="00344013">
        <w:rPr>
          <w:sz w:val="24"/>
          <w:szCs w:val="24"/>
          <w:vertAlign w:val="superscript"/>
        </w:rPr>
        <w:footnoteReference w:id="28"/>
      </w:r>
      <w:r w:rsidRPr="00344013">
        <w:rPr>
          <w:sz w:val="24"/>
          <w:szCs w:val="24"/>
        </w:rPr>
        <w:t xml:space="preserve"> The Mohawk’s connection to the colonists also secured increased access to European goods, trade opportunities, and Christianity. These are just several of the factors that influenced the decisions made by the Mohawks before and during the Revolutionary period.</w:t>
      </w:r>
    </w:p>
    <w:p w14:paraId="51FE03AC" w14:textId="77777777" w:rsidR="00344013" w:rsidRPr="00344013" w:rsidRDefault="00344013" w:rsidP="00344013">
      <w:pPr>
        <w:spacing w:line="360" w:lineRule="auto"/>
        <w:rPr>
          <w:sz w:val="24"/>
          <w:szCs w:val="24"/>
          <w:u w:val="single"/>
        </w:rPr>
      </w:pPr>
    </w:p>
    <w:p w14:paraId="18DFB288" w14:textId="77777777" w:rsidR="00344013" w:rsidRPr="00344013" w:rsidRDefault="00344013" w:rsidP="00344013">
      <w:pPr>
        <w:spacing w:line="360" w:lineRule="auto"/>
        <w:rPr>
          <w:sz w:val="24"/>
          <w:szCs w:val="24"/>
          <w:u w:val="single"/>
        </w:rPr>
      </w:pPr>
      <w:r w:rsidRPr="00344013">
        <w:rPr>
          <w:sz w:val="24"/>
          <w:szCs w:val="24"/>
          <w:u w:val="single"/>
        </w:rPr>
        <w:br w:type="page"/>
      </w:r>
    </w:p>
    <w:p w14:paraId="58D0C51A" w14:textId="77777777" w:rsidR="00344013" w:rsidRPr="00344013" w:rsidRDefault="00344013" w:rsidP="00344013">
      <w:pPr>
        <w:spacing w:line="360" w:lineRule="auto"/>
        <w:rPr>
          <w:sz w:val="24"/>
          <w:szCs w:val="24"/>
          <w:u w:val="single"/>
        </w:rPr>
      </w:pPr>
      <w:r w:rsidRPr="00344013">
        <w:rPr>
          <w:sz w:val="24"/>
          <w:szCs w:val="24"/>
          <w:u w:val="single"/>
        </w:rPr>
        <w:lastRenderedPageBreak/>
        <w:t>Wampum</w:t>
      </w:r>
    </w:p>
    <w:p w14:paraId="5C264B0A" w14:textId="77777777" w:rsidR="00344013" w:rsidRPr="00344013" w:rsidRDefault="00344013" w:rsidP="00344013">
      <w:pPr>
        <w:spacing w:line="360" w:lineRule="auto"/>
        <w:rPr>
          <w:sz w:val="24"/>
          <w:szCs w:val="24"/>
          <w:u w:val="single"/>
        </w:rPr>
      </w:pPr>
    </w:p>
    <w:p w14:paraId="44199B3F" w14:textId="77777777" w:rsidR="00344013" w:rsidRPr="00344013" w:rsidRDefault="00344013" w:rsidP="00344013">
      <w:pPr>
        <w:spacing w:line="360" w:lineRule="auto"/>
        <w:rPr>
          <w:sz w:val="24"/>
          <w:szCs w:val="24"/>
        </w:rPr>
      </w:pPr>
      <w:r w:rsidRPr="00344013">
        <w:rPr>
          <w:sz w:val="24"/>
          <w:szCs w:val="24"/>
        </w:rPr>
        <w:t xml:space="preserve"> The use of wampum provides one of the most fascinating and tangible insights into the cultural turmoil that emanated from the European incursions into the Americas. First, it is necessary to understand the evolution of wampum and what it represented during the revolutionary era. Wampum is the English term for the Indian </w:t>
      </w:r>
      <w:r w:rsidRPr="00344013">
        <w:rPr>
          <w:i/>
          <w:iCs/>
          <w:sz w:val="24"/>
          <w:szCs w:val="24"/>
        </w:rPr>
        <w:t xml:space="preserve">wampumpeag </w:t>
      </w:r>
      <w:r w:rsidRPr="00344013">
        <w:rPr>
          <w:sz w:val="24"/>
          <w:szCs w:val="24"/>
        </w:rPr>
        <w:t xml:space="preserve">or Dutch </w:t>
      </w:r>
      <w:proofErr w:type="spellStart"/>
      <w:r w:rsidRPr="00344013">
        <w:rPr>
          <w:i/>
          <w:iCs/>
          <w:sz w:val="24"/>
          <w:szCs w:val="24"/>
        </w:rPr>
        <w:t>zeewant</w:t>
      </w:r>
      <w:proofErr w:type="spellEnd"/>
      <w:r w:rsidRPr="00344013">
        <w:rPr>
          <w:sz w:val="24"/>
          <w:szCs w:val="24"/>
        </w:rPr>
        <w:t xml:space="preserve">. Wampum consists of tubular beads made from quahog and </w:t>
      </w:r>
      <w:r w:rsidRPr="00344013">
        <w:rPr>
          <w:i/>
          <w:iCs/>
          <w:sz w:val="24"/>
          <w:szCs w:val="24"/>
        </w:rPr>
        <w:t>Busycon</w:t>
      </w:r>
      <w:r w:rsidRPr="00344013">
        <w:rPr>
          <w:sz w:val="24"/>
          <w:szCs w:val="24"/>
        </w:rPr>
        <w:t xml:space="preserve"> shells found along the eastern coast of North America. The earliest written record of wampum is from the 1620s when a Dutch trader held an Indian person hostage and demanded ‘140 fathoms of </w:t>
      </w:r>
      <w:proofErr w:type="spellStart"/>
      <w:r w:rsidRPr="00344013">
        <w:rPr>
          <w:i/>
          <w:iCs/>
          <w:sz w:val="24"/>
          <w:szCs w:val="24"/>
        </w:rPr>
        <w:t>zeewan</w:t>
      </w:r>
      <w:proofErr w:type="spellEnd"/>
      <w:r w:rsidRPr="00344013">
        <w:rPr>
          <w:sz w:val="24"/>
          <w:szCs w:val="24"/>
        </w:rPr>
        <w:t>’ in exchange for the life of his hostage.</w:t>
      </w:r>
      <w:r w:rsidRPr="00344013">
        <w:rPr>
          <w:sz w:val="24"/>
          <w:szCs w:val="24"/>
          <w:vertAlign w:val="superscript"/>
        </w:rPr>
        <w:footnoteReference w:id="29"/>
      </w:r>
      <w:r w:rsidRPr="00344013">
        <w:rPr>
          <w:sz w:val="24"/>
          <w:szCs w:val="24"/>
        </w:rPr>
        <w:t xml:space="preserve"> Indians had used quahog and </w:t>
      </w:r>
      <w:r w:rsidRPr="00344013">
        <w:rPr>
          <w:i/>
          <w:iCs/>
          <w:sz w:val="24"/>
          <w:szCs w:val="24"/>
        </w:rPr>
        <w:t>Busycon</w:t>
      </w:r>
      <w:r w:rsidRPr="00344013">
        <w:rPr>
          <w:sz w:val="24"/>
          <w:szCs w:val="24"/>
        </w:rPr>
        <w:t xml:space="preserve"> shells for centuries in various ways, however, there exists little archaeological evidence of wampum bead production before the arrival of Europeans.</w:t>
      </w:r>
      <w:r w:rsidRPr="00344013">
        <w:rPr>
          <w:sz w:val="24"/>
          <w:szCs w:val="24"/>
          <w:vertAlign w:val="superscript"/>
        </w:rPr>
        <w:footnoteReference w:id="30"/>
      </w:r>
      <w:r w:rsidRPr="00344013">
        <w:rPr>
          <w:sz w:val="24"/>
          <w:szCs w:val="24"/>
        </w:rPr>
        <w:t xml:space="preserve"> It is only due to European trade in iron drills that wampum beads could start being mass-produced to a standardised, fine quality.</w:t>
      </w:r>
      <w:r w:rsidRPr="00344013">
        <w:rPr>
          <w:sz w:val="24"/>
          <w:szCs w:val="24"/>
          <w:vertAlign w:val="superscript"/>
        </w:rPr>
        <w:footnoteReference w:id="31"/>
      </w:r>
      <w:r w:rsidRPr="00344013">
        <w:rPr>
          <w:sz w:val="24"/>
          <w:szCs w:val="24"/>
        </w:rPr>
        <w:t xml:space="preserve"> Wampum shells began being made into tubular beads in response to the tubular glass beads introduced by the French in the early 17</w:t>
      </w:r>
      <w:r w:rsidRPr="00344013">
        <w:rPr>
          <w:sz w:val="24"/>
          <w:szCs w:val="24"/>
          <w:vertAlign w:val="superscript"/>
        </w:rPr>
        <w:t>th</w:t>
      </w:r>
      <w:r w:rsidRPr="00344013">
        <w:rPr>
          <w:sz w:val="24"/>
          <w:szCs w:val="24"/>
        </w:rPr>
        <w:t xml:space="preserve"> century.</w:t>
      </w:r>
      <w:r w:rsidRPr="00344013">
        <w:rPr>
          <w:sz w:val="24"/>
          <w:szCs w:val="24"/>
          <w:vertAlign w:val="superscript"/>
        </w:rPr>
        <w:footnoteReference w:id="32"/>
      </w:r>
      <w:r w:rsidRPr="00344013">
        <w:rPr>
          <w:sz w:val="24"/>
          <w:szCs w:val="24"/>
        </w:rPr>
        <w:t xml:space="preserve"> Wampum had several functions; it was used as currency and decoration but most importantly, was its use for making wampum belts. There were several types of belts, the smaller garter-type belts were often broken apart and the beads were re-used. The large diplomatic belts were an integral element of diplomatic relations between tribes and between Indians and Europeans. These diplomatic belts were intended to be preserved, and although smaller belts could contain beads made from glass or metal the large belts were pure shell. The diplomatic belts served as a record of an agreement and as a pledge; when Indians presented a wampum belt during a diplomatic meeting, it signified that they viewed the contract as binding. The belts could then be referred to and read by Indian professionals who knew how to interpret their meaning.</w:t>
      </w:r>
      <w:r w:rsidRPr="00344013">
        <w:rPr>
          <w:sz w:val="24"/>
          <w:szCs w:val="24"/>
          <w:vertAlign w:val="superscript"/>
        </w:rPr>
        <w:footnoteReference w:id="33"/>
      </w:r>
      <w:r w:rsidRPr="00344013">
        <w:rPr>
          <w:sz w:val="24"/>
          <w:szCs w:val="24"/>
        </w:rPr>
        <w:t xml:space="preserve"> Wampum proved a largely successful method of communication and, for a short time, currency. Both Indians and Europeans were </w:t>
      </w:r>
      <w:r w:rsidRPr="00344013">
        <w:rPr>
          <w:sz w:val="24"/>
          <w:szCs w:val="24"/>
        </w:rPr>
        <w:lastRenderedPageBreak/>
        <w:t xml:space="preserve">involved in its invention and manufacture with neither group completely controlling the production or distribution of wampum. The sheer scale of wampum production is extraordinary; archaeologists collected a quarter of a million beads from just the Seneca </w:t>
      </w:r>
      <w:proofErr w:type="gramStart"/>
      <w:r w:rsidRPr="00344013">
        <w:rPr>
          <w:sz w:val="24"/>
          <w:szCs w:val="24"/>
        </w:rPr>
        <w:t>Power House</w:t>
      </w:r>
      <w:proofErr w:type="gramEnd"/>
      <w:r w:rsidRPr="00344013">
        <w:rPr>
          <w:sz w:val="24"/>
          <w:szCs w:val="24"/>
        </w:rPr>
        <w:t xml:space="preserve"> site alone.</w:t>
      </w:r>
      <w:r w:rsidRPr="00344013">
        <w:rPr>
          <w:sz w:val="24"/>
          <w:szCs w:val="24"/>
          <w:vertAlign w:val="superscript"/>
        </w:rPr>
        <w:footnoteReference w:id="34"/>
      </w:r>
      <w:r w:rsidRPr="00344013">
        <w:rPr>
          <w:sz w:val="24"/>
          <w:szCs w:val="24"/>
        </w:rPr>
        <w:t xml:space="preserve"> </w:t>
      </w:r>
    </w:p>
    <w:p w14:paraId="256586D9" w14:textId="77777777" w:rsidR="00344013" w:rsidRPr="00344013" w:rsidRDefault="00344013" w:rsidP="00344013">
      <w:pPr>
        <w:spacing w:line="360" w:lineRule="auto"/>
        <w:rPr>
          <w:sz w:val="24"/>
          <w:szCs w:val="24"/>
        </w:rPr>
      </w:pPr>
      <w:r w:rsidRPr="00344013">
        <w:rPr>
          <w:sz w:val="24"/>
          <w:szCs w:val="24"/>
        </w:rPr>
        <w:t>For two hundred years, wampum was a unique tool used by two very different cultures to bridge a communication gap, it evolved organically from technology and cultural practices provided by both sides and proved itself invaluable. It is difficult for a society with a tradition of writing to fully understand the meaning of wampum, the oral tradition that went along with it was robust and only failed due to the ravages of war and disease brought on by the Europeans. By the late 18</w:t>
      </w:r>
      <w:r w:rsidRPr="00344013">
        <w:rPr>
          <w:sz w:val="24"/>
          <w:szCs w:val="24"/>
          <w:vertAlign w:val="superscript"/>
        </w:rPr>
        <w:t>th</w:t>
      </w:r>
      <w:r w:rsidRPr="00344013">
        <w:rPr>
          <w:sz w:val="24"/>
          <w:szCs w:val="24"/>
        </w:rPr>
        <w:t xml:space="preserve"> century, most wampum belts had lost their meanings; however, there is one treaty made using a wampum belt in 1794 that the U.S. government still honours.</w:t>
      </w:r>
      <w:r w:rsidRPr="00344013">
        <w:rPr>
          <w:sz w:val="24"/>
          <w:szCs w:val="24"/>
          <w:vertAlign w:val="superscript"/>
        </w:rPr>
        <w:footnoteReference w:id="35"/>
      </w:r>
      <w:r w:rsidRPr="00344013">
        <w:rPr>
          <w:sz w:val="24"/>
          <w:szCs w:val="24"/>
        </w:rPr>
        <w:t xml:space="preserve"> As Europeans saw it as necessary to learn how to use wampum in their dealings with Indians; this understanding was reciprocal as Indians too understood the importance that Europeans placed on the written word. As with the Treaty of Fort Stanwix in 1784, they were frustrated in trying to obtain a written copy of the agreement. This shows that wampum, although an important diplomatic tool for two centuries, never fully succeeded in bridging the communication gap between Indians and Europeans.</w:t>
      </w:r>
      <w:r w:rsidRPr="00344013">
        <w:rPr>
          <w:sz w:val="24"/>
          <w:szCs w:val="24"/>
          <w:vertAlign w:val="superscript"/>
        </w:rPr>
        <w:footnoteReference w:id="36"/>
      </w:r>
    </w:p>
    <w:p w14:paraId="42F2E6D5" w14:textId="77777777" w:rsidR="00344013" w:rsidRPr="00344013" w:rsidRDefault="00344013" w:rsidP="00344013">
      <w:pPr>
        <w:spacing w:line="360" w:lineRule="auto"/>
        <w:rPr>
          <w:sz w:val="24"/>
          <w:szCs w:val="24"/>
          <w:u w:val="single"/>
        </w:rPr>
      </w:pPr>
    </w:p>
    <w:p w14:paraId="7B8E5576" w14:textId="77777777" w:rsidR="00344013" w:rsidRPr="00344013" w:rsidRDefault="00344013" w:rsidP="00344013">
      <w:pPr>
        <w:spacing w:line="360" w:lineRule="auto"/>
        <w:rPr>
          <w:sz w:val="24"/>
          <w:szCs w:val="24"/>
          <w:u w:val="single"/>
        </w:rPr>
      </w:pPr>
      <w:r w:rsidRPr="00344013">
        <w:rPr>
          <w:sz w:val="24"/>
          <w:szCs w:val="24"/>
          <w:u w:val="single"/>
        </w:rPr>
        <w:t>The Iroquois Confederacy and the Covenant Chain Alliance</w:t>
      </w:r>
    </w:p>
    <w:p w14:paraId="1E719923" w14:textId="77777777" w:rsidR="00344013" w:rsidRPr="00344013" w:rsidRDefault="00344013" w:rsidP="00344013">
      <w:pPr>
        <w:spacing w:line="360" w:lineRule="auto"/>
        <w:rPr>
          <w:sz w:val="24"/>
          <w:szCs w:val="24"/>
          <w:u w:val="single"/>
        </w:rPr>
      </w:pPr>
    </w:p>
    <w:p w14:paraId="070CA491" w14:textId="77777777" w:rsidR="00344013" w:rsidRPr="00344013" w:rsidRDefault="00344013" w:rsidP="00344013">
      <w:pPr>
        <w:spacing w:line="360" w:lineRule="auto"/>
        <w:rPr>
          <w:sz w:val="24"/>
          <w:szCs w:val="24"/>
        </w:rPr>
      </w:pPr>
      <w:r w:rsidRPr="00344013">
        <w:rPr>
          <w:sz w:val="24"/>
          <w:szCs w:val="24"/>
        </w:rPr>
        <w:t>The Iroquois were in a geographical position of power which enabled them to play the French and English against one another. The Mohawk valley acted as a conduit for trade, a natural boundary delineating the territories of the Indians to the west, British to the east, and French to the north. The geographical and political position of the Mohawk valley saw it used as a diplomatic instrument; from the late 17</w:t>
      </w:r>
      <w:r w:rsidRPr="00344013">
        <w:rPr>
          <w:sz w:val="24"/>
          <w:szCs w:val="24"/>
          <w:vertAlign w:val="superscript"/>
        </w:rPr>
        <w:t>th</w:t>
      </w:r>
      <w:r w:rsidRPr="00344013">
        <w:rPr>
          <w:sz w:val="24"/>
          <w:szCs w:val="24"/>
        </w:rPr>
        <w:t xml:space="preserve"> century, it was the geographic centre of </w:t>
      </w:r>
      <w:r w:rsidRPr="00344013">
        <w:rPr>
          <w:sz w:val="24"/>
          <w:szCs w:val="24"/>
        </w:rPr>
        <w:lastRenderedPageBreak/>
        <w:t>the Covenant Chain Alliance. This alliance saw the Iroquois connected with Albany in trade and diplomatic relations. The Covenant Chain Alliance was initiated and maintained by a series of conferences at Albany between 1684 – 1726. These conferences consisted of gift-giving ceremonies, the presentation of wampum belts, and the chance for Indians to air any grievances. During these conferences, the British tried to claim the people of the Iroquois Nation as their subjects and the French acknowledged the Iroquois as such from 1713, however, the Iroquois’ stance on the matter is unclear.</w:t>
      </w:r>
      <w:r w:rsidRPr="00344013">
        <w:rPr>
          <w:sz w:val="24"/>
          <w:szCs w:val="24"/>
          <w:vertAlign w:val="superscript"/>
        </w:rPr>
        <w:footnoteReference w:id="37"/>
      </w:r>
      <w:r w:rsidRPr="00344013">
        <w:rPr>
          <w:sz w:val="24"/>
          <w:szCs w:val="24"/>
        </w:rPr>
        <w:t xml:space="preserve"> Even if the Mohawks had considered themselves British subjects, the issues that were to arise would have been unavoidable due to the completely different interpretation that the Mohawks had of the notion of ‘subject’. The British had a patriarchal society, with the king as master of his lands and people. The Mohawks, like most Indians, lived in matriarchal societies. Indian fathers would be more recognisable to a western notion of family as an uncle, a man who would periodically visit children with gifts and lessons. Children were raised by their mothers in property owned by women in societies governed by males and females with distinct but equal roles. The idea that being a British subject meant you owed allegiance to a governing patriarchal figure who commanded obedience was innate to the British but an alien concept to the Mohawks.</w:t>
      </w:r>
      <w:r w:rsidRPr="00344013">
        <w:rPr>
          <w:sz w:val="24"/>
          <w:szCs w:val="24"/>
          <w:vertAlign w:val="superscript"/>
        </w:rPr>
        <w:footnoteReference w:id="38"/>
      </w:r>
      <w:r w:rsidRPr="00344013">
        <w:rPr>
          <w:sz w:val="24"/>
          <w:szCs w:val="24"/>
        </w:rPr>
        <w:t xml:space="preserve"> Contradictory notions of the exact nature of Indian British relations, is seen in the recorded speeches of both Europeans and Indians. The Iroquois would refer to the British as brethren, in return, the Indians were called children; this highlights the divergent ideas of social constructs. The British were operating under the implied notion of a hierarchical lord and vassal connection, whereas the Iroquois viewed their relationship with the British as egalitarian. Ultimately these cultural differences proved complicated to reconcile, and in 1753, a single group of Mohawk Indians declared the Covenant Chain broken. This declaration stirred the British into action, and they called for a congress to be held at Albany in 1754 to address the Mohawk grievances. Either not knowing or caring for the congresses intended purpose, it was usurped by Benjamin Franklin as he tried to push his agenda of increased colonial cooperation. Franklin also declared membership of the British Empire for all white colonists, intentionally excluding Indians and people of African </w:t>
      </w:r>
      <w:r w:rsidRPr="00344013">
        <w:rPr>
          <w:sz w:val="24"/>
          <w:szCs w:val="24"/>
        </w:rPr>
        <w:lastRenderedPageBreak/>
        <w:t>descent. Franklin later declared that the congress had been a failure which led directly to the American Revolution.</w:t>
      </w:r>
      <w:r w:rsidRPr="00344013">
        <w:rPr>
          <w:sz w:val="24"/>
          <w:szCs w:val="24"/>
          <w:vertAlign w:val="superscript"/>
        </w:rPr>
        <w:footnoteReference w:id="39"/>
      </w:r>
      <w:r w:rsidRPr="00344013">
        <w:rPr>
          <w:sz w:val="24"/>
          <w:szCs w:val="24"/>
        </w:rPr>
        <w:t xml:space="preserve">  </w:t>
      </w:r>
    </w:p>
    <w:p w14:paraId="0B1201C8" w14:textId="77777777" w:rsidR="00344013" w:rsidRPr="00344013" w:rsidRDefault="00344013" w:rsidP="00344013">
      <w:pPr>
        <w:spacing w:line="360" w:lineRule="auto"/>
        <w:rPr>
          <w:sz w:val="24"/>
          <w:szCs w:val="24"/>
        </w:rPr>
      </w:pPr>
      <w:r w:rsidRPr="00344013">
        <w:rPr>
          <w:sz w:val="24"/>
          <w:szCs w:val="24"/>
        </w:rPr>
        <w:t xml:space="preserve"> The ability of the Iroquois to play the French and British against one another ended with the Seven Years’ War (1756-1763), after which the French had been driven out of the future United States and Britain became the dominant power in the colonies.</w:t>
      </w:r>
      <w:r w:rsidRPr="00344013">
        <w:rPr>
          <w:sz w:val="24"/>
          <w:szCs w:val="24"/>
          <w:vertAlign w:val="superscript"/>
        </w:rPr>
        <w:footnoteReference w:id="40"/>
      </w:r>
      <w:r w:rsidRPr="00344013">
        <w:rPr>
          <w:sz w:val="24"/>
          <w:szCs w:val="24"/>
        </w:rPr>
        <w:t xml:space="preserve"> As soon as the British had defeated the French, they no longer felt the need to appease the Indians to keep them loyal, they withdrew the gifts traditionally made to the Indians and, British ambassador to the Mohawk, William Johnson, became dictatorial in his behaviour. The behaviour of the British was, in part, responsible for the breakout of Pontiac’s War in 1763. Pontiac and his allies successfully drove out many settlers from their territory. However, the war ended quickly due to British retaliation and smallpox. The war did succeed, however, in changing the Indian relationship with the British. The British restored the gift-giving policies and provided the Indians with firearms, they also realised that it was necessary to avoid another costly war with the Indians. This realisation saw the British government attempt to appease all eastern Indians with the royal proclamation of 1763 that forbade any European settlement west of the Appalachians. Not only did this proclamation fail to fully address the grievances of the Indians it also implied to the colonists that their own king preferred the Indian populace to them. The British inadvertently caused yet another rift in colonial British relations which added to the growing revolutionary fervour in the colonies.</w:t>
      </w:r>
      <w:r w:rsidRPr="00344013">
        <w:rPr>
          <w:sz w:val="24"/>
          <w:szCs w:val="24"/>
          <w:vertAlign w:val="superscript"/>
        </w:rPr>
        <w:footnoteReference w:id="41"/>
      </w:r>
      <w:r w:rsidRPr="00344013">
        <w:rPr>
          <w:sz w:val="24"/>
          <w:szCs w:val="24"/>
        </w:rPr>
        <w:t xml:space="preserve"> </w:t>
      </w:r>
    </w:p>
    <w:p w14:paraId="4CDB047C" w14:textId="77777777" w:rsidR="00344013" w:rsidRPr="00344013" w:rsidRDefault="00344013" w:rsidP="00344013">
      <w:pPr>
        <w:spacing w:line="360" w:lineRule="auto"/>
        <w:rPr>
          <w:sz w:val="24"/>
          <w:szCs w:val="24"/>
        </w:rPr>
      </w:pPr>
      <w:r w:rsidRPr="00344013">
        <w:rPr>
          <w:sz w:val="24"/>
          <w:szCs w:val="24"/>
        </w:rPr>
        <w:t xml:space="preserve">The Mohawks had always remained unerringly loyal to the British and the Mohawk adoption of Christianity solidified their position as the first Indian tribe to be seamlessly integrated into the British Empire; an integration that never took place because of the American War and Declaration of Independence. Mohawk loyalty had been secured largely by the works of William Johnson and his Mohawk counterparts </w:t>
      </w:r>
      <w:proofErr w:type="spellStart"/>
      <w:r w:rsidRPr="00344013">
        <w:rPr>
          <w:i/>
          <w:iCs/>
          <w:sz w:val="24"/>
          <w:szCs w:val="24"/>
        </w:rPr>
        <w:t>Tejonihokarawa</w:t>
      </w:r>
      <w:proofErr w:type="spellEnd"/>
      <w:r w:rsidRPr="00344013">
        <w:rPr>
          <w:sz w:val="24"/>
          <w:szCs w:val="24"/>
        </w:rPr>
        <w:t xml:space="preserve"> and </w:t>
      </w:r>
      <w:proofErr w:type="spellStart"/>
      <w:r w:rsidRPr="00344013">
        <w:rPr>
          <w:i/>
          <w:iCs/>
          <w:sz w:val="24"/>
          <w:szCs w:val="24"/>
        </w:rPr>
        <w:t>Theyanoguin</w:t>
      </w:r>
      <w:proofErr w:type="spellEnd"/>
      <w:r w:rsidRPr="00344013">
        <w:rPr>
          <w:sz w:val="24"/>
          <w:szCs w:val="24"/>
        </w:rPr>
        <w:t xml:space="preserve"> both, confusingly called Hendricks. These two men were integral to British Mohawk relations and were hugely famous in the British press, however, due to them both being called Hendricks they have been consistently amalgamated by historians despite their career paths never </w:t>
      </w:r>
      <w:r w:rsidRPr="00344013">
        <w:rPr>
          <w:sz w:val="24"/>
          <w:szCs w:val="24"/>
        </w:rPr>
        <w:lastRenderedPageBreak/>
        <w:t>having crossed.</w:t>
      </w:r>
      <w:r w:rsidRPr="00344013">
        <w:rPr>
          <w:sz w:val="24"/>
          <w:szCs w:val="24"/>
          <w:vertAlign w:val="superscript"/>
        </w:rPr>
        <w:footnoteReference w:id="42"/>
      </w:r>
      <w:r w:rsidRPr="00344013">
        <w:rPr>
          <w:sz w:val="24"/>
          <w:szCs w:val="24"/>
        </w:rPr>
        <w:t xml:space="preserve"> One thing that both men definitely had in common was their commitment to England, and their bond with William Johnson that dominated the Mohawk political scene and secured their alliance with Britain.</w:t>
      </w:r>
      <w:r w:rsidRPr="00344013">
        <w:rPr>
          <w:sz w:val="24"/>
          <w:szCs w:val="24"/>
          <w:vertAlign w:val="superscript"/>
        </w:rPr>
        <w:footnoteReference w:id="43"/>
      </w:r>
      <w:r w:rsidRPr="00344013">
        <w:rPr>
          <w:sz w:val="24"/>
          <w:szCs w:val="24"/>
        </w:rPr>
        <w:t xml:space="preserve"> This relationship was especially important to Britain as it saw its connection with the Iroquoian Nation as a keystone of its Imperial ambition. As the Mohawks were the ’keepers of the eastern door of the lodge’, the British had a perfectly justifiable reason to believe that their positive relationship with the Mohawks would eventually lead to the entire Iroquoian Nation becoming part of the British Empire.</w:t>
      </w:r>
      <w:r w:rsidRPr="00344013">
        <w:rPr>
          <w:sz w:val="24"/>
          <w:szCs w:val="24"/>
          <w:vertAlign w:val="superscript"/>
        </w:rPr>
        <w:footnoteReference w:id="44"/>
      </w:r>
      <w:r w:rsidRPr="00344013">
        <w:rPr>
          <w:sz w:val="24"/>
          <w:szCs w:val="24"/>
        </w:rPr>
        <w:t xml:space="preserve"> Of course this was not meant to be as the American rebellion grew the Indians had, in a single generation, gone from dealing with the French and English to just the English to then the rebellious colonists and the English. The Mohawk found themselves in a diplomatic minefield as Americans and British vied for their support for the upcoming war. This impossibility of the Indian position, illustrated with the actions of Guy Carlton, who threatened the </w:t>
      </w:r>
      <w:proofErr w:type="spellStart"/>
      <w:r w:rsidRPr="00344013">
        <w:rPr>
          <w:sz w:val="24"/>
          <w:szCs w:val="24"/>
        </w:rPr>
        <w:t>Caughnawagas</w:t>
      </w:r>
      <w:proofErr w:type="spellEnd"/>
      <w:r w:rsidRPr="00344013">
        <w:rPr>
          <w:sz w:val="24"/>
          <w:szCs w:val="24"/>
        </w:rPr>
        <w:t xml:space="preserve"> with the loss of land if they sided with the patriots and Andrew Eliot who, in a letter, stated that the Indians would bring utter ruin upon themselves if they acted against the colonies.</w:t>
      </w:r>
      <w:r w:rsidRPr="00344013">
        <w:rPr>
          <w:sz w:val="24"/>
          <w:szCs w:val="24"/>
          <w:vertAlign w:val="superscript"/>
        </w:rPr>
        <w:footnoteReference w:id="45"/>
      </w:r>
    </w:p>
    <w:p w14:paraId="0947F70C" w14:textId="77777777" w:rsidR="00344013" w:rsidRPr="00344013" w:rsidRDefault="00344013" w:rsidP="00344013">
      <w:pPr>
        <w:spacing w:line="360" w:lineRule="auto"/>
        <w:rPr>
          <w:sz w:val="24"/>
          <w:szCs w:val="24"/>
          <w:u w:val="single"/>
        </w:rPr>
      </w:pPr>
    </w:p>
    <w:p w14:paraId="28DD2D5A" w14:textId="77777777" w:rsidR="00344013" w:rsidRPr="00344013" w:rsidRDefault="00344013" w:rsidP="00344013">
      <w:pPr>
        <w:spacing w:line="360" w:lineRule="auto"/>
        <w:rPr>
          <w:sz w:val="24"/>
          <w:szCs w:val="24"/>
          <w:u w:val="single"/>
        </w:rPr>
      </w:pPr>
      <w:r w:rsidRPr="00344013">
        <w:rPr>
          <w:sz w:val="24"/>
          <w:szCs w:val="24"/>
          <w:u w:val="single"/>
        </w:rPr>
        <w:t>Mohawk War Culture</w:t>
      </w:r>
    </w:p>
    <w:p w14:paraId="48218CB1" w14:textId="77777777" w:rsidR="00344013" w:rsidRPr="00344013" w:rsidRDefault="00344013" w:rsidP="00344013">
      <w:pPr>
        <w:spacing w:line="360" w:lineRule="auto"/>
        <w:rPr>
          <w:sz w:val="24"/>
          <w:szCs w:val="24"/>
          <w:u w:val="single"/>
        </w:rPr>
      </w:pPr>
    </w:p>
    <w:p w14:paraId="4A1F4894" w14:textId="77777777" w:rsidR="00344013" w:rsidRPr="00344013" w:rsidRDefault="00344013" w:rsidP="00344013">
      <w:pPr>
        <w:spacing w:line="360" w:lineRule="auto"/>
        <w:rPr>
          <w:sz w:val="24"/>
          <w:szCs w:val="24"/>
        </w:rPr>
      </w:pPr>
      <w:r w:rsidRPr="00344013">
        <w:rPr>
          <w:sz w:val="24"/>
          <w:szCs w:val="24"/>
        </w:rPr>
        <w:t>By the 18th century, Indian war culture had been permanently changed by the arrival of Europeans. One example of Indian practice, usually mistakenly cited as an illustration of the more peaceful nature of Indians, is when Indian tribes took prisoners either from other tribes or from European colonies. These prisoners were rarely killed and were instead frequently adopted as full members of the tribe, with many Europeans’ refusing to return to their original homes when the opportunity arose.</w:t>
      </w:r>
      <w:r w:rsidRPr="00344013">
        <w:rPr>
          <w:sz w:val="24"/>
          <w:szCs w:val="24"/>
          <w:vertAlign w:val="superscript"/>
        </w:rPr>
        <w:footnoteReference w:id="46"/>
      </w:r>
      <w:r w:rsidRPr="00344013">
        <w:rPr>
          <w:sz w:val="24"/>
          <w:szCs w:val="24"/>
        </w:rPr>
        <w:t xml:space="preserve"> This practice, however, only existed because of the massive population losses suffered by the Indian communities in the wake of the European settlers. War and disease had wiped out millions of Indian lives, and prisoners </w:t>
      </w:r>
      <w:r w:rsidRPr="00344013">
        <w:rPr>
          <w:sz w:val="24"/>
          <w:szCs w:val="24"/>
        </w:rPr>
        <w:lastRenderedPageBreak/>
        <w:t xml:space="preserve">had to be adopted to replenish these numbers. Before European interference, wars between tribes would have seen prisoners tortured, killed, and sometimes eaten. The most conspicuous change to Indian war culture, however, was in the changing relationships between the civil chiefs, called sachems, and warrior chiefs. Although Mohawk society was undoubtedly more egalitarian than British society, several practices existed within both cultures. The Sachems were elected to their office by the Clan Mothers and, were almost exclusively chosen from her kin regardless of whether they were the most suitable person for the position. Men of lowlier birth had to prove themselves in war to rise through the ranks of society. Before the arrival of the Europeans, the balance of power within the tribe had always been weighted in favour of the sachems and clan mothers. Any would-be warrior would have to ask permission to fight with another tribe, the sachems would discuss the proposal, and the final say rested with the clan mother. However, European settlers provided a wealth of new enemies, they also provided </w:t>
      </w:r>
      <w:proofErr w:type="spellStart"/>
      <w:proofErr w:type="gramStart"/>
      <w:r w:rsidRPr="00344013">
        <w:rPr>
          <w:sz w:val="24"/>
          <w:szCs w:val="24"/>
        </w:rPr>
        <w:t>a</w:t>
      </w:r>
      <w:proofErr w:type="spellEnd"/>
      <w:proofErr w:type="gramEnd"/>
      <w:r w:rsidRPr="00344013">
        <w:rPr>
          <w:sz w:val="24"/>
          <w:szCs w:val="24"/>
        </w:rPr>
        <w:t xml:space="preserve"> array of new weapons to fight old enemies. Public opinion within the Mohawk communities often called for violence against hostile colonists that caused the balance of power to shift from the more peaceful sachem and clan mother leadership to the war-like warrior chiefs. This shift enabled massive opportunities for social mobility within the tribes. The warrior chiefs also increased their status and power with diplomatic relations with the Europeans. The new settlers, from a continent in an almost perpetual state of war, were more responsive to warrior chiefs than they were to sachems. The clan mothers also lost status and influence as many Europeans thought of engaging in political or diplomatic relations with women as an alien concept.</w:t>
      </w:r>
      <w:r w:rsidRPr="00344013">
        <w:rPr>
          <w:sz w:val="24"/>
          <w:szCs w:val="24"/>
          <w:vertAlign w:val="superscript"/>
        </w:rPr>
        <w:footnoteReference w:id="47"/>
      </w:r>
      <w:r w:rsidRPr="00344013">
        <w:rPr>
          <w:sz w:val="24"/>
          <w:szCs w:val="24"/>
        </w:rPr>
        <w:t xml:space="preserve"> </w:t>
      </w:r>
    </w:p>
    <w:p w14:paraId="2D302D49" w14:textId="77777777" w:rsidR="00344013" w:rsidRPr="00344013" w:rsidRDefault="00344013" w:rsidP="00344013">
      <w:pPr>
        <w:spacing w:line="360" w:lineRule="auto"/>
        <w:rPr>
          <w:sz w:val="24"/>
          <w:szCs w:val="24"/>
        </w:rPr>
      </w:pPr>
    </w:p>
    <w:p w14:paraId="2C4602FE" w14:textId="77777777" w:rsidR="00344013" w:rsidRPr="00344013" w:rsidRDefault="00344013" w:rsidP="00344013">
      <w:pPr>
        <w:spacing w:line="360" w:lineRule="auto"/>
        <w:rPr>
          <w:sz w:val="24"/>
          <w:szCs w:val="24"/>
          <w:u w:val="single"/>
        </w:rPr>
      </w:pPr>
      <w:r w:rsidRPr="00344013">
        <w:rPr>
          <w:sz w:val="24"/>
          <w:szCs w:val="24"/>
          <w:u w:val="single"/>
        </w:rPr>
        <w:t>Making the Familiar Alien</w:t>
      </w:r>
    </w:p>
    <w:p w14:paraId="14ED89F7" w14:textId="77777777" w:rsidR="00344013" w:rsidRPr="00344013" w:rsidRDefault="00344013" w:rsidP="00344013">
      <w:pPr>
        <w:spacing w:line="360" w:lineRule="auto"/>
        <w:rPr>
          <w:sz w:val="24"/>
          <w:szCs w:val="24"/>
          <w:u w:val="single"/>
        </w:rPr>
      </w:pPr>
    </w:p>
    <w:p w14:paraId="77D28B57" w14:textId="77777777" w:rsidR="00344013" w:rsidRPr="00344013" w:rsidRDefault="00344013" w:rsidP="00344013">
      <w:pPr>
        <w:spacing w:line="360" w:lineRule="auto"/>
        <w:rPr>
          <w:sz w:val="24"/>
          <w:szCs w:val="24"/>
        </w:rPr>
      </w:pPr>
      <w:r w:rsidRPr="00344013">
        <w:rPr>
          <w:sz w:val="24"/>
          <w:szCs w:val="24"/>
        </w:rPr>
        <w:t xml:space="preserve">As the revolution moved on, British forces needed to step up their campaigns against the patriots. To achieve this, they sponsored slave insurrections and tried to persuade Indians to fight for them. This gave the patriots a golden opportunity for creating propaganda as the patriots had, from the start, faced the challenge of turning American colonists against their </w:t>
      </w:r>
      <w:r w:rsidRPr="00344013">
        <w:rPr>
          <w:sz w:val="24"/>
          <w:szCs w:val="24"/>
        </w:rPr>
        <w:lastRenderedPageBreak/>
        <w:t>British cousins. As Robert G. Parkinson puts it, 'they had to make the familiar alien’.</w:t>
      </w:r>
      <w:r w:rsidRPr="00344013">
        <w:rPr>
          <w:sz w:val="24"/>
          <w:szCs w:val="24"/>
          <w:vertAlign w:val="superscript"/>
        </w:rPr>
        <w:footnoteReference w:id="48"/>
      </w:r>
      <w:r w:rsidRPr="00344013">
        <w:rPr>
          <w:sz w:val="24"/>
          <w:szCs w:val="24"/>
        </w:rPr>
        <w:t xml:space="preserve"> The decision of the British to form alliances with slaves and Indians became ideal ammunition for patriot propagandists. Patriot newspapers became filled with stories, partially based on truth, of the British sponsoring ‘barbarous’ Indians and ‘murderous’ slaves, and as the revolution continued the British became synonymous with slaves and Indians. This synonymity proved far more dangerous for Indians in the long run. After the war was lost, the British returned home in defeat but safe, whereas the Indian image as an enemy of white patriotic Americans sealed their fate for generations to come. </w:t>
      </w:r>
    </w:p>
    <w:p w14:paraId="633874CD" w14:textId="77777777" w:rsidR="00344013" w:rsidRPr="00344013" w:rsidRDefault="00344013" w:rsidP="00344013">
      <w:pPr>
        <w:spacing w:line="360" w:lineRule="auto"/>
        <w:rPr>
          <w:sz w:val="24"/>
          <w:szCs w:val="24"/>
        </w:rPr>
      </w:pPr>
    </w:p>
    <w:p w14:paraId="07E5C168" w14:textId="77777777" w:rsidR="00344013" w:rsidRPr="00344013" w:rsidRDefault="00344013" w:rsidP="00344013">
      <w:pPr>
        <w:spacing w:line="360" w:lineRule="auto"/>
        <w:rPr>
          <w:sz w:val="24"/>
          <w:szCs w:val="24"/>
          <w:u w:val="single"/>
        </w:rPr>
      </w:pPr>
      <w:r w:rsidRPr="00344013">
        <w:rPr>
          <w:sz w:val="24"/>
          <w:szCs w:val="24"/>
          <w:u w:val="single"/>
        </w:rPr>
        <w:t>Conclusion</w:t>
      </w:r>
    </w:p>
    <w:p w14:paraId="14395999" w14:textId="77777777" w:rsidR="00344013" w:rsidRPr="00344013" w:rsidRDefault="00344013" w:rsidP="00344013">
      <w:pPr>
        <w:spacing w:line="360" w:lineRule="auto"/>
        <w:rPr>
          <w:sz w:val="24"/>
          <w:szCs w:val="24"/>
          <w:u w:val="single"/>
        </w:rPr>
      </w:pPr>
    </w:p>
    <w:p w14:paraId="772EF980" w14:textId="77777777" w:rsidR="00344013" w:rsidRPr="00344013" w:rsidRDefault="00344013" w:rsidP="00344013">
      <w:pPr>
        <w:spacing w:line="360" w:lineRule="auto"/>
        <w:rPr>
          <w:sz w:val="24"/>
          <w:szCs w:val="24"/>
        </w:rPr>
      </w:pPr>
      <w:r w:rsidRPr="00344013">
        <w:rPr>
          <w:sz w:val="24"/>
          <w:szCs w:val="24"/>
        </w:rPr>
        <w:t xml:space="preserve">The historical narrative displayed in this chapter is the amalgamation of Mohawk and Euro-American society. The chaotic nature of Lawrence’s painting has portrayed the Indians and Euro-Americans locked in an eternal struggle endured throughout the 18th century, not only for land but for cultural identity, which was being lost through the amalgamation of peoples and genocide. The use of wampum, alliances, Christianity, and gift-giving were all attempts to bring together two disparate societies. These attempts created a new, short-lived culture that could not survive the mass influx of Europeans into Mohawk territory. By the start of the Revolution, it would have been impossible to separate Mohawk culture from that of the colonists, for better or worse, they were locked in a struggle with no obvious beginning or end. Furthermore, Lawrence took the existing mythology of the Boston Tea Party and used it to impart his own political message. He has painted the fighting figures locked in a cyclical struggle that frames the contested land represented by the brown colour block in the centre of the image. Lawrence has cleverly turned the tables on the tea partiers. In the same way that they usurped the Mohawk image to disguise their identity, he has used their tea party, one of the most recognisable elements of the Revolution, and used it to highlight the struggles of Indian peoples. The stereotypical representation further emphasizes the superficial way that Indians, along with their cultural and political life, were viewed. </w:t>
      </w:r>
    </w:p>
    <w:p w14:paraId="6026A92C" w14:textId="77777777" w:rsidR="00344013" w:rsidRPr="00344013" w:rsidRDefault="00344013" w:rsidP="00344013">
      <w:pPr>
        <w:spacing w:line="360" w:lineRule="auto"/>
        <w:rPr>
          <w:sz w:val="24"/>
          <w:szCs w:val="24"/>
          <w:u w:val="single"/>
        </w:rPr>
      </w:pPr>
      <w:r w:rsidRPr="00344013">
        <w:rPr>
          <w:sz w:val="24"/>
          <w:szCs w:val="24"/>
          <w:u w:val="single"/>
        </w:rPr>
        <w:br w:type="page"/>
      </w:r>
      <w:r w:rsidRPr="00344013">
        <w:rPr>
          <w:sz w:val="24"/>
          <w:szCs w:val="24"/>
          <w:u w:val="single"/>
        </w:rPr>
        <w:lastRenderedPageBreak/>
        <w:t xml:space="preserve">Chapter Two. </w:t>
      </w:r>
    </w:p>
    <w:p w14:paraId="4634D89F" w14:textId="77777777" w:rsidR="00344013" w:rsidRPr="00344013" w:rsidRDefault="00344013" w:rsidP="00344013">
      <w:pPr>
        <w:spacing w:line="360" w:lineRule="auto"/>
        <w:rPr>
          <w:i/>
          <w:iCs/>
          <w:sz w:val="24"/>
          <w:szCs w:val="24"/>
          <w:u w:val="single"/>
        </w:rPr>
      </w:pPr>
      <w:bookmarkStart w:id="9" w:name="_Hlk99441363"/>
      <w:r w:rsidRPr="00344013">
        <w:rPr>
          <w:i/>
          <w:iCs/>
          <w:sz w:val="24"/>
          <w:szCs w:val="24"/>
          <w:u w:val="single"/>
        </w:rPr>
        <w:t>In all your intercourse with the natives, treat them in the most friendly and conciliatory manner which their own conduct will admit…</w:t>
      </w:r>
      <w:r w:rsidRPr="00344013">
        <w:rPr>
          <w:i/>
          <w:iCs/>
          <w:sz w:val="24"/>
          <w:szCs w:val="24"/>
          <w:u w:val="single"/>
        </w:rPr>
        <w:br/>
        <w:t>—Jefferson to Lewis &amp; Clark, 1803</w:t>
      </w:r>
      <w:bookmarkEnd w:id="9"/>
    </w:p>
    <w:p w14:paraId="74672B38" w14:textId="77777777" w:rsidR="00344013" w:rsidRPr="00344013" w:rsidRDefault="00344013" w:rsidP="00344013">
      <w:pPr>
        <w:spacing w:line="360" w:lineRule="auto"/>
        <w:rPr>
          <w:sz w:val="24"/>
          <w:szCs w:val="24"/>
          <w:u w:val="single"/>
        </w:rPr>
      </w:pPr>
    </w:p>
    <w:p w14:paraId="34F1ECEB" w14:textId="77777777" w:rsidR="00344013" w:rsidRPr="00344013" w:rsidRDefault="00344013" w:rsidP="00344013">
      <w:pPr>
        <w:spacing w:line="360" w:lineRule="auto"/>
        <w:rPr>
          <w:sz w:val="24"/>
          <w:szCs w:val="24"/>
        </w:rPr>
      </w:pPr>
      <w:r w:rsidRPr="00344013">
        <w:rPr>
          <w:sz w:val="24"/>
          <w:szCs w:val="24"/>
        </w:rPr>
        <w:drawing>
          <wp:inline distT="0" distB="0" distL="0" distR="0" wp14:anchorId="4E7049D8" wp14:editId="44CDC939">
            <wp:extent cx="5731510" cy="4801235"/>
            <wp:effectExtent l="0" t="0" r="2540" b="0"/>
            <wp:docPr id="4" name="Picture 4" descr="Panel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nel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801235"/>
                    </a:xfrm>
                    <a:prstGeom prst="rect">
                      <a:avLst/>
                    </a:prstGeom>
                    <a:noFill/>
                    <a:ln>
                      <a:noFill/>
                    </a:ln>
                  </pic:spPr>
                </pic:pic>
              </a:graphicData>
            </a:graphic>
          </wp:inline>
        </w:drawing>
      </w:r>
    </w:p>
    <w:p w14:paraId="401ACAAA" w14:textId="77777777" w:rsidR="00344013" w:rsidRPr="00344013" w:rsidRDefault="00344013" w:rsidP="00344013">
      <w:pPr>
        <w:spacing w:line="360" w:lineRule="auto"/>
        <w:rPr>
          <w:sz w:val="20"/>
          <w:szCs w:val="20"/>
        </w:rPr>
      </w:pPr>
      <w:r w:rsidRPr="00344013">
        <w:rPr>
          <w:sz w:val="20"/>
          <w:szCs w:val="20"/>
        </w:rPr>
        <w:t>Fig 4: Jacob Lawrence, Panel 18,</w:t>
      </w:r>
      <w:r w:rsidRPr="00344013">
        <w:rPr>
          <w:i/>
          <w:iCs/>
          <w:sz w:val="20"/>
          <w:szCs w:val="20"/>
        </w:rPr>
        <w:t xml:space="preserve"> In all your intercourse with the natives, treat them in the most friendly and conciliatory manner which their own conduct will admit…—Jefferson to Lewis &amp; Clark, 1803,</w:t>
      </w:r>
      <w:r w:rsidRPr="00344013">
        <w:rPr>
          <w:sz w:val="20"/>
          <w:szCs w:val="20"/>
        </w:rPr>
        <w:t xml:space="preserve"> from Struggle: From the History of the American People, 1954–56, egg tempera on hardboard 12 × 15 1/2 in. (30.5 × 39.4 cm).</w:t>
      </w:r>
      <w:r w:rsidRPr="00344013">
        <w:rPr>
          <w:sz w:val="20"/>
          <w:szCs w:val="20"/>
          <w:vertAlign w:val="superscript"/>
        </w:rPr>
        <w:footnoteReference w:id="49"/>
      </w:r>
    </w:p>
    <w:p w14:paraId="5EDDA6AF" w14:textId="77777777" w:rsidR="00344013" w:rsidRPr="00344013" w:rsidRDefault="00344013" w:rsidP="00344013">
      <w:pPr>
        <w:spacing w:line="360" w:lineRule="auto"/>
        <w:rPr>
          <w:sz w:val="24"/>
          <w:szCs w:val="24"/>
        </w:rPr>
      </w:pPr>
    </w:p>
    <w:p w14:paraId="4264C6C3" w14:textId="455DD90C" w:rsidR="00344013" w:rsidRPr="00344013" w:rsidRDefault="00344013" w:rsidP="00344013">
      <w:pPr>
        <w:spacing w:line="360" w:lineRule="auto"/>
        <w:rPr>
          <w:sz w:val="24"/>
          <w:szCs w:val="24"/>
        </w:rPr>
      </w:pPr>
      <w:r w:rsidRPr="00344013">
        <w:rPr>
          <w:sz w:val="24"/>
          <w:szCs w:val="24"/>
        </w:rPr>
        <w:lastRenderedPageBreak/>
        <w:br w:type="page"/>
        <w:t xml:space="preserve">Panel 18 of Lawrence's Struggle collection depicts a singular moment from an iconic event in American history, the Lewis and Clark expedition, 1803-1806. Lawrence has painted the reunion of Sacagawea with her brother, chief </w:t>
      </w:r>
      <w:proofErr w:type="spellStart"/>
      <w:r w:rsidRPr="00344013">
        <w:rPr>
          <w:sz w:val="24"/>
          <w:szCs w:val="24"/>
        </w:rPr>
        <w:t>Cameahwait</w:t>
      </w:r>
      <w:proofErr w:type="spellEnd"/>
      <w:r w:rsidRPr="00344013">
        <w:rPr>
          <w:sz w:val="24"/>
          <w:szCs w:val="24"/>
        </w:rPr>
        <w:t xml:space="preserve"> of the Lemhi Shoshone tribe. This image is the most peaceful of the three panels despite the presence of weaponry; with two muskets held by the explorers on the left and a spear appearing to the left of the image. All three weapons are pointing up and are not wielded in a threatening manner. The feathers in the headdresses are softer and less brutal than in the other two panels. When viewed as part of the entire </w:t>
      </w:r>
      <w:r w:rsidRPr="00344013">
        <w:rPr>
          <w:i/>
          <w:iCs/>
          <w:sz w:val="24"/>
          <w:szCs w:val="24"/>
        </w:rPr>
        <w:t>Struggle</w:t>
      </w:r>
      <w:r w:rsidRPr="00344013">
        <w:rPr>
          <w:sz w:val="24"/>
          <w:szCs w:val="24"/>
        </w:rPr>
        <w:t xml:space="preserve"> collection, this image is one of only ten panels that does not include an intentional act of violence and one of only seven panels that does not depict a war or battle scene. Although this brief respite from the violence of the rest of the collection and the subject of this painting being a family reunion would imply that it was a happy, even joyous image, it is not. The overwhelming emotion that comes from this painting is melancholy with the pained expression on the face of Sacagawea, the look of anxiety in the eyes of the two Indian men, and the sly contempt on the faces of the two American men. This painting may not contain any scenes of violence but its implication of violence to come is clear.</w:t>
      </w:r>
    </w:p>
    <w:p w14:paraId="2F29F764" w14:textId="77777777" w:rsidR="00344013" w:rsidRPr="00344013" w:rsidRDefault="00344013" w:rsidP="00344013">
      <w:pPr>
        <w:spacing w:line="360" w:lineRule="auto"/>
        <w:rPr>
          <w:sz w:val="24"/>
          <w:szCs w:val="24"/>
        </w:rPr>
      </w:pPr>
    </w:p>
    <w:p w14:paraId="780474EB" w14:textId="77777777" w:rsidR="00344013" w:rsidRPr="00344013" w:rsidRDefault="00344013" w:rsidP="00344013">
      <w:pPr>
        <w:spacing w:line="360" w:lineRule="auto"/>
        <w:rPr>
          <w:sz w:val="24"/>
          <w:szCs w:val="24"/>
          <w:u w:val="single"/>
        </w:rPr>
      </w:pPr>
      <w:r w:rsidRPr="00344013">
        <w:rPr>
          <w:sz w:val="24"/>
          <w:szCs w:val="24"/>
          <w:u w:val="single"/>
        </w:rPr>
        <w:t>The Louisiana Purchase and the Corps of Discovery</w:t>
      </w:r>
    </w:p>
    <w:p w14:paraId="5E06410C" w14:textId="77777777" w:rsidR="00344013" w:rsidRPr="00344013" w:rsidRDefault="00344013" w:rsidP="00344013">
      <w:pPr>
        <w:spacing w:line="360" w:lineRule="auto"/>
        <w:rPr>
          <w:sz w:val="24"/>
          <w:szCs w:val="24"/>
        </w:rPr>
      </w:pPr>
    </w:p>
    <w:p w14:paraId="30FA55EF" w14:textId="77777777" w:rsidR="00344013" w:rsidRPr="00344013" w:rsidRDefault="00344013" w:rsidP="00344013">
      <w:pPr>
        <w:spacing w:line="360" w:lineRule="auto"/>
        <w:rPr>
          <w:sz w:val="24"/>
          <w:szCs w:val="24"/>
        </w:rPr>
      </w:pPr>
      <w:r w:rsidRPr="00344013">
        <w:rPr>
          <w:sz w:val="24"/>
          <w:szCs w:val="24"/>
        </w:rPr>
        <w:t>The expedition, also called the Corps of Discovery, is widely accepted as a journey of exploration. However, the primary purpose of the expedition was to facilitate the acquisition of Indian lands by the federal government. The Louisiana Purchase took place in July of 1803, and the expedition started in August of 1803, but these two events were not initially related.</w:t>
      </w:r>
      <w:r w:rsidRPr="00344013">
        <w:rPr>
          <w:sz w:val="24"/>
          <w:szCs w:val="24"/>
          <w:vertAlign w:val="superscript"/>
        </w:rPr>
        <w:footnoteReference w:id="50"/>
      </w:r>
      <w:r w:rsidRPr="00344013">
        <w:rPr>
          <w:sz w:val="24"/>
          <w:szCs w:val="24"/>
        </w:rPr>
        <w:t xml:space="preserve"> Discussions of sending an expedition through the continent had taken place for years. An attempt to explore the land to the Pacific Ocean had been planned a decade earlier by Jefferson and Frenchman Andre Michaux. The expedition of 1803 relied heavily on the logistics of the previous aborted mission.</w:t>
      </w:r>
      <w:r w:rsidRPr="00344013">
        <w:rPr>
          <w:sz w:val="24"/>
          <w:szCs w:val="24"/>
          <w:vertAlign w:val="superscript"/>
        </w:rPr>
        <w:footnoteReference w:id="51"/>
      </w:r>
      <w:r w:rsidRPr="00344013">
        <w:rPr>
          <w:sz w:val="24"/>
          <w:szCs w:val="24"/>
        </w:rPr>
        <w:t xml:space="preserve"> The Louisiana Purchase merely </w:t>
      </w:r>
      <w:r w:rsidRPr="00344013">
        <w:rPr>
          <w:sz w:val="24"/>
          <w:szCs w:val="24"/>
        </w:rPr>
        <w:lastRenderedPageBreak/>
        <w:t>gave the American government an even greater sense of entitlement to Indian lands, a sentiment not shared by the Indians. The Louisiana Purchase effectively wiped out the political power and autonomy of Indian people across a vast swathe of the North American continent. The area of land sold contained over twenty distinct nations, none of which were contacted or consulted regarding the sale of their land.</w:t>
      </w:r>
      <w:r w:rsidRPr="00344013">
        <w:rPr>
          <w:sz w:val="24"/>
          <w:szCs w:val="24"/>
          <w:vertAlign w:val="superscript"/>
        </w:rPr>
        <w:footnoteReference w:id="52"/>
      </w:r>
      <w:r w:rsidRPr="00344013">
        <w:rPr>
          <w:sz w:val="24"/>
          <w:szCs w:val="24"/>
        </w:rPr>
        <w:t xml:space="preserve"> </w:t>
      </w:r>
    </w:p>
    <w:p w14:paraId="0EBF6CDF" w14:textId="77777777" w:rsidR="00344013" w:rsidRPr="00344013" w:rsidRDefault="00344013" w:rsidP="00344013">
      <w:pPr>
        <w:spacing w:line="360" w:lineRule="auto"/>
        <w:rPr>
          <w:sz w:val="24"/>
          <w:szCs w:val="24"/>
        </w:rPr>
      </w:pPr>
    </w:p>
    <w:p w14:paraId="60C05F95" w14:textId="77777777" w:rsidR="00344013" w:rsidRPr="00344013" w:rsidRDefault="00344013" w:rsidP="00344013">
      <w:pPr>
        <w:spacing w:line="360" w:lineRule="auto"/>
        <w:rPr>
          <w:sz w:val="24"/>
          <w:szCs w:val="24"/>
          <w:u w:val="single"/>
        </w:rPr>
      </w:pPr>
      <w:r w:rsidRPr="00344013">
        <w:rPr>
          <w:sz w:val="24"/>
          <w:szCs w:val="24"/>
          <w:u w:val="single"/>
        </w:rPr>
        <w:t>The Lemhi Shoshone</w:t>
      </w:r>
    </w:p>
    <w:p w14:paraId="4F1FB64A" w14:textId="77777777" w:rsidR="00344013" w:rsidRPr="00344013" w:rsidRDefault="00344013" w:rsidP="00344013">
      <w:pPr>
        <w:spacing w:line="360" w:lineRule="auto"/>
        <w:rPr>
          <w:sz w:val="24"/>
          <w:szCs w:val="24"/>
          <w:u w:val="single"/>
        </w:rPr>
      </w:pPr>
    </w:p>
    <w:p w14:paraId="0EA10296" w14:textId="77777777" w:rsidR="00344013" w:rsidRPr="00344013" w:rsidRDefault="00344013" w:rsidP="00344013">
      <w:pPr>
        <w:spacing w:line="360" w:lineRule="auto"/>
        <w:rPr>
          <w:sz w:val="24"/>
          <w:szCs w:val="24"/>
        </w:rPr>
      </w:pPr>
      <w:r w:rsidRPr="00344013">
        <w:rPr>
          <w:sz w:val="24"/>
          <w:szCs w:val="24"/>
        </w:rPr>
        <w:t>Besides Lewis and Clark, the most celebrated expedition member is the young Indian woman Sacagawea. The story of Sacagawea describes her as a member of the Lemhi Shoshone tribe who, as a child, was abducted by members of the Hidatsa tribe and later sold to her French-Canadian husband, Toussaint Charbonneau. The Lemhi Shoshone are usually referred to in the sources as the ‘Snake People’ this, however, is a misinterpretation, and the Lemhi Shoshone refer to themselves as the ‘Salmon People’. The Shoshone are from the west of the continent and, during Sacagawea’s lifetime, inhabited an area of land which ranged throughout present-day Wyoming, Idaho, Oregon, Nevada, California, Colorado, Arizona, and Utah. The Lemhi Shoshone territory was situated in the northernmost reaches of Shoshone land in what is now Idaho. The Shoshone territory was home to many different tribes creating a multi-cultural society; the Shoshone also integrated many technologies and cultural practices from other groups which increased the standard of living.</w:t>
      </w:r>
      <w:r w:rsidRPr="00344013">
        <w:rPr>
          <w:sz w:val="24"/>
          <w:szCs w:val="24"/>
          <w:vertAlign w:val="superscript"/>
        </w:rPr>
        <w:footnoteReference w:id="53"/>
      </w:r>
      <w:r w:rsidRPr="00344013">
        <w:rPr>
          <w:sz w:val="24"/>
          <w:szCs w:val="24"/>
        </w:rPr>
        <w:t xml:space="preserve"> </w:t>
      </w:r>
    </w:p>
    <w:p w14:paraId="51ECF5D4" w14:textId="77777777" w:rsidR="00344013" w:rsidRPr="00344013" w:rsidRDefault="00344013" w:rsidP="00344013">
      <w:pPr>
        <w:spacing w:line="360" w:lineRule="auto"/>
        <w:rPr>
          <w:sz w:val="24"/>
          <w:szCs w:val="24"/>
        </w:rPr>
      </w:pPr>
    </w:p>
    <w:p w14:paraId="444DD56C" w14:textId="77777777" w:rsidR="007054BF" w:rsidRDefault="007054BF" w:rsidP="00344013">
      <w:pPr>
        <w:spacing w:line="360" w:lineRule="auto"/>
        <w:rPr>
          <w:sz w:val="24"/>
          <w:szCs w:val="24"/>
          <w:u w:val="single"/>
        </w:rPr>
      </w:pPr>
    </w:p>
    <w:p w14:paraId="45A2B455" w14:textId="77777777" w:rsidR="007054BF" w:rsidRDefault="007054BF" w:rsidP="00344013">
      <w:pPr>
        <w:spacing w:line="360" w:lineRule="auto"/>
        <w:rPr>
          <w:sz w:val="24"/>
          <w:szCs w:val="24"/>
          <w:u w:val="single"/>
        </w:rPr>
      </w:pPr>
    </w:p>
    <w:p w14:paraId="59DF198C" w14:textId="77777777" w:rsidR="007054BF" w:rsidRDefault="007054BF" w:rsidP="00344013">
      <w:pPr>
        <w:spacing w:line="360" w:lineRule="auto"/>
        <w:rPr>
          <w:sz w:val="24"/>
          <w:szCs w:val="24"/>
          <w:u w:val="single"/>
        </w:rPr>
      </w:pPr>
    </w:p>
    <w:p w14:paraId="0A9FAED8" w14:textId="0DED0B81" w:rsidR="00344013" w:rsidRPr="00344013" w:rsidRDefault="00344013" w:rsidP="00344013">
      <w:pPr>
        <w:spacing w:line="360" w:lineRule="auto"/>
        <w:rPr>
          <w:sz w:val="24"/>
          <w:szCs w:val="24"/>
          <w:u w:val="single"/>
        </w:rPr>
      </w:pPr>
      <w:r w:rsidRPr="00344013">
        <w:rPr>
          <w:sz w:val="24"/>
          <w:szCs w:val="24"/>
          <w:u w:val="single"/>
        </w:rPr>
        <w:t>Eva Emery Dye’s Creation of the Sacagawea Legend</w:t>
      </w:r>
    </w:p>
    <w:p w14:paraId="2B034C5E" w14:textId="77777777" w:rsidR="00344013" w:rsidRPr="00344013" w:rsidRDefault="00344013" w:rsidP="00344013">
      <w:pPr>
        <w:spacing w:line="360" w:lineRule="auto"/>
        <w:rPr>
          <w:sz w:val="24"/>
          <w:szCs w:val="24"/>
          <w:u w:val="single"/>
        </w:rPr>
      </w:pPr>
    </w:p>
    <w:p w14:paraId="389578F5" w14:textId="5EE3E6D9" w:rsidR="00344013" w:rsidRDefault="00344013" w:rsidP="00344013">
      <w:pPr>
        <w:spacing w:line="360" w:lineRule="auto"/>
        <w:rPr>
          <w:sz w:val="24"/>
          <w:szCs w:val="24"/>
        </w:rPr>
      </w:pPr>
      <w:r w:rsidRPr="00344013">
        <w:rPr>
          <w:sz w:val="24"/>
          <w:szCs w:val="24"/>
        </w:rPr>
        <w:t xml:space="preserve">The Lewis and Clark expedition was almost unheard of until 1902 when, as the suffragette movement wanted to promote historical female role models, Eva Emery Dye discovered the </w:t>
      </w:r>
      <w:r w:rsidRPr="00344013">
        <w:rPr>
          <w:sz w:val="24"/>
          <w:szCs w:val="24"/>
        </w:rPr>
        <w:lastRenderedPageBreak/>
        <w:t xml:space="preserve">little-known figure of Sacagawea and created the now-familiar heroine trope in her novel </w:t>
      </w:r>
      <w:r w:rsidRPr="00344013">
        <w:rPr>
          <w:i/>
          <w:iCs/>
          <w:sz w:val="24"/>
          <w:szCs w:val="24"/>
        </w:rPr>
        <w:t>Conquest</w:t>
      </w:r>
      <w:r w:rsidRPr="00344013">
        <w:rPr>
          <w:sz w:val="24"/>
          <w:szCs w:val="24"/>
        </w:rPr>
        <w:t>.</w:t>
      </w:r>
      <w:r w:rsidRPr="00344013">
        <w:rPr>
          <w:sz w:val="24"/>
          <w:szCs w:val="24"/>
          <w:vertAlign w:val="superscript"/>
        </w:rPr>
        <w:footnoteReference w:id="54"/>
      </w:r>
      <w:r w:rsidRPr="00344013">
        <w:rPr>
          <w:sz w:val="24"/>
          <w:szCs w:val="24"/>
        </w:rPr>
        <w:t xml:space="preserve"> Along with the publication of the original expeditionary journals in 1905, Dye’s novel initiated the ascent to the legendary status that the corps of discovery and its participants have since been elevated. Dye’s depiction of Sacagawea is as a heroine without who the entire journey would almost certainly have failed. Sacagawea was vitally important to the expedition's success; her expertise and language skills were crucial in building cordial relationships with the various communities encountered along the journey. She expertly guided the expedition on its way while caring for her infant son.</w:t>
      </w:r>
      <w:r w:rsidRPr="00344013">
        <w:rPr>
          <w:sz w:val="24"/>
          <w:szCs w:val="24"/>
          <w:vertAlign w:val="superscript"/>
        </w:rPr>
        <w:footnoteReference w:id="55"/>
      </w:r>
      <w:r w:rsidRPr="00344013">
        <w:rPr>
          <w:sz w:val="24"/>
          <w:szCs w:val="24"/>
        </w:rPr>
        <w:t xml:space="preserve"> In </w:t>
      </w:r>
      <w:r w:rsidRPr="00344013">
        <w:rPr>
          <w:i/>
          <w:iCs/>
          <w:sz w:val="24"/>
          <w:szCs w:val="24"/>
        </w:rPr>
        <w:t>Conquest</w:t>
      </w:r>
      <w:r w:rsidRPr="00344013">
        <w:rPr>
          <w:sz w:val="24"/>
          <w:szCs w:val="24"/>
        </w:rPr>
        <w:t xml:space="preserve">, Dye describes the reunion of brother and sister, ‘Sacajawea was beginning to interpret when lifting her eyes to the chief, she recognized her brother </w:t>
      </w:r>
      <w:proofErr w:type="spellStart"/>
      <w:r w:rsidRPr="00344013">
        <w:rPr>
          <w:sz w:val="24"/>
          <w:szCs w:val="24"/>
        </w:rPr>
        <w:t>Cameahwait</w:t>
      </w:r>
      <w:proofErr w:type="spellEnd"/>
      <w:r w:rsidRPr="00344013">
        <w:rPr>
          <w:sz w:val="24"/>
          <w:szCs w:val="24"/>
        </w:rPr>
        <w:t>. She ran to his side, threw her blanket over his head, and wept upon his bosom. Sacajawea, too, was a princess, come home now to her mountain kingdom.’</w:t>
      </w:r>
      <w:r w:rsidRPr="00344013">
        <w:rPr>
          <w:sz w:val="24"/>
          <w:szCs w:val="24"/>
          <w:vertAlign w:val="superscript"/>
        </w:rPr>
        <w:footnoteReference w:id="56"/>
      </w:r>
      <w:r w:rsidRPr="00344013">
        <w:rPr>
          <w:sz w:val="24"/>
          <w:szCs w:val="24"/>
        </w:rPr>
        <w:t xml:space="preserve"> This description of said reunion, is echoed in a 1904 article, ‘When the main party arrived and the Bird Woman caught sight of the Indians her delight, was ecstatic.’</w:t>
      </w:r>
      <w:r w:rsidRPr="00344013">
        <w:rPr>
          <w:sz w:val="24"/>
          <w:szCs w:val="24"/>
          <w:vertAlign w:val="superscript"/>
        </w:rPr>
        <w:footnoteReference w:id="57"/>
      </w:r>
      <w:r w:rsidRPr="00344013">
        <w:rPr>
          <w:sz w:val="24"/>
          <w:szCs w:val="24"/>
        </w:rPr>
        <w:t xml:space="preserve"> By the time Lawrence created this painting in 1956, Sacagawea had become a legend. In 1933 Grace Raymond </w:t>
      </w:r>
      <w:proofErr w:type="spellStart"/>
      <w:r w:rsidRPr="00344013">
        <w:rPr>
          <w:sz w:val="24"/>
          <w:szCs w:val="24"/>
        </w:rPr>
        <w:t>Hebard</w:t>
      </w:r>
      <w:proofErr w:type="spellEnd"/>
      <w:r w:rsidRPr="00344013">
        <w:rPr>
          <w:sz w:val="24"/>
          <w:szCs w:val="24"/>
        </w:rPr>
        <w:t xml:space="preserve"> wrote a romanticized and largely fictional biography of Sacagawea, her work added to the mythology created by Dye, was widely accepted as fact, and inspired decades of texts to be written of the young woman. The heyday of these narratives, along with paintings, sculptures, and statues, was in the 1940s, 50s, and 60s.</w:t>
      </w:r>
      <w:r w:rsidRPr="00344013">
        <w:rPr>
          <w:sz w:val="24"/>
          <w:szCs w:val="24"/>
          <w:vertAlign w:val="superscript"/>
        </w:rPr>
        <w:footnoteReference w:id="58"/>
      </w:r>
      <w:r w:rsidRPr="00344013">
        <w:rPr>
          <w:sz w:val="24"/>
          <w:szCs w:val="24"/>
        </w:rPr>
        <w:t xml:space="preserve"> </w:t>
      </w:r>
      <w:proofErr w:type="spellStart"/>
      <w:r w:rsidRPr="00344013">
        <w:rPr>
          <w:sz w:val="24"/>
          <w:szCs w:val="24"/>
        </w:rPr>
        <w:t>Hebard’s</w:t>
      </w:r>
      <w:proofErr w:type="spellEnd"/>
      <w:r w:rsidRPr="00344013">
        <w:rPr>
          <w:sz w:val="24"/>
          <w:szCs w:val="24"/>
        </w:rPr>
        <w:t xml:space="preserve"> description of the reunion conforms with the previous examples, ‘when in the person of </w:t>
      </w:r>
      <w:proofErr w:type="spellStart"/>
      <w:r w:rsidRPr="00344013">
        <w:rPr>
          <w:sz w:val="24"/>
          <w:szCs w:val="24"/>
        </w:rPr>
        <w:t>Cameahwait</w:t>
      </w:r>
      <w:proofErr w:type="spellEnd"/>
      <w:r w:rsidRPr="00344013">
        <w:rPr>
          <w:sz w:val="24"/>
          <w:szCs w:val="24"/>
        </w:rPr>
        <w:t xml:space="preserve"> she recognized her brother; she instantly jumped up and ran and embraced him, throwing over him her blanket and weeping profusely; the chief himself was moved, though not in the same degree.’</w:t>
      </w:r>
      <w:r w:rsidRPr="00344013">
        <w:rPr>
          <w:sz w:val="24"/>
          <w:szCs w:val="24"/>
          <w:vertAlign w:val="superscript"/>
        </w:rPr>
        <w:footnoteReference w:id="59"/>
      </w:r>
      <w:r w:rsidRPr="00344013">
        <w:rPr>
          <w:sz w:val="24"/>
          <w:szCs w:val="24"/>
        </w:rPr>
        <w:t xml:space="preserve"> These three descriptions of the reunion between brother and sister are emulated by Lawrence in his depiction of Sacagawea’s desperate gaze at </w:t>
      </w:r>
      <w:proofErr w:type="spellStart"/>
      <w:r w:rsidRPr="00344013">
        <w:rPr>
          <w:sz w:val="24"/>
          <w:szCs w:val="24"/>
        </w:rPr>
        <w:t>Cameahwait</w:t>
      </w:r>
      <w:proofErr w:type="spellEnd"/>
      <w:r w:rsidRPr="00344013">
        <w:rPr>
          <w:sz w:val="24"/>
          <w:szCs w:val="24"/>
        </w:rPr>
        <w:t xml:space="preserve"> while he looks on, seemingly unmoved.</w:t>
      </w:r>
    </w:p>
    <w:p w14:paraId="681C0E9D" w14:textId="77777777" w:rsidR="007054BF" w:rsidRPr="00344013" w:rsidRDefault="007054BF" w:rsidP="00344013">
      <w:pPr>
        <w:spacing w:line="360" w:lineRule="auto"/>
        <w:rPr>
          <w:sz w:val="24"/>
          <w:szCs w:val="24"/>
        </w:rPr>
      </w:pPr>
    </w:p>
    <w:p w14:paraId="594E1B6E" w14:textId="77777777" w:rsidR="00344013" w:rsidRPr="00344013" w:rsidRDefault="00344013" w:rsidP="00344013">
      <w:pPr>
        <w:spacing w:line="360" w:lineRule="auto"/>
        <w:rPr>
          <w:sz w:val="24"/>
          <w:szCs w:val="24"/>
          <w:u w:val="single"/>
        </w:rPr>
      </w:pPr>
      <w:r w:rsidRPr="00344013">
        <w:rPr>
          <w:sz w:val="24"/>
          <w:szCs w:val="24"/>
          <w:u w:val="single"/>
        </w:rPr>
        <w:lastRenderedPageBreak/>
        <w:t>Counter Arguments to Sacagawea as Legend</w:t>
      </w:r>
    </w:p>
    <w:p w14:paraId="247F2F4B" w14:textId="77777777" w:rsidR="00344013" w:rsidRPr="00344013" w:rsidRDefault="00344013" w:rsidP="00344013">
      <w:pPr>
        <w:spacing w:line="360" w:lineRule="auto"/>
        <w:rPr>
          <w:sz w:val="24"/>
          <w:szCs w:val="24"/>
          <w:u w:val="single"/>
        </w:rPr>
      </w:pPr>
    </w:p>
    <w:p w14:paraId="3E460C0A" w14:textId="4469BC64" w:rsidR="00344013" w:rsidRPr="00344013" w:rsidRDefault="00344013" w:rsidP="00344013">
      <w:pPr>
        <w:spacing w:line="360" w:lineRule="auto"/>
        <w:rPr>
          <w:sz w:val="24"/>
          <w:szCs w:val="24"/>
        </w:rPr>
      </w:pPr>
      <w:r w:rsidRPr="00344013">
        <w:rPr>
          <w:sz w:val="24"/>
          <w:szCs w:val="24"/>
        </w:rPr>
        <w:t>More recent scholarship has sought to counter the image afforded to Sacagawea in the first half of the 20</w:t>
      </w:r>
      <w:r w:rsidRPr="00344013">
        <w:rPr>
          <w:sz w:val="24"/>
          <w:szCs w:val="24"/>
          <w:vertAlign w:val="superscript"/>
        </w:rPr>
        <w:t>th</w:t>
      </w:r>
      <w:r w:rsidRPr="00344013">
        <w:rPr>
          <w:sz w:val="24"/>
          <w:szCs w:val="24"/>
        </w:rPr>
        <w:t xml:space="preserve"> century. A 2004 article argues that Sacagawea was not a member of the Shoshone; she had been born a member of the Hidatsa tribe. Sacagawea had not been sold to Charbonneau but had married him due to her rebellious nature.</w:t>
      </w:r>
      <w:r w:rsidRPr="00344013">
        <w:rPr>
          <w:sz w:val="24"/>
          <w:szCs w:val="24"/>
          <w:vertAlign w:val="superscript"/>
        </w:rPr>
        <w:footnoteReference w:id="60"/>
      </w:r>
      <w:r w:rsidRPr="00344013">
        <w:rPr>
          <w:sz w:val="24"/>
          <w:szCs w:val="24"/>
        </w:rPr>
        <w:t xml:space="preserve"> In a 2015 lecture, Clay Jenkinson argued against the notion that Sacagawea was Hidatsa and supports claims that her origins were amongst the Shoshone. He also argues that the notion of Sacagawea as an American heroine was invented by Dye and has proliferated ever since. Sacagawea had been employed as an interpreter, a role in which she excelled; she also supplemented the men’s diets and saved some scientific equipment from a river. Sacagawea went above and beyond the duties for which she was hired but not paid. However, she did not guide the expedition and, although her presence was valuable, she was not indispensable to the success of the mission. What is important to understand about Sacagawea’s role in the expedition is that her thoughts and feelings were rarely recorded. She was never interviewed; her entire experience was told from the perspective of the men around her. Considering the difficulty of Sacagawea having her words translated into French by her husband and then translated into English by fellow interpreter George </w:t>
      </w:r>
      <w:proofErr w:type="spellStart"/>
      <w:r w:rsidRPr="00344013">
        <w:rPr>
          <w:sz w:val="24"/>
          <w:szCs w:val="24"/>
        </w:rPr>
        <w:t>Drouillard</w:t>
      </w:r>
      <w:proofErr w:type="spellEnd"/>
      <w:r w:rsidRPr="00344013">
        <w:rPr>
          <w:sz w:val="24"/>
          <w:szCs w:val="24"/>
        </w:rPr>
        <w:t>, it is easy to see how she could have been misinterpreted on numerous occasions. Sacagawea’s voice is lost, and Jenkinson claims that it is for this reason she has become such a legendary</w:t>
      </w:r>
      <w:r w:rsidR="007054BF">
        <w:rPr>
          <w:sz w:val="24"/>
          <w:szCs w:val="24"/>
        </w:rPr>
        <w:t xml:space="preserve"> </w:t>
      </w:r>
      <w:r w:rsidRPr="00344013">
        <w:rPr>
          <w:sz w:val="24"/>
          <w:szCs w:val="24"/>
        </w:rPr>
        <w:t>character. With so little information known about her, Sacagawea is a figure onto which every generation has imposed its own meaning.</w:t>
      </w:r>
      <w:r w:rsidRPr="00344013">
        <w:rPr>
          <w:sz w:val="24"/>
          <w:szCs w:val="24"/>
          <w:vertAlign w:val="superscript"/>
        </w:rPr>
        <w:footnoteReference w:id="61"/>
      </w:r>
      <w:r w:rsidRPr="00344013">
        <w:rPr>
          <w:sz w:val="24"/>
          <w:szCs w:val="24"/>
        </w:rPr>
        <w:t xml:space="preserve"> </w:t>
      </w:r>
    </w:p>
    <w:p w14:paraId="2048B387" w14:textId="77777777" w:rsidR="00344013" w:rsidRPr="00344013" w:rsidRDefault="00344013" w:rsidP="00344013">
      <w:pPr>
        <w:spacing w:line="360" w:lineRule="auto"/>
        <w:rPr>
          <w:sz w:val="24"/>
          <w:szCs w:val="24"/>
        </w:rPr>
      </w:pPr>
      <w:r w:rsidRPr="00344013">
        <w:rPr>
          <w:sz w:val="24"/>
          <w:szCs w:val="24"/>
        </w:rPr>
        <w:t>Dye’s inception of Sacagawea as a strong female role model for the suffragette movement became a tool for the supporters and apologists of the westward expansion of the United States. What is believed from Lewis and Clark and the many re-</w:t>
      </w:r>
      <w:proofErr w:type="spellStart"/>
      <w:r w:rsidRPr="00344013">
        <w:rPr>
          <w:sz w:val="24"/>
          <w:szCs w:val="24"/>
        </w:rPr>
        <w:t>tellings</w:t>
      </w:r>
      <w:proofErr w:type="spellEnd"/>
      <w:r w:rsidRPr="00344013">
        <w:rPr>
          <w:sz w:val="24"/>
          <w:szCs w:val="24"/>
        </w:rPr>
        <w:t xml:space="preserve"> of her life is that Sacagawea was a kidnapped child, and a tradable commodity sold without her consent to her husband. When Sacagawea joins the expedition, she becomes an invaluable member of the group, almost single-handedly guiding the expedition to success and later rising to the </w:t>
      </w:r>
      <w:r w:rsidRPr="00344013">
        <w:rPr>
          <w:sz w:val="24"/>
          <w:szCs w:val="24"/>
        </w:rPr>
        <w:lastRenderedPageBreak/>
        <w:t>heights of American heroine.</w:t>
      </w:r>
      <w:r w:rsidRPr="00344013">
        <w:rPr>
          <w:sz w:val="24"/>
          <w:szCs w:val="24"/>
          <w:vertAlign w:val="superscript"/>
        </w:rPr>
        <w:footnoteReference w:id="62"/>
      </w:r>
      <w:r w:rsidRPr="00344013">
        <w:rPr>
          <w:sz w:val="24"/>
          <w:szCs w:val="24"/>
        </w:rPr>
        <w:t xml:space="preserve"> This narrative serves the purposes of Euro-American society, as Sacagawea’s presence has come to represent Indian compliance with the westward expansion of the United States. Sacagawea’s role as saviour of the expedition casts her as a deliverer and supporter of western interests in Indian territory. This echoes the role of Pocahontas as the saviour of John Smith and, therefore, saviour of 17</w:t>
      </w:r>
      <w:r w:rsidRPr="00344013">
        <w:rPr>
          <w:sz w:val="24"/>
          <w:szCs w:val="24"/>
          <w:vertAlign w:val="superscript"/>
        </w:rPr>
        <w:t>th</w:t>
      </w:r>
      <w:r w:rsidRPr="00344013">
        <w:rPr>
          <w:sz w:val="24"/>
          <w:szCs w:val="24"/>
        </w:rPr>
        <w:t xml:space="preserve">-century European interests. Dye proliferates this idea in her reference to Sacagawea being an Indian Princess as her brother, </w:t>
      </w:r>
      <w:proofErr w:type="spellStart"/>
      <w:r w:rsidRPr="00344013">
        <w:rPr>
          <w:sz w:val="24"/>
          <w:szCs w:val="24"/>
        </w:rPr>
        <w:t>Cameahwait</w:t>
      </w:r>
      <w:proofErr w:type="spellEnd"/>
      <w:r w:rsidRPr="00344013">
        <w:rPr>
          <w:sz w:val="24"/>
          <w:szCs w:val="24"/>
        </w:rPr>
        <w:t>, was a chief. Sacagawea’s transformation from a bartered kidnapped child amongst her own people to an indispensable guide and American heroine amongst white Americans served as a microcosm for how the U.S. government saw its future relationship with the Indian populace. They wanted the Indians to fully integrate with white American society and become elevated from the ‘savage’ lives they had lived before, and the story of Sacagawea demonstrated this perfectly.</w:t>
      </w:r>
      <w:r w:rsidRPr="00344013">
        <w:rPr>
          <w:sz w:val="24"/>
          <w:szCs w:val="24"/>
          <w:vertAlign w:val="superscript"/>
        </w:rPr>
        <w:footnoteReference w:id="63"/>
      </w:r>
      <w:r w:rsidRPr="00344013">
        <w:rPr>
          <w:sz w:val="24"/>
          <w:szCs w:val="24"/>
        </w:rPr>
        <w:t xml:space="preserve">  </w:t>
      </w:r>
    </w:p>
    <w:p w14:paraId="201BF7FE" w14:textId="77777777" w:rsidR="00344013" w:rsidRPr="00344013" w:rsidRDefault="00344013" w:rsidP="00344013">
      <w:pPr>
        <w:spacing w:line="360" w:lineRule="auto"/>
        <w:rPr>
          <w:sz w:val="24"/>
          <w:szCs w:val="24"/>
        </w:rPr>
      </w:pPr>
      <w:r w:rsidRPr="00344013">
        <w:rPr>
          <w:sz w:val="24"/>
          <w:szCs w:val="24"/>
        </w:rPr>
        <w:t>Recent scholarship critiquing the existing historiography of the expedition, in general, has arisen with James P. Ronda criticising the dominant white perspective of the mythology and scholarship surrounding the expedition. Ronda claims that the expedition has been branded as an adventure into a wilderness when in, reality, it was a mutual encounter between diverse peoples and cultures. The people who inhabited the great plains were already part of a massive Indian-European trade network and had been for at least fifty years. Lewis and Clark, with their entourage, were different from the traders usually encountered by the plains Indians. Trading groups usually exceeded no more than ten people; they were predominantly French, they visited seasonally, and they would have been male-only groups. The expedition, therefore, would have been somewhat unusual; a group of forty-five mixed race and mixed nationality men with one woman and a baby would have stirred interest. Such a large group might have seemed threatening were it not for the presence of Sacagawea and her son.</w:t>
      </w:r>
      <w:r w:rsidRPr="00344013">
        <w:rPr>
          <w:sz w:val="24"/>
          <w:szCs w:val="24"/>
          <w:vertAlign w:val="superscript"/>
        </w:rPr>
        <w:footnoteReference w:id="64"/>
      </w:r>
    </w:p>
    <w:p w14:paraId="6C059CB8" w14:textId="77777777" w:rsidR="00344013" w:rsidRPr="00344013" w:rsidRDefault="00344013" w:rsidP="00344013">
      <w:pPr>
        <w:spacing w:line="360" w:lineRule="auto"/>
        <w:rPr>
          <w:sz w:val="24"/>
          <w:szCs w:val="24"/>
        </w:rPr>
      </w:pPr>
    </w:p>
    <w:p w14:paraId="53FE460A" w14:textId="69BB212A" w:rsidR="00344013" w:rsidRPr="00344013" w:rsidRDefault="00344013" w:rsidP="00344013">
      <w:pPr>
        <w:spacing w:line="360" w:lineRule="auto"/>
        <w:rPr>
          <w:sz w:val="24"/>
          <w:szCs w:val="24"/>
          <w:u w:val="single"/>
        </w:rPr>
      </w:pPr>
      <w:r w:rsidRPr="00344013">
        <w:rPr>
          <w:sz w:val="24"/>
          <w:szCs w:val="24"/>
          <w:u w:val="single"/>
        </w:rPr>
        <w:t>Lawrence’s Sacagawea</w:t>
      </w:r>
    </w:p>
    <w:p w14:paraId="5CD1C632" w14:textId="77777777" w:rsidR="00344013" w:rsidRPr="00344013" w:rsidRDefault="00344013" w:rsidP="00344013">
      <w:pPr>
        <w:spacing w:line="360" w:lineRule="auto"/>
        <w:rPr>
          <w:sz w:val="24"/>
          <w:szCs w:val="24"/>
        </w:rPr>
      </w:pPr>
    </w:p>
    <w:p w14:paraId="76AD60D3" w14:textId="77777777" w:rsidR="00344013" w:rsidRPr="00344013" w:rsidRDefault="00344013" w:rsidP="00344013">
      <w:pPr>
        <w:spacing w:line="360" w:lineRule="auto"/>
        <w:rPr>
          <w:sz w:val="24"/>
          <w:szCs w:val="24"/>
        </w:rPr>
      </w:pPr>
      <w:r w:rsidRPr="00344013">
        <w:rPr>
          <w:sz w:val="24"/>
          <w:szCs w:val="24"/>
        </w:rPr>
        <w:t xml:space="preserve">Lawrence had his own meaning to impose onto Sacagawea; he chose to focus on the specific incident of Sacagawea reuniting with her brother after her long absence. Lawrence has depicted this, reportedly joyous, occasion as a bittersweet melancholic experience. Sacagawea stares intently into her the face of her brother, </w:t>
      </w:r>
      <w:proofErr w:type="spellStart"/>
      <w:r w:rsidRPr="00344013">
        <w:rPr>
          <w:sz w:val="24"/>
          <w:szCs w:val="24"/>
        </w:rPr>
        <w:t>Cameahwait</w:t>
      </w:r>
      <w:proofErr w:type="spellEnd"/>
      <w:r w:rsidRPr="00344013">
        <w:rPr>
          <w:sz w:val="24"/>
          <w:szCs w:val="24"/>
        </w:rPr>
        <w:t>, as he stares intently just over her head. As a child, Lawrence, along with his younger brother, William, and sister, Geraldine, lived with various foster families from 1927 to 1930. The children were reunited with their mother, once she had become financially stable enough to provide for them. A difficult task for a single mother living through the depression.</w:t>
      </w:r>
      <w:r w:rsidRPr="00344013">
        <w:rPr>
          <w:sz w:val="24"/>
          <w:szCs w:val="24"/>
          <w:vertAlign w:val="superscript"/>
        </w:rPr>
        <w:footnoteReference w:id="65"/>
      </w:r>
      <w:r w:rsidRPr="00344013">
        <w:rPr>
          <w:sz w:val="24"/>
          <w:szCs w:val="24"/>
        </w:rPr>
        <w:t xml:space="preserve"> Painting a scene of a family reunited would have brought back memories for Lawrence, the emotions of which are seen in the pained face of Sacagawea. Not only had Lawrence spent time away from his own family as a child but also, as a black American, he would have been all too aware of the horrendous acts of separating slave families and selling them. The thirteenth amendment to the U.S. Constitution that abolished slavery, came into effect just fifty-two years before his birth and must have still felt relatively tangible.</w:t>
      </w:r>
      <w:r w:rsidRPr="00344013">
        <w:rPr>
          <w:sz w:val="24"/>
          <w:szCs w:val="24"/>
          <w:vertAlign w:val="superscript"/>
        </w:rPr>
        <w:footnoteReference w:id="66"/>
      </w:r>
      <w:r w:rsidRPr="00344013">
        <w:rPr>
          <w:sz w:val="24"/>
          <w:szCs w:val="24"/>
        </w:rPr>
        <w:t xml:space="preserve"> Lawrence had a natural empathetic character, this is evident in his voluntary hospitalisation in 1949. Lawrence had become depressed following his success and felt guilty that so many of his peers were left struggling while he excelled.</w:t>
      </w:r>
      <w:r w:rsidRPr="00344013">
        <w:rPr>
          <w:sz w:val="24"/>
          <w:szCs w:val="24"/>
          <w:vertAlign w:val="superscript"/>
        </w:rPr>
        <w:footnoteReference w:id="67"/>
      </w:r>
      <w:r w:rsidRPr="00344013">
        <w:rPr>
          <w:sz w:val="24"/>
          <w:szCs w:val="24"/>
        </w:rPr>
        <w:t xml:space="preserve"> Lawrence’s natural empathy would have drawn parallels between his personal history, the history of African Americans, and that of Sacagawea. Perhaps most devastating of all was that by the time Lawrence created this work, he had already lost his sister to tuberculosis; she had died in 1944 when he was still serving in the coastguard.</w:t>
      </w:r>
      <w:r w:rsidRPr="00344013">
        <w:rPr>
          <w:sz w:val="24"/>
          <w:szCs w:val="24"/>
          <w:vertAlign w:val="superscript"/>
        </w:rPr>
        <w:footnoteReference w:id="68"/>
      </w:r>
      <w:r w:rsidRPr="00344013">
        <w:rPr>
          <w:sz w:val="24"/>
          <w:szCs w:val="24"/>
        </w:rPr>
        <w:t xml:space="preserve"> </w:t>
      </w:r>
      <w:proofErr w:type="gramStart"/>
      <w:r w:rsidRPr="00344013">
        <w:rPr>
          <w:sz w:val="24"/>
          <w:szCs w:val="24"/>
        </w:rPr>
        <w:t>This accounts</w:t>
      </w:r>
      <w:proofErr w:type="gramEnd"/>
      <w:r w:rsidRPr="00344013">
        <w:rPr>
          <w:sz w:val="24"/>
          <w:szCs w:val="24"/>
        </w:rPr>
        <w:t xml:space="preserve">, at least partially, for the melancholic feeling of this painting. Lawrence knew that there was a sadness to be associated with such a reunion and so imposed onto Sacagawea and </w:t>
      </w:r>
      <w:proofErr w:type="spellStart"/>
      <w:r w:rsidRPr="00344013">
        <w:rPr>
          <w:sz w:val="24"/>
          <w:szCs w:val="24"/>
        </w:rPr>
        <w:t>Cameahwait</w:t>
      </w:r>
      <w:proofErr w:type="spellEnd"/>
      <w:r w:rsidRPr="00344013">
        <w:rPr>
          <w:sz w:val="24"/>
          <w:szCs w:val="24"/>
        </w:rPr>
        <w:t xml:space="preserve"> the sense that, although reunited, they would </w:t>
      </w:r>
      <w:r w:rsidRPr="00344013">
        <w:rPr>
          <w:sz w:val="24"/>
          <w:szCs w:val="24"/>
        </w:rPr>
        <w:lastRenderedPageBreak/>
        <w:t>never get back the time they lost; the reunion would itself be short-lived as forces beyond their control would tear them apart again.</w:t>
      </w:r>
    </w:p>
    <w:p w14:paraId="746877BC" w14:textId="77777777" w:rsidR="00344013" w:rsidRPr="00344013" w:rsidRDefault="00344013" w:rsidP="00344013">
      <w:pPr>
        <w:spacing w:line="360" w:lineRule="auto"/>
        <w:rPr>
          <w:sz w:val="24"/>
          <w:szCs w:val="24"/>
        </w:rPr>
      </w:pPr>
    </w:p>
    <w:p w14:paraId="66C65584" w14:textId="77777777" w:rsidR="00344013" w:rsidRPr="00344013" w:rsidRDefault="00344013" w:rsidP="00344013">
      <w:pPr>
        <w:spacing w:line="360" w:lineRule="auto"/>
        <w:rPr>
          <w:sz w:val="24"/>
          <w:szCs w:val="24"/>
          <w:u w:val="single"/>
        </w:rPr>
      </w:pPr>
      <w:r w:rsidRPr="00344013">
        <w:rPr>
          <w:sz w:val="24"/>
          <w:szCs w:val="24"/>
          <w:u w:val="single"/>
        </w:rPr>
        <w:t xml:space="preserve">Lawrence’s Perspective </w:t>
      </w:r>
    </w:p>
    <w:p w14:paraId="61CB8A49" w14:textId="77777777" w:rsidR="00344013" w:rsidRPr="00344013" w:rsidRDefault="00344013" w:rsidP="00344013">
      <w:pPr>
        <w:spacing w:line="360" w:lineRule="auto"/>
        <w:rPr>
          <w:sz w:val="24"/>
          <w:szCs w:val="24"/>
        </w:rPr>
      </w:pPr>
    </w:p>
    <w:p w14:paraId="5884EA7C" w14:textId="77777777" w:rsidR="00344013" w:rsidRPr="00344013" w:rsidRDefault="00344013" w:rsidP="00344013">
      <w:pPr>
        <w:spacing w:line="360" w:lineRule="auto"/>
        <w:rPr>
          <w:sz w:val="24"/>
          <w:szCs w:val="24"/>
        </w:rPr>
      </w:pPr>
      <w:r w:rsidRPr="00344013">
        <w:rPr>
          <w:sz w:val="24"/>
          <w:szCs w:val="24"/>
        </w:rPr>
        <w:t xml:space="preserve">There are five people in this image; the foreground is occupied by Sacagawea and </w:t>
      </w:r>
      <w:proofErr w:type="spellStart"/>
      <w:r w:rsidRPr="00344013">
        <w:rPr>
          <w:sz w:val="24"/>
          <w:szCs w:val="24"/>
        </w:rPr>
        <w:t>Cameahwait</w:t>
      </w:r>
      <w:proofErr w:type="spellEnd"/>
      <w:r w:rsidRPr="00344013">
        <w:rPr>
          <w:sz w:val="24"/>
          <w:szCs w:val="24"/>
        </w:rPr>
        <w:t xml:space="preserve"> with three unknown characters in the background. In the top right corner is a single Indian figure, and two members of the expeditionary force, most likely Lewis and Clark, occupy the left of the image. There is a clear colour divide between all five characters; the two Indians are dressed in bright multi-coloured clothing with elaborate feather headdresses. In contrast, the Europeans look drab in their brown but detailed clothing. Sacagawea acts as the visual link between the two groups as she is wearing a red shawl, brightly coloured like her fellow Indians but monochromatic like that of her fellow explorers. The most peculiar way in which Lawrence has delineated between the two groups is in the depiction of their faces. The faces of the three Indians are almost freakishly small, whereas the faces of the explorers are appropriately sized relative to their bodies. This is not a matter of perspective, as the face of the Indian man in the background is the same size as those of Sacajawea and her brother in the foreground, and the faces of the two Euro-Americans in the background are significantly larger than the faces of the foreground characters. Lawrence is known to disregard standard rules regarding foreground and background representations. In a 1977 interview, Clarence Major questioned Lawrence about the interchangeability of his foreground and background characters. Lawrence states that this method of working stemmed directly from his teenage years when his immature style of painting was not corrected. His teacher, Charles Alston, later said, ‘it would have been a mistake to try to teach Jake. He was teaching himself, finding his own way.’</w:t>
      </w:r>
      <w:r w:rsidRPr="00344013">
        <w:rPr>
          <w:sz w:val="24"/>
          <w:szCs w:val="24"/>
          <w:vertAlign w:val="superscript"/>
        </w:rPr>
        <w:footnoteReference w:id="69"/>
      </w:r>
      <w:r w:rsidRPr="00344013">
        <w:rPr>
          <w:sz w:val="24"/>
          <w:szCs w:val="24"/>
        </w:rPr>
        <w:t xml:space="preserve"> Major described the effects of this style, ‘You’ve done this by not trying to create this illusion of so-called reality. Instead, the surface, the design creates its own reality.’</w:t>
      </w:r>
      <w:r w:rsidRPr="00344013">
        <w:rPr>
          <w:sz w:val="24"/>
          <w:szCs w:val="24"/>
          <w:vertAlign w:val="superscript"/>
        </w:rPr>
        <w:footnoteReference w:id="70"/>
      </w:r>
      <w:r w:rsidRPr="00344013">
        <w:rPr>
          <w:sz w:val="24"/>
          <w:szCs w:val="24"/>
        </w:rPr>
        <w:t xml:space="preserve"> Why has Lawrence chosen to portray the faces of these people in such contrasting sizes? The primary subject of </w:t>
      </w:r>
      <w:r w:rsidRPr="00344013">
        <w:rPr>
          <w:sz w:val="24"/>
          <w:szCs w:val="24"/>
        </w:rPr>
        <w:lastRenderedPageBreak/>
        <w:t>this painting is the reunion of Sacagawea and her brother and shows them recognising each other after many years apart. By making their faces so small, Lawrence is showing that damage has been done to this relationship, to these individuals, and to the tribe. By portraying their faces as small, we can feel the struggle Sacagawea faced in recognising and, therefore, reconnecting with a person from her past.</w:t>
      </w:r>
    </w:p>
    <w:p w14:paraId="7E247A53" w14:textId="77777777" w:rsidR="00344013" w:rsidRPr="00344013" w:rsidRDefault="00344013" w:rsidP="00344013">
      <w:pPr>
        <w:spacing w:line="360" w:lineRule="auto"/>
        <w:rPr>
          <w:sz w:val="24"/>
          <w:szCs w:val="24"/>
        </w:rPr>
      </w:pPr>
      <w:r w:rsidRPr="00344013">
        <w:rPr>
          <w:sz w:val="24"/>
          <w:szCs w:val="24"/>
        </w:rPr>
        <w:t>However, this does not fully explain why the face of the individual in the background is too miniaturised. The turmoil faced by the Lemhi Shoshone people at the time of Sacagawea’s arrival, which was the same turmoil faced by all North American Indians at the start of the nineteenth century, offers an explanation. The Americans had begun their westward expansion; the Lemhi Shoshone had already been pushed further into the mountains due to incursions from the Blackfoot confederacy in the north and the arrival of Euro-Americans signified the further loss of land and subjugation.</w:t>
      </w:r>
      <w:r w:rsidRPr="00344013">
        <w:rPr>
          <w:sz w:val="24"/>
          <w:szCs w:val="24"/>
          <w:vertAlign w:val="superscript"/>
        </w:rPr>
        <w:footnoteReference w:id="71"/>
      </w:r>
      <w:r w:rsidRPr="00344013">
        <w:rPr>
          <w:sz w:val="24"/>
          <w:szCs w:val="24"/>
        </w:rPr>
        <w:t xml:space="preserve"> By the time Lawrence created this painting in 1956, the U.S. government had been engaged in decades of policy making that showed their incompetence, negligence, and cruelty towards native peoples. By 1868, Sacagawea’s people, the Shoshone, were being forced onto a reservation on their own land.</w:t>
      </w:r>
      <w:r w:rsidRPr="00344013">
        <w:rPr>
          <w:sz w:val="24"/>
          <w:szCs w:val="24"/>
          <w:vertAlign w:val="superscript"/>
        </w:rPr>
        <w:footnoteReference w:id="72"/>
      </w:r>
      <w:r w:rsidRPr="00344013">
        <w:rPr>
          <w:sz w:val="24"/>
          <w:szCs w:val="24"/>
        </w:rPr>
        <w:t xml:space="preserve"> In 1887 the general allotment act was an attempt to ‘civilise’ Indians by dividing up tribal land to be farmed in the European style in the hope that this would lead to full integration, it did not. Genocidal acts continued and more legislation was needed. The Indian Reorganisation Act of 1934 was an attempt to repair the damage done by handing back autonomy to individual tribes, but only under the system of government set out by the U.S. capitalist structure. This passage from the Reorganisation Act states that it was, ‘An act to conserve and develop Indian lands and resources; to extend to Indians the right to form business and other organisations; to establish a credit system for Indians; to grant certain rights of home rule to Indians; to provide for vocational education for Indians; and for other purposes.’ How aware Lawrence was of the specific difficulties faced by Indians when he created this painting is impossible to know. It is, however, fair to assume that he would have been aware of the public outcries regarding the treatment of Indian people, and he would </w:t>
      </w:r>
      <w:r w:rsidRPr="00344013">
        <w:rPr>
          <w:sz w:val="24"/>
          <w:szCs w:val="24"/>
        </w:rPr>
        <w:lastRenderedPageBreak/>
        <w:t xml:space="preserve">have been aware of the appointment of Dillon Meyer, the former head of the </w:t>
      </w:r>
      <w:proofErr w:type="gramStart"/>
      <w:r w:rsidRPr="00344013">
        <w:rPr>
          <w:sz w:val="24"/>
          <w:szCs w:val="24"/>
        </w:rPr>
        <w:t>Japanese-American</w:t>
      </w:r>
      <w:proofErr w:type="gramEnd"/>
      <w:r w:rsidRPr="00344013">
        <w:rPr>
          <w:sz w:val="24"/>
          <w:szCs w:val="24"/>
        </w:rPr>
        <w:t xml:space="preserve"> relocation centres, to the commissioner of the Bureau of Indian Affairs.</w:t>
      </w:r>
      <w:r w:rsidRPr="00344013">
        <w:rPr>
          <w:sz w:val="24"/>
          <w:szCs w:val="24"/>
          <w:vertAlign w:val="superscript"/>
        </w:rPr>
        <w:footnoteReference w:id="73"/>
      </w:r>
      <w:r w:rsidRPr="00344013">
        <w:rPr>
          <w:sz w:val="24"/>
          <w:szCs w:val="24"/>
        </w:rPr>
        <w:t xml:space="preserve"> </w:t>
      </w:r>
    </w:p>
    <w:p w14:paraId="5875B5D7" w14:textId="77777777" w:rsidR="00344013" w:rsidRPr="00344013" w:rsidRDefault="00344013" w:rsidP="00344013">
      <w:pPr>
        <w:spacing w:line="360" w:lineRule="auto"/>
        <w:rPr>
          <w:sz w:val="24"/>
          <w:szCs w:val="24"/>
        </w:rPr>
      </w:pPr>
      <w:r w:rsidRPr="00344013">
        <w:rPr>
          <w:sz w:val="24"/>
          <w:szCs w:val="24"/>
        </w:rPr>
        <w:t xml:space="preserve">There are indications, however, that Lawrence did not know much about Indian history or culture in general from his depictions of Indians and Indian dress. Lawrence has depicted three distinct tribes in the three panels being discussed, the Mohawk, the Shoshoni, and the Shawnee; however, they are all dressed in the same style with feather headdresses. The Shoshoni headdresses are more elaborate than that of the other two tribes depicted, but all three are still identifiable as Indians by the same stereotypical use of feathers. Lawrence may have portrayed these three distinct nations in this way to imply the homogenisation of multiple diverse tribes into a Hollywood-style generic Indian archetype. However, it is more likely that Lawrence himself relied on this archetype to depict the Indians in his paintings, as his knowledge of Indian culture had been distorted by decades of misinformation and anti-Indian propaganda. Lawrence was operating from a position of hindsight; he may not have been an expert on Federal policy regarding Indians but, he was all too aware of the fate that was to befall the North American Indians in the decades following the expedition. It is from this position that Lawrence portrays in the faces of the Lemhi Shoshone the increasing loss of what was once recognisable and familiar to them.  </w:t>
      </w:r>
    </w:p>
    <w:p w14:paraId="36CDE454" w14:textId="77777777" w:rsidR="00344013" w:rsidRPr="00344013" w:rsidRDefault="00344013" w:rsidP="00344013">
      <w:pPr>
        <w:spacing w:line="360" w:lineRule="auto"/>
        <w:rPr>
          <w:sz w:val="24"/>
          <w:szCs w:val="24"/>
        </w:rPr>
      </w:pPr>
    </w:p>
    <w:p w14:paraId="13BD4196" w14:textId="77777777" w:rsidR="00344013" w:rsidRPr="00344013" w:rsidRDefault="00344013" w:rsidP="00344013">
      <w:pPr>
        <w:spacing w:line="360" w:lineRule="auto"/>
        <w:rPr>
          <w:sz w:val="24"/>
          <w:szCs w:val="24"/>
          <w:u w:val="single"/>
        </w:rPr>
      </w:pPr>
      <w:r w:rsidRPr="00344013">
        <w:rPr>
          <w:sz w:val="24"/>
          <w:szCs w:val="24"/>
          <w:u w:val="single"/>
        </w:rPr>
        <w:t>The Political Tightrope</w:t>
      </w:r>
    </w:p>
    <w:p w14:paraId="5E89CD84" w14:textId="77777777" w:rsidR="00344013" w:rsidRPr="00344013" w:rsidRDefault="00344013" w:rsidP="00344013">
      <w:pPr>
        <w:spacing w:line="360" w:lineRule="auto"/>
        <w:rPr>
          <w:sz w:val="24"/>
          <w:szCs w:val="24"/>
        </w:rPr>
      </w:pPr>
    </w:p>
    <w:p w14:paraId="679E195E" w14:textId="77777777" w:rsidR="00344013" w:rsidRPr="00344013" w:rsidRDefault="00344013" w:rsidP="00344013">
      <w:pPr>
        <w:spacing w:line="360" w:lineRule="auto"/>
        <w:rPr>
          <w:sz w:val="24"/>
          <w:szCs w:val="24"/>
        </w:rPr>
      </w:pPr>
      <w:r w:rsidRPr="00344013">
        <w:rPr>
          <w:sz w:val="24"/>
          <w:szCs w:val="24"/>
        </w:rPr>
        <w:t xml:space="preserve">A 1957 article in the </w:t>
      </w:r>
      <w:r w:rsidRPr="00344013">
        <w:rPr>
          <w:i/>
          <w:iCs/>
          <w:sz w:val="24"/>
          <w:szCs w:val="24"/>
        </w:rPr>
        <w:t>Negro History Bulletin,</w:t>
      </w:r>
      <w:r w:rsidRPr="00344013">
        <w:rPr>
          <w:sz w:val="24"/>
          <w:szCs w:val="24"/>
        </w:rPr>
        <w:t xml:space="preserve"> discusses Lawrence’s propensity for painting distorted figures, ‘His figures are generally distorted and grotesque and are developed in </w:t>
      </w:r>
      <w:proofErr w:type="gramStart"/>
      <w:r w:rsidRPr="00344013">
        <w:rPr>
          <w:sz w:val="24"/>
          <w:szCs w:val="24"/>
        </w:rPr>
        <w:t>gigantic elongated</w:t>
      </w:r>
      <w:proofErr w:type="gramEnd"/>
      <w:r w:rsidRPr="00344013">
        <w:rPr>
          <w:sz w:val="24"/>
          <w:szCs w:val="24"/>
        </w:rPr>
        <w:t xml:space="preserve"> proportions which suggest deep emotional unrest within the painter.’ The article uses Lawrence’s stay at Hillside Mental Hospital as evidence for the claim that he was mentally disturbed.</w:t>
      </w:r>
      <w:r w:rsidRPr="00344013">
        <w:rPr>
          <w:sz w:val="24"/>
          <w:szCs w:val="24"/>
          <w:vertAlign w:val="superscript"/>
        </w:rPr>
        <w:footnoteReference w:id="74"/>
      </w:r>
      <w:r w:rsidRPr="00344013">
        <w:rPr>
          <w:sz w:val="24"/>
          <w:szCs w:val="24"/>
        </w:rPr>
        <w:t xml:space="preserve"> However, this argument seems somewhat flawed; Lawrence was treated for an uncomplicated bout of depression while in hospital. Many people suffer from depression or some form of mental illness, to claim that all of Lawrence’s work was </w:t>
      </w:r>
      <w:r w:rsidRPr="00344013">
        <w:rPr>
          <w:sz w:val="24"/>
          <w:szCs w:val="24"/>
        </w:rPr>
        <w:lastRenderedPageBreak/>
        <w:t xml:space="preserve">significantly influenced by a mental imbalance is a misunderstanding that has led to certain aspects of his work being overlooked. Lawrence was not distorting the figures in his paintings as a representation of inner turmoil but rather as a representation of the disfigured society in which he lived. The tightrope Lawrence had to walk is highlighted in a 1944 article from </w:t>
      </w:r>
      <w:r w:rsidRPr="00344013">
        <w:rPr>
          <w:i/>
          <w:iCs/>
          <w:sz w:val="24"/>
          <w:szCs w:val="24"/>
        </w:rPr>
        <w:t xml:space="preserve">The Bulletin of the Museum of Modern Art. </w:t>
      </w:r>
      <w:r w:rsidRPr="00344013">
        <w:rPr>
          <w:sz w:val="24"/>
          <w:szCs w:val="24"/>
        </w:rPr>
        <w:t xml:space="preserve">This article is written about Lawrence’s </w:t>
      </w:r>
      <w:r w:rsidRPr="00344013">
        <w:rPr>
          <w:i/>
          <w:iCs/>
          <w:sz w:val="24"/>
          <w:szCs w:val="24"/>
        </w:rPr>
        <w:t>Coastguard</w:t>
      </w:r>
      <w:r w:rsidRPr="00344013">
        <w:rPr>
          <w:sz w:val="24"/>
          <w:szCs w:val="24"/>
        </w:rPr>
        <w:t xml:space="preserve"> and </w:t>
      </w:r>
      <w:r w:rsidRPr="00344013">
        <w:rPr>
          <w:i/>
          <w:iCs/>
          <w:sz w:val="24"/>
          <w:szCs w:val="24"/>
        </w:rPr>
        <w:t>Migration of the Negro</w:t>
      </w:r>
      <w:r w:rsidRPr="00344013">
        <w:rPr>
          <w:sz w:val="24"/>
          <w:szCs w:val="24"/>
        </w:rPr>
        <w:t xml:space="preserve"> series. Full of praise and admiration for Lawrence’s gritty depiction of the hardships faced by African Americans migrating north, the article also states, ‘his pictorial statements are quiet, even-tempered, non-inflammatory. His pictures do not mount a </w:t>
      </w:r>
      <w:proofErr w:type="gramStart"/>
      <w:r w:rsidRPr="00344013">
        <w:rPr>
          <w:sz w:val="24"/>
          <w:szCs w:val="24"/>
        </w:rPr>
        <w:t>soap-box</w:t>
      </w:r>
      <w:proofErr w:type="gramEnd"/>
      <w:r w:rsidRPr="00344013">
        <w:rPr>
          <w:sz w:val="24"/>
          <w:szCs w:val="24"/>
        </w:rPr>
        <w:t xml:space="preserve"> or preach a sermon.’</w:t>
      </w:r>
      <w:r w:rsidRPr="00344013">
        <w:rPr>
          <w:sz w:val="24"/>
          <w:szCs w:val="24"/>
          <w:vertAlign w:val="superscript"/>
        </w:rPr>
        <w:footnoteReference w:id="75"/>
      </w:r>
      <w:r w:rsidRPr="00344013">
        <w:rPr>
          <w:sz w:val="24"/>
          <w:szCs w:val="24"/>
        </w:rPr>
        <w:t xml:space="preserve"> The message is clear. As far as the art world was concerned, Lawrence could depict the harsh realities of life but any hint at a wider political message attributing blame, responsibility, or a potential solution, would not be tolerated. In a statement from 1940 regarding his </w:t>
      </w:r>
      <w:r w:rsidRPr="00344013">
        <w:rPr>
          <w:i/>
          <w:iCs/>
          <w:sz w:val="24"/>
          <w:szCs w:val="24"/>
        </w:rPr>
        <w:t xml:space="preserve">Toussaint </w:t>
      </w:r>
      <w:proofErr w:type="spellStart"/>
      <w:r w:rsidRPr="00344013">
        <w:rPr>
          <w:i/>
          <w:iCs/>
          <w:sz w:val="24"/>
          <w:szCs w:val="24"/>
        </w:rPr>
        <w:t>L’Ouverture</w:t>
      </w:r>
      <w:proofErr w:type="spellEnd"/>
      <w:r w:rsidRPr="00344013">
        <w:rPr>
          <w:sz w:val="24"/>
          <w:szCs w:val="24"/>
        </w:rPr>
        <w:t xml:space="preserve"> series Lawrence wrote, ‘I’m not a politician. I’m an artist, just trying to do my part to bring this thing [revolution] about’.</w:t>
      </w:r>
      <w:r w:rsidRPr="00344013">
        <w:rPr>
          <w:sz w:val="24"/>
          <w:szCs w:val="24"/>
          <w:vertAlign w:val="superscript"/>
        </w:rPr>
        <w:footnoteReference w:id="76"/>
      </w:r>
      <w:r w:rsidRPr="00344013">
        <w:rPr>
          <w:sz w:val="24"/>
          <w:szCs w:val="24"/>
        </w:rPr>
        <w:t xml:space="preserve"> Lawrence may not have been a politician, but he was certainly politically minded. </w:t>
      </w:r>
    </w:p>
    <w:p w14:paraId="5362C72B" w14:textId="77777777" w:rsidR="00002F7A" w:rsidRDefault="00344013" w:rsidP="00344013">
      <w:pPr>
        <w:spacing w:line="360" w:lineRule="auto"/>
        <w:rPr>
          <w:sz w:val="24"/>
          <w:szCs w:val="24"/>
        </w:rPr>
      </w:pPr>
      <w:r w:rsidRPr="00344013">
        <w:rPr>
          <w:sz w:val="24"/>
          <w:szCs w:val="24"/>
        </w:rPr>
        <w:t xml:space="preserve">It can be seen in these three quotes how a young artist, who wanted to bring about political change and planned to use his paintings to do so, had to disguise political messages within his work to avoid having it rejected by the wider art world. His hospitalisation for depression then saw his work misunderstood by critics who insisted his abstract designs were the product of a disturbed mind. To relate this to his representation of Sacagawea and the two other Indians in the painting, Lawrence could not have painted a scene of Indians being driven from their lands by whites; he had to be subtle and make his point by using indirection. </w:t>
      </w:r>
    </w:p>
    <w:p w14:paraId="1E1FDF6B" w14:textId="5B36763C" w:rsidR="00344013" w:rsidRPr="00344013" w:rsidRDefault="00344013" w:rsidP="00344013">
      <w:pPr>
        <w:spacing w:line="360" w:lineRule="auto"/>
        <w:rPr>
          <w:sz w:val="24"/>
          <w:szCs w:val="24"/>
        </w:rPr>
      </w:pPr>
      <w:r w:rsidRPr="00344013">
        <w:rPr>
          <w:sz w:val="24"/>
          <w:szCs w:val="24"/>
          <w:u w:val="single"/>
        </w:rPr>
        <w:t>Conclusion</w:t>
      </w:r>
    </w:p>
    <w:p w14:paraId="47CADFB7" w14:textId="77777777" w:rsidR="00344013" w:rsidRPr="00344013" w:rsidRDefault="00344013" w:rsidP="00344013">
      <w:pPr>
        <w:spacing w:line="360" w:lineRule="auto"/>
        <w:rPr>
          <w:sz w:val="24"/>
          <w:szCs w:val="24"/>
          <w:u w:val="single"/>
        </w:rPr>
      </w:pPr>
    </w:p>
    <w:p w14:paraId="4CF55322" w14:textId="77777777" w:rsidR="00344013" w:rsidRPr="00344013" w:rsidRDefault="00344013" w:rsidP="00344013">
      <w:pPr>
        <w:spacing w:line="360" w:lineRule="auto"/>
        <w:rPr>
          <w:sz w:val="24"/>
          <w:szCs w:val="24"/>
        </w:rPr>
      </w:pPr>
      <w:bookmarkStart w:id="13" w:name="_Hlk99616986"/>
      <w:r w:rsidRPr="00344013">
        <w:rPr>
          <w:sz w:val="24"/>
          <w:szCs w:val="24"/>
        </w:rPr>
        <w:t>Lawrence knew that the art world of the mid-20</w:t>
      </w:r>
      <w:r w:rsidRPr="00344013">
        <w:rPr>
          <w:sz w:val="24"/>
          <w:szCs w:val="24"/>
          <w:vertAlign w:val="superscript"/>
        </w:rPr>
        <w:t>th</w:t>
      </w:r>
      <w:r w:rsidRPr="00344013">
        <w:rPr>
          <w:sz w:val="24"/>
          <w:szCs w:val="24"/>
        </w:rPr>
        <w:t xml:space="preserve"> century would not respond favourably to any inclusion of political messages, especially racially motivated ones, within his work. The purpose of analysing this panel was to discover what, if any, political messages Lawrence included within it. In analysing why Lawrence played with perspective and why he portrayed this scene in such a melancholy manner, a political message has been drawn out. Here, Lawrence has criticised the removal of land from the Indian population. In using Sacagawea, a character associated with Indian compliance with American expansionism, Lawrence has subverted this idea with his clever use of distorted figures and meaningful facial expressions. Lawrence was no expert on Indian history, his research would have been manipulated by the mythmaking of Dye and </w:t>
      </w:r>
      <w:proofErr w:type="spellStart"/>
      <w:r w:rsidRPr="00344013">
        <w:rPr>
          <w:sz w:val="24"/>
          <w:szCs w:val="24"/>
        </w:rPr>
        <w:t>Hebard</w:t>
      </w:r>
      <w:proofErr w:type="spellEnd"/>
      <w:r w:rsidRPr="00344013">
        <w:rPr>
          <w:sz w:val="24"/>
          <w:szCs w:val="24"/>
        </w:rPr>
        <w:t>, and he was influenced by the classic Indian stereotype, as was the rest of society. What is evident, however, is that Lawrence’s natural empathy enabled him to create a new representation of Sacagawea from the existing narrative. In this painting, there is not the same stereotypical Sacagawea as so often depicted. In Lawrence’s work, she is a real person, with a real past, and an uncertain future. He has not hidden the pain on her face behind a false smile or a look of steely determination to help the Americans conquer the native land, an act for which so many white Americans celebrate her. Lawrence’s Sacagawea is a desperate and mournful character; he has not disguised this for the sake of his audience’s comfort.</w:t>
      </w:r>
    </w:p>
    <w:p w14:paraId="7A832F84" w14:textId="77777777" w:rsidR="00344013" w:rsidRPr="00344013" w:rsidRDefault="00344013" w:rsidP="00344013">
      <w:pPr>
        <w:spacing w:line="360" w:lineRule="auto"/>
        <w:rPr>
          <w:sz w:val="24"/>
          <w:szCs w:val="24"/>
        </w:rPr>
      </w:pPr>
      <w:r w:rsidRPr="00344013">
        <w:rPr>
          <w:sz w:val="24"/>
          <w:szCs w:val="24"/>
        </w:rPr>
        <w:t xml:space="preserve">Lawrence’s depiction of Sacagawea calls into question the wider historiography surrounding Indian women. How and why Indian women have been misrepresented by scholars, authors, and politicians is a neglected area of research and an important area for further scholarship. As a well-known figure Sacagawea performs the role of gateway into the overlooked world of native women. </w:t>
      </w:r>
    </w:p>
    <w:bookmarkEnd w:id="13"/>
    <w:p w14:paraId="15C2D7F0" w14:textId="77777777" w:rsidR="00344013" w:rsidRPr="00344013" w:rsidRDefault="00344013" w:rsidP="00344013">
      <w:pPr>
        <w:spacing w:line="360" w:lineRule="auto"/>
        <w:rPr>
          <w:sz w:val="24"/>
          <w:szCs w:val="24"/>
        </w:rPr>
      </w:pPr>
    </w:p>
    <w:p w14:paraId="6EE2C4C3" w14:textId="77777777" w:rsidR="00344013" w:rsidRPr="00344013" w:rsidRDefault="00344013" w:rsidP="00344013">
      <w:pPr>
        <w:spacing w:line="360" w:lineRule="auto"/>
        <w:rPr>
          <w:sz w:val="24"/>
          <w:szCs w:val="24"/>
          <w:u w:val="single"/>
        </w:rPr>
      </w:pPr>
      <w:r w:rsidRPr="00344013">
        <w:rPr>
          <w:sz w:val="24"/>
          <w:szCs w:val="24"/>
          <w:u w:val="single"/>
        </w:rPr>
        <w:br w:type="page"/>
      </w:r>
    </w:p>
    <w:p w14:paraId="0CA35DFC" w14:textId="77777777" w:rsidR="00344013" w:rsidRPr="00344013" w:rsidRDefault="00344013" w:rsidP="00344013">
      <w:pPr>
        <w:spacing w:line="360" w:lineRule="auto"/>
        <w:rPr>
          <w:i/>
          <w:iCs/>
          <w:sz w:val="24"/>
          <w:szCs w:val="24"/>
          <w:u w:val="single"/>
        </w:rPr>
      </w:pPr>
      <w:r w:rsidRPr="00344013">
        <w:rPr>
          <w:sz w:val="24"/>
          <w:szCs w:val="24"/>
          <w:u w:val="single"/>
        </w:rPr>
        <w:lastRenderedPageBreak/>
        <w:t>Chapter Three</w:t>
      </w:r>
      <w:r w:rsidRPr="00344013">
        <w:rPr>
          <w:i/>
          <w:iCs/>
          <w:sz w:val="24"/>
          <w:szCs w:val="24"/>
          <w:u w:val="single"/>
        </w:rPr>
        <w:t>: Listen, Father! The Americans have not yet defeated us by land; neither are we sure they have done so by water—we therefore wish to remain here and fight our enemy . . . —Tecumseh to the British, Tippecanoe, 1811</w:t>
      </w:r>
    </w:p>
    <w:p w14:paraId="72594ACF" w14:textId="77777777" w:rsidR="00344013" w:rsidRPr="00344013" w:rsidRDefault="00344013" w:rsidP="00344013">
      <w:pPr>
        <w:spacing w:line="360" w:lineRule="auto"/>
        <w:rPr>
          <w:sz w:val="24"/>
          <w:szCs w:val="24"/>
          <w:u w:val="single"/>
        </w:rPr>
      </w:pPr>
    </w:p>
    <w:p w14:paraId="6697E53A" w14:textId="77777777" w:rsidR="00344013" w:rsidRPr="00344013" w:rsidRDefault="00344013" w:rsidP="00344013">
      <w:pPr>
        <w:spacing w:line="360" w:lineRule="auto"/>
        <w:rPr>
          <w:sz w:val="20"/>
          <w:szCs w:val="20"/>
          <w:u w:val="single"/>
        </w:rPr>
      </w:pPr>
      <w:r w:rsidRPr="00344013">
        <w:rPr>
          <w:sz w:val="24"/>
          <w:szCs w:val="24"/>
          <w:u w:val="single"/>
        </w:rPr>
        <w:drawing>
          <wp:inline distT="0" distB="0" distL="0" distR="0" wp14:anchorId="25AD5CCF" wp14:editId="7E6F4403">
            <wp:extent cx="5729478" cy="5825067"/>
            <wp:effectExtent l="0" t="0" r="5080" b="4445"/>
            <wp:docPr id="38" name="Picture 38" descr="A picture containing colorful, flag, graffiti,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colorful, flag, graffiti, decorated&#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1245" cy="5857364"/>
                    </a:xfrm>
                    <a:prstGeom prst="rect">
                      <a:avLst/>
                    </a:prstGeom>
                    <a:noFill/>
                  </pic:spPr>
                </pic:pic>
              </a:graphicData>
            </a:graphic>
          </wp:inline>
        </w:drawing>
      </w:r>
      <w:r w:rsidRPr="00344013">
        <w:rPr>
          <w:sz w:val="20"/>
          <w:szCs w:val="20"/>
        </w:rPr>
        <mc:AlternateContent>
          <mc:Choice Requires="wpi">
            <w:drawing>
              <wp:anchor distT="0" distB="0" distL="114300" distR="114300" simplePos="0" relativeHeight="251681792" behindDoc="0" locked="0" layoutInCell="1" allowOverlap="1" wp14:anchorId="329A7662" wp14:editId="6ABC68DD">
                <wp:simplePos x="0" y="0"/>
                <wp:positionH relativeFrom="column">
                  <wp:posOffset>-44502</wp:posOffset>
                </wp:positionH>
                <wp:positionV relativeFrom="paragraph">
                  <wp:posOffset>4570662</wp:posOffset>
                </wp:positionV>
                <wp:extent cx="360" cy="360"/>
                <wp:effectExtent l="38100" t="38100" r="57150" b="57150"/>
                <wp:wrapNone/>
                <wp:docPr id="33" name="Ink 33"/>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B64261B" id="Ink 33" o:spid="_x0000_s1026" type="#_x0000_t75" style="position:absolute;margin-left:-4.2pt;margin-top:359.2pt;width:1.45pt;height:1.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">
                <v:imagedata r:id="rId10" o:title=""/>
              </v:shape>
            </w:pict>
          </mc:Fallback>
        </mc:AlternateContent>
      </w:r>
      <w:r w:rsidRPr="00344013">
        <w:rPr>
          <w:sz w:val="20"/>
          <w:szCs w:val="20"/>
        </w:rPr>
        <mc:AlternateContent>
          <mc:Choice Requires="wpi">
            <w:drawing>
              <wp:anchor distT="0" distB="0" distL="114300" distR="114300" simplePos="0" relativeHeight="251675648" behindDoc="0" locked="0" layoutInCell="1" allowOverlap="1" wp14:anchorId="590FC944" wp14:editId="4DA90D85">
                <wp:simplePos x="0" y="0"/>
                <wp:positionH relativeFrom="column">
                  <wp:posOffset>-35502</wp:posOffset>
                </wp:positionH>
                <wp:positionV relativeFrom="paragraph">
                  <wp:posOffset>4588302</wp:posOffset>
                </wp:positionV>
                <wp:extent cx="360" cy="360"/>
                <wp:effectExtent l="38100" t="38100" r="57150" b="57150"/>
                <wp:wrapNone/>
                <wp:docPr id="32" name="Ink 32"/>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76E7CF44" id="Ink 32" o:spid="_x0000_s1026" type="#_x0000_t75" style="position:absolute;margin-left:-3.5pt;margin-top:360.6pt;width:1.45pt;height:1.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">
                <v:imagedata r:id="rId10" o:title=""/>
              </v:shape>
            </w:pict>
          </mc:Fallback>
        </mc:AlternateContent>
      </w:r>
      <w:r w:rsidRPr="00344013">
        <w:rPr>
          <w:sz w:val="20"/>
          <w:szCs w:val="20"/>
        </w:rPr>
        <mc:AlternateContent>
          <mc:Choice Requires="wpi">
            <w:drawing>
              <wp:anchor distT="0" distB="0" distL="114300" distR="114300" simplePos="0" relativeHeight="251669504" behindDoc="0" locked="0" layoutInCell="1" allowOverlap="1" wp14:anchorId="69787CA8" wp14:editId="4E5334F6">
                <wp:simplePos x="0" y="0"/>
                <wp:positionH relativeFrom="column">
                  <wp:posOffset>5075510</wp:posOffset>
                </wp:positionH>
                <wp:positionV relativeFrom="paragraph">
                  <wp:posOffset>-34577</wp:posOffset>
                </wp:positionV>
                <wp:extent cx="38880" cy="228600"/>
                <wp:effectExtent l="38100" t="38100" r="56515" b="57150"/>
                <wp:wrapNone/>
                <wp:docPr id="31" name="Ink 31"/>
                <wp:cNvGraphicFramePr/>
                <a:graphic xmlns:a="http://schemas.openxmlformats.org/drawingml/2006/main">
                  <a:graphicData uri="http://schemas.microsoft.com/office/word/2010/wordprocessingInk">
                    <w14:contentPart bwMode="auto" r:id="rId24">
                      <w14:nvContentPartPr>
                        <w14:cNvContentPartPr/>
                      </w14:nvContentPartPr>
                      <w14:xfrm>
                        <a:off x="0" y="0"/>
                        <a:ext cx="38880" cy="228600"/>
                      </w14:xfrm>
                    </w14:contentPart>
                  </a:graphicData>
                </a:graphic>
              </wp:anchor>
            </w:drawing>
          </mc:Choice>
          <mc:Fallback>
            <w:pict>
              <v:shape w14:anchorId="1BC63F1F" id="Ink 31" o:spid="_x0000_s1026" type="#_x0000_t75" style="position:absolute;margin-left:398.95pt;margin-top:-3.4pt;width:4.45pt;height:19.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">
                <v:imagedata r:id="rId13" o:title=""/>
              </v:shape>
            </w:pict>
          </mc:Fallback>
        </mc:AlternateContent>
      </w:r>
      <w:r w:rsidRPr="00344013">
        <w:rPr>
          <w:sz w:val="20"/>
          <w:szCs w:val="20"/>
        </w:rPr>
        <mc:AlternateContent>
          <mc:Choice Requires="wpi">
            <w:drawing>
              <wp:anchor distT="0" distB="0" distL="114300" distR="114300" simplePos="0" relativeHeight="251663360" behindDoc="0" locked="0" layoutInCell="1" allowOverlap="1" wp14:anchorId="6923ABD7" wp14:editId="18843538">
                <wp:simplePos x="0" y="0"/>
                <wp:positionH relativeFrom="column">
                  <wp:posOffset>1377106</wp:posOffset>
                </wp:positionH>
                <wp:positionV relativeFrom="paragraph">
                  <wp:posOffset>307458</wp:posOffset>
                </wp:positionV>
                <wp:extent cx="360" cy="360"/>
                <wp:effectExtent l="38100" t="38100" r="57150" b="57150"/>
                <wp:wrapNone/>
                <wp:docPr id="11"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70B902F5" id="Ink 11" o:spid="_x0000_s1026" type="#_x0000_t75" style="position:absolute;margin-left:107.75pt;margin-top:23.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">
                <v:imagedata r:id="rId10" o:title=""/>
              </v:shape>
            </w:pict>
          </mc:Fallback>
        </mc:AlternateContent>
      </w:r>
      <w:r w:rsidRPr="00344013">
        <w:rPr>
          <w:sz w:val="20"/>
          <w:szCs w:val="20"/>
        </w:rPr>
        <mc:AlternateContent>
          <mc:Choice Requires="wpi">
            <w:drawing>
              <wp:anchor distT="0" distB="0" distL="114300" distR="114300" simplePos="0" relativeHeight="251657216" behindDoc="0" locked="0" layoutInCell="1" allowOverlap="1" wp14:anchorId="22FA5E37" wp14:editId="79FD38A5">
                <wp:simplePos x="0" y="0"/>
                <wp:positionH relativeFrom="column">
                  <wp:posOffset>-484062</wp:posOffset>
                </wp:positionH>
                <wp:positionV relativeFrom="paragraph">
                  <wp:posOffset>1282338</wp:posOffset>
                </wp:positionV>
                <wp:extent cx="360" cy="360"/>
                <wp:effectExtent l="38100" t="38100" r="57150" b="57150"/>
                <wp:wrapNone/>
                <wp:docPr id="8"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631FC3BD" id="Ink 8" o:spid="_x0000_s1026" type="#_x0000_t75" style="position:absolute;margin-left:-38.8pt;margin-top:100.25pt;width:1.45pt;height:1.45pt;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">
                <v:imagedata r:id="rId16" o:title=""/>
              </v:shape>
            </w:pict>
          </mc:Fallback>
        </mc:AlternateContent>
      </w:r>
      <w:r w:rsidRPr="00344013">
        <w:rPr>
          <w:sz w:val="20"/>
          <w:szCs w:val="20"/>
        </w:rPr>
        <w:t>Fig 5: Jacob Lawrence, Panel 21,</w:t>
      </w:r>
      <w:r w:rsidRPr="00344013">
        <w:rPr>
          <w:i/>
          <w:iCs/>
          <w:sz w:val="20"/>
          <w:szCs w:val="20"/>
        </w:rPr>
        <w:t xml:space="preserve"> Listen, Father! The Americans have not yet defeated us by land; neither are we sure they have done so by water—we therefore wish to remain here and fight our enemy . . .—Tecumseh to the British, Tippecanoe, 1811,</w:t>
      </w:r>
      <w:r w:rsidRPr="00344013">
        <w:rPr>
          <w:sz w:val="20"/>
          <w:szCs w:val="20"/>
        </w:rPr>
        <w:t xml:space="preserve"> from Struggle: From the </w:t>
      </w:r>
      <w:r w:rsidRPr="00344013">
        <w:rPr>
          <w:sz w:val="20"/>
          <w:szCs w:val="20"/>
        </w:rPr>
        <w:lastRenderedPageBreak/>
        <w:t>History of the American People, 1954–56, egg tempera on hardboard 12 × 15 1/2 in. (30.5 × 39.4 cm).</w:t>
      </w:r>
      <w:r w:rsidRPr="00344013">
        <w:rPr>
          <w:sz w:val="20"/>
          <w:szCs w:val="20"/>
          <w:vertAlign w:val="superscript"/>
        </w:rPr>
        <w:footnoteReference w:id="77"/>
      </w:r>
    </w:p>
    <w:p w14:paraId="6C41CFFD" w14:textId="77777777" w:rsidR="00344013" w:rsidRPr="00344013" w:rsidRDefault="00344013" w:rsidP="00344013">
      <w:pPr>
        <w:spacing w:line="360" w:lineRule="auto"/>
        <w:rPr>
          <w:sz w:val="24"/>
          <w:szCs w:val="24"/>
        </w:rPr>
      </w:pPr>
      <w:r w:rsidRPr="00344013">
        <w:rPr>
          <w:sz w:val="24"/>
          <w:szCs w:val="24"/>
        </w:rPr>
        <w:t xml:space="preserve">Panel 21 of the </w:t>
      </w:r>
      <w:r w:rsidRPr="00344013">
        <w:rPr>
          <w:i/>
          <w:iCs/>
          <w:sz w:val="24"/>
          <w:szCs w:val="24"/>
        </w:rPr>
        <w:t>Struggle</w:t>
      </w:r>
      <w:r w:rsidRPr="00344013">
        <w:rPr>
          <w:sz w:val="24"/>
          <w:szCs w:val="24"/>
        </w:rPr>
        <w:t xml:space="preserve"> collection, depicts a battle scene from the war of 1812 between allied Indian forces, led by the legendary Shawnee warrior and statesman Tecumseh, and American Forces. It is not entirely clear what battle is depicted in this painting. The title states an address given by Tecumseh after the battle of Tippecanoe, however, Tecumseh was not at that battle; it was Tenskwatawa who was one of the Indian leaders at Tippecanoe. It is more likely that it depicts a scene from the 1813 Battle of the Thames in what is now the Canadian province of Ontario. Tecumseh led his forces in this battle; his warriors were defeated, and he was killed.</w:t>
      </w:r>
      <w:r w:rsidRPr="00344013">
        <w:rPr>
          <w:sz w:val="24"/>
          <w:szCs w:val="24"/>
          <w:vertAlign w:val="superscript"/>
        </w:rPr>
        <w:footnoteReference w:id="78"/>
      </w:r>
      <w:r w:rsidRPr="00344013">
        <w:rPr>
          <w:sz w:val="24"/>
          <w:szCs w:val="24"/>
        </w:rPr>
        <w:t xml:space="preserve"> Which battle is depicted in this painting is almost unimportant, the confusion of the sources only highlights how Tecumseh has come to be remembered since his death. The 2005 book </w:t>
      </w:r>
      <w:r w:rsidRPr="00344013">
        <w:rPr>
          <w:i/>
          <w:iCs/>
          <w:sz w:val="24"/>
          <w:szCs w:val="24"/>
        </w:rPr>
        <w:t xml:space="preserve">Tecumseh’s Bones, </w:t>
      </w:r>
      <w:r w:rsidRPr="00344013">
        <w:rPr>
          <w:sz w:val="24"/>
          <w:szCs w:val="24"/>
        </w:rPr>
        <w:t>written by Guy St-Denis, shows the tangled web of stories, legends, half-truths, and outright lies that have all made it into the Tecumseh mythology.</w:t>
      </w:r>
      <w:r w:rsidRPr="00344013">
        <w:rPr>
          <w:sz w:val="24"/>
          <w:szCs w:val="24"/>
          <w:vertAlign w:val="superscript"/>
        </w:rPr>
        <w:footnoteReference w:id="79"/>
      </w:r>
      <w:r w:rsidRPr="00344013">
        <w:rPr>
          <w:sz w:val="24"/>
          <w:szCs w:val="24"/>
        </w:rPr>
        <w:t xml:space="preserve"> It is not difficult to see how two famous battles just two years apart led by brothers fighting for a common cause could be confused. This chapter describes the lives of Tecumseh Lawrence and some of the ways in which they were similar.  </w:t>
      </w:r>
    </w:p>
    <w:p w14:paraId="33D508A8" w14:textId="77777777" w:rsidR="00344013" w:rsidRPr="00344013" w:rsidRDefault="00344013" w:rsidP="00344013">
      <w:pPr>
        <w:spacing w:line="360" w:lineRule="auto"/>
        <w:rPr>
          <w:sz w:val="24"/>
          <w:szCs w:val="24"/>
        </w:rPr>
      </w:pPr>
    </w:p>
    <w:p w14:paraId="0EB9F6AB" w14:textId="77777777" w:rsidR="00344013" w:rsidRPr="00344013" w:rsidRDefault="00344013" w:rsidP="00344013">
      <w:pPr>
        <w:spacing w:line="360" w:lineRule="auto"/>
        <w:rPr>
          <w:sz w:val="24"/>
          <w:szCs w:val="24"/>
          <w:u w:val="single"/>
        </w:rPr>
      </w:pPr>
      <w:r w:rsidRPr="00344013">
        <w:rPr>
          <w:sz w:val="24"/>
          <w:szCs w:val="24"/>
          <w:u w:val="single"/>
        </w:rPr>
        <w:t>‘A Great Water’</w:t>
      </w:r>
    </w:p>
    <w:p w14:paraId="0F38A53D" w14:textId="77777777" w:rsidR="00344013" w:rsidRPr="00344013" w:rsidRDefault="00344013" w:rsidP="00344013">
      <w:pPr>
        <w:spacing w:line="360" w:lineRule="auto"/>
        <w:rPr>
          <w:sz w:val="24"/>
          <w:szCs w:val="24"/>
          <w:u w:val="single"/>
        </w:rPr>
      </w:pPr>
    </w:p>
    <w:p w14:paraId="0B27C199" w14:textId="77777777" w:rsidR="00344013" w:rsidRPr="00344013" w:rsidRDefault="00344013" w:rsidP="00344013">
      <w:pPr>
        <w:spacing w:line="360" w:lineRule="auto"/>
        <w:rPr>
          <w:sz w:val="24"/>
          <w:szCs w:val="24"/>
        </w:rPr>
      </w:pPr>
      <w:r w:rsidRPr="00344013">
        <w:rPr>
          <w:sz w:val="24"/>
          <w:szCs w:val="24"/>
        </w:rPr>
        <w:t xml:space="preserve">The figures in the painting are posed at strange angles, this makes it difficult to ascertain from what vantage point the audience is viewing the scene. The Indian fighters, with their reddish-brown complexions, comprise the background, with the blue and white of the American military uniforms in the foreground. This technique gives the impression of water washing over a landscape. Lawrence could have been inspired by a speech given by Tecumseh regarding the incursion of white settlers into Ohio. In this indirect quote from an 1816 history of the war of 1812, Tecumseh is reported to have said, ‘The policy which the </w:t>
      </w:r>
      <w:r w:rsidRPr="00344013">
        <w:rPr>
          <w:sz w:val="24"/>
          <w:szCs w:val="24"/>
        </w:rPr>
        <w:lastRenderedPageBreak/>
        <w:t>United States pursued, of purchasing lands from the Indians, he viewed as a mighty water, ready to overflow his people, and that the confederacy which he was forming among the tribes, to prevent any individual tribe from selling without the consent of the others, was the dam he was erecting to resist this mighty water.’</w:t>
      </w:r>
      <w:r w:rsidRPr="00344013">
        <w:rPr>
          <w:sz w:val="24"/>
          <w:szCs w:val="24"/>
          <w:vertAlign w:val="superscript"/>
        </w:rPr>
        <w:footnoteReference w:id="80"/>
      </w:r>
      <w:r w:rsidRPr="00344013">
        <w:rPr>
          <w:sz w:val="24"/>
          <w:szCs w:val="24"/>
        </w:rPr>
        <w:t xml:space="preserve"> This quote also appears an 1841 biography of Tecumseh and his brother, Tenskwatawa.</w:t>
      </w:r>
      <w:r w:rsidRPr="00344013">
        <w:rPr>
          <w:sz w:val="24"/>
          <w:szCs w:val="24"/>
          <w:vertAlign w:val="superscript"/>
        </w:rPr>
        <w:footnoteReference w:id="81"/>
      </w:r>
      <w:r w:rsidRPr="00344013">
        <w:rPr>
          <w:sz w:val="24"/>
          <w:szCs w:val="24"/>
        </w:rPr>
        <w:t xml:space="preserve"> The vantage point of this painting is then, arguably, a birds-eye view as the audience watches the great water crash down onto the people below. This can be seen in the facial expressions of the individual figures. The three Americans representing water have vacant uncaring demeanours, as water acts unconsciously not caring what it washes away in its path, so too the American expansionists. The expressions on the faces of the Indians, however, are full of horror as Lawrence has portrayed them as desperate drowning men fighting for breath. </w:t>
      </w:r>
    </w:p>
    <w:p w14:paraId="0F3AB30C" w14:textId="77777777" w:rsidR="00344013" w:rsidRPr="00344013" w:rsidRDefault="00344013" w:rsidP="00344013">
      <w:pPr>
        <w:spacing w:line="360" w:lineRule="auto"/>
        <w:rPr>
          <w:sz w:val="24"/>
          <w:szCs w:val="24"/>
        </w:rPr>
      </w:pPr>
    </w:p>
    <w:p w14:paraId="59F38A21" w14:textId="77777777" w:rsidR="00344013" w:rsidRPr="00344013" w:rsidRDefault="00344013" w:rsidP="00344013">
      <w:pPr>
        <w:spacing w:line="360" w:lineRule="auto"/>
        <w:rPr>
          <w:sz w:val="24"/>
          <w:szCs w:val="24"/>
          <w:u w:val="single"/>
        </w:rPr>
      </w:pPr>
      <w:r w:rsidRPr="00344013">
        <w:rPr>
          <w:sz w:val="24"/>
          <w:szCs w:val="24"/>
          <w:u w:val="single"/>
        </w:rPr>
        <w:t>Tecumseh as Legend</w:t>
      </w:r>
    </w:p>
    <w:p w14:paraId="6F070BB9" w14:textId="77777777" w:rsidR="00344013" w:rsidRPr="00344013" w:rsidRDefault="00344013" w:rsidP="00344013">
      <w:pPr>
        <w:spacing w:line="360" w:lineRule="auto"/>
        <w:rPr>
          <w:sz w:val="24"/>
          <w:szCs w:val="24"/>
          <w:u w:val="single"/>
        </w:rPr>
      </w:pPr>
    </w:p>
    <w:p w14:paraId="7C599C15" w14:textId="77777777" w:rsidR="00344013" w:rsidRPr="00344013" w:rsidRDefault="00344013" w:rsidP="00344013">
      <w:pPr>
        <w:spacing w:line="360" w:lineRule="auto"/>
        <w:rPr>
          <w:sz w:val="24"/>
          <w:szCs w:val="24"/>
        </w:rPr>
      </w:pPr>
      <w:r w:rsidRPr="00344013">
        <w:rPr>
          <w:sz w:val="24"/>
          <w:szCs w:val="24"/>
        </w:rPr>
        <w:t>Tecumseh was an unusual figure in that he achieved the status of ‘legend’ during his lifetime, and his reputation has not dwindled in the two centuries following his death.</w:t>
      </w:r>
      <w:r w:rsidRPr="00344013">
        <w:rPr>
          <w:sz w:val="24"/>
          <w:szCs w:val="24"/>
          <w:vertAlign w:val="superscript"/>
        </w:rPr>
        <w:footnoteReference w:id="82"/>
      </w:r>
      <w:r w:rsidRPr="00344013">
        <w:rPr>
          <w:sz w:val="24"/>
          <w:szCs w:val="24"/>
        </w:rPr>
        <w:t xml:space="preserve"> Tecumseh and his legacy represent different things to different people. To Indians, he symbolizes a general who established a confederacy of disparate tribes to fight back against rampaging Americans. Canadians view Tecumseh as a saviour of their country from American expansionism. Americans viewed Tecumseh and Tenskwatawa as formidable enemies.</w:t>
      </w:r>
      <w:r w:rsidRPr="00344013">
        <w:rPr>
          <w:sz w:val="24"/>
          <w:szCs w:val="24"/>
          <w:vertAlign w:val="superscript"/>
        </w:rPr>
        <w:footnoteReference w:id="83"/>
      </w:r>
      <w:r w:rsidRPr="00344013">
        <w:rPr>
          <w:sz w:val="24"/>
          <w:szCs w:val="24"/>
        </w:rPr>
        <w:t xml:space="preserve"> In a letter to the secretary of war, William Henry Harrison described Tecumseh as, ‘one of those uncommon geniuses </w:t>
      </w:r>
      <w:proofErr w:type="gramStart"/>
      <w:r w:rsidRPr="00344013">
        <w:rPr>
          <w:sz w:val="24"/>
          <w:szCs w:val="24"/>
        </w:rPr>
        <w:t>which</w:t>
      </w:r>
      <w:proofErr w:type="gramEnd"/>
      <w:r w:rsidRPr="00344013">
        <w:rPr>
          <w:sz w:val="24"/>
          <w:szCs w:val="24"/>
        </w:rPr>
        <w:t xml:space="preserve"> spring up occasionally to produce revolutions and overturn the established order of things.’</w:t>
      </w:r>
      <w:r w:rsidRPr="00344013">
        <w:rPr>
          <w:sz w:val="24"/>
          <w:szCs w:val="24"/>
          <w:vertAlign w:val="superscript"/>
        </w:rPr>
        <w:footnoteReference w:id="84"/>
      </w:r>
      <w:r w:rsidRPr="00344013">
        <w:rPr>
          <w:sz w:val="24"/>
          <w:szCs w:val="24"/>
        </w:rPr>
        <w:t xml:space="preserve"> This quote not only shows Harrison’s lack of understanding of Tecumseh, Tenskwatawa and the Shawnee people, it demonstrates how Tecumseh, and his ambitions, have been misinterpreted ever since. John Sugden points out </w:t>
      </w:r>
      <w:r w:rsidRPr="00344013">
        <w:rPr>
          <w:sz w:val="24"/>
          <w:szCs w:val="24"/>
        </w:rPr>
        <w:lastRenderedPageBreak/>
        <w:t>in his 2013 biography of Tecumseh that an enormous amount of literature exists, but very little is of any historical value. The mythology surrounding Tecumseh and his brother Tenskwatawa is varied but follows the same general trope. The brothers set out to form a confederacy of native tribes, with Tenskwatawa as the spiritual force behind the movement and Tecumseh as the military force. Using his brother’s spiritual status and his own intelligence, strength, and determination Tecumseh set out to unite the warring tribes to fight the Americans alongside the British. What is considered unique in this situation is that it had never been attempted before, and Tecumseh was the only Indian brave and intelligent enough to attempt such a feat.</w:t>
      </w:r>
      <w:r w:rsidRPr="00344013">
        <w:rPr>
          <w:sz w:val="24"/>
          <w:szCs w:val="24"/>
          <w:vertAlign w:val="superscript"/>
        </w:rPr>
        <w:footnoteReference w:id="85"/>
      </w:r>
      <w:r w:rsidRPr="00344013">
        <w:rPr>
          <w:sz w:val="24"/>
          <w:szCs w:val="24"/>
        </w:rPr>
        <w:t xml:space="preserve"> Harrison described Tecumseh as an ‘uncommon genius’ because he likely did not know of the history of the Shawnee people and the traditional world into which Tecumseh had been born. </w:t>
      </w:r>
    </w:p>
    <w:p w14:paraId="14C5D6C8" w14:textId="77777777" w:rsidR="00344013" w:rsidRPr="00344013" w:rsidRDefault="00344013" w:rsidP="00344013">
      <w:pPr>
        <w:spacing w:line="360" w:lineRule="auto"/>
        <w:rPr>
          <w:sz w:val="24"/>
          <w:szCs w:val="24"/>
        </w:rPr>
      </w:pPr>
    </w:p>
    <w:p w14:paraId="04CD6198" w14:textId="77777777" w:rsidR="00344013" w:rsidRPr="00344013" w:rsidRDefault="00344013" w:rsidP="00344013">
      <w:pPr>
        <w:spacing w:line="360" w:lineRule="auto"/>
        <w:rPr>
          <w:sz w:val="24"/>
          <w:szCs w:val="24"/>
          <w:u w:val="single"/>
        </w:rPr>
      </w:pPr>
      <w:r w:rsidRPr="00344013">
        <w:rPr>
          <w:sz w:val="24"/>
          <w:szCs w:val="24"/>
          <w:u w:val="single"/>
        </w:rPr>
        <w:t xml:space="preserve">Tecumseh and his Shawnee Heritage </w:t>
      </w:r>
    </w:p>
    <w:p w14:paraId="5625BAC4" w14:textId="77777777" w:rsidR="00344013" w:rsidRPr="00344013" w:rsidRDefault="00344013" w:rsidP="00344013">
      <w:pPr>
        <w:spacing w:line="360" w:lineRule="auto"/>
        <w:rPr>
          <w:sz w:val="24"/>
          <w:szCs w:val="24"/>
          <w:u w:val="single"/>
        </w:rPr>
      </w:pPr>
    </w:p>
    <w:p w14:paraId="007AD40A" w14:textId="77777777" w:rsidR="00344013" w:rsidRPr="00344013" w:rsidRDefault="00344013" w:rsidP="00344013">
      <w:pPr>
        <w:spacing w:line="360" w:lineRule="auto"/>
        <w:rPr>
          <w:sz w:val="24"/>
          <w:szCs w:val="24"/>
        </w:rPr>
      </w:pPr>
      <w:r w:rsidRPr="00344013">
        <w:rPr>
          <w:sz w:val="24"/>
          <w:szCs w:val="24"/>
        </w:rPr>
        <w:t>Tecumseh was the fourth of eleven children born to his parents in March 1768; his name translates as Shooting Star or Blazing Comet. As his brother Tenskwatawa was one of triplets, one of whom died at birth, Tecumseh is often mistakenly referred to as his twin. The triplets, however, were the last of the children as their father was killed in battle before they were born.</w:t>
      </w:r>
      <w:r w:rsidRPr="00344013">
        <w:rPr>
          <w:sz w:val="24"/>
          <w:szCs w:val="24"/>
          <w:vertAlign w:val="superscript"/>
        </w:rPr>
        <w:footnoteReference w:id="86"/>
      </w:r>
      <w:r w:rsidRPr="00344013">
        <w:rPr>
          <w:sz w:val="24"/>
          <w:szCs w:val="24"/>
        </w:rPr>
        <w:t xml:space="preserve"> Born as a member of the </w:t>
      </w:r>
      <w:proofErr w:type="spellStart"/>
      <w:r w:rsidRPr="00344013">
        <w:rPr>
          <w:sz w:val="24"/>
          <w:szCs w:val="24"/>
        </w:rPr>
        <w:t>Kispoko</w:t>
      </w:r>
      <w:proofErr w:type="spellEnd"/>
      <w:r w:rsidRPr="00344013">
        <w:rPr>
          <w:sz w:val="24"/>
          <w:szCs w:val="24"/>
        </w:rPr>
        <w:t xml:space="preserve"> or </w:t>
      </w:r>
      <w:proofErr w:type="spellStart"/>
      <w:r w:rsidRPr="00344013">
        <w:rPr>
          <w:sz w:val="24"/>
          <w:szCs w:val="24"/>
        </w:rPr>
        <w:t>Kishpoko</w:t>
      </w:r>
      <w:proofErr w:type="spellEnd"/>
      <w:r w:rsidRPr="00344013">
        <w:rPr>
          <w:sz w:val="24"/>
          <w:szCs w:val="24"/>
        </w:rPr>
        <w:t xml:space="preserve"> division of the Shawnee and raised among Creeks, Tecumseh was not unusual.</w:t>
      </w:r>
      <w:r w:rsidRPr="00344013">
        <w:rPr>
          <w:sz w:val="24"/>
          <w:szCs w:val="24"/>
          <w:vertAlign w:val="superscript"/>
        </w:rPr>
        <w:footnoteReference w:id="87"/>
      </w:r>
      <w:r w:rsidRPr="00344013">
        <w:rPr>
          <w:sz w:val="24"/>
          <w:szCs w:val="24"/>
        </w:rPr>
        <w:t xml:space="preserve"> The Shawnee were known as ‘the greatest travellers in America’; they traversed great distances across North America and lived amongst other tribes. The Shawnees baffled 18</w:t>
      </w:r>
      <w:r w:rsidRPr="00344013">
        <w:rPr>
          <w:sz w:val="24"/>
          <w:szCs w:val="24"/>
          <w:vertAlign w:val="superscript"/>
        </w:rPr>
        <w:t>th</w:t>
      </w:r>
      <w:r w:rsidRPr="00344013">
        <w:rPr>
          <w:sz w:val="24"/>
          <w:szCs w:val="24"/>
        </w:rPr>
        <w:t xml:space="preserve">-century colonists as they continue to baffle scholars today. The Shawnees are comprised of five distinct groups, who share a common language and culture, but who are separated geographically and politically. No one can tell exactly how or when the Shawnee originated; it is generally agreed that they come from the Ohio valley region amongst people known as the ‘Fort Ancient Cultures’. Like the Mohawk, the Shawnee had war chiefs called </w:t>
      </w:r>
      <w:proofErr w:type="spellStart"/>
      <w:r w:rsidRPr="00344013">
        <w:rPr>
          <w:i/>
          <w:iCs/>
          <w:sz w:val="24"/>
          <w:szCs w:val="24"/>
        </w:rPr>
        <w:t>Neenawtooma</w:t>
      </w:r>
      <w:proofErr w:type="spellEnd"/>
      <w:r w:rsidRPr="00344013">
        <w:rPr>
          <w:i/>
          <w:iCs/>
          <w:sz w:val="24"/>
          <w:szCs w:val="24"/>
        </w:rPr>
        <w:t xml:space="preserve">, </w:t>
      </w:r>
      <w:r w:rsidRPr="00344013">
        <w:rPr>
          <w:sz w:val="24"/>
          <w:szCs w:val="24"/>
        </w:rPr>
        <w:t xml:space="preserve">and peace chiefs known as a </w:t>
      </w:r>
      <w:proofErr w:type="spellStart"/>
      <w:r w:rsidRPr="00344013">
        <w:rPr>
          <w:i/>
          <w:iCs/>
          <w:sz w:val="24"/>
          <w:szCs w:val="24"/>
        </w:rPr>
        <w:lastRenderedPageBreak/>
        <w:t>Hokima</w:t>
      </w:r>
      <w:proofErr w:type="spellEnd"/>
      <w:r w:rsidRPr="00344013">
        <w:rPr>
          <w:i/>
          <w:iCs/>
          <w:sz w:val="24"/>
          <w:szCs w:val="24"/>
        </w:rPr>
        <w:t xml:space="preserve">, </w:t>
      </w:r>
      <w:proofErr w:type="gramStart"/>
      <w:r w:rsidRPr="00344013">
        <w:rPr>
          <w:sz w:val="24"/>
          <w:szCs w:val="24"/>
        </w:rPr>
        <w:t>both of these</w:t>
      </w:r>
      <w:proofErr w:type="gramEnd"/>
      <w:r w:rsidRPr="00344013">
        <w:rPr>
          <w:sz w:val="24"/>
          <w:szCs w:val="24"/>
        </w:rPr>
        <w:t xml:space="preserve"> chiefs had a female counterpart. From the 16</w:t>
      </w:r>
      <w:r w:rsidRPr="00344013">
        <w:rPr>
          <w:sz w:val="24"/>
          <w:szCs w:val="24"/>
          <w:vertAlign w:val="superscript"/>
        </w:rPr>
        <w:t>th</w:t>
      </w:r>
      <w:r w:rsidRPr="00344013">
        <w:rPr>
          <w:sz w:val="24"/>
          <w:szCs w:val="24"/>
        </w:rPr>
        <w:t xml:space="preserve"> century onwards, the Shawnee, like other inland tribes, faced terrifying and new forms of warfare in the wake of European incursions into the Americas. They were almost powerless to defend themselves from their eastern neighbours, like the Iroquois and Haudenosaunee, who were often supplied with firearms by their Dutch and English trading partners. This destruction is likely the cause of the Shawnee diaspora, they divided and fled for safety in a considered and intentional survival strategy; consequently, Shawnees existed in a perpetual state of migration with well-organised and carefully planned relocations. Shawnees always prepared for their journeys meticulously and sought the permission of the tribe or colony whose territory they were planning to occupy. Shawnees travelled across the country to visit family, often for ritualistic purposes. It is these ritual travels that kept the Shawnee sense of identity thriving after other Ohioan groups had assimilated into various Indian communities. Sami </w:t>
      </w:r>
      <w:proofErr w:type="spellStart"/>
      <w:r w:rsidRPr="00344013">
        <w:rPr>
          <w:sz w:val="24"/>
          <w:szCs w:val="24"/>
        </w:rPr>
        <w:t>Lakomaki</w:t>
      </w:r>
      <w:proofErr w:type="spellEnd"/>
      <w:r w:rsidRPr="00344013">
        <w:rPr>
          <w:sz w:val="24"/>
          <w:szCs w:val="24"/>
        </w:rPr>
        <w:t xml:space="preserve"> describes the Shawnee way of viewing the world as, ‘they thus learned to conceptualise the vast lands surrounding and separating them not as an insurmountable wilderness, but as a ‘</w:t>
      </w:r>
      <w:proofErr w:type="spellStart"/>
      <w:r w:rsidRPr="00344013">
        <w:rPr>
          <w:sz w:val="24"/>
          <w:szCs w:val="24"/>
        </w:rPr>
        <w:t>kinscape</w:t>
      </w:r>
      <w:proofErr w:type="spellEnd"/>
      <w:r w:rsidRPr="00344013">
        <w:rPr>
          <w:sz w:val="24"/>
          <w:szCs w:val="24"/>
        </w:rPr>
        <w:t>’. With their traditional enemies, such as the Iroquoian nation, forming alliances with Europeans, smaller, less powerful groups like the Shawnee had to rely increasingly on forming new alliances. All divisions and sub-divisions of the Shawnee, independently from one another, sought alliances with Indians, Europeans, and refugee groups wherever they travelled.</w:t>
      </w:r>
      <w:r w:rsidRPr="00344013">
        <w:rPr>
          <w:sz w:val="24"/>
          <w:szCs w:val="24"/>
          <w:vertAlign w:val="superscript"/>
        </w:rPr>
        <w:footnoteReference w:id="88"/>
      </w:r>
      <w:r w:rsidRPr="00344013">
        <w:rPr>
          <w:sz w:val="24"/>
          <w:szCs w:val="24"/>
        </w:rPr>
        <w:t xml:space="preserve"> Constant migration and alliance forming instilled in Shawnee culture a great skill for diplomacy and negotiation.</w:t>
      </w:r>
      <w:r w:rsidRPr="00344013">
        <w:rPr>
          <w:sz w:val="24"/>
          <w:szCs w:val="24"/>
          <w:vertAlign w:val="superscript"/>
        </w:rPr>
        <w:footnoteReference w:id="89"/>
      </w:r>
      <w:r w:rsidRPr="00344013">
        <w:rPr>
          <w:sz w:val="24"/>
          <w:szCs w:val="24"/>
        </w:rPr>
        <w:t xml:space="preserve"> It is into this culture of migration and diplomacy that Tecumseh was born; he was primed for a role as a great diplomat and general by the generations who had gone before him, honing these skills and passing them on. Tecumseh was also not the only individual trying to unite disparate tribes; men like </w:t>
      </w:r>
      <w:proofErr w:type="spellStart"/>
      <w:r w:rsidRPr="00344013">
        <w:rPr>
          <w:sz w:val="24"/>
          <w:szCs w:val="24"/>
        </w:rPr>
        <w:t>Thayendanegea</w:t>
      </w:r>
      <w:proofErr w:type="spellEnd"/>
      <w:r w:rsidRPr="00344013">
        <w:rPr>
          <w:sz w:val="24"/>
          <w:szCs w:val="24"/>
        </w:rPr>
        <w:t xml:space="preserve"> known as Joseph Brant of the Mohawk and, </w:t>
      </w:r>
      <w:proofErr w:type="spellStart"/>
      <w:r w:rsidRPr="00344013">
        <w:rPr>
          <w:sz w:val="24"/>
          <w:szCs w:val="24"/>
        </w:rPr>
        <w:t>Hoboi</w:t>
      </w:r>
      <w:proofErr w:type="spellEnd"/>
      <w:r w:rsidRPr="00344013">
        <w:rPr>
          <w:sz w:val="24"/>
          <w:szCs w:val="24"/>
        </w:rPr>
        <w:t>-</w:t>
      </w:r>
      <w:proofErr w:type="spellStart"/>
      <w:r w:rsidRPr="00344013">
        <w:rPr>
          <w:sz w:val="24"/>
          <w:szCs w:val="24"/>
        </w:rPr>
        <w:t>Hili</w:t>
      </w:r>
      <w:proofErr w:type="spellEnd"/>
      <w:r w:rsidRPr="00344013">
        <w:rPr>
          <w:sz w:val="24"/>
          <w:szCs w:val="24"/>
        </w:rPr>
        <w:t>-Miko known as Alexander McGillivray of the Creek, had attempted to create similar organisations.</w:t>
      </w:r>
      <w:r w:rsidRPr="00344013">
        <w:rPr>
          <w:sz w:val="24"/>
          <w:szCs w:val="24"/>
          <w:vertAlign w:val="superscript"/>
        </w:rPr>
        <w:footnoteReference w:id="90"/>
      </w:r>
      <w:r w:rsidRPr="00344013">
        <w:rPr>
          <w:sz w:val="24"/>
          <w:szCs w:val="24"/>
        </w:rPr>
        <w:t xml:space="preserve"> The confederacies of these and other Indians are mentioned in a 1922 article, however, the credit for the inspiration to create such alliances was attributed to the British; this article even goes as far as claiming that all of Tecumseh’s actions and speeches </w:t>
      </w:r>
      <w:r w:rsidRPr="00344013">
        <w:rPr>
          <w:sz w:val="24"/>
          <w:szCs w:val="24"/>
        </w:rPr>
        <w:lastRenderedPageBreak/>
        <w:t>between 1807 and 1813 had been dictated by the British.</w:t>
      </w:r>
      <w:r w:rsidRPr="00344013">
        <w:rPr>
          <w:sz w:val="24"/>
          <w:szCs w:val="24"/>
          <w:vertAlign w:val="superscript"/>
        </w:rPr>
        <w:footnoteReference w:id="91"/>
      </w:r>
      <w:r w:rsidRPr="00344013">
        <w:rPr>
          <w:sz w:val="24"/>
          <w:szCs w:val="24"/>
        </w:rPr>
        <w:t xml:space="preserve"> Like many extraordinary individuals, Tecumseh’s life and achievements have been seized upon by those who wish to use them for their own purposes, in what Richard White terms ‘cultural cannibalism’.</w:t>
      </w:r>
      <w:r w:rsidRPr="00344013">
        <w:rPr>
          <w:sz w:val="24"/>
          <w:szCs w:val="24"/>
          <w:vertAlign w:val="superscript"/>
        </w:rPr>
        <w:footnoteReference w:id="92"/>
      </w:r>
      <w:r w:rsidRPr="00344013">
        <w:rPr>
          <w:sz w:val="24"/>
          <w:szCs w:val="24"/>
        </w:rPr>
        <w:t xml:space="preserve"> This idea of cultural cannibalism is closely related to the notion of cultural appropriation. The selecting of individual elements of another culture for purposes not related to or beneficial to that culture without regard for the wider context from which those individual elements originated. As has already been discussed in the ‘Tecumseh as Legend’ section, Tecumseh is celebrated as a hero when removed from his Shawnee heritage and called an uncommon genius by those who would use him for their own purposes. His legendary status does little to benefit his Shawnee heritage as his placement on a pedestal detracts from the traditional Shawnee culture to which he belonged.   </w:t>
      </w:r>
    </w:p>
    <w:p w14:paraId="03252727" w14:textId="77777777" w:rsidR="00344013" w:rsidRPr="00344013" w:rsidRDefault="00344013" w:rsidP="00344013">
      <w:pPr>
        <w:spacing w:line="360" w:lineRule="auto"/>
        <w:rPr>
          <w:sz w:val="24"/>
          <w:szCs w:val="24"/>
        </w:rPr>
      </w:pPr>
      <w:r w:rsidRPr="00344013">
        <w:rPr>
          <w:sz w:val="24"/>
          <w:szCs w:val="24"/>
        </w:rPr>
        <w:t xml:space="preserve">It is this cultural cannibalism and the subsequent mythology of Tecumseh with which Lawrence would have been familiar. His last stand at the battle of the Thames had been romanticised for decades, with Tecumseh cast as the fallen hero and supposed British ally, Henry Procter, as the villain who abandoned Tecumseh and his men to their fate. Once dead, the Americans seized upon the reputation of their powerful foe; the heroism of Tecumseh made </w:t>
      </w:r>
      <w:proofErr w:type="gramStart"/>
      <w:r w:rsidRPr="00344013">
        <w:rPr>
          <w:sz w:val="24"/>
          <w:szCs w:val="24"/>
        </w:rPr>
        <w:t>their</w:t>
      </w:r>
      <w:proofErr w:type="gramEnd"/>
      <w:r w:rsidRPr="00344013">
        <w:rPr>
          <w:sz w:val="24"/>
          <w:szCs w:val="24"/>
        </w:rPr>
        <w:t xml:space="preserve"> victory all the greater.</w:t>
      </w:r>
      <w:r w:rsidRPr="00344013">
        <w:rPr>
          <w:sz w:val="24"/>
          <w:szCs w:val="24"/>
          <w:vertAlign w:val="superscript"/>
        </w:rPr>
        <w:footnoteReference w:id="93"/>
      </w:r>
      <w:r w:rsidRPr="00344013">
        <w:rPr>
          <w:sz w:val="24"/>
          <w:szCs w:val="24"/>
        </w:rPr>
        <w:t xml:space="preserve"> </w:t>
      </w:r>
    </w:p>
    <w:p w14:paraId="435BBA64" w14:textId="77777777" w:rsidR="00344013" w:rsidRPr="00344013" w:rsidRDefault="00344013" w:rsidP="00344013">
      <w:pPr>
        <w:spacing w:line="360" w:lineRule="auto"/>
        <w:rPr>
          <w:sz w:val="24"/>
          <w:szCs w:val="24"/>
        </w:rPr>
      </w:pPr>
    </w:p>
    <w:p w14:paraId="310A6EA6" w14:textId="77777777" w:rsidR="00344013" w:rsidRPr="00344013" w:rsidRDefault="00344013" w:rsidP="00344013">
      <w:pPr>
        <w:spacing w:line="360" w:lineRule="auto"/>
        <w:rPr>
          <w:sz w:val="24"/>
          <w:szCs w:val="24"/>
          <w:u w:val="single"/>
        </w:rPr>
      </w:pPr>
      <w:r w:rsidRPr="00344013">
        <w:rPr>
          <w:sz w:val="24"/>
          <w:szCs w:val="24"/>
          <w:u w:val="single"/>
        </w:rPr>
        <w:t>Lawrence’s Use of Colour</w:t>
      </w:r>
    </w:p>
    <w:p w14:paraId="78439923" w14:textId="77777777" w:rsidR="00344013" w:rsidRPr="00344013" w:rsidRDefault="00344013" w:rsidP="00344013">
      <w:pPr>
        <w:spacing w:line="360" w:lineRule="auto"/>
        <w:rPr>
          <w:sz w:val="24"/>
          <w:szCs w:val="24"/>
          <w:u w:val="single"/>
        </w:rPr>
      </w:pPr>
    </w:p>
    <w:p w14:paraId="5456D4D1" w14:textId="77777777" w:rsidR="00344013" w:rsidRPr="00344013" w:rsidRDefault="00344013" w:rsidP="00344013">
      <w:pPr>
        <w:spacing w:line="360" w:lineRule="auto"/>
        <w:rPr>
          <w:sz w:val="24"/>
          <w:szCs w:val="24"/>
        </w:rPr>
      </w:pPr>
      <w:r w:rsidRPr="00344013">
        <w:rPr>
          <w:sz w:val="24"/>
          <w:szCs w:val="24"/>
        </w:rPr>
        <w:t xml:space="preserve">Lawrence’s reputation somewhat mirrored that of Tecumseh; his talents too were seized upon by white Americans, and he was celebrated as ‘the nation’s number one negro painter’. Lawrence carefully followed all media coverage of his career and was upset by this description. To Lawrence, it insinuated that he was considered a good artist for a black person. He had good reason to be affected by this condescending attitude found in the art world. Lawrence’s pre-war work was often referred to as primitive or child-like; he was usually typified as a ‘negro’ artist. With the creation of his </w:t>
      </w:r>
      <w:r w:rsidRPr="00344013">
        <w:rPr>
          <w:i/>
          <w:iCs/>
          <w:sz w:val="24"/>
          <w:szCs w:val="24"/>
        </w:rPr>
        <w:t>Coastguard</w:t>
      </w:r>
      <w:r w:rsidRPr="00344013">
        <w:rPr>
          <w:sz w:val="24"/>
          <w:szCs w:val="24"/>
        </w:rPr>
        <w:t xml:space="preserve"> series, the critics </w:t>
      </w:r>
      <w:r w:rsidRPr="00344013">
        <w:rPr>
          <w:sz w:val="24"/>
          <w:szCs w:val="24"/>
        </w:rPr>
        <w:lastRenderedPageBreak/>
        <w:t xml:space="preserve">remarked on Lawrence’s new maturity of style. This new sophistication was linked to his enhanced palette; an article in </w:t>
      </w:r>
      <w:r w:rsidRPr="00344013">
        <w:rPr>
          <w:i/>
          <w:iCs/>
          <w:sz w:val="24"/>
          <w:szCs w:val="24"/>
        </w:rPr>
        <w:t>Art Digest</w:t>
      </w:r>
      <w:r w:rsidRPr="00344013">
        <w:rPr>
          <w:sz w:val="24"/>
          <w:szCs w:val="24"/>
        </w:rPr>
        <w:t xml:space="preserve"> stated, ‘his </w:t>
      </w:r>
      <w:proofErr w:type="spellStart"/>
      <w:r w:rsidRPr="00344013">
        <w:rPr>
          <w:sz w:val="24"/>
          <w:szCs w:val="24"/>
        </w:rPr>
        <w:t>color</w:t>
      </w:r>
      <w:proofErr w:type="spellEnd"/>
      <w:r w:rsidRPr="00344013">
        <w:rPr>
          <w:sz w:val="24"/>
          <w:szCs w:val="24"/>
        </w:rPr>
        <w:t xml:space="preserve"> is richer, more subtle and has a greater range of luminosity. A few of the designs retain a certain primitive quality, but more of them are complex, sophisticated, and on the verge of abstract.’ Lawrence’s use of a varied palette saw how he was described by the critics change from ‘negro artist’ to ‘modern artist’. Although this was a positive step in Lawrence’s career, it highlights one of the many barriers that African American artists had to overcome. A white artist using a bright palette mostly comprised of the primary colours that typified Lawrence’s early works, would not have been described as primitive. African American artists were stereotypically assumed to prefer ‘gaudy’ colours; Lawrence’s incorporation of earthy and darker tones is what caused the critics to describe him as mature. The art world was not even subtle in its prejudice, the belief that bright primary colours were child-like and therefore associated with African Americans and that darker, more subtle colours were mature and, therefore, associated with whites was openly discussed. As an artist who carefully followed the media coverage of his career, Lawrence would have been all too aware of this prejudice.</w:t>
      </w:r>
      <w:r w:rsidRPr="00344013">
        <w:rPr>
          <w:sz w:val="24"/>
          <w:szCs w:val="24"/>
          <w:vertAlign w:val="superscript"/>
        </w:rPr>
        <w:footnoteReference w:id="94"/>
      </w:r>
      <w:r w:rsidRPr="00344013">
        <w:rPr>
          <w:sz w:val="24"/>
          <w:szCs w:val="24"/>
        </w:rPr>
        <w:t xml:space="preserve"> </w:t>
      </w:r>
    </w:p>
    <w:p w14:paraId="222F2E91" w14:textId="77777777" w:rsidR="00344013" w:rsidRPr="00344013" w:rsidRDefault="00344013" w:rsidP="00344013">
      <w:pPr>
        <w:spacing w:line="360" w:lineRule="auto"/>
        <w:rPr>
          <w:sz w:val="24"/>
          <w:szCs w:val="24"/>
        </w:rPr>
      </w:pPr>
      <w:r w:rsidRPr="00344013">
        <w:rPr>
          <w:sz w:val="24"/>
          <w:szCs w:val="24"/>
        </w:rPr>
        <w:t>It is important to understand this attitude towards colour use in the first half of the 20</w:t>
      </w:r>
      <w:r w:rsidRPr="00344013">
        <w:rPr>
          <w:sz w:val="24"/>
          <w:szCs w:val="24"/>
          <w:vertAlign w:val="superscript"/>
        </w:rPr>
        <w:t>th</w:t>
      </w:r>
      <w:r w:rsidRPr="00344013">
        <w:rPr>
          <w:sz w:val="24"/>
          <w:szCs w:val="24"/>
        </w:rPr>
        <w:t xml:space="preserve"> century when trying to know what all three paintings discussed in this paper represent when viewed as part of the entire collection. The three panels are all brightly coloured and reminiscent of Lawrence’s pre-war works; of the twenty-nine panels available to view, most are earthy and dark in tone some with bright splashes of red or blue, two are completely black and white, several panels are bright with yellow which is golden and warm rather than a bright primary yellow, only panel sixteen is comparable in brightness to the three Indian panels. However, it still lacks the same range of colour. The three Indian panels, however, differ substantially from this; their bright, rich tones are dominant with the earthy subdued colours clearly side-lined. Why did Lawrence make just these three panels so bright compared to the rest of the collection? There are two potential answers; firstly, Lawrence may have been using indirection and subversion to make a political statement: by using the art world’s own prejudices regarding the use of colour. Lawrence has used bright primary colours when depicting Indians to indicate the justification for the destruction and genocide of the Indian people and their culture. Indians, and their way of life, were often described as </w:t>
      </w:r>
      <w:r w:rsidRPr="00344013">
        <w:rPr>
          <w:sz w:val="24"/>
          <w:szCs w:val="24"/>
        </w:rPr>
        <w:lastRenderedPageBreak/>
        <w:t>primitive and their integration into an advanced Christian culture was necessary for their future welfare.</w:t>
      </w:r>
      <w:r w:rsidRPr="00344013">
        <w:rPr>
          <w:sz w:val="24"/>
          <w:szCs w:val="24"/>
          <w:vertAlign w:val="superscript"/>
        </w:rPr>
        <w:footnoteReference w:id="95"/>
      </w:r>
      <w:r w:rsidRPr="00344013">
        <w:rPr>
          <w:sz w:val="24"/>
          <w:szCs w:val="24"/>
        </w:rPr>
        <w:t xml:space="preserve"> The primary colour palette calls out this sense of justification of a ‘superior’ society destroying an ’inferior’ society. Another possible answer is that Lawrence himself was just as susceptible to the idea that Indians were an ‘inferior’ people with an ‘inferior’ culture and, therefore, painted them in primary colours to illustrate this belief. Regardless of which answer is potentially or partially correct, the paintings make it possible to see the problems faced by Indian peoples in Lawrence’s day. Whatever reason Lawrence had for choosing to paint Indians with his ‘primitive’ colour palette, the fact that he felt the need whether consciously or subconsciously, to do so indicates the contempt with which Indian people and their culture were viewed in the early 20</w:t>
      </w:r>
      <w:r w:rsidRPr="00344013">
        <w:rPr>
          <w:sz w:val="24"/>
          <w:szCs w:val="24"/>
          <w:vertAlign w:val="superscript"/>
        </w:rPr>
        <w:t>th</w:t>
      </w:r>
      <w:r w:rsidRPr="00344013">
        <w:rPr>
          <w:sz w:val="24"/>
          <w:szCs w:val="24"/>
        </w:rPr>
        <w:t xml:space="preserve"> century. </w:t>
      </w:r>
    </w:p>
    <w:p w14:paraId="071A45F3" w14:textId="77777777" w:rsidR="00344013" w:rsidRPr="00344013" w:rsidRDefault="00344013" w:rsidP="00344013">
      <w:pPr>
        <w:spacing w:line="360" w:lineRule="auto"/>
        <w:rPr>
          <w:sz w:val="24"/>
          <w:szCs w:val="24"/>
        </w:rPr>
      </w:pPr>
      <w:r w:rsidRPr="00344013">
        <w:rPr>
          <w:sz w:val="24"/>
          <w:szCs w:val="24"/>
        </w:rPr>
        <w:t xml:space="preserve">The description of Tecumseh as an ‘uncommon genius’ may have struck a chord with Lawrence’s artistic reputation. This statement from Lawrence comes from a 1969 symposium discussing the future of black art. Lawrence describes his views of how black people are included in white society, ‘none of us wants to be accepted as “the one and only” or “one of the few”, none of us appreciates the idea of “we’ll accept </w:t>
      </w:r>
      <w:r w:rsidRPr="00344013">
        <w:rPr>
          <w:i/>
          <w:iCs/>
          <w:sz w:val="24"/>
          <w:szCs w:val="24"/>
        </w:rPr>
        <w:t>you</w:t>
      </w:r>
      <w:r w:rsidRPr="00344013">
        <w:rPr>
          <w:sz w:val="24"/>
          <w:szCs w:val="24"/>
        </w:rPr>
        <w:t xml:space="preserve"> and this is it”. </w:t>
      </w:r>
      <w:r w:rsidRPr="00344013">
        <w:rPr>
          <w:sz w:val="24"/>
          <w:szCs w:val="24"/>
          <w:vertAlign w:val="superscript"/>
        </w:rPr>
        <w:footnoteReference w:id="96"/>
      </w:r>
      <w:r w:rsidRPr="00344013">
        <w:rPr>
          <w:sz w:val="24"/>
          <w:szCs w:val="24"/>
        </w:rPr>
        <w:t xml:space="preserve"> Lawrence had been treated this way, in being referred to as ‘America’s number one negro painter’. His work was being increasingly displayed in typically white exhibitions during the 1950s, such as the Boston Institute for Modern Art, the Brooklyn Museum, the New Jersey State Museum, and the Baltimore Museum of Art, to name but a few. Lawrence’s work was circulated more widely and earlier throughout the white art world than any other black artist; he would have known that being respected by mainstream white society could be a double-edged sword.</w:t>
      </w:r>
      <w:r w:rsidRPr="00344013">
        <w:rPr>
          <w:sz w:val="24"/>
          <w:szCs w:val="24"/>
          <w:vertAlign w:val="superscript"/>
        </w:rPr>
        <w:footnoteReference w:id="97"/>
      </w:r>
      <w:r w:rsidRPr="00344013">
        <w:rPr>
          <w:sz w:val="24"/>
          <w:szCs w:val="24"/>
        </w:rPr>
        <w:t xml:space="preserve"> </w:t>
      </w:r>
    </w:p>
    <w:p w14:paraId="15FA2384" w14:textId="77777777" w:rsidR="00344013" w:rsidRPr="00344013" w:rsidRDefault="00344013" w:rsidP="00344013">
      <w:pPr>
        <w:spacing w:line="360" w:lineRule="auto"/>
        <w:rPr>
          <w:sz w:val="24"/>
          <w:szCs w:val="24"/>
        </w:rPr>
      </w:pPr>
    </w:p>
    <w:p w14:paraId="3831472F" w14:textId="77777777" w:rsidR="00344013" w:rsidRPr="00344013" w:rsidRDefault="00344013" w:rsidP="00344013">
      <w:pPr>
        <w:spacing w:line="360" w:lineRule="auto"/>
        <w:rPr>
          <w:sz w:val="24"/>
          <w:szCs w:val="24"/>
          <w:u w:val="single"/>
        </w:rPr>
      </w:pPr>
      <w:r w:rsidRPr="00344013">
        <w:rPr>
          <w:sz w:val="24"/>
          <w:szCs w:val="24"/>
          <w:u w:val="single"/>
        </w:rPr>
        <w:br w:type="page"/>
      </w:r>
    </w:p>
    <w:p w14:paraId="5584B3CF" w14:textId="77777777" w:rsidR="00344013" w:rsidRPr="00344013" w:rsidRDefault="00344013" w:rsidP="00344013">
      <w:pPr>
        <w:spacing w:line="360" w:lineRule="auto"/>
        <w:rPr>
          <w:sz w:val="24"/>
          <w:szCs w:val="24"/>
          <w:u w:val="single"/>
        </w:rPr>
      </w:pPr>
      <w:r w:rsidRPr="00344013">
        <w:rPr>
          <w:sz w:val="24"/>
          <w:szCs w:val="24"/>
          <w:u w:val="single"/>
        </w:rPr>
        <w:lastRenderedPageBreak/>
        <w:t>Lawrence’s Coastguard Service</w:t>
      </w:r>
    </w:p>
    <w:p w14:paraId="5EF2EEF4" w14:textId="77777777" w:rsidR="00344013" w:rsidRPr="00344013" w:rsidRDefault="00344013" w:rsidP="00344013">
      <w:pPr>
        <w:spacing w:line="360" w:lineRule="auto"/>
        <w:rPr>
          <w:sz w:val="24"/>
          <w:szCs w:val="24"/>
          <w:u w:val="single"/>
        </w:rPr>
      </w:pPr>
    </w:p>
    <w:p w14:paraId="28C5EFEB" w14:textId="77777777" w:rsidR="00344013" w:rsidRPr="00344013" w:rsidRDefault="00344013" w:rsidP="00344013">
      <w:pPr>
        <w:spacing w:line="360" w:lineRule="auto"/>
        <w:rPr>
          <w:sz w:val="24"/>
          <w:szCs w:val="24"/>
        </w:rPr>
      </w:pPr>
      <w:r w:rsidRPr="00344013">
        <w:rPr>
          <w:sz w:val="24"/>
          <w:szCs w:val="24"/>
        </w:rPr>
        <w:t>Lawrence’s time in the coastguard offers an interesting area for comparison between him and Tecumseh. Both men had been in military service, but their experiences were somewhat opposite. Tecumseh had been born into a war; his father and two older brothers were all killed in separate battles. He had been primed from childhood to fight, he had lived through brutal turmoil and seen horrendous acts of violence; his entire life had been one of warfare and preparation for warfare.</w:t>
      </w:r>
      <w:r w:rsidRPr="00344013">
        <w:rPr>
          <w:sz w:val="24"/>
          <w:szCs w:val="24"/>
          <w:vertAlign w:val="superscript"/>
        </w:rPr>
        <w:footnoteReference w:id="98"/>
      </w:r>
      <w:r w:rsidRPr="00344013">
        <w:rPr>
          <w:sz w:val="24"/>
          <w:szCs w:val="24"/>
        </w:rPr>
        <w:t xml:space="preserve"> Lawrence, however, despite growing up with stories of the cruelty of Jim Crow laws and the difficulties faced by the black community, not only in terms of racism but also the depression, experienced a more peaceful childhood. His mother, who had little interest in the arts, had wanted him to go into the civil service. Lawrence, however, chose to become an artist; he had not expected to be conscripted into the coastguard.</w:t>
      </w:r>
      <w:r w:rsidRPr="00344013">
        <w:rPr>
          <w:sz w:val="24"/>
          <w:szCs w:val="24"/>
          <w:vertAlign w:val="superscript"/>
        </w:rPr>
        <w:footnoteReference w:id="99"/>
      </w:r>
    </w:p>
    <w:p w14:paraId="4C91C5B7" w14:textId="77777777" w:rsidR="00344013" w:rsidRPr="00344013" w:rsidRDefault="00344013" w:rsidP="00344013">
      <w:pPr>
        <w:spacing w:line="360" w:lineRule="auto"/>
        <w:rPr>
          <w:sz w:val="24"/>
          <w:szCs w:val="24"/>
        </w:rPr>
      </w:pPr>
      <w:r w:rsidRPr="00344013">
        <w:rPr>
          <w:sz w:val="24"/>
          <w:szCs w:val="24"/>
        </w:rPr>
        <w:t xml:space="preserve">What sets the military careers of both men apart is what they were fighting for. Nell Irvin Painter in, </w:t>
      </w:r>
      <w:r w:rsidRPr="00344013">
        <w:rPr>
          <w:i/>
          <w:iCs/>
          <w:sz w:val="24"/>
          <w:szCs w:val="24"/>
        </w:rPr>
        <w:t xml:space="preserve">Creating Black People, </w:t>
      </w:r>
      <w:r w:rsidRPr="00344013">
        <w:rPr>
          <w:sz w:val="24"/>
          <w:szCs w:val="24"/>
        </w:rPr>
        <w:t xml:space="preserve">creates a vivid picture of just what black American servicemen and women suffered during their WWII military service. Before America entered the war, black Americans drew comparisons between German fascism and American white supremacy. They questioned their role in the war, as black Americans, they could not see much difference between the Nazi regime in Europe and the Jim Crow regime in the southern United States. This feeling among black communities in the 1940s, is summed up by Langston Hughes, ‘You tell me that Hitler is a mighty bad man, he must have </w:t>
      </w:r>
      <w:proofErr w:type="gramStart"/>
      <w:r w:rsidRPr="00344013">
        <w:rPr>
          <w:sz w:val="24"/>
          <w:szCs w:val="24"/>
        </w:rPr>
        <w:t>took</w:t>
      </w:r>
      <w:proofErr w:type="gramEnd"/>
      <w:r w:rsidRPr="00344013">
        <w:rPr>
          <w:sz w:val="24"/>
          <w:szCs w:val="24"/>
        </w:rPr>
        <w:t xml:space="preserve"> lessons from the Ku Klux Klan’. Tensions boiled over into full riots that broke out in Detroit and New York. Upon America’s entry into the war, the Navy only admitted African Americans into service as servants; in the Army, black service people were subjected to squalid living conditions and given only the most menial of tasks. Even as the war progressed and more opportunities </w:t>
      </w:r>
      <w:proofErr w:type="gramStart"/>
      <w:r w:rsidRPr="00344013">
        <w:rPr>
          <w:sz w:val="24"/>
          <w:szCs w:val="24"/>
        </w:rPr>
        <w:t>opened up</w:t>
      </w:r>
      <w:proofErr w:type="gramEnd"/>
      <w:r w:rsidRPr="00344013">
        <w:rPr>
          <w:sz w:val="24"/>
          <w:szCs w:val="24"/>
        </w:rPr>
        <w:t xml:space="preserve"> for black service people, they generally found themselves in support roles and rarely saw combat. Black officers were not commissioned until 1944; de-segregation in the armed forces was not implemented until the end of the war and did not </w:t>
      </w:r>
      <w:r w:rsidRPr="00344013">
        <w:rPr>
          <w:sz w:val="24"/>
          <w:szCs w:val="24"/>
        </w:rPr>
        <w:lastRenderedPageBreak/>
        <w:t>come to fruition until the 1960s.</w:t>
      </w:r>
      <w:r w:rsidRPr="00344013">
        <w:rPr>
          <w:sz w:val="24"/>
          <w:szCs w:val="24"/>
          <w:vertAlign w:val="superscript"/>
        </w:rPr>
        <w:footnoteReference w:id="100"/>
      </w:r>
      <w:r w:rsidRPr="00344013">
        <w:rPr>
          <w:sz w:val="24"/>
          <w:szCs w:val="24"/>
        </w:rPr>
        <w:t xml:space="preserve"> Black service people could not fully reconcile the idea that they were fighting for freedom from oppression when it was their overwhelming experience of American life. Whereas for Tecumseh, along with the Shawnee and their Indian allies, fighting seemed the only possible chance for freedom. </w:t>
      </w:r>
    </w:p>
    <w:p w14:paraId="0F5AD1EE" w14:textId="77777777" w:rsidR="00344013" w:rsidRPr="00344013" w:rsidRDefault="00344013" w:rsidP="00344013">
      <w:pPr>
        <w:spacing w:line="360" w:lineRule="auto"/>
        <w:rPr>
          <w:sz w:val="24"/>
          <w:szCs w:val="24"/>
        </w:rPr>
      </w:pPr>
      <w:r w:rsidRPr="00344013">
        <w:rPr>
          <w:sz w:val="24"/>
          <w:szCs w:val="24"/>
        </w:rPr>
        <w:t>Lawrence’s experience of military service eventually differed from that of most black servicemen and women. Conscripted on October 20</w:t>
      </w:r>
      <w:r w:rsidRPr="00344013">
        <w:rPr>
          <w:sz w:val="24"/>
          <w:szCs w:val="24"/>
          <w:vertAlign w:val="superscript"/>
        </w:rPr>
        <w:t>th</w:t>
      </w:r>
      <w:r w:rsidRPr="00344013">
        <w:rPr>
          <w:sz w:val="24"/>
          <w:szCs w:val="24"/>
        </w:rPr>
        <w:t>, 1943, he was given the rank of stewards’ mate. Lawrence’s initial experience was unpleasant; stationed in Florida, his duties were servicing the quarters of the white officers and, along with the other black stewards’ mates, was confined to living quarters in the attic. His talent, however, saw him given special treatment, and his commanding officer, J. S. Rosenthal, gave him space from his own quarters in which he could continue painting. Lawrence’s first ship assignment was again under the command of a sympathetic superior officer. Lieutenant Commander Carleton Skinner had initiated integration within the armed forces by commanding the first de-segregated vessel, the USS</w:t>
      </w:r>
      <w:r w:rsidRPr="00344013">
        <w:rPr>
          <w:i/>
          <w:iCs/>
          <w:sz w:val="24"/>
          <w:szCs w:val="24"/>
        </w:rPr>
        <w:t xml:space="preserve"> Sea Cloud</w:t>
      </w:r>
      <w:r w:rsidRPr="00344013">
        <w:rPr>
          <w:sz w:val="24"/>
          <w:szCs w:val="24"/>
        </w:rPr>
        <w:t>. Skinner’s experiment in integration was deemed a success, with the fully integrated crew sharing all duties fairly, which earnt the vessel an AA rating.</w:t>
      </w:r>
      <w:r w:rsidRPr="00344013">
        <w:rPr>
          <w:sz w:val="24"/>
          <w:szCs w:val="24"/>
          <w:vertAlign w:val="superscript"/>
        </w:rPr>
        <w:footnoteReference w:id="101"/>
      </w:r>
      <w:r w:rsidRPr="00344013">
        <w:rPr>
          <w:sz w:val="24"/>
          <w:szCs w:val="24"/>
        </w:rPr>
        <w:t xml:space="preserve"> By the end of the war, there were two-hundred integrated vessels.</w:t>
      </w:r>
      <w:r w:rsidRPr="00344013">
        <w:rPr>
          <w:sz w:val="24"/>
          <w:szCs w:val="24"/>
          <w:vertAlign w:val="superscript"/>
        </w:rPr>
        <w:footnoteReference w:id="102"/>
      </w:r>
      <w:r w:rsidRPr="00344013">
        <w:rPr>
          <w:sz w:val="24"/>
          <w:szCs w:val="24"/>
        </w:rPr>
        <w:t xml:space="preserve"> Skinner also encouraged Lawrence to continue painting during the eight months he served aboard the ship. Lawrence’s first commanding officer, Captain Rosenthal, then requested Lawrence as his official combat artist, a role he performed aboard the USS </w:t>
      </w:r>
      <w:r w:rsidRPr="00344013">
        <w:rPr>
          <w:i/>
          <w:iCs/>
          <w:sz w:val="24"/>
          <w:szCs w:val="24"/>
        </w:rPr>
        <w:t>General Wilds P. Richardson</w:t>
      </w:r>
      <w:r w:rsidRPr="00344013">
        <w:rPr>
          <w:sz w:val="24"/>
          <w:szCs w:val="24"/>
        </w:rPr>
        <w:t>. Aboard this ship, Lawrence travelled to England, Italy, Egypt, and India before being discharged in December 1945 after sixteen months of service.</w:t>
      </w:r>
      <w:r w:rsidRPr="00344013">
        <w:rPr>
          <w:sz w:val="24"/>
          <w:szCs w:val="24"/>
          <w:vertAlign w:val="superscript"/>
        </w:rPr>
        <w:footnoteReference w:id="103"/>
      </w:r>
    </w:p>
    <w:p w14:paraId="2A343FC6" w14:textId="77777777" w:rsidR="00344013" w:rsidRPr="00344013" w:rsidRDefault="00344013" w:rsidP="00344013">
      <w:pPr>
        <w:spacing w:line="360" w:lineRule="auto"/>
        <w:rPr>
          <w:sz w:val="24"/>
          <w:szCs w:val="24"/>
        </w:rPr>
      </w:pPr>
    </w:p>
    <w:p w14:paraId="317F5E21" w14:textId="77777777" w:rsidR="00344013" w:rsidRPr="00344013" w:rsidRDefault="00344013" w:rsidP="00344013">
      <w:pPr>
        <w:spacing w:line="360" w:lineRule="auto"/>
        <w:rPr>
          <w:sz w:val="24"/>
          <w:szCs w:val="24"/>
          <w:u w:val="single"/>
        </w:rPr>
      </w:pPr>
      <w:r w:rsidRPr="00344013">
        <w:rPr>
          <w:sz w:val="24"/>
          <w:szCs w:val="24"/>
          <w:u w:val="single"/>
        </w:rPr>
        <w:br w:type="page"/>
      </w:r>
    </w:p>
    <w:p w14:paraId="7E4AF199" w14:textId="77777777" w:rsidR="00344013" w:rsidRPr="00344013" w:rsidRDefault="00344013" w:rsidP="00344013">
      <w:pPr>
        <w:spacing w:line="360" w:lineRule="auto"/>
        <w:rPr>
          <w:sz w:val="24"/>
          <w:szCs w:val="24"/>
          <w:u w:val="single"/>
        </w:rPr>
      </w:pPr>
      <w:r w:rsidRPr="00344013">
        <w:rPr>
          <w:sz w:val="24"/>
          <w:szCs w:val="24"/>
          <w:u w:val="single"/>
        </w:rPr>
        <w:lastRenderedPageBreak/>
        <w:t xml:space="preserve">A Comparison of Lawrence’s </w:t>
      </w:r>
      <w:r w:rsidRPr="00344013">
        <w:rPr>
          <w:i/>
          <w:iCs/>
          <w:sz w:val="24"/>
          <w:szCs w:val="24"/>
          <w:u w:val="single"/>
        </w:rPr>
        <w:t>Coastguard</w:t>
      </w:r>
      <w:r w:rsidRPr="00344013">
        <w:rPr>
          <w:sz w:val="24"/>
          <w:szCs w:val="24"/>
          <w:u w:val="single"/>
        </w:rPr>
        <w:t xml:space="preserve"> and </w:t>
      </w:r>
      <w:r w:rsidRPr="00344013">
        <w:rPr>
          <w:i/>
          <w:iCs/>
          <w:sz w:val="24"/>
          <w:szCs w:val="24"/>
          <w:u w:val="single"/>
        </w:rPr>
        <w:t>Struggle</w:t>
      </w:r>
      <w:r w:rsidRPr="00344013">
        <w:rPr>
          <w:sz w:val="24"/>
          <w:szCs w:val="24"/>
          <w:u w:val="single"/>
        </w:rPr>
        <w:t xml:space="preserve"> Collections</w:t>
      </w:r>
    </w:p>
    <w:p w14:paraId="1C238414" w14:textId="77777777" w:rsidR="00344013" w:rsidRPr="00344013" w:rsidRDefault="00344013" w:rsidP="00344013">
      <w:pPr>
        <w:spacing w:line="360" w:lineRule="auto"/>
        <w:rPr>
          <w:sz w:val="24"/>
          <w:szCs w:val="24"/>
          <w:u w:val="single"/>
        </w:rPr>
      </w:pPr>
    </w:p>
    <w:p w14:paraId="198EB2BC" w14:textId="77777777" w:rsidR="00344013" w:rsidRPr="00344013" w:rsidRDefault="00344013" w:rsidP="00344013">
      <w:pPr>
        <w:spacing w:line="360" w:lineRule="auto"/>
        <w:rPr>
          <w:sz w:val="24"/>
          <w:szCs w:val="24"/>
        </w:rPr>
      </w:pPr>
      <w:r w:rsidRPr="00344013">
        <w:rPr>
          <w:sz w:val="24"/>
          <w:szCs w:val="24"/>
        </w:rPr>
        <w:t xml:space="preserve">As discussed previously, Lawrence’s coastguard paintings marked a turning point in his career and his reception. His time in the coastguard was markedly different form that of many other black Americans and a feeling of optimism springs from his work. In this painting titled </w:t>
      </w:r>
      <w:r w:rsidRPr="00344013">
        <w:rPr>
          <w:i/>
          <w:iCs/>
          <w:sz w:val="24"/>
          <w:szCs w:val="24"/>
        </w:rPr>
        <w:t>Recreation</w:t>
      </w:r>
      <w:r w:rsidRPr="00344013">
        <w:rPr>
          <w:sz w:val="24"/>
          <w:szCs w:val="24"/>
        </w:rPr>
        <w:t xml:space="preserve">, Lawrence has shown black and white servicemen engaged in sociable pastimes. Playing cards, chequers, and listening to music, the overall feeling from this image is one of happy, calm, and simple enjoyment. It is inappropriate, however, to attribute a sense of optimism to the entire Coastguard series as over half of it has gone missing. However, from the paintings that are available, only one titled </w:t>
      </w:r>
      <w:r w:rsidRPr="00344013">
        <w:rPr>
          <w:i/>
          <w:iCs/>
          <w:sz w:val="24"/>
          <w:szCs w:val="24"/>
        </w:rPr>
        <w:t>Prayer</w:t>
      </w:r>
      <w:r w:rsidRPr="00344013">
        <w:rPr>
          <w:sz w:val="24"/>
          <w:szCs w:val="24"/>
        </w:rPr>
        <w:t xml:space="preserve">, lacks any sense of hope for the future, the rest all instil a sense of quiet and amicable cooperation and mutual respect. The </w:t>
      </w:r>
      <w:r w:rsidRPr="00344013">
        <w:rPr>
          <w:i/>
          <w:iCs/>
          <w:sz w:val="24"/>
          <w:szCs w:val="24"/>
        </w:rPr>
        <w:t>Struggle</w:t>
      </w:r>
      <w:r w:rsidRPr="00344013">
        <w:rPr>
          <w:sz w:val="24"/>
          <w:szCs w:val="24"/>
        </w:rPr>
        <w:t xml:space="preserve"> collection, however, has an overwhelming sense of violence, sadness, and relentless horror. The optimism found in Lawrence’s 1940s work was absent from his 1950s work. Had he become less optimistic in the span of a decade? To answer this question Lawrence’s empathetic nature must again be used. Lawrence’s experience of life in the military was generally positive, with two supportive captains, serving on the first integrated ship, and an appreciation of his work all combining to instil within him a sense of optimism. This optimism comes through in his work, and especially with the racial integration of the SS </w:t>
      </w:r>
      <w:r w:rsidRPr="00344013">
        <w:rPr>
          <w:i/>
          <w:iCs/>
          <w:sz w:val="24"/>
          <w:szCs w:val="24"/>
        </w:rPr>
        <w:t xml:space="preserve">Sea Cloud </w:t>
      </w:r>
      <w:r w:rsidRPr="00344013">
        <w:rPr>
          <w:sz w:val="24"/>
          <w:szCs w:val="24"/>
        </w:rPr>
        <w:t xml:space="preserve">being deemed a success, Lawrence had every reason to feel optimistic. People with empathetic natures, however, often feel the suffering of others more acutely that they experience their own suffering. Lawrence’s research into the history of the United States would have turned up war, racism, and genocide. Along with the continued racial discrimination faced by African Americans after the war, there was little room for hope and optimism in his </w:t>
      </w:r>
      <w:r w:rsidRPr="00344013">
        <w:rPr>
          <w:i/>
          <w:iCs/>
          <w:sz w:val="24"/>
          <w:szCs w:val="24"/>
        </w:rPr>
        <w:t>Struggle</w:t>
      </w:r>
      <w:r w:rsidRPr="00344013">
        <w:rPr>
          <w:sz w:val="24"/>
          <w:szCs w:val="24"/>
        </w:rPr>
        <w:t xml:space="preserve"> collection. </w:t>
      </w:r>
    </w:p>
    <w:p w14:paraId="126B8402" w14:textId="77777777" w:rsidR="00344013" w:rsidRPr="00344013" w:rsidRDefault="00344013" w:rsidP="00344013">
      <w:pPr>
        <w:spacing w:line="360" w:lineRule="auto"/>
        <w:rPr>
          <w:sz w:val="24"/>
          <w:szCs w:val="24"/>
        </w:rPr>
      </w:pPr>
    </w:p>
    <w:p w14:paraId="41B3EC8F" w14:textId="77777777" w:rsidR="00344013" w:rsidRPr="00344013" w:rsidRDefault="00344013" w:rsidP="00344013">
      <w:pPr>
        <w:spacing w:line="360" w:lineRule="auto"/>
        <w:rPr>
          <w:sz w:val="24"/>
          <w:szCs w:val="24"/>
        </w:rPr>
      </w:pPr>
      <w:r w:rsidRPr="00344013">
        <w:rPr>
          <w:sz w:val="24"/>
          <w:szCs w:val="24"/>
        </w:rPr>
        <w:lastRenderedPageBreak/>
        <w:drawing>
          <wp:inline distT="0" distB="0" distL="0" distR="0" wp14:anchorId="02731BE3" wp14:editId="1DE6DB0B">
            <wp:extent cx="3657088" cy="3477754"/>
            <wp:effectExtent l="0" t="0" r="635" b="889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692650" cy="3511572"/>
                    </a:xfrm>
                    <a:prstGeom prst="rect">
                      <a:avLst/>
                    </a:prstGeom>
                    <a:noFill/>
                  </pic:spPr>
                </pic:pic>
              </a:graphicData>
            </a:graphic>
          </wp:inline>
        </w:drawing>
      </w:r>
    </w:p>
    <w:p w14:paraId="2E870DC1" w14:textId="77777777" w:rsidR="00344013" w:rsidRPr="00344013" w:rsidRDefault="00344013" w:rsidP="00344013">
      <w:pPr>
        <w:spacing w:line="360" w:lineRule="auto"/>
        <w:rPr>
          <w:sz w:val="20"/>
          <w:szCs w:val="20"/>
        </w:rPr>
      </w:pPr>
      <w:r w:rsidRPr="00344013">
        <w:rPr>
          <w:sz w:val="20"/>
          <w:szCs w:val="20"/>
        </w:rPr>
        <w:t>Fig 6: Jacob Lawrence, </w:t>
      </w:r>
      <w:r w:rsidRPr="00344013">
        <w:rPr>
          <w:i/>
          <w:iCs/>
          <w:sz w:val="20"/>
          <w:szCs w:val="20"/>
        </w:rPr>
        <w:t>Recreation</w:t>
      </w:r>
      <w:r w:rsidRPr="00344013">
        <w:rPr>
          <w:sz w:val="20"/>
          <w:szCs w:val="20"/>
        </w:rPr>
        <w:t> (1944).</w:t>
      </w:r>
      <w:r w:rsidRPr="00344013">
        <w:rPr>
          <w:sz w:val="20"/>
          <w:szCs w:val="20"/>
          <w:vertAlign w:val="superscript"/>
        </w:rPr>
        <w:footnoteReference w:id="104"/>
      </w:r>
    </w:p>
    <w:p w14:paraId="0E277CDC" w14:textId="77777777" w:rsidR="00344013" w:rsidRPr="00344013" w:rsidRDefault="00344013" w:rsidP="00344013">
      <w:pPr>
        <w:spacing w:line="360" w:lineRule="auto"/>
        <w:rPr>
          <w:sz w:val="24"/>
          <w:szCs w:val="24"/>
        </w:rPr>
      </w:pPr>
      <w:r w:rsidRPr="00344013">
        <w:rPr>
          <w:sz w:val="24"/>
          <w:szCs w:val="24"/>
        </w:rPr>
        <w:drawing>
          <wp:inline distT="0" distB="0" distL="0" distR="0" wp14:anchorId="78F2C295" wp14:editId="141FB994">
            <wp:extent cx="3787078" cy="3015574"/>
            <wp:effectExtent l="0" t="0" r="4445" b="0"/>
            <wp:docPr id="6" name="Picture 6" descr="A picture containing text,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ol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29776" cy="3049574"/>
                    </a:xfrm>
                    <a:prstGeom prst="rect">
                      <a:avLst/>
                    </a:prstGeom>
                    <a:noFill/>
                  </pic:spPr>
                </pic:pic>
              </a:graphicData>
            </a:graphic>
          </wp:inline>
        </w:drawing>
      </w:r>
    </w:p>
    <w:p w14:paraId="1BEDABF0" w14:textId="77777777" w:rsidR="00344013" w:rsidRPr="00344013" w:rsidRDefault="00344013" w:rsidP="00344013">
      <w:pPr>
        <w:spacing w:line="360" w:lineRule="auto"/>
        <w:rPr>
          <w:sz w:val="20"/>
          <w:szCs w:val="20"/>
        </w:rPr>
      </w:pPr>
      <w:r w:rsidRPr="00344013">
        <w:rPr>
          <w:sz w:val="20"/>
          <w:szCs w:val="20"/>
        </w:rPr>
        <w:lastRenderedPageBreak/>
        <w:t>Fig 7: Jacob Lawrence, </w:t>
      </w:r>
      <w:r w:rsidRPr="00344013">
        <w:rPr>
          <w:i/>
          <w:iCs/>
          <w:sz w:val="20"/>
          <w:szCs w:val="20"/>
        </w:rPr>
        <w:t>Prayer</w:t>
      </w:r>
      <w:r w:rsidRPr="00344013">
        <w:rPr>
          <w:sz w:val="20"/>
          <w:szCs w:val="20"/>
        </w:rPr>
        <w:t> (1944).</w:t>
      </w:r>
      <w:r w:rsidRPr="00344013">
        <w:rPr>
          <w:sz w:val="20"/>
          <w:szCs w:val="20"/>
          <w:vertAlign w:val="superscript"/>
        </w:rPr>
        <w:footnoteReference w:id="105"/>
      </w:r>
    </w:p>
    <w:p w14:paraId="07E9C984" w14:textId="77777777" w:rsidR="00344013" w:rsidRPr="00344013" w:rsidRDefault="00344013" w:rsidP="00344013">
      <w:pPr>
        <w:spacing w:line="360" w:lineRule="auto"/>
        <w:rPr>
          <w:sz w:val="24"/>
          <w:szCs w:val="24"/>
          <w:u w:val="single"/>
        </w:rPr>
      </w:pPr>
      <w:r w:rsidRPr="00344013">
        <w:rPr>
          <w:sz w:val="24"/>
          <w:szCs w:val="24"/>
          <w:u w:val="single"/>
        </w:rPr>
        <w:t>Conclusion</w:t>
      </w:r>
    </w:p>
    <w:p w14:paraId="2EE490B1" w14:textId="77777777" w:rsidR="00344013" w:rsidRPr="00344013" w:rsidRDefault="00344013" w:rsidP="00344013">
      <w:pPr>
        <w:spacing w:line="360" w:lineRule="auto"/>
        <w:rPr>
          <w:sz w:val="24"/>
          <w:szCs w:val="24"/>
          <w:u w:val="single"/>
        </w:rPr>
      </w:pPr>
    </w:p>
    <w:p w14:paraId="118F9192" w14:textId="77777777" w:rsidR="00344013" w:rsidRPr="00344013" w:rsidRDefault="00344013" w:rsidP="00344013">
      <w:pPr>
        <w:spacing w:line="360" w:lineRule="auto"/>
        <w:rPr>
          <w:sz w:val="24"/>
          <w:szCs w:val="24"/>
        </w:rPr>
      </w:pPr>
      <w:r w:rsidRPr="00344013">
        <w:rPr>
          <w:sz w:val="24"/>
          <w:szCs w:val="24"/>
        </w:rPr>
        <w:t>In trying to decipher any political messages within Lawrence’s depiction of Tecumseh an overarching narrative has been revealed. Lawrence’s use of a bright primary colour palette across all three panels has betrayed a subliminal message which casts Indian people and their cultural legacy as ‘primitive’. As an artist who had his work described as ‘primitive’ because of his race rather than because of its content, Lawrence could have related to the pain that such remarks could cause.</w:t>
      </w:r>
    </w:p>
    <w:p w14:paraId="4BD05B84" w14:textId="77777777" w:rsidR="00344013" w:rsidRPr="00344013" w:rsidRDefault="00344013" w:rsidP="00344013">
      <w:pPr>
        <w:spacing w:line="360" w:lineRule="auto"/>
        <w:rPr>
          <w:sz w:val="24"/>
          <w:szCs w:val="24"/>
        </w:rPr>
      </w:pPr>
      <w:r w:rsidRPr="00344013">
        <w:rPr>
          <w:sz w:val="24"/>
          <w:szCs w:val="24"/>
        </w:rPr>
        <w:t xml:space="preserve">The historical narrative in this chapter highlights many issues regarding cultural appropriation. It has been shown that Tecumseh is generally only respected by mainstream society when removed from his position as a Shawnee. His position in American mythology as a hero and an ‘uncommon genius’ only serves to distract from his real accomplishments and those of the Shawnee. The parallels between the reputations of Tecumseh and Lawrence as the nations ‘number one negro artist’ serve to highlight what Lawrence meant when he stated that ‘none of us wants to be accepted as “the one and only” or “one of the few”. </w:t>
      </w:r>
    </w:p>
    <w:p w14:paraId="1353A9C0" w14:textId="77777777" w:rsidR="00344013" w:rsidRPr="00344013" w:rsidRDefault="00344013" w:rsidP="00344013">
      <w:pPr>
        <w:spacing w:line="360" w:lineRule="auto"/>
        <w:rPr>
          <w:sz w:val="24"/>
          <w:szCs w:val="24"/>
          <w:u w:val="single"/>
        </w:rPr>
      </w:pPr>
    </w:p>
    <w:p w14:paraId="0BA3F994" w14:textId="77777777" w:rsidR="00344013" w:rsidRPr="00344013" w:rsidRDefault="00344013" w:rsidP="00344013">
      <w:pPr>
        <w:spacing w:line="360" w:lineRule="auto"/>
        <w:rPr>
          <w:sz w:val="24"/>
          <w:szCs w:val="24"/>
          <w:u w:val="single"/>
        </w:rPr>
      </w:pPr>
      <w:r w:rsidRPr="00344013">
        <w:rPr>
          <w:sz w:val="24"/>
          <w:szCs w:val="24"/>
          <w:u w:val="single"/>
        </w:rPr>
        <w:br w:type="page"/>
      </w:r>
    </w:p>
    <w:p w14:paraId="2CAA598A" w14:textId="77777777" w:rsidR="00344013" w:rsidRPr="00344013" w:rsidRDefault="00344013" w:rsidP="00344013">
      <w:pPr>
        <w:spacing w:line="360" w:lineRule="auto"/>
        <w:rPr>
          <w:sz w:val="24"/>
          <w:szCs w:val="24"/>
          <w:u w:val="single"/>
        </w:rPr>
      </w:pPr>
      <w:r w:rsidRPr="00344013">
        <w:rPr>
          <w:sz w:val="24"/>
          <w:szCs w:val="24"/>
          <w:u w:val="single"/>
        </w:rPr>
        <w:lastRenderedPageBreak/>
        <w:t>Conclusion</w:t>
      </w:r>
    </w:p>
    <w:p w14:paraId="1E39D482" w14:textId="77777777" w:rsidR="00344013" w:rsidRPr="00344013" w:rsidRDefault="00344013" w:rsidP="00344013">
      <w:pPr>
        <w:spacing w:line="360" w:lineRule="auto"/>
        <w:rPr>
          <w:sz w:val="24"/>
          <w:szCs w:val="24"/>
          <w:u w:val="single"/>
        </w:rPr>
      </w:pPr>
    </w:p>
    <w:p w14:paraId="2B9A3CBF" w14:textId="77777777" w:rsidR="00344013" w:rsidRPr="00344013" w:rsidRDefault="00344013" w:rsidP="00344013">
      <w:pPr>
        <w:spacing w:line="360" w:lineRule="auto"/>
        <w:rPr>
          <w:sz w:val="24"/>
          <w:szCs w:val="24"/>
        </w:rPr>
      </w:pPr>
      <w:r w:rsidRPr="00344013">
        <w:rPr>
          <w:sz w:val="24"/>
          <w:szCs w:val="24"/>
        </w:rPr>
        <w:drawing>
          <wp:inline distT="0" distB="0" distL="0" distR="0" wp14:anchorId="201F2887" wp14:editId="66627AA3">
            <wp:extent cx="5125720" cy="5715000"/>
            <wp:effectExtent l="0" t="0" r="0" b="0"/>
            <wp:docPr id="9" name="Picture 9" descr="A picture containing text, military uniform,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military uniform, swimming&#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138519" cy="5729270"/>
                    </a:xfrm>
                    <a:prstGeom prst="rect">
                      <a:avLst/>
                    </a:prstGeom>
                    <a:noFill/>
                  </pic:spPr>
                </pic:pic>
              </a:graphicData>
            </a:graphic>
          </wp:inline>
        </w:drawing>
      </w:r>
    </w:p>
    <w:p w14:paraId="571923BB" w14:textId="77777777" w:rsidR="00344013" w:rsidRPr="00344013" w:rsidRDefault="00344013" w:rsidP="00344013">
      <w:pPr>
        <w:spacing w:line="360" w:lineRule="auto"/>
        <w:rPr>
          <w:sz w:val="20"/>
          <w:szCs w:val="20"/>
        </w:rPr>
      </w:pPr>
      <w:r w:rsidRPr="00344013">
        <w:rPr>
          <w:sz w:val="20"/>
          <w:szCs w:val="20"/>
        </w:rPr>
        <w:t xml:space="preserve">Fig 8: Jacob Lawrence, </w:t>
      </w:r>
      <w:r w:rsidRPr="00344013">
        <w:rPr>
          <w:i/>
          <w:iCs/>
          <w:sz w:val="20"/>
          <w:szCs w:val="20"/>
        </w:rPr>
        <w:t>Celebration of Heritage</w:t>
      </w:r>
      <w:r w:rsidRPr="00344013">
        <w:rPr>
          <w:sz w:val="20"/>
          <w:szCs w:val="20"/>
        </w:rPr>
        <w:t>, 1992, Lithograph, 30" x 22 1/4" paper size.</w:t>
      </w:r>
      <w:r w:rsidRPr="00344013">
        <w:rPr>
          <w:sz w:val="20"/>
          <w:szCs w:val="20"/>
          <w:vertAlign w:val="superscript"/>
        </w:rPr>
        <w:footnoteReference w:id="106"/>
      </w:r>
    </w:p>
    <w:p w14:paraId="7A7CAD8C" w14:textId="77777777" w:rsidR="00344013" w:rsidRPr="00344013" w:rsidRDefault="00344013" w:rsidP="00344013">
      <w:pPr>
        <w:spacing w:line="360" w:lineRule="auto"/>
        <w:rPr>
          <w:sz w:val="24"/>
          <w:szCs w:val="24"/>
        </w:rPr>
      </w:pPr>
    </w:p>
    <w:p w14:paraId="1C1AD44A" w14:textId="77777777" w:rsidR="00344013" w:rsidRPr="00344013" w:rsidRDefault="00344013" w:rsidP="00344013">
      <w:pPr>
        <w:spacing w:line="360" w:lineRule="auto"/>
        <w:rPr>
          <w:sz w:val="24"/>
          <w:szCs w:val="24"/>
        </w:rPr>
      </w:pPr>
      <w:r w:rsidRPr="00344013">
        <w:rPr>
          <w:sz w:val="24"/>
          <w:szCs w:val="24"/>
        </w:rPr>
        <w:br w:type="page"/>
      </w:r>
    </w:p>
    <w:p w14:paraId="4C4EDB3F" w14:textId="77777777" w:rsidR="00344013" w:rsidRPr="00344013" w:rsidRDefault="00344013" w:rsidP="00344013">
      <w:pPr>
        <w:spacing w:line="360" w:lineRule="auto"/>
        <w:rPr>
          <w:sz w:val="24"/>
          <w:szCs w:val="24"/>
        </w:rPr>
      </w:pPr>
      <w:r w:rsidRPr="00344013">
        <w:rPr>
          <w:sz w:val="24"/>
          <w:szCs w:val="24"/>
        </w:rPr>
        <w:lastRenderedPageBreak/>
        <w:t xml:space="preserve">This painting is titled </w:t>
      </w:r>
      <w:r w:rsidRPr="00344013">
        <w:rPr>
          <w:i/>
          <w:iCs/>
          <w:sz w:val="24"/>
          <w:szCs w:val="24"/>
        </w:rPr>
        <w:t xml:space="preserve">Celebration of Heritage </w:t>
      </w:r>
      <w:r w:rsidRPr="00344013">
        <w:rPr>
          <w:sz w:val="24"/>
          <w:szCs w:val="24"/>
        </w:rPr>
        <w:t xml:space="preserve">and Lawrence painted it in 1992, nearly forty years after his </w:t>
      </w:r>
      <w:r w:rsidRPr="00344013">
        <w:rPr>
          <w:i/>
          <w:iCs/>
          <w:sz w:val="24"/>
          <w:szCs w:val="24"/>
        </w:rPr>
        <w:t>Struggle</w:t>
      </w:r>
      <w:r w:rsidRPr="00344013">
        <w:rPr>
          <w:sz w:val="24"/>
          <w:szCs w:val="24"/>
        </w:rPr>
        <w:t xml:space="preserve"> collection. It is the only other painting, as far as I am aware, of Indians painted by Lawrence. It provides an interesting point of comparison with the three panels analysed in this dissertation as well an area for future research. The three </w:t>
      </w:r>
      <w:r w:rsidRPr="00344013">
        <w:rPr>
          <w:i/>
          <w:iCs/>
          <w:sz w:val="24"/>
          <w:szCs w:val="24"/>
        </w:rPr>
        <w:t>Struggle</w:t>
      </w:r>
      <w:r w:rsidRPr="00344013">
        <w:rPr>
          <w:sz w:val="24"/>
          <w:szCs w:val="24"/>
        </w:rPr>
        <w:t xml:space="preserve"> panels display stereotypical images of Indians which are instantly recognisable; this painting, however, is far more subtle. The overall scene is softer, the lines of the images are curved and gently jagged, there is no harshness in the image. The colours, however, are the same with the reds, blues, browns, and yellows but they are softer tones and do not have the same intensity. It would be interesting to chart the career and life of Lawrence between the creation of his </w:t>
      </w:r>
      <w:r w:rsidRPr="00344013">
        <w:rPr>
          <w:i/>
          <w:iCs/>
          <w:sz w:val="24"/>
          <w:szCs w:val="24"/>
        </w:rPr>
        <w:t>Struggle</w:t>
      </w:r>
      <w:r w:rsidRPr="00344013">
        <w:rPr>
          <w:sz w:val="24"/>
          <w:szCs w:val="24"/>
        </w:rPr>
        <w:t xml:space="preserve"> collection and the creation of the </w:t>
      </w:r>
      <w:r w:rsidRPr="00344013">
        <w:rPr>
          <w:i/>
          <w:iCs/>
          <w:sz w:val="24"/>
          <w:szCs w:val="24"/>
        </w:rPr>
        <w:t xml:space="preserve">Celebration of Heritage </w:t>
      </w:r>
      <w:r w:rsidRPr="00344013">
        <w:rPr>
          <w:sz w:val="24"/>
          <w:szCs w:val="24"/>
        </w:rPr>
        <w:t xml:space="preserve">to ascertain how and why this evolution in style took place. </w:t>
      </w:r>
    </w:p>
    <w:p w14:paraId="083DDADA" w14:textId="77777777" w:rsidR="00344013" w:rsidRPr="00344013" w:rsidRDefault="00344013" w:rsidP="00344013">
      <w:pPr>
        <w:spacing w:line="360" w:lineRule="auto"/>
        <w:rPr>
          <w:sz w:val="24"/>
          <w:szCs w:val="24"/>
        </w:rPr>
      </w:pPr>
      <w:r w:rsidRPr="00344013">
        <w:rPr>
          <w:sz w:val="24"/>
          <w:szCs w:val="24"/>
        </w:rPr>
        <w:t xml:space="preserve">The purpose of this dissertation has been to analyse three of Lawrence’s paintings and discover any political messages sublimated within them. To do this, historical and historiographical narratives of each of the paintings have been examined as well as a historical narrative of Lawrence’s life and motivations. </w:t>
      </w:r>
    </w:p>
    <w:p w14:paraId="4801A44D" w14:textId="77777777" w:rsidR="00344013" w:rsidRPr="00344013" w:rsidRDefault="00344013" w:rsidP="00344013">
      <w:pPr>
        <w:spacing w:line="360" w:lineRule="auto"/>
        <w:rPr>
          <w:sz w:val="24"/>
          <w:szCs w:val="24"/>
        </w:rPr>
      </w:pPr>
      <w:r w:rsidRPr="00344013">
        <w:rPr>
          <w:sz w:val="24"/>
          <w:szCs w:val="24"/>
        </w:rPr>
        <w:t>The historical narratives discussed have shown the amalgamation between Indian and Euro-American cultures that took place in the aftermath of European incursions into the Americas. Furthermore, the destruction of these new cultural identities in the wake of relentless Euro-American immigration into Indian territory. This pattern then echoes into the 20</w:t>
      </w:r>
      <w:r w:rsidRPr="00344013">
        <w:rPr>
          <w:sz w:val="24"/>
          <w:szCs w:val="24"/>
          <w:vertAlign w:val="superscript"/>
        </w:rPr>
        <w:t>th</w:t>
      </w:r>
      <w:r w:rsidRPr="00344013">
        <w:rPr>
          <w:sz w:val="24"/>
          <w:szCs w:val="24"/>
        </w:rPr>
        <w:t xml:space="preserve"> century for African Americans as they tried to forge a new cultural identity for themselves after the abolition of slavery only to suffer under the Jim Crow laws in the south and racial discrimination in the north. Lawrence’s representation of the Boston Tea Party, in which the figures are locked in a perpetual struggle, could also be attributed to the struggle faced by 20</w:t>
      </w:r>
      <w:r w:rsidRPr="00344013">
        <w:rPr>
          <w:sz w:val="24"/>
          <w:szCs w:val="24"/>
          <w:vertAlign w:val="superscript"/>
        </w:rPr>
        <w:t>th</w:t>
      </w:r>
      <w:r w:rsidRPr="00344013">
        <w:rPr>
          <w:sz w:val="24"/>
          <w:szCs w:val="24"/>
        </w:rPr>
        <w:t xml:space="preserve"> century black Americans, and their struggle with white supremacists. </w:t>
      </w:r>
    </w:p>
    <w:p w14:paraId="02090647" w14:textId="77777777" w:rsidR="00344013" w:rsidRPr="00344013" w:rsidRDefault="00344013" w:rsidP="00344013">
      <w:pPr>
        <w:spacing w:line="360" w:lineRule="auto"/>
        <w:rPr>
          <w:sz w:val="24"/>
          <w:szCs w:val="24"/>
        </w:rPr>
      </w:pPr>
      <w:r w:rsidRPr="00344013">
        <w:rPr>
          <w:sz w:val="24"/>
          <w:szCs w:val="24"/>
        </w:rPr>
        <w:t>In the study of Sacagawea, her legacy as a woman without her own voice onto which others have imposed their own meaning resonates not only with indigenous women but all women. Her presence among the explorers of the Lewis and Clark expedition has been used as justification for American expansionism with no regard to the fact that the opinions of an Indian teenage girl would have meant nothing on the political stage of the 19</w:t>
      </w:r>
      <w:r w:rsidRPr="00344013">
        <w:rPr>
          <w:sz w:val="24"/>
          <w:szCs w:val="24"/>
          <w:vertAlign w:val="superscript"/>
        </w:rPr>
        <w:t>th</w:t>
      </w:r>
      <w:r w:rsidRPr="00344013">
        <w:rPr>
          <w:sz w:val="24"/>
          <w:szCs w:val="24"/>
        </w:rPr>
        <w:t xml:space="preserve"> century, and she could not have possibly been aware of the implications of the expedition and her role within it. Tecumseh could be seen as a male counterpart to Sacagawea in this sense, </w:t>
      </w:r>
      <w:r w:rsidRPr="00344013">
        <w:rPr>
          <w:sz w:val="24"/>
          <w:szCs w:val="24"/>
        </w:rPr>
        <w:lastRenderedPageBreak/>
        <w:t>although more historical information is known of him, and his words and actions have been better recorded; he is still a figure onto which others have imposed their own meaning. The sheer amount of mythology that surrounds these two people is staggering and will probably never be fully unravelled. Lawrence too fell victim to the impressions of other in being labelled ‘primitive’ and Americas ‘number one negro painter’, both descriptions he did not appreciate.</w:t>
      </w:r>
    </w:p>
    <w:p w14:paraId="2F427F47" w14:textId="77777777" w:rsidR="00344013" w:rsidRPr="00344013" w:rsidRDefault="00344013" w:rsidP="00344013">
      <w:pPr>
        <w:spacing w:line="360" w:lineRule="auto"/>
        <w:rPr>
          <w:sz w:val="24"/>
          <w:szCs w:val="24"/>
        </w:rPr>
      </w:pPr>
      <w:r w:rsidRPr="00344013">
        <w:rPr>
          <w:sz w:val="24"/>
          <w:szCs w:val="24"/>
        </w:rPr>
        <w:t>Overall, the narrative that has come through in all chapters is one of disrespect. The characters of Sacagawea and Tecumseh only being respected as individuals when removed from their proper historical and social context and made to serve the purposes of white Euro-Americans. Moreover, this is seen in Lawrence’s work as he could not gain respect as a black artist who included political ideas within his work, he was compelled to disguise his true meanings.</w:t>
      </w:r>
    </w:p>
    <w:p w14:paraId="25198417" w14:textId="77777777" w:rsidR="00344013" w:rsidRPr="00344013" w:rsidRDefault="00344013" w:rsidP="00344013">
      <w:pPr>
        <w:spacing w:line="360" w:lineRule="auto"/>
        <w:rPr>
          <w:sz w:val="24"/>
          <w:szCs w:val="24"/>
        </w:rPr>
      </w:pPr>
      <w:r w:rsidRPr="00344013">
        <w:rPr>
          <w:sz w:val="24"/>
          <w:szCs w:val="24"/>
        </w:rPr>
        <w:t xml:space="preserve">Furthermore, the political messages that have been revealed in the three panels show how Indians were viewed as a homogenous group, recognisable by stereotypical feather headdresses rather than as individual nations with their own dress and cultural practices. In the depiction of the Boston Tea Party Lawrence disguised his political sentiments within the disguises worn by the tea partiers. In his depiction of Sacagawea, he took a well-known scene of family reunion and used it to condemn the destruction of the Indian way of life. In his depiction of Tecumseh, he shows the analogy of ‘a great water’ crashing down in a wave of indifferent destruction. By using three iconic myths from American history, Lawrence was able to convey deep criticism of the treatment of Indian peoples by white Americans in a way that would not offend their sensibilities. Lawrence effectively culturally appropriated what had already been culturally appropriated and polarised its meaning to represent those from which it was originally taken. </w:t>
      </w:r>
    </w:p>
    <w:p w14:paraId="5EED20CC" w14:textId="77777777" w:rsidR="00344013" w:rsidRPr="00344013" w:rsidRDefault="00344013" w:rsidP="00344013">
      <w:pPr>
        <w:spacing w:line="360" w:lineRule="auto"/>
        <w:rPr>
          <w:sz w:val="24"/>
          <w:szCs w:val="24"/>
        </w:rPr>
      </w:pPr>
    </w:p>
    <w:p w14:paraId="4A102606" w14:textId="77777777" w:rsidR="00344013" w:rsidRPr="00344013" w:rsidRDefault="00344013" w:rsidP="00344013">
      <w:pPr>
        <w:spacing w:line="360" w:lineRule="auto"/>
        <w:rPr>
          <w:sz w:val="24"/>
          <w:szCs w:val="24"/>
          <w:u w:val="single"/>
        </w:rPr>
      </w:pPr>
      <w:r w:rsidRPr="00344013">
        <w:rPr>
          <w:sz w:val="24"/>
          <w:szCs w:val="24"/>
          <w:u w:val="single"/>
        </w:rPr>
        <w:br w:type="page"/>
      </w:r>
    </w:p>
    <w:p w14:paraId="688F8DF1" w14:textId="77777777" w:rsidR="00344013" w:rsidRPr="00344013" w:rsidRDefault="00344013" w:rsidP="00002F7A">
      <w:pPr>
        <w:spacing w:line="360" w:lineRule="auto"/>
        <w:jc w:val="center"/>
        <w:rPr>
          <w:sz w:val="24"/>
          <w:szCs w:val="24"/>
          <w:u w:val="single"/>
        </w:rPr>
      </w:pPr>
      <w:r w:rsidRPr="00344013">
        <w:rPr>
          <w:sz w:val="24"/>
          <w:szCs w:val="24"/>
          <w:u w:val="single"/>
        </w:rPr>
        <w:lastRenderedPageBreak/>
        <w:t>Bibliography</w:t>
      </w:r>
    </w:p>
    <w:p w14:paraId="6645479E" w14:textId="77777777" w:rsidR="00344013" w:rsidRPr="00344013" w:rsidRDefault="00344013" w:rsidP="00344013">
      <w:pPr>
        <w:spacing w:line="360" w:lineRule="auto"/>
        <w:rPr>
          <w:sz w:val="24"/>
          <w:szCs w:val="24"/>
          <w:u w:val="single"/>
        </w:rPr>
      </w:pPr>
    </w:p>
    <w:p w14:paraId="0AD955EA" w14:textId="77777777" w:rsidR="00344013" w:rsidRPr="00344013" w:rsidRDefault="00344013" w:rsidP="00344013">
      <w:pPr>
        <w:spacing w:line="360" w:lineRule="auto"/>
        <w:rPr>
          <w:sz w:val="24"/>
          <w:szCs w:val="24"/>
          <w:u w:val="single"/>
        </w:rPr>
      </w:pPr>
      <w:r w:rsidRPr="00344013">
        <w:rPr>
          <w:sz w:val="24"/>
          <w:szCs w:val="24"/>
          <w:u w:val="single"/>
        </w:rPr>
        <w:t>Primary Sources</w:t>
      </w:r>
    </w:p>
    <w:p w14:paraId="4EC1997F" w14:textId="77777777" w:rsidR="00344013" w:rsidRPr="00344013" w:rsidRDefault="00344013" w:rsidP="00344013">
      <w:pPr>
        <w:spacing w:line="360" w:lineRule="auto"/>
        <w:rPr>
          <w:sz w:val="24"/>
          <w:szCs w:val="24"/>
          <w:u w:val="single"/>
        </w:rPr>
      </w:pPr>
    </w:p>
    <w:p w14:paraId="742A6C68" w14:textId="77777777" w:rsidR="00344013" w:rsidRPr="00344013" w:rsidRDefault="00344013" w:rsidP="00344013">
      <w:pPr>
        <w:spacing w:line="360" w:lineRule="auto"/>
        <w:rPr>
          <w:sz w:val="24"/>
          <w:szCs w:val="24"/>
          <w:u w:val="single"/>
        </w:rPr>
      </w:pPr>
      <w:r w:rsidRPr="00344013">
        <w:rPr>
          <w:sz w:val="24"/>
          <w:szCs w:val="24"/>
          <w:u w:val="single"/>
        </w:rPr>
        <w:t>Visual Sources</w:t>
      </w:r>
    </w:p>
    <w:p w14:paraId="1A8DD8BB" w14:textId="77777777" w:rsidR="00344013" w:rsidRPr="00344013" w:rsidRDefault="00344013" w:rsidP="00344013">
      <w:pPr>
        <w:spacing w:line="360" w:lineRule="auto"/>
        <w:rPr>
          <w:sz w:val="24"/>
          <w:szCs w:val="24"/>
          <w:u w:val="single"/>
        </w:rPr>
      </w:pPr>
    </w:p>
    <w:p w14:paraId="4EC036A7" w14:textId="77777777" w:rsidR="00344013" w:rsidRPr="00344013" w:rsidRDefault="00344013" w:rsidP="00344013">
      <w:pPr>
        <w:spacing w:line="360" w:lineRule="auto"/>
        <w:rPr>
          <w:sz w:val="24"/>
          <w:szCs w:val="24"/>
        </w:rPr>
      </w:pPr>
      <w:r w:rsidRPr="00344013">
        <w:rPr>
          <w:sz w:val="24"/>
          <w:szCs w:val="24"/>
        </w:rPr>
        <w:t>Jacob Lawrence: The American Struggle, Panel 3, Peabody Essex Museum, 1954-56.</w:t>
      </w:r>
    </w:p>
    <w:p w14:paraId="3EFD91C4" w14:textId="77777777" w:rsidR="00344013" w:rsidRPr="00344013" w:rsidRDefault="00344013" w:rsidP="00344013">
      <w:pPr>
        <w:spacing w:line="360" w:lineRule="auto"/>
        <w:rPr>
          <w:sz w:val="24"/>
          <w:szCs w:val="24"/>
        </w:rPr>
      </w:pPr>
      <w:r w:rsidRPr="00344013">
        <w:rPr>
          <w:sz w:val="24"/>
          <w:szCs w:val="24"/>
        </w:rPr>
        <w:t>Jacob Lawrence: The American Struggle, Panel 18, Peabody Essex Museum, 1954-56.</w:t>
      </w:r>
    </w:p>
    <w:p w14:paraId="20CDD1AA" w14:textId="77777777" w:rsidR="00344013" w:rsidRPr="00344013" w:rsidRDefault="00344013" w:rsidP="00344013">
      <w:pPr>
        <w:spacing w:line="360" w:lineRule="auto"/>
        <w:rPr>
          <w:sz w:val="24"/>
          <w:szCs w:val="24"/>
        </w:rPr>
      </w:pPr>
      <w:r w:rsidRPr="00344013">
        <w:rPr>
          <w:sz w:val="24"/>
          <w:szCs w:val="24"/>
        </w:rPr>
        <w:t>Jacob Lawrence: The American Struggle, Panel 21, Peabody Essex Museum, 1954-56.</w:t>
      </w:r>
    </w:p>
    <w:p w14:paraId="12F128D9" w14:textId="77777777" w:rsidR="00344013" w:rsidRPr="00344013" w:rsidRDefault="00344013" w:rsidP="00344013">
      <w:pPr>
        <w:spacing w:line="360" w:lineRule="auto"/>
        <w:rPr>
          <w:sz w:val="24"/>
          <w:szCs w:val="24"/>
        </w:rPr>
      </w:pPr>
      <w:r w:rsidRPr="00344013">
        <w:rPr>
          <w:sz w:val="24"/>
          <w:szCs w:val="24"/>
        </w:rPr>
        <w:t xml:space="preserve">Jacob Lawrence, </w:t>
      </w:r>
      <w:r w:rsidRPr="00344013">
        <w:rPr>
          <w:i/>
          <w:iCs/>
          <w:sz w:val="24"/>
          <w:szCs w:val="24"/>
        </w:rPr>
        <w:t>Celebration of Heritage</w:t>
      </w:r>
      <w:r w:rsidRPr="00344013">
        <w:rPr>
          <w:sz w:val="24"/>
          <w:szCs w:val="24"/>
        </w:rPr>
        <w:t>, Seattle Office of Arts and Culture, 1992.</w:t>
      </w:r>
    </w:p>
    <w:p w14:paraId="48B8C840" w14:textId="77777777" w:rsidR="00344013" w:rsidRPr="00344013" w:rsidRDefault="00344013" w:rsidP="00344013">
      <w:pPr>
        <w:spacing w:line="360" w:lineRule="auto"/>
        <w:rPr>
          <w:sz w:val="24"/>
          <w:szCs w:val="24"/>
        </w:rPr>
      </w:pPr>
      <w:r w:rsidRPr="00344013">
        <w:rPr>
          <w:sz w:val="24"/>
          <w:szCs w:val="24"/>
        </w:rPr>
        <w:t>Jacob Lawrence, </w:t>
      </w:r>
      <w:r w:rsidRPr="00344013">
        <w:rPr>
          <w:i/>
          <w:iCs/>
          <w:sz w:val="24"/>
          <w:szCs w:val="24"/>
        </w:rPr>
        <w:t>Prayer</w:t>
      </w:r>
      <w:r w:rsidRPr="00344013">
        <w:rPr>
          <w:sz w:val="24"/>
          <w:szCs w:val="24"/>
        </w:rPr>
        <w:t>, 1944.</w:t>
      </w:r>
    </w:p>
    <w:p w14:paraId="73E71AA9" w14:textId="77777777" w:rsidR="00344013" w:rsidRPr="00344013" w:rsidRDefault="00344013" w:rsidP="00344013">
      <w:pPr>
        <w:spacing w:line="360" w:lineRule="auto"/>
        <w:rPr>
          <w:sz w:val="24"/>
          <w:szCs w:val="24"/>
        </w:rPr>
      </w:pPr>
      <w:r w:rsidRPr="00344013">
        <w:rPr>
          <w:sz w:val="24"/>
          <w:szCs w:val="24"/>
        </w:rPr>
        <w:t>Jacob Lawrence, Recreation, 1944.</w:t>
      </w:r>
    </w:p>
    <w:p w14:paraId="03F6B651" w14:textId="77777777" w:rsidR="00344013" w:rsidRPr="00344013" w:rsidRDefault="00344013" w:rsidP="00344013">
      <w:pPr>
        <w:spacing w:line="360" w:lineRule="auto"/>
        <w:rPr>
          <w:sz w:val="24"/>
          <w:szCs w:val="24"/>
        </w:rPr>
      </w:pPr>
      <w:r w:rsidRPr="00344013">
        <w:rPr>
          <w:sz w:val="24"/>
          <w:szCs w:val="24"/>
        </w:rPr>
        <w:t xml:space="preserve">Luis </w:t>
      </w:r>
      <w:proofErr w:type="spellStart"/>
      <w:r w:rsidRPr="00344013">
        <w:rPr>
          <w:sz w:val="24"/>
          <w:szCs w:val="24"/>
        </w:rPr>
        <w:t>Arcas</w:t>
      </w:r>
      <w:proofErr w:type="spellEnd"/>
      <w:r w:rsidRPr="00344013">
        <w:rPr>
          <w:sz w:val="24"/>
          <w:szCs w:val="24"/>
        </w:rPr>
        <w:t xml:space="preserve"> </w:t>
      </w:r>
      <w:proofErr w:type="spellStart"/>
      <w:r w:rsidRPr="00344013">
        <w:rPr>
          <w:sz w:val="24"/>
          <w:szCs w:val="24"/>
        </w:rPr>
        <w:t>Brauner</w:t>
      </w:r>
      <w:proofErr w:type="spellEnd"/>
      <w:r w:rsidRPr="00344013">
        <w:rPr>
          <w:sz w:val="24"/>
          <w:szCs w:val="24"/>
        </w:rPr>
        <w:t xml:space="preserve"> (1934-89), The Boston Tea Party, Fine Art America.</w:t>
      </w:r>
    </w:p>
    <w:p w14:paraId="2ABCEAB7" w14:textId="77777777" w:rsidR="00344013" w:rsidRPr="00344013" w:rsidRDefault="00344013" w:rsidP="00344013">
      <w:pPr>
        <w:spacing w:line="360" w:lineRule="auto"/>
        <w:rPr>
          <w:sz w:val="24"/>
          <w:szCs w:val="24"/>
        </w:rPr>
      </w:pPr>
      <w:r w:rsidRPr="00344013">
        <w:rPr>
          <w:sz w:val="24"/>
          <w:szCs w:val="24"/>
        </w:rPr>
        <w:t xml:space="preserve">Nathaniel Currier, The Destruction of Tea at Boston, Fine Art America, 1846. </w:t>
      </w:r>
    </w:p>
    <w:p w14:paraId="2C85252E" w14:textId="77777777" w:rsidR="00344013" w:rsidRPr="00344013" w:rsidRDefault="00344013" w:rsidP="00344013">
      <w:pPr>
        <w:spacing w:line="360" w:lineRule="auto"/>
        <w:rPr>
          <w:sz w:val="24"/>
          <w:szCs w:val="24"/>
          <w:u w:val="single"/>
        </w:rPr>
      </w:pPr>
    </w:p>
    <w:p w14:paraId="0AF0201E" w14:textId="77777777" w:rsidR="00344013" w:rsidRPr="00344013" w:rsidRDefault="00344013" w:rsidP="00344013">
      <w:pPr>
        <w:spacing w:line="360" w:lineRule="auto"/>
        <w:rPr>
          <w:sz w:val="24"/>
          <w:szCs w:val="24"/>
          <w:u w:val="single"/>
        </w:rPr>
      </w:pPr>
      <w:r w:rsidRPr="00344013">
        <w:rPr>
          <w:sz w:val="24"/>
          <w:szCs w:val="24"/>
          <w:u w:val="single"/>
        </w:rPr>
        <w:t>Books</w:t>
      </w:r>
    </w:p>
    <w:p w14:paraId="390CE089" w14:textId="77777777" w:rsidR="00344013" w:rsidRPr="00344013" w:rsidRDefault="00344013" w:rsidP="00344013">
      <w:pPr>
        <w:spacing w:line="360" w:lineRule="auto"/>
        <w:rPr>
          <w:sz w:val="24"/>
          <w:szCs w:val="24"/>
          <w:u w:val="single"/>
        </w:rPr>
      </w:pPr>
    </w:p>
    <w:p w14:paraId="3E0EC61B" w14:textId="77777777" w:rsidR="00344013" w:rsidRPr="00344013" w:rsidRDefault="00344013" w:rsidP="00344013">
      <w:pPr>
        <w:spacing w:line="360" w:lineRule="auto"/>
        <w:rPr>
          <w:sz w:val="24"/>
          <w:szCs w:val="24"/>
        </w:rPr>
      </w:pPr>
      <w:r w:rsidRPr="00344013">
        <w:rPr>
          <w:sz w:val="24"/>
          <w:szCs w:val="24"/>
        </w:rPr>
        <w:t>Drake Benjamin, </w:t>
      </w:r>
      <w:r w:rsidRPr="00344013">
        <w:rPr>
          <w:i/>
          <w:iCs/>
          <w:sz w:val="24"/>
          <w:szCs w:val="24"/>
        </w:rPr>
        <w:t>Life of Tecumseh and of His Brother the Prophet</w:t>
      </w:r>
      <w:r w:rsidRPr="00344013">
        <w:rPr>
          <w:sz w:val="24"/>
          <w:szCs w:val="24"/>
        </w:rPr>
        <w:t> (Cincinnati: E. Morgan &amp; Co, 1841).</w:t>
      </w:r>
    </w:p>
    <w:p w14:paraId="57D2C795" w14:textId="77777777" w:rsidR="00344013" w:rsidRPr="00344013" w:rsidRDefault="00344013" w:rsidP="00344013">
      <w:pPr>
        <w:spacing w:line="360" w:lineRule="auto"/>
        <w:rPr>
          <w:sz w:val="24"/>
          <w:szCs w:val="24"/>
        </w:rPr>
      </w:pPr>
      <w:r w:rsidRPr="00344013">
        <w:rPr>
          <w:sz w:val="24"/>
          <w:szCs w:val="24"/>
        </w:rPr>
        <w:t>Dye Eva Emery, </w:t>
      </w:r>
      <w:r w:rsidRPr="00344013">
        <w:rPr>
          <w:i/>
          <w:iCs/>
          <w:sz w:val="24"/>
          <w:szCs w:val="24"/>
        </w:rPr>
        <w:t>The Conquest</w:t>
      </w:r>
      <w:r w:rsidRPr="00344013">
        <w:rPr>
          <w:sz w:val="24"/>
          <w:szCs w:val="24"/>
        </w:rPr>
        <w:t> (Chicago: A. C. McClurg &amp; Co, 1902).</w:t>
      </w:r>
    </w:p>
    <w:p w14:paraId="4C3F8DCC" w14:textId="77777777" w:rsidR="00344013" w:rsidRPr="00344013" w:rsidRDefault="00344013" w:rsidP="00344013">
      <w:pPr>
        <w:spacing w:line="360" w:lineRule="auto"/>
        <w:rPr>
          <w:sz w:val="24"/>
          <w:szCs w:val="24"/>
        </w:rPr>
      </w:pPr>
      <w:proofErr w:type="spellStart"/>
      <w:r w:rsidRPr="00344013">
        <w:rPr>
          <w:sz w:val="24"/>
          <w:szCs w:val="24"/>
        </w:rPr>
        <w:t>Hebard</w:t>
      </w:r>
      <w:proofErr w:type="spellEnd"/>
      <w:r w:rsidRPr="00344013">
        <w:rPr>
          <w:sz w:val="24"/>
          <w:szCs w:val="24"/>
        </w:rPr>
        <w:t xml:space="preserve"> Grace Raymond, </w:t>
      </w:r>
      <w:r w:rsidRPr="00344013">
        <w:rPr>
          <w:i/>
          <w:iCs/>
          <w:sz w:val="24"/>
          <w:szCs w:val="24"/>
        </w:rPr>
        <w:t>Sacajawea Guide and Interpreter of Lewis and Clark</w:t>
      </w:r>
      <w:r w:rsidRPr="00344013">
        <w:rPr>
          <w:sz w:val="24"/>
          <w:szCs w:val="24"/>
        </w:rPr>
        <w:t> (Glendale: A. H. Clark Company, 1933).</w:t>
      </w:r>
    </w:p>
    <w:p w14:paraId="3D2FAFD0" w14:textId="77777777" w:rsidR="00344013" w:rsidRPr="00344013" w:rsidRDefault="00344013" w:rsidP="00344013">
      <w:pPr>
        <w:spacing w:line="360" w:lineRule="auto"/>
        <w:rPr>
          <w:sz w:val="24"/>
          <w:szCs w:val="24"/>
        </w:rPr>
      </w:pPr>
      <w:proofErr w:type="spellStart"/>
      <w:r w:rsidRPr="00344013">
        <w:rPr>
          <w:sz w:val="24"/>
          <w:szCs w:val="24"/>
        </w:rPr>
        <w:t>Hulton</w:t>
      </w:r>
      <w:proofErr w:type="spellEnd"/>
      <w:r w:rsidRPr="00344013">
        <w:rPr>
          <w:sz w:val="24"/>
          <w:szCs w:val="24"/>
        </w:rPr>
        <w:t xml:space="preserve"> Ann, </w:t>
      </w:r>
      <w:r w:rsidRPr="00344013">
        <w:rPr>
          <w:i/>
          <w:iCs/>
          <w:sz w:val="24"/>
          <w:szCs w:val="24"/>
        </w:rPr>
        <w:t>Letters of a Loyalist Lady</w:t>
      </w:r>
      <w:r w:rsidRPr="00344013">
        <w:rPr>
          <w:sz w:val="24"/>
          <w:szCs w:val="24"/>
        </w:rPr>
        <w:t> (Cambridge: Harvard University Press, 1927).</w:t>
      </w:r>
    </w:p>
    <w:p w14:paraId="69789D32" w14:textId="77777777" w:rsidR="00344013" w:rsidRPr="00344013" w:rsidRDefault="00344013" w:rsidP="00344013">
      <w:pPr>
        <w:spacing w:line="360" w:lineRule="auto"/>
        <w:rPr>
          <w:sz w:val="24"/>
          <w:szCs w:val="24"/>
        </w:rPr>
      </w:pPr>
    </w:p>
    <w:p w14:paraId="533370D0" w14:textId="77777777" w:rsidR="00344013" w:rsidRPr="00344013" w:rsidRDefault="00344013" w:rsidP="00344013">
      <w:pPr>
        <w:spacing w:line="360" w:lineRule="auto"/>
        <w:rPr>
          <w:sz w:val="24"/>
          <w:szCs w:val="24"/>
          <w:u w:val="single"/>
        </w:rPr>
      </w:pPr>
      <w:r w:rsidRPr="00344013">
        <w:rPr>
          <w:sz w:val="24"/>
          <w:szCs w:val="24"/>
          <w:u w:val="single"/>
        </w:rPr>
        <w:lastRenderedPageBreak/>
        <w:t>Articles</w:t>
      </w:r>
    </w:p>
    <w:p w14:paraId="777BB9BF" w14:textId="77777777" w:rsidR="00344013" w:rsidRPr="00344013" w:rsidRDefault="00344013" w:rsidP="00344013">
      <w:pPr>
        <w:spacing w:line="360" w:lineRule="auto"/>
        <w:rPr>
          <w:sz w:val="24"/>
          <w:szCs w:val="24"/>
          <w:u w:val="single"/>
        </w:rPr>
      </w:pPr>
    </w:p>
    <w:p w14:paraId="6091BA96" w14:textId="77777777" w:rsidR="00344013" w:rsidRPr="00344013" w:rsidRDefault="00344013" w:rsidP="00344013">
      <w:pPr>
        <w:spacing w:line="360" w:lineRule="auto"/>
        <w:rPr>
          <w:sz w:val="24"/>
          <w:szCs w:val="24"/>
        </w:rPr>
      </w:pPr>
      <w:proofErr w:type="spellStart"/>
      <w:r w:rsidRPr="00344013">
        <w:rPr>
          <w:sz w:val="24"/>
          <w:szCs w:val="24"/>
        </w:rPr>
        <w:t>Barce</w:t>
      </w:r>
      <w:proofErr w:type="spellEnd"/>
      <w:r w:rsidRPr="00344013">
        <w:rPr>
          <w:sz w:val="24"/>
          <w:szCs w:val="24"/>
        </w:rPr>
        <w:t xml:space="preserve"> Elmore, 'Tecumseh's Confederacy', </w:t>
      </w:r>
      <w:r w:rsidRPr="00344013">
        <w:rPr>
          <w:i/>
          <w:iCs/>
          <w:sz w:val="24"/>
          <w:szCs w:val="24"/>
        </w:rPr>
        <w:t>Indiana Magazine of History, </w:t>
      </w:r>
      <w:r w:rsidRPr="00344013">
        <w:rPr>
          <w:sz w:val="24"/>
          <w:szCs w:val="24"/>
        </w:rPr>
        <w:t>12 (1916).</w:t>
      </w:r>
    </w:p>
    <w:p w14:paraId="51B00367" w14:textId="77777777" w:rsidR="00344013" w:rsidRPr="00344013" w:rsidRDefault="00344013" w:rsidP="00344013">
      <w:pPr>
        <w:spacing w:line="360" w:lineRule="auto"/>
        <w:rPr>
          <w:sz w:val="24"/>
          <w:szCs w:val="24"/>
        </w:rPr>
      </w:pPr>
      <w:r w:rsidRPr="00344013">
        <w:rPr>
          <w:sz w:val="24"/>
          <w:szCs w:val="24"/>
        </w:rPr>
        <w:t>James Milton M., 'Jacob Lawrence', </w:t>
      </w:r>
      <w:r w:rsidRPr="00344013">
        <w:rPr>
          <w:i/>
          <w:iCs/>
          <w:sz w:val="24"/>
          <w:szCs w:val="24"/>
        </w:rPr>
        <w:t>Negro History Bulletin, </w:t>
      </w:r>
      <w:r w:rsidRPr="00344013">
        <w:rPr>
          <w:sz w:val="24"/>
          <w:szCs w:val="24"/>
        </w:rPr>
        <w:t>21 (1957).</w:t>
      </w:r>
    </w:p>
    <w:p w14:paraId="687F6A5F" w14:textId="77777777" w:rsidR="00344013" w:rsidRPr="00344013" w:rsidRDefault="00344013" w:rsidP="00344013">
      <w:pPr>
        <w:spacing w:line="360" w:lineRule="auto"/>
        <w:rPr>
          <w:sz w:val="24"/>
          <w:szCs w:val="24"/>
        </w:rPr>
      </w:pPr>
      <w:r w:rsidRPr="00344013">
        <w:rPr>
          <w:sz w:val="24"/>
          <w:szCs w:val="24"/>
        </w:rPr>
        <w:t>'The Lewis and Clark Expedition', </w:t>
      </w:r>
      <w:r w:rsidRPr="00344013">
        <w:rPr>
          <w:i/>
          <w:iCs/>
          <w:sz w:val="24"/>
          <w:szCs w:val="24"/>
        </w:rPr>
        <w:t>The Journal of Education, </w:t>
      </w:r>
      <w:r w:rsidRPr="00344013">
        <w:rPr>
          <w:sz w:val="24"/>
          <w:szCs w:val="24"/>
        </w:rPr>
        <w:t>59 (1904).</w:t>
      </w:r>
    </w:p>
    <w:p w14:paraId="7B20A430" w14:textId="77777777" w:rsidR="00344013" w:rsidRPr="00344013" w:rsidRDefault="00344013" w:rsidP="00344013">
      <w:pPr>
        <w:spacing w:line="360" w:lineRule="auto"/>
        <w:rPr>
          <w:sz w:val="24"/>
          <w:szCs w:val="24"/>
        </w:rPr>
      </w:pPr>
      <w:r w:rsidRPr="00344013">
        <w:rPr>
          <w:sz w:val="24"/>
          <w:szCs w:val="24"/>
        </w:rPr>
        <w:t>The Museum of Modern Art, 'Jacob Lawrence', </w:t>
      </w:r>
      <w:r w:rsidRPr="00344013">
        <w:rPr>
          <w:i/>
          <w:iCs/>
          <w:sz w:val="24"/>
          <w:szCs w:val="24"/>
        </w:rPr>
        <w:t>The Bulletin of the Museum of Modern Art, </w:t>
      </w:r>
      <w:r w:rsidRPr="00344013">
        <w:rPr>
          <w:sz w:val="24"/>
          <w:szCs w:val="24"/>
        </w:rPr>
        <w:t>12 (1944).</w:t>
      </w:r>
    </w:p>
    <w:p w14:paraId="2E47B1EF" w14:textId="77777777" w:rsidR="00344013" w:rsidRPr="00344013" w:rsidRDefault="00344013" w:rsidP="00344013">
      <w:pPr>
        <w:spacing w:line="360" w:lineRule="auto"/>
        <w:rPr>
          <w:sz w:val="24"/>
          <w:szCs w:val="24"/>
        </w:rPr>
      </w:pPr>
      <w:proofErr w:type="spellStart"/>
      <w:r w:rsidRPr="00344013">
        <w:rPr>
          <w:sz w:val="24"/>
          <w:szCs w:val="24"/>
        </w:rPr>
        <w:t>Whicker</w:t>
      </w:r>
      <w:proofErr w:type="spellEnd"/>
      <w:r w:rsidRPr="00344013">
        <w:rPr>
          <w:sz w:val="24"/>
          <w:szCs w:val="24"/>
        </w:rPr>
        <w:t xml:space="preserve"> Wesley J., 'Tecumseh and </w:t>
      </w:r>
      <w:proofErr w:type="spellStart"/>
      <w:r w:rsidRPr="00344013">
        <w:rPr>
          <w:sz w:val="24"/>
          <w:szCs w:val="24"/>
        </w:rPr>
        <w:t>Pushmataha</w:t>
      </w:r>
      <w:proofErr w:type="spellEnd"/>
      <w:r w:rsidRPr="00344013">
        <w:rPr>
          <w:sz w:val="24"/>
          <w:szCs w:val="24"/>
        </w:rPr>
        <w:t>', </w:t>
      </w:r>
      <w:r w:rsidRPr="00344013">
        <w:rPr>
          <w:i/>
          <w:iCs/>
          <w:sz w:val="24"/>
          <w:szCs w:val="24"/>
        </w:rPr>
        <w:t>Indiana Magazine of History, </w:t>
      </w:r>
      <w:r w:rsidRPr="00344013">
        <w:rPr>
          <w:sz w:val="24"/>
          <w:szCs w:val="24"/>
        </w:rPr>
        <w:t>18 (1922).</w:t>
      </w:r>
    </w:p>
    <w:p w14:paraId="0F81F844" w14:textId="77777777" w:rsidR="00344013" w:rsidRPr="00344013" w:rsidRDefault="00344013" w:rsidP="00344013">
      <w:pPr>
        <w:spacing w:line="360" w:lineRule="auto"/>
        <w:rPr>
          <w:sz w:val="24"/>
          <w:szCs w:val="24"/>
          <w:u w:val="single"/>
        </w:rPr>
      </w:pPr>
    </w:p>
    <w:p w14:paraId="02C1D27B" w14:textId="7916AD50" w:rsidR="00344013" w:rsidRPr="00344013" w:rsidRDefault="00344013" w:rsidP="00344013">
      <w:pPr>
        <w:spacing w:line="360" w:lineRule="auto"/>
        <w:rPr>
          <w:sz w:val="24"/>
          <w:szCs w:val="24"/>
          <w:u w:val="single"/>
        </w:rPr>
      </w:pPr>
      <w:r w:rsidRPr="00344013">
        <w:rPr>
          <w:sz w:val="24"/>
          <w:szCs w:val="24"/>
          <w:u w:val="single"/>
        </w:rPr>
        <w:t>Secondary Sources</w:t>
      </w:r>
    </w:p>
    <w:p w14:paraId="60B4638A" w14:textId="77777777" w:rsidR="00344013" w:rsidRPr="00344013" w:rsidRDefault="00344013" w:rsidP="00344013">
      <w:pPr>
        <w:spacing w:line="360" w:lineRule="auto"/>
        <w:rPr>
          <w:sz w:val="24"/>
          <w:szCs w:val="24"/>
          <w:u w:val="single"/>
        </w:rPr>
      </w:pPr>
    </w:p>
    <w:p w14:paraId="035BA172" w14:textId="77777777" w:rsidR="00344013" w:rsidRPr="00344013" w:rsidRDefault="00344013" w:rsidP="00344013">
      <w:pPr>
        <w:spacing w:line="360" w:lineRule="auto"/>
        <w:rPr>
          <w:sz w:val="24"/>
          <w:szCs w:val="24"/>
          <w:u w:val="single"/>
        </w:rPr>
      </w:pPr>
      <w:r w:rsidRPr="00344013">
        <w:rPr>
          <w:sz w:val="24"/>
          <w:szCs w:val="24"/>
          <w:u w:val="single"/>
        </w:rPr>
        <w:t xml:space="preserve">Books </w:t>
      </w:r>
    </w:p>
    <w:p w14:paraId="6D4D43A4" w14:textId="77777777" w:rsidR="00344013" w:rsidRPr="00344013" w:rsidRDefault="00344013" w:rsidP="00344013">
      <w:pPr>
        <w:spacing w:line="360" w:lineRule="auto"/>
        <w:rPr>
          <w:sz w:val="24"/>
          <w:szCs w:val="24"/>
          <w:u w:val="single"/>
        </w:rPr>
      </w:pPr>
    </w:p>
    <w:p w14:paraId="4828D161" w14:textId="77777777" w:rsidR="00344013" w:rsidRPr="00344013" w:rsidRDefault="00344013" w:rsidP="00344013">
      <w:pPr>
        <w:spacing w:line="360" w:lineRule="auto"/>
        <w:rPr>
          <w:sz w:val="24"/>
          <w:szCs w:val="24"/>
        </w:rPr>
      </w:pPr>
      <w:r w:rsidRPr="00344013">
        <w:rPr>
          <w:sz w:val="24"/>
          <w:szCs w:val="24"/>
        </w:rPr>
        <w:t xml:space="preserve">Benedict Hope, </w:t>
      </w:r>
      <w:r w:rsidRPr="00344013">
        <w:rPr>
          <w:i/>
          <w:iCs/>
          <w:sz w:val="24"/>
          <w:szCs w:val="24"/>
        </w:rPr>
        <w:t>Lemhi County</w:t>
      </w:r>
      <w:r w:rsidRPr="00344013">
        <w:rPr>
          <w:sz w:val="24"/>
          <w:szCs w:val="24"/>
        </w:rPr>
        <w:t xml:space="preserve"> (Chicago: Arcadia, 2006).</w:t>
      </w:r>
    </w:p>
    <w:p w14:paraId="60F5582B" w14:textId="77777777" w:rsidR="00344013" w:rsidRPr="00344013" w:rsidRDefault="00344013" w:rsidP="00344013">
      <w:pPr>
        <w:spacing w:line="360" w:lineRule="auto"/>
        <w:rPr>
          <w:sz w:val="24"/>
          <w:szCs w:val="24"/>
        </w:rPr>
      </w:pPr>
      <w:r w:rsidRPr="00344013">
        <w:rPr>
          <w:sz w:val="24"/>
          <w:szCs w:val="24"/>
        </w:rPr>
        <w:t xml:space="preserve">Bush Robert D., </w:t>
      </w:r>
      <w:r w:rsidRPr="00344013">
        <w:rPr>
          <w:i/>
          <w:iCs/>
          <w:sz w:val="24"/>
          <w:szCs w:val="24"/>
        </w:rPr>
        <w:t xml:space="preserve">The Louisiana Purchase a Global Context, </w:t>
      </w:r>
      <w:r w:rsidRPr="00344013">
        <w:rPr>
          <w:sz w:val="24"/>
          <w:szCs w:val="24"/>
        </w:rPr>
        <w:t>(London: Taylor &amp; Francis 2013).</w:t>
      </w:r>
    </w:p>
    <w:p w14:paraId="3F4452F8" w14:textId="77777777" w:rsidR="00344013" w:rsidRPr="00344013" w:rsidRDefault="00344013" w:rsidP="00344013">
      <w:pPr>
        <w:spacing w:line="360" w:lineRule="auto"/>
        <w:rPr>
          <w:sz w:val="24"/>
          <w:szCs w:val="24"/>
        </w:rPr>
      </w:pPr>
      <w:r w:rsidRPr="00344013">
        <w:rPr>
          <w:sz w:val="24"/>
          <w:szCs w:val="24"/>
        </w:rPr>
        <w:t>Calloway Colin G., </w:t>
      </w:r>
      <w:r w:rsidRPr="00344013">
        <w:rPr>
          <w:i/>
          <w:iCs/>
          <w:sz w:val="24"/>
          <w:szCs w:val="24"/>
        </w:rPr>
        <w:t>The American Revolution in Indian Country</w:t>
      </w:r>
      <w:r w:rsidRPr="00344013">
        <w:rPr>
          <w:sz w:val="24"/>
          <w:szCs w:val="24"/>
        </w:rPr>
        <w:t> (Cambridge: Cambridge University Press, 1995).</w:t>
      </w:r>
    </w:p>
    <w:p w14:paraId="3B2FDCC5" w14:textId="77777777" w:rsidR="00344013" w:rsidRPr="00344013" w:rsidRDefault="00344013" w:rsidP="00344013">
      <w:pPr>
        <w:spacing w:line="360" w:lineRule="auto"/>
        <w:rPr>
          <w:sz w:val="24"/>
          <w:szCs w:val="24"/>
        </w:rPr>
      </w:pPr>
      <w:proofErr w:type="spellStart"/>
      <w:r w:rsidRPr="00344013">
        <w:rPr>
          <w:sz w:val="24"/>
          <w:szCs w:val="24"/>
        </w:rPr>
        <w:t>Dickerman</w:t>
      </w:r>
      <w:proofErr w:type="spellEnd"/>
      <w:r w:rsidRPr="00344013">
        <w:rPr>
          <w:sz w:val="24"/>
          <w:szCs w:val="24"/>
        </w:rPr>
        <w:t xml:space="preserve"> Leah, Elsa Smithgall, </w:t>
      </w:r>
      <w:r w:rsidRPr="00344013">
        <w:rPr>
          <w:i/>
          <w:iCs/>
          <w:sz w:val="24"/>
          <w:szCs w:val="24"/>
        </w:rPr>
        <w:t xml:space="preserve">Jacob Lawrence </w:t>
      </w:r>
      <w:proofErr w:type="gramStart"/>
      <w:r w:rsidRPr="00344013">
        <w:rPr>
          <w:i/>
          <w:iCs/>
          <w:sz w:val="24"/>
          <w:szCs w:val="24"/>
        </w:rPr>
        <w:t>The</w:t>
      </w:r>
      <w:proofErr w:type="gramEnd"/>
      <w:r w:rsidRPr="00344013">
        <w:rPr>
          <w:i/>
          <w:iCs/>
          <w:sz w:val="24"/>
          <w:szCs w:val="24"/>
        </w:rPr>
        <w:t xml:space="preserve"> Migration Series</w:t>
      </w:r>
      <w:r w:rsidRPr="00344013">
        <w:rPr>
          <w:sz w:val="24"/>
          <w:szCs w:val="24"/>
        </w:rPr>
        <w:t xml:space="preserve"> (New York: Museum of Modern Art, 2015).</w:t>
      </w:r>
    </w:p>
    <w:p w14:paraId="363541E4" w14:textId="77777777" w:rsidR="00344013" w:rsidRPr="00344013" w:rsidRDefault="00344013" w:rsidP="00344013">
      <w:pPr>
        <w:spacing w:line="360" w:lineRule="auto"/>
        <w:rPr>
          <w:sz w:val="24"/>
          <w:szCs w:val="24"/>
        </w:rPr>
      </w:pPr>
      <w:r w:rsidRPr="00344013">
        <w:rPr>
          <w:sz w:val="24"/>
          <w:szCs w:val="24"/>
        </w:rPr>
        <w:t>French Laurence Armand, </w:t>
      </w:r>
      <w:r w:rsidRPr="00344013">
        <w:rPr>
          <w:i/>
          <w:iCs/>
          <w:sz w:val="24"/>
          <w:szCs w:val="24"/>
        </w:rPr>
        <w:t>Legislating Indian Country Significant Milestones in Transforming Tribalism</w:t>
      </w:r>
      <w:r w:rsidRPr="00344013">
        <w:rPr>
          <w:sz w:val="24"/>
          <w:szCs w:val="24"/>
        </w:rPr>
        <w:t> (New York: Peter Lang, 2007).</w:t>
      </w:r>
    </w:p>
    <w:p w14:paraId="342D96E1" w14:textId="77777777" w:rsidR="00344013" w:rsidRPr="00344013" w:rsidRDefault="00344013" w:rsidP="00344013">
      <w:pPr>
        <w:spacing w:line="360" w:lineRule="auto"/>
        <w:rPr>
          <w:sz w:val="24"/>
          <w:szCs w:val="24"/>
        </w:rPr>
      </w:pPr>
      <w:r w:rsidRPr="00344013">
        <w:rPr>
          <w:sz w:val="24"/>
          <w:szCs w:val="24"/>
        </w:rPr>
        <w:t xml:space="preserve">Graymont Barbara, </w:t>
      </w:r>
      <w:r w:rsidRPr="00344013">
        <w:rPr>
          <w:i/>
          <w:iCs/>
          <w:sz w:val="24"/>
          <w:szCs w:val="24"/>
        </w:rPr>
        <w:t>The Iroquois in the American Revolution</w:t>
      </w:r>
      <w:r w:rsidRPr="00344013">
        <w:rPr>
          <w:sz w:val="24"/>
          <w:szCs w:val="24"/>
        </w:rPr>
        <w:t xml:space="preserve"> (New York: Syracuse University Press, 1972).</w:t>
      </w:r>
    </w:p>
    <w:p w14:paraId="5402016A" w14:textId="77777777" w:rsidR="00344013" w:rsidRPr="00344013" w:rsidRDefault="00344013" w:rsidP="00344013">
      <w:pPr>
        <w:spacing w:line="360" w:lineRule="auto"/>
        <w:rPr>
          <w:sz w:val="24"/>
          <w:szCs w:val="24"/>
        </w:rPr>
      </w:pPr>
      <w:r w:rsidRPr="00344013">
        <w:rPr>
          <w:sz w:val="24"/>
          <w:szCs w:val="24"/>
        </w:rPr>
        <w:t>Griffiths Katie, Sacagawea Shoshone Guide, Interpreter, and Leading Member of the Corps of Discovery (New York: Cavendish Square, 2018).</w:t>
      </w:r>
    </w:p>
    <w:p w14:paraId="6BFD2AE1" w14:textId="77777777" w:rsidR="00344013" w:rsidRPr="00344013" w:rsidRDefault="00344013" w:rsidP="00344013">
      <w:pPr>
        <w:spacing w:line="360" w:lineRule="auto"/>
        <w:rPr>
          <w:sz w:val="24"/>
          <w:szCs w:val="24"/>
        </w:rPr>
      </w:pPr>
      <w:r w:rsidRPr="00344013">
        <w:rPr>
          <w:sz w:val="24"/>
          <w:szCs w:val="24"/>
        </w:rPr>
        <w:t>Harkins Wheat Ellen, </w:t>
      </w:r>
      <w:r w:rsidRPr="00344013">
        <w:rPr>
          <w:i/>
          <w:iCs/>
          <w:sz w:val="24"/>
          <w:szCs w:val="24"/>
        </w:rPr>
        <w:t>Jacob Lawrence American Painter</w:t>
      </w:r>
      <w:r w:rsidRPr="00344013">
        <w:rPr>
          <w:sz w:val="24"/>
          <w:szCs w:val="24"/>
        </w:rPr>
        <w:t> (Seattle: University of Washington Press, 1986).</w:t>
      </w:r>
    </w:p>
    <w:p w14:paraId="6A62DEBD" w14:textId="77777777" w:rsidR="00344013" w:rsidRPr="00344013" w:rsidRDefault="00344013" w:rsidP="00344013">
      <w:pPr>
        <w:spacing w:line="360" w:lineRule="auto"/>
        <w:rPr>
          <w:sz w:val="24"/>
          <w:szCs w:val="24"/>
        </w:rPr>
      </w:pPr>
      <w:r w:rsidRPr="00344013">
        <w:rPr>
          <w:sz w:val="24"/>
          <w:szCs w:val="24"/>
        </w:rPr>
        <w:t>Hills Patricia, 'Jacob Lawrence's Expressive Cubism', in </w:t>
      </w:r>
      <w:r w:rsidRPr="00344013">
        <w:rPr>
          <w:i/>
          <w:iCs/>
          <w:sz w:val="24"/>
          <w:szCs w:val="24"/>
        </w:rPr>
        <w:t>Jacob Lawrence American Painter</w:t>
      </w:r>
      <w:r w:rsidRPr="00344013">
        <w:rPr>
          <w:sz w:val="24"/>
          <w:szCs w:val="24"/>
        </w:rPr>
        <w:t>, ed. by Ellen Harkins Wheat (Seattle: 1986, 1986).</w:t>
      </w:r>
    </w:p>
    <w:p w14:paraId="6E07F32A" w14:textId="77777777" w:rsidR="00344013" w:rsidRPr="00344013" w:rsidRDefault="00344013" w:rsidP="00344013">
      <w:pPr>
        <w:spacing w:line="360" w:lineRule="auto"/>
        <w:rPr>
          <w:sz w:val="24"/>
          <w:szCs w:val="24"/>
        </w:rPr>
      </w:pPr>
      <w:proofErr w:type="spellStart"/>
      <w:r w:rsidRPr="00344013">
        <w:rPr>
          <w:sz w:val="24"/>
          <w:szCs w:val="24"/>
        </w:rPr>
        <w:t>Hinderaker</w:t>
      </w:r>
      <w:proofErr w:type="spellEnd"/>
      <w:r w:rsidRPr="00344013">
        <w:rPr>
          <w:sz w:val="24"/>
          <w:szCs w:val="24"/>
        </w:rPr>
        <w:t xml:space="preserve"> Eric, </w:t>
      </w:r>
      <w:r w:rsidRPr="00344013">
        <w:rPr>
          <w:i/>
          <w:iCs/>
          <w:sz w:val="24"/>
          <w:szCs w:val="24"/>
        </w:rPr>
        <w:t>The Two Hendricks Unravelling a Mohawk Mystery</w:t>
      </w:r>
      <w:r w:rsidRPr="00344013">
        <w:rPr>
          <w:sz w:val="24"/>
          <w:szCs w:val="24"/>
        </w:rPr>
        <w:t> (Cambridge: Harvard University Press, 2010).</w:t>
      </w:r>
    </w:p>
    <w:p w14:paraId="420891C9" w14:textId="77777777" w:rsidR="00344013" w:rsidRPr="00344013" w:rsidRDefault="00344013" w:rsidP="00344013">
      <w:pPr>
        <w:spacing w:line="360" w:lineRule="auto"/>
        <w:rPr>
          <w:sz w:val="24"/>
          <w:szCs w:val="24"/>
        </w:rPr>
      </w:pPr>
      <w:r w:rsidRPr="00344013">
        <w:rPr>
          <w:sz w:val="24"/>
          <w:szCs w:val="24"/>
        </w:rPr>
        <w:t>Kessler Donna J., </w:t>
      </w:r>
      <w:r w:rsidRPr="00344013">
        <w:rPr>
          <w:i/>
          <w:iCs/>
          <w:sz w:val="24"/>
          <w:szCs w:val="24"/>
        </w:rPr>
        <w:t>The Making of Sacagawea A Euro-American Legend</w:t>
      </w:r>
      <w:r w:rsidRPr="00344013">
        <w:rPr>
          <w:sz w:val="24"/>
          <w:szCs w:val="24"/>
        </w:rPr>
        <w:t> (Tuscaloosa: University of Alabama Press, 1996).</w:t>
      </w:r>
    </w:p>
    <w:p w14:paraId="5DCDABDA" w14:textId="77777777" w:rsidR="00344013" w:rsidRPr="00344013" w:rsidRDefault="00344013" w:rsidP="00344013">
      <w:pPr>
        <w:spacing w:line="360" w:lineRule="auto"/>
        <w:rPr>
          <w:sz w:val="24"/>
          <w:szCs w:val="24"/>
        </w:rPr>
      </w:pPr>
      <w:proofErr w:type="spellStart"/>
      <w:r w:rsidRPr="00344013">
        <w:rPr>
          <w:sz w:val="24"/>
          <w:szCs w:val="24"/>
        </w:rPr>
        <w:t>Lakomaki</w:t>
      </w:r>
      <w:proofErr w:type="spellEnd"/>
      <w:r w:rsidRPr="00344013">
        <w:rPr>
          <w:sz w:val="24"/>
          <w:szCs w:val="24"/>
        </w:rPr>
        <w:t xml:space="preserve"> Sami, </w:t>
      </w:r>
      <w:proofErr w:type="gramStart"/>
      <w:r w:rsidRPr="00344013">
        <w:rPr>
          <w:i/>
          <w:iCs/>
          <w:sz w:val="24"/>
          <w:szCs w:val="24"/>
        </w:rPr>
        <w:t>Gathering Together</w:t>
      </w:r>
      <w:proofErr w:type="gramEnd"/>
      <w:r w:rsidRPr="00344013">
        <w:rPr>
          <w:i/>
          <w:iCs/>
          <w:sz w:val="24"/>
          <w:szCs w:val="24"/>
        </w:rPr>
        <w:t xml:space="preserve"> the Shawnee People through Diaspora and Nationhood, 1600-1870</w:t>
      </w:r>
      <w:r w:rsidRPr="00344013">
        <w:rPr>
          <w:sz w:val="24"/>
          <w:szCs w:val="24"/>
        </w:rPr>
        <w:t> (New Haven: Yale University Press, 2014).</w:t>
      </w:r>
    </w:p>
    <w:p w14:paraId="3646B040" w14:textId="77777777" w:rsidR="00344013" w:rsidRPr="00344013" w:rsidRDefault="00344013" w:rsidP="00344013">
      <w:pPr>
        <w:spacing w:line="360" w:lineRule="auto"/>
        <w:rPr>
          <w:sz w:val="24"/>
          <w:szCs w:val="24"/>
        </w:rPr>
      </w:pPr>
      <w:r w:rsidRPr="00344013">
        <w:rPr>
          <w:sz w:val="24"/>
          <w:szCs w:val="24"/>
        </w:rPr>
        <w:lastRenderedPageBreak/>
        <w:t>Mann Barbara Alice, </w:t>
      </w:r>
      <w:r w:rsidRPr="00344013">
        <w:rPr>
          <w:i/>
          <w:iCs/>
          <w:sz w:val="24"/>
          <w:szCs w:val="24"/>
        </w:rPr>
        <w:t>George Washington's War on Native America</w:t>
      </w:r>
      <w:r w:rsidRPr="00344013">
        <w:rPr>
          <w:sz w:val="24"/>
          <w:szCs w:val="24"/>
        </w:rPr>
        <w:t> (Westport: Praeger, 2005).</w:t>
      </w:r>
    </w:p>
    <w:p w14:paraId="50E449DC" w14:textId="77777777" w:rsidR="00344013" w:rsidRPr="00344013" w:rsidRDefault="00344013" w:rsidP="00344013">
      <w:pPr>
        <w:spacing w:line="360" w:lineRule="auto"/>
        <w:rPr>
          <w:sz w:val="24"/>
          <w:szCs w:val="24"/>
        </w:rPr>
      </w:pPr>
      <w:r w:rsidRPr="00344013">
        <w:rPr>
          <w:sz w:val="24"/>
          <w:szCs w:val="24"/>
        </w:rPr>
        <w:t>Mays Kyle T., </w:t>
      </w:r>
      <w:r w:rsidRPr="00344013">
        <w:rPr>
          <w:i/>
          <w:iCs/>
          <w:sz w:val="24"/>
          <w:szCs w:val="24"/>
        </w:rPr>
        <w:t>An Afro-Indigenous History of the United States</w:t>
      </w:r>
      <w:r w:rsidRPr="00344013">
        <w:rPr>
          <w:sz w:val="24"/>
          <w:szCs w:val="24"/>
        </w:rPr>
        <w:t> (Boston: Beacon Press, 2021).</w:t>
      </w:r>
    </w:p>
    <w:p w14:paraId="60F2691E" w14:textId="77777777" w:rsidR="00344013" w:rsidRPr="00344013" w:rsidRDefault="00344013" w:rsidP="00344013">
      <w:pPr>
        <w:spacing w:line="360" w:lineRule="auto"/>
        <w:rPr>
          <w:sz w:val="24"/>
          <w:szCs w:val="24"/>
        </w:rPr>
      </w:pPr>
      <w:r w:rsidRPr="00344013">
        <w:rPr>
          <w:sz w:val="24"/>
          <w:szCs w:val="24"/>
        </w:rPr>
        <w:t>McAfee Robert Breckinridge, History of the Late War in the Western Country (Bedford: Applewood's Books, 1816).</w:t>
      </w:r>
    </w:p>
    <w:p w14:paraId="4EB788D4" w14:textId="77777777" w:rsidR="00344013" w:rsidRPr="00344013" w:rsidRDefault="00344013" w:rsidP="00344013">
      <w:pPr>
        <w:spacing w:line="360" w:lineRule="auto"/>
        <w:rPr>
          <w:sz w:val="24"/>
          <w:szCs w:val="24"/>
        </w:rPr>
      </w:pPr>
      <w:r w:rsidRPr="00344013">
        <w:rPr>
          <w:sz w:val="24"/>
          <w:szCs w:val="24"/>
        </w:rPr>
        <w:t>Miller Robert J., 'The Doctrine of Discovery in United States History', in </w:t>
      </w:r>
      <w:r w:rsidRPr="00344013">
        <w:rPr>
          <w:i/>
          <w:iCs/>
          <w:sz w:val="24"/>
          <w:szCs w:val="24"/>
        </w:rPr>
        <w:t xml:space="preserve">Discovering Indigenous Lands the Doctrine of Discovery in the English Colonies </w:t>
      </w:r>
      <w:r w:rsidRPr="00344013">
        <w:rPr>
          <w:sz w:val="24"/>
          <w:szCs w:val="24"/>
        </w:rPr>
        <w:t>(New York: Oxford University Press, 2010).</w:t>
      </w:r>
    </w:p>
    <w:p w14:paraId="7208FA30" w14:textId="77777777" w:rsidR="00344013" w:rsidRPr="00344013" w:rsidRDefault="00344013" w:rsidP="00344013">
      <w:pPr>
        <w:spacing w:line="360" w:lineRule="auto"/>
        <w:rPr>
          <w:sz w:val="24"/>
          <w:szCs w:val="24"/>
        </w:rPr>
      </w:pPr>
      <w:proofErr w:type="spellStart"/>
      <w:r w:rsidRPr="00344013">
        <w:rPr>
          <w:sz w:val="24"/>
          <w:szCs w:val="24"/>
        </w:rPr>
        <w:t>Nesbett</w:t>
      </w:r>
      <w:proofErr w:type="spellEnd"/>
      <w:r w:rsidRPr="00344013">
        <w:rPr>
          <w:sz w:val="24"/>
          <w:szCs w:val="24"/>
        </w:rPr>
        <w:t xml:space="preserve"> Peter and DuBois Michelle, 'Chronology: Life and Reception', in </w:t>
      </w:r>
      <w:r w:rsidRPr="00344013">
        <w:rPr>
          <w:i/>
          <w:iCs/>
          <w:sz w:val="24"/>
          <w:szCs w:val="24"/>
        </w:rPr>
        <w:t>Over the Line the Art and Life of Jacob Lawrence</w:t>
      </w:r>
      <w:r w:rsidRPr="00344013">
        <w:rPr>
          <w:sz w:val="24"/>
          <w:szCs w:val="24"/>
        </w:rPr>
        <w:t xml:space="preserve">, ed. by </w:t>
      </w:r>
      <w:proofErr w:type="spellStart"/>
      <w:r w:rsidRPr="00344013">
        <w:rPr>
          <w:sz w:val="24"/>
          <w:szCs w:val="24"/>
        </w:rPr>
        <w:t>Nesbett</w:t>
      </w:r>
      <w:proofErr w:type="spellEnd"/>
      <w:r w:rsidRPr="00344013">
        <w:rPr>
          <w:sz w:val="24"/>
          <w:szCs w:val="24"/>
        </w:rPr>
        <w:t xml:space="preserve"> Peter and DuBois Michelle (Seattle: University of Washington Press, 2001).</w:t>
      </w:r>
    </w:p>
    <w:p w14:paraId="5D730716" w14:textId="77777777" w:rsidR="00344013" w:rsidRPr="00344013" w:rsidRDefault="00344013" w:rsidP="00344013">
      <w:pPr>
        <w:spacing w:line="360" w:lineRule="auto"/>
        <w:rPr>
          <w:sz w:val="24"/>
          <w:szCs w:val="24"/>
        </w:rPr>
      </w:pPr>
      <w:r w:rsidRPr="00344013">
        <w:rPr>
          <w:sz w:val="24"/>
          <w:szCs w:val="24"/>
        </w:rPr>
        <w:t>Painter Nell Irvin, </w:t>
      </w:r>
      <w:r w:rsidRPr="00344013">
        <w:rPr>
          <w:i/>
          <w:iCs/>
          <w:sz w:val="24"/>
          <w:szCs w:val="24"/>
        </w:rPr>
        <w:t>Creating Black Americans</w:t>
      </w:r>
      <w:r w:rsidRPr="00344013">
        <w:rPr>
          <w:sz w:val="24"/>
          <w:szCs w:val="24"/>
        </w:rPr>
        <w:t> (Boston: Oxford University Press, 2006).</w:t>
      </w:r>
    </w:p>
    <w:p w14:paraId="20E3B661" w14:textId="77777777" w:rsidR="00344013" w:rsidRPr="00344013" w:rsidRDefault="00344013" w:rsidP="00344013">
      <w:pPr>
        <w:spacing w:line="360" w:lineRule="auto"/>
        <w:rPr>
          <w:sz w:val="24"/>
          <w:szCs w:val="24"/>
        </w:rPr>
      </w:pPr>
      <w:r w:rsidRPr="00344013">
        <w:rPr>
          <w:sz w:val="24"/>
          <w:szCs w:val="24"/>
        </w:rPr>
        <w:t xml:space="preserve">Parkinson Robert G., </w:t>
      </w:r>
      <w:r w:rsidRPr="00344013">
        <w:rPr>
          <w:i/>
          <w:iCs/>
          <w:sz w:val="24"/>
          <w:szCs w:val="24"/>
        </w:rPr>
        <w:t>The Common Cause Creating Race and Nation in the American Revolution</w:t>
      </w:r>
      <w:r w:rsidRPr="00344013">
        <w:rPr>
          <w:sz w:val="24"/>
          <w:szCs w:val="24"/>
        </w:rPr>
        <w:t xml:space="preserve"> (Williamsburg: University of North Carolina Press, 2016).</w:t>
      </w:r>
    </w:p>
    <w:p w14:paraId="5AD8637B" w14:textId="77777777" w:rsidR="00344013" w:rsidRPr="00344013" w:rsidRDefault="00344013" w:rsidP="00344013">
      <w:pPr>
        <w:spacing w:line="360" w:lineRule="auto"/>
        <w:rPr>
          <w:sz w:val="24"/>
          <w:szCs w:val="24"/>
        </w:rPr>
      </w:pPr>
      <w:r w:rsidRPr="00344013">
        <w:rPr>
          <w:sz w:val="24"/>
          <w:szCs w:val="24"/>
        </w:rPr>
        <w:t xml:space="preserve">Powell Richard J., </w:t>
      </w:r>
      <w:r w:rsidRPr="00344013">
        <w:rPr>
          <w:i/>
          <w:iCs/>
          <w:sz w:val="24"/>
          <w:szCs w:val="24"/>
        </w:rPr>
        <w:t>Black Art and Culture in the 20th Century</w:t>
      </w:r>
      <w:r w:rsidRPr="00344013">
        <w:rPr>
          <w:sz w:val="24"/>
          <w:szCs w:val="24"/>
        </w:rPr>
        <w:t xml:space="preserve"> (London: Thames and Hudson, 1997).</w:t>
      </w:r>
    </w:p>
    <w:p w14:paraId="3A6D4106" w14:textId="77777777" w:rsidR="00344013" w:rsidRPr="00344013" w:rsidRDefault="00344013" w:rsidP="00344013">
      <w:pPr>
        <w:spacing w:line="360" w:lineRule="auto"/>
        <w:rPr>
          <w:sz w:val="24"/>
          <w:szCs w:val="24"/>
        </w:rPr>
      </w:pPr>
      <w:r w:rsidRPr="00344013">
        <w:rPr>
          <w:sz w:val="24"/>
          <w:szCs w:val="24"/>
        </w:rPr>
        <w:t>Rath Richard Cullen, 'Hearing Wampum: THE SENSES, MEDIATION, AND THE LIMITS OF ANALOGY', in </w:t>
      </w:r>
      <w:r w:rsidRPr="00344013">
        <w:rPr>
          <w:i/>
          <w:iCs/>
          <w:sz w:val="24"/>
          <w:szCs w:val="24"/>
        </w:rPr>
        <w:t xml:space="preserve">Colonial Mediascapes: Sensory Worlds of the Early Americas </w:t>
      </w:r>
      <w:r w:rsidRPr="00344013">
        <w:rPr>
          <w:sz w:val="24"/>
          <w:szCs w:val="24"/>
        </w:rPr>
        <w:t>(Lincoln: University of Nebraska Press, 2014).</w:t>
      </w:r>
    </w:p>
    <w:p w14:paraId="0C6446C5" w14:textId="77777777" w:rsidR="00344013" w:rsidRPr="00344013" w:rsidRDefault="00344013" w:rsidP="00344013">
      <w:pPr>
        <w:spacing w:line="360" w:lineRule="auto"/>
        <w:rPr>
          <w:sz w:val="24"/>
          <w:szCs w:val="24"/>
        </w:rPr>
      </w:pPr>
      <w:r w:rsidRPr="00344013">
        <w:rPr>
          <w:sz w:val="24"/>
          <w:szCs w:val="24"/>
        </w:rPr>
        <w:t>Ronda James P., 'Exploring the Explorers: Great Plains Peoples and the Lewis and Clark Expedition', </w:t>
      </w:r>
      <w:r w:rsidRPr="00344013">
        <w:rPr>
          <w:i/>
          <w:iCs/>
          <w:sz w:val="24"/>
          <w:szCs w:val="24"/>
        </w:rPr>
        <w:t>Great Plains Quarterly, </w:t>
      </w:r>
      <w:r w:rsidRPr="00344013">
        <w:rPr>
          <w:sz w:val="24"/>
          <w:szCs w:val="24"/>
        </w:rPr>
        <w:t>13 (1993).</w:t>
      </w:r>
    </w:p>
    <w:p w14:paraId="7DFBA0E5" w14:textId="77777777" w:rsidR="00344013" w:rsidRPr="00344013" w:rsidRDefault="00344013" w:rsidP="00344013">
      <w:pPr>
        <w:spacing w:line="360" w:lineRule="auto"/>
        <w:rPr>
          <w:sz w:val="24"/>
          <w:szCs w:val="24"/>
        </w:rPr>
      </w:pPr>
      <w:r w:rsidRPr="00344013">
        <w:rPr>
          <w:sz w:val="24"/>
          <w:szCs w:val="24"/>
        </w:rPr>
        <w:t>Ronda James P., </w:t>
      </w:r>
      <w:r w:rsidRPr="00344013">
        <w:rPr>
          <w:i/>
          <w:iCs/>
          <w:sz w:val="24"/>
          <w:szCs w:val="24"/>
        </w:rPr>
        <w:t>Lewis and Clark among the Indians</w:t>
      </w:r>
      <w:r w:rsidRPr="00344013">
        <w:rPr>
          <w:sz w:val="24"/>
          <w:szCs w:val="24"/>
        </w:rPr>
        <w:t> (Lincoln: University of Nebraska Press, 2002).</w:t>
      </w:r>
    </w:p>
    <w:p w14:paraId="39586D46" w14:textId="77777777" w:rsidR="00344013" w:rsidRPr="00344013" w:rsidRDefault="00344013" w:rsidP="00344013">
      <w:pPr>
        <w:spacing w:line="360" w:lineRule="auto"/>
        <w:rPr>
          <w:sz w:val="24"/>
          <w:szCs w:val="24"/>
        </w:rPr>
      </w:pPr>
      <w:r w:rsidRPr="00344013">
        <w:rPr>
          <w:sz w:val="24"/>
          <w:szCs w:val="24"/>
        </w:rPr>
        <w:t>Schmidt Ethan A., </w:t>
      </w:r>
      <w:r w:rsidRPr="00344013">
        <w:rPr>
          <w:i/>
          <w:iCs/>
          <w:sz w:val="24"/>
          <w:szCs w:val="24"/>
        </w:rPr>
        <w:t>Native Americans in the American Revolution: How the War Divided, Devastated, and Transformed the Early American Indian World</w:t>
      </w:r>
      <w:r w:rsidRPr="00344013">
        <w:rPr>
          <w:sz w:val="24"/>
          <w:szCs w:val="24"/>
        </w:rPr>
        <w:t> (Oxford: Praeger, 2014).</w:t>
      </w:r>
    </w:p>
    <w:p w14:paraId="1064E87B" w14:textId="77777777" w:rsidR="00344013" w:rsidRPr="00344013" w:rsidRDefault="00344013" w:rsidP="00344013">
      <w:pPr>
        <w:spacing w:line="360" w:lineRule="auto"/>
        <w:rPr>
          <w:sz w:val="24"/>
          <w:szCs w:val="24"/>
        </w:rPr>
      </w:pPr>
      <w:r w:rsidRPr="00344013">
        <w:rPr>
          <w:sz w:val="24"/>
          <w:szCs w:val="24"/>
        </w:rPr>
        <w:t>Shannon Timothy J., 'Dressing for Success on the Mohawk Frontier: Hendrick, William Johnson, and the Indian Fashion', </w:t>
      </w:r>
      <w:r w:rsidRPr="00344013">
        <w:rPr>
          <w:i/>
          <w:iCs/>
          <w:sz w:val="24"/>
          <w:szCs w:val="24"/>
        </w:rPr>
        <w:t>The William and Mary Quarterly, </w:t>
      </w:r>
      <w:r w:rsidRPr="00344013">
        <w:rPr>
          <w:sz w:val="24"/>
          <w:szCs w:val="24"/>
        </w:rPr>
        <w:t>53 (1996).</w:t>
      </w:r>
    </w:p>
    <w:p w14:paraId="0A376631" w14:textId="77777777" w:rsidR="00344013" w:rsidRPr="00344013" w:rsidRDefault="00344013" w:rsidP="00344013">
      <w:pPr>
        <w:spacing w:line="360" w:lineRule="auto"/>
        <w:rPr>
          <w:sz w:val="24"/>
          <w:szCs w:val="24"/>
        </w:rPr>
      </w:pPr>
      <w:r w:rsidRPr="00344013">
        <w:rPr>
          <w:sz w:val="24"/>
          <w:szCs w:val="24"/>
        </w:rPr>
        <w:lastRenderedPageBreak/>
        <w:t>Shannon Timothy J., </w:t>
      </w:r>
      <w:r w:rsidRPr="00344013">
        <w:rPr>
          <w:i/>
          <w:iCs/>
          <w:sz w:val="24"/>
          <w:szCs w:val="24"/>
        </w:rPr>
        <w:t>Indians and Colonists at the Crossroads of Empire the Albany Congress of 1754</w:t>
      </w:r>
      <w:r w:rsidRPr="00344013">
        <w:rPr>
          <w:sz w:val="24"/>
          <w:szCs w:val="24"/>
        </w:rPr>
        <w:t> (Ithaca: Cornell University Press, 2002).</w:t>
      </w:r>
    </w:p>
    <w:p w14:paraId="0A581F6D" w14:textId="77777777" w:rsidR="00344013" w:rsidRPr="00344013" w:rsidRDefault="00344013" w:rsidP="00344013">
      <w:pPr>
        <w:spacing w:line="360" w:lineRule="auto"/>
        <w:rPr>
          <w:sz w:val="24"/>
          <w:szCs w:val="24"/>
        </w:rPr>
      </w:pPr>
      <w:r w:rsidRPr="00344013">
        <w:rPr>
          <w:sz w:val="24"/>
          <w:szCs w:val="24"/>
        </w:rPr>
        <w:t>St-Denis Guy, </w:t>
      </w:r>
      <w:r w:rsidRPr="00344013">
        <w:rPr>
          <w:i/>
          <w:iCs/>
          <w:sz w:val="24"/>
          <w:szCs w:val="24"/>
        </w:rPr>
        <w:t>Tecumseh’s Bones</w:t>
      </w:r>
      <w:r w:rsidRPr="00344013">
        <w:rPr>
          <w:sz w:val="24"/>
          <w:szCs w:val="24"/>
        </w:rPr>
        <w:t> (Montreal: McGill-Queens University Press, 2005).</w:t>
      </w:r>
    </w:p>
    <w:p w14:paraId="71BA3FDB" w14:textId="77777777" w:rsidR="00344013" w:rsidRPr="00344013" w:rsidRDefault="00344013" w:rsidP="00344013">
      <w:pPr>
        <w:spacing w:line="360" w:lineRule="auto"/>
        <w:rPr>
          <w:sz w:val="24"/>
          <w:szCs w:val="24"/>
        </w:rPr>
      </w:pPr>
      <w:r w:rsidRPr="00344013">
        <w:rPr>
          <w:sz w:val="24"/>
          <w:szCs w:val="24"/>
        </w:rPr>
        <w:t>Sugden John, </w:t>
      </w:r>
      <w:r w:rsidRPr="00344013">
        <w:rPr>
          <w:i/>
          <w:iCs/>
          <w:sz w:val="24"/>
          <w:szCs w:val="24"/>
        </w:rPr>
        <w:t>Tecumseh A Life</w:t>
      </w:r>
      <w:r w:rsidRPr="00344013">
        <w:rPr>
          <w:sz w:val="24"/>
          <w:szCs w:val="24"/>
        </w:rPr>
        <w:t> (New York: Henry Holt &amp; Co, 2013).</w:t>
      </w:r>
    </w:p>
    <w:p w14:paraId="1130BBA8" w14:textId="77777777" w:rsidR="00344013" w:rsidRPr="00344013" w:rsidRDefault="00344013" w:rsidP="00344013">
      <w:pPr>
        <w:spacing w:line="360" w:lineRule="auto"/>
        <w:rPr>
          <w:sz w:val="24"/>
          <w:szCs w:val="24"/>
        </w:rPr>
      </w:pPr>
      <w:proofErr w:type="spellStart"/>
      <w:r w:rsidRPr="00344013">
        <w:rPr>
          <w:sz w:val="24"/>
          <w:szCs w:val="24"/>
        </w:rPr>
        <w:t>Treuer</w:t>
      </w:r>
      <w:proofErr w:type="spellEnd"/>
      <w:r w:rsidRPr="00344013">
        <w:rPr>
          <w:sz w:val="24"/>
          <w:szCs w:val="24"/>
        </w:rPr>
        <w:t xml:space="preserve"> Anton, </w:t>
      </w:r>
      <w:r w:rsidRPr="00344013">
        <w:rPr>
          <w:i/>
          <w:iCs/>
          <w:sz w:val="24"/>
          <w:szCs w:val="24"/>
        </w:rPr>
        <w:t>Everything You Wanted to Know about Indians but were Afraid to Ask</w:t>
      </w:r>
      <w:r w:rsidRPr="00344013">
        <w:rPr>
          <w:sz w:val="24"/>
          <w:szCs w:val="24"/>
        </w:rPr>
        <w:t> (Ithaca: Borealis Books, 2012).</w:t>
      </w:r>
    </w:p>
    <w:p w14:paraId="159BE2B1" w14:textId="77777777" w:rsidR="00344013" w:rsidRPr="00344013" w:rsidRDefault="00344013" w:rsidP="00344013">
      <w:pPr>
        <w:spacing w:line="360" w:lineRule="auto"/>
        <w:rPr>
          <w:sz w:val="24"/>
          <w:szCs w:val="24"/>
        </w:rPr>
      </w:pPr>
      <w:proofErr w:type="spellStart"/>
      <w:r w:rsidRPr="00344013">
        <w:rPr>
          <w:sz w:val="24"/>
          <w:szCs w:val="24"/>
        </w:rPr>
        <w:t>Tsesis</w:t>
      </w:r>
      <w:proofErr w:type="spellEnd"/>
      <w:r w:rsidRPr="00344013">
        <w:rPr>
          <w:sz w:val="24"/>
          <w:szCs w:val="24"/>
        </w:rPr>
        <w:t xml:space="preserve"> Alexander, </w:t>
      </w:r>
      <w:r w:rsidRPr="00344013">
        <w:rPr>
          <w:i/>
          <w:iCs/>
          <w:sz w:val="24"/>
          <w:szCs w:val="24"/>
        </w:rPr>
        <w:t>The Thirteenth Amendment and American Freedom a Legal History</w:t>
      </w:r>
      <w:r w:rsidRPr="00344013">
        <w:rPr>
          <w:sz w:val="24"/>
          <w:szCs w:val="24"/>
        </w:rPr>
        <w:t> (New York: New York University Press, 2004.</w:t>
      </w:r>
    </w:p>
    <w:p w14:paraId="18545ECB" w14:textId="77777777" w:rsidR="00344013" w:rsidRPr="00344013" w:rsidRDefault="00344013" w:rsidP="00344013">
      <w:pPr>
        <w:spacing w:line="360" w:lineRule="auto"/>
        <w:rPr>
          <w:sz w:val="24"/>
          <w:szCs w:val="24"/>
        </w:rPr>
      </w:pPr>
      <w:r w:rsidRPr="00344013">
        <w:rPr>
          <w:sz w:val="24"/>
          <w:szCs w:val="24"/>
        </w:rPr>
        <w:t>Warren Stephen, </w:t>
      </w:r>
      <w:r w:rsidRPr="00344013">
        <w:rPr>
          <w:i/>
          <w:iCs/>
          <w:sz w:val="24"/>
          <w:szCs w:val="24"/>
        </w:rPr>
        <w:t>The Worlds the Shawnees made Migration and Violence in Early America</w:t>
      </w:r>
      <w:r w:rsidRPr="00344013">
        <w:rPr>
          <w:sz w:val="24"/>
          <w:szCs w:val="24"/>
        </w:rPr>
        <w:t> (Chapel Hill: University of North Carolina Press, 2014).</w:t>
      </w:r>
    </w:p>
    <w:p w14:paraId="77C557F3" w14:textId="77777777" w:rsidR="00344013" w:rsidRPr="00344013" w:rsidRDefault="00344013" w:rsidP="00344013">
      <w:pPr>
        <w:spacing w:line="360" w:lineRule="auto"/>
        <w:rPr>
          <w:sz w:val="24"/>
          <w:szCs w:val="24"/>
        </w:rPr>
      </w:pPr>
      <w:r w:rsidRPr="00344013">
        <w:rPr>
          <w:sz w:val="24"/>
          <w:szCs w:val="24"/>
        </w:rPr>
        <w:t>White Richard, </w:t>
      </w:r>
      <w:r w:rsidRPr="00344013">
        <w:rPr>
          <w:i/>
          <w:iCs/>
          <w:sz w:val="24"/>
          <w:szCs w:val="24"/>
        </w:rPr>
        <w:t>The Middle Ground</w:t>
      </w:r>
      <w:r w:rsidRPr="00344013">
        <w:rPr>
          <w:sz w:val="24"/>
          <w:szCs w:val="24"/>
        </w:rPr>
        <w:t> (Cambridge: Cambridge University Press, 1991).</w:t>
      </w:r>
    </w:p>
    <w:p w14:paraId="68CC0D0C" w14:textId="77777777" w:rsidR="00344013" w:rsidRPr="00344013" w:rsidRDefault="00344013" w:rsidP="00344013">
      <w:pPr>
        <w:spacing w:line="360" w:lineRule="auto"/>
        <w:rPr>
          <w:sz w:val="24"/>
          <w:szCs w:val="24"/>
        </w:rPr>
      </w:pPr>
    </w:p>
    <w:p w14:paraId="0AC73152" w14:textId="77777777" w:rsidR="00002F7A" w:rsidRDefault="00002F7A" w:rsidP="00344013">
      <w:pPr>
        <w:spacing w:line="360" w:lineRule="auto"/>
        <w:rPr>
          <w:sz w:val="24"/>
          <w:szCs w:val="24"/>
          <w:u w:val="single"/>
        </w:rPr>
      </w:pPr>
    </w:p>
    <w:p w14:paraId="3DA7603D" w14:textId="77777777" w:rsidR="00002F7A" w:rsidRDefault="00002F7A" w:rsidP="00344013">
      <w:pPr>
        <w:spacing w:line="360" w:lineRule="auto"/>
        <w:rPr>
          <w:sz w:val="24"/>
          <w:szCs w:val="24"/>
          <w:u w:val="single"/>
        </w:rPr>
      </w:pPr>
    </w:p>
    <w:p w14:paraId="4D73556B" w14:textId="77777777" w:rsidR="00002F7A" w:rsidRDefault="00002F7A" w:rsidP="00344013">
      <w:pPr>
        <w:spacing w:line="360" w:lineRule="auto"/>
        <w:rPr>
          <w:sz w:val="24"/>
          <w:szCs w:val="24"/>
          <w:u w:val="single"/>
        </w:rPr>
      </w:pPr>
    </w:p>
    <w:p w14:paraId="771D644A" w14:textId="5923CCC4" w:rsidR="00344013" w:rsidRPr="00344013" w:rsidRDefault="00344013" w:rsidP="00344013">
      <w:pPr>
        <w:spacing w:line="360" w:lineRule="auto"/>
        <w:rPr>
          <w:sz w:val="24"/>
          <w:szCs w:val="24"/>
          <w:u w:val="single"/>
        </w:rPr>
      </w:pPr>
      <w:r w:rsidRPr="00344013">
        <w:rPr>
          <w:sz w:val="24"/>
          <w:szCs w:val="24"/>
          <w:u w:val="single"/>
        </w:rPr>
        <w:t>Articles</w:t>
      </w:r>
    </w:p>
    <w:p w14:paraId="3D9D7068" w14:textId="77777777" w:rsidR="00344013" w:rsidRPr="00344013" w:rsidRDefault="00344013" w:rsidP="00344013">
      <w:pPr>
        <w:spacing w:line="360" w:lineRule="auto"/>
        <w:rPr>
          <w:sz w:val="24"/>
          <w:szCs w:val="24"/>
          <w:u w:val="single"/>
        </w:rPr>
      </w:pPr>
    </w:p>
    <w:p w14:paraId="5BEE13A1" w14:textId="77777777" w:rsidR="00344013" w:rsidRPr="00344013" w:rsidRDefault="00344013" w:rsidP="00344013">
      <w:pPr>
        <w:spacing w:line="360" w:lineRule="auto"/>
        <w:rPr>
          <w:sz w:val="24"/>
          <w:szCs w:val="24"/>
        </w:rPr>
      </w:pPr>
      <w:proofErr w:type="spellStart"/>
      <w:r w:rsidRPr="00344013">
        <w:rPr>
          <w:sz w:val="24"/>
          <w:szCs w:val="24"/>
        </w:rPr>
        <w:t>Antal</w:t>
      </w:r>
      <w:proofErr w:type="spellEnd"/>
      <w:r w:rsidRPr="00344013">
        <w:rPr>
          <w:sz w:val="24"/>
          <w:szCs w:val="24"/>
        </w:rPr>
        <w:t xml:space="preserve"> Sandy, </w:t>
      </w:r>
      <w:r w:rsidRPr="00344013">
        <w:rPr>
          <w:i/>
          <w:iCs/>
          <w:sz w:val="24"/>
          <w:szCs w:val="24"/>
        </w:rPr>
        <w:t>Wampum Denied Procter's War of 1812</w:t>
      </w:r>
      <w:r w:rsidRPr="00344013">
        <w:rPr>
          <w:sz w:val="24"/>
          <w:szCs w:val="24"/>
        </w:rPr>
        <w:t> (Montreal: Carleton Library Press, 1997).</w:t>
      </w:r>
    </w:p>
    <w:p w14:paraId="5773FD20" w14:textId="77777777" w:rsidR="00344013" w:rsidRPr="00344013" w:rsidRDefault="00344013" w:rsidP="00344013">
      <w:pPr>
        <w:spacing w:line="360" w:lineRule="auto"/>
        <w:rPr>
          <w:sz w:val="24"/>
          <w:szCs w:val="24"/>
        </w:rPr>
      </w:pPr>
      <w:r w:rsidRPr="00344013">
        <w:rPr>
          <w:sz w:val="24"/>
          <w:szCs w:val="24"/>
        </w:rPr>
        <w:t>Bearden Romare, Gilliam Jr. Sam, Hunt Richard, Lawrence Jacob, Lloyd Tom, Williams William and Woodruff Hale, 'The Black Artist in America: A Symposium', </w:t>
      </w:r>
      <w:r w:rsidRPr="00344013">
        <w:rPr>
          <w:i/>
          <w:iCs/>
          <w:sz w:val="24"/>
          <w:szCs w:val="24"/>
        </w:rPr>
        <w:t>The Metropolitan Museum of Art Bulletin, </w:t>
      </w:r>
      <w:r w:rsidRPr="00344013">
        <w:rPr>
          <w:sz w:val="24"/>
          <w:szCs w:val="24"/>
        </w:rPr>
        <w:t>27 (1969).</w:t>
      </w:r>
    </w:p>
    <w:p w14:paraId="17C29536" w14:textId="77777777" w:rsidR="00344013" w:rsidRPr="00344013" w:rsidRDefault="00344013" w:rsidP="00344013">
      <w:pPr>
        <w:spacing w:line="360" w:lineRule="auto"/>
        <w:rPr>
          <w:sz w:val="24"/>
          <w:szCs w:val="24"/>
        </w:rPr>
      </w:pPr>
      <w:r w:rsidRPr="00344013">
        <w:rPr>
          <w:sz w:val="24"/>
          <w:szCs w:val="24"/>
        </w:rPr>
        <w:t>Becker Marshall Joseph, 'Wampum Bags and Containers from the Native Northeast', </w:t>
      </w:r>
      <w:r w:rsidRPr="00344013">
        <w:rPr>
          <w:i/>
          <w:iCs/>
          <w:sz w:val="24"/>
          <w:szCs w:val="24"/>
        </w:rPr>
        <w:t>Material Culture, </w:t>
      </w:r>
      <w:r w:rsidRPr="00344013">
        <w:rPr>
          <w:sz w:val="24"/>
          <w:szCs w:val="24"/>
        </w:rPr>
        <w:t>(2013).</w:t>
      </w:r>
    </w:p>
    <w:p w14:paraId="1EE2F144" w14:textId="77777777" w:rsidR="00344013" w:rsidRPr="00344013" w:rsidRDefault="00344013" w:rsidP="00344013">
      <w:pPr>
        <w:spacing w:line="360" w:lineRule="auto"/>
        <w:rPr>
          <w:sz w:val="24"/>
          <w:szCs w:val="24"/>
        </w:rPr>
      </w:pPr>
      <w:r w:rsidRPr="00344013">
        <w:rPr>
          <w:sz w:val="24"/>
          <w:szCs w:val="24"/>
        </w:rPr>
        <w:t xml:space="preserve">Bradley James W., </w:t>
      </w:r>
      <w:proofErr w:type="spellStart"/>
      <w:r w:rsidRPr="00344013">
        <w:rPr>
          <w:sz w:val="24"/>
          <w:szCs w:val="24"/>
        </w:rPr>
        <w:t>'Re</w:t>
      </w:r>
      <w:proofErr w:type="spellEnd"/>
      <w:r w:rsidRPr="00344013">
        <w:rPr>
          <w:sz w:val="24"/>
          <w:szCs w:val="24"/>
        </w:rPr>
        <w:t>-Visiting Wampum and Other Seventeenth-Century Shell Games', </w:t>
      </w:r>
      <w:r w:rsidRPr="00344013">
        <w:rPr>
          <w:i/>
          <w:iCs/>
          <w:sz w:val="24"/>
          <w:szCs w:val="24"/>
        </w:rPr>
        <w:t>Archaeology of Eastern North America, </w:t>
      </w:r>
      <w:r w:rsidRPr="00344013">
        <w:rPr>
          <w:sz w:val="24"/>
          <w:szCs w:val="24"/>
        </w:rPr>
        <w:t>(2011).</w:t>
      </w:r>
    </w:p>
    <w:p w14:paraId="034E7D79" w14:textId="77777777" w:rsidR="00344013" w:rsidRPr="00344013" w:rsidRDefault="00344013" w:rsidP="00344013">
      <w:pPr>
        <w:spacing w:line="360" w:lineRule="auto"/>
        <w:rPr>
          <w:sz w:val="24"/>
          <w:szCs w:val="24"/>
        </w:rPr>
      </w:pPr>
      <w:r w:rsidRPr="00344013">
        <w:rPr>
          <w:sz w:val="24"/>
          <w:szCs w:val="24"/>
        </w:rPr>
        <w:t>Fenelon James V. and Defender-Wilson Mary Louise, 'Voyage of Domination, "Purchase" as Conquest, Sakakawea for Savagery: Distorted Icons from Misrepresentations of the Lewis and Clark Expedition', </w:t>
      </w:r>
      <w:proofErr w:type="spellStart"/>
      <w:r w:rsidRPr="00344013">
        <w:rPr>
          <w:i/>
          <w:iCs/>
          <w:sz w:val="24"/>
          <w:szCs w:val="24"/>
        </w:rPr>
        <w:t>Wicazo</w:t>
      </w:r>
      <w:proofErr w:type="spellEnd"/>
      <w:r w:rsidRPr="00344013">
        <w:rPr>
          <w:i/>
          <w:iCs/>
          <w:sz w:val="24"/>
          <w:szCs w:val="24"/>
        </w:rPr>
        <w:t xml:space="preserve"> Sa Review, </w:t>
      </w:r>
      <w:r w:rsidRPr="00344013">
        <w:rPr>
          <w:sz w:val="24"/>
          <w:szCs w:val="24"/>
        </w:rPr>
        <w:t>19 (2004). </w:t>
      </w:r>
    </w:p>
    <w:p w14:paraId="75302E2C" w14:textId="77777777" w:rsidR="00344013" w:rsidRPr="00344013" w:rsidRDefault="00344013" w:rsidP="00344013">
      <w:pPr>
        <w:spacing w:line="360" w:lineRule="auto"/>
        <w:rPr>
          <w:sz w:val="24"/>
          <w:szCs w:val="24"/>
        </w:rPr>
      </w:pPr>
      <w:r w:rsidRPr="00344013">
        <w:rPr>
          <w:sz w:val="24"/>
          <w:szCs w:val="24"/>
        </w:rPr>
        <w:lastRenderedPageBreak/>
        <w:t>Guinness Ralph B., 'The Purpose of the Lewis and Clark Expedition', </w:t>
      </w:r>
      <w:r w:rsidRPr="00344013">
        <w:rPr>
          <w:i/>
          <w:iCs/>
          <w:sz w:val="24"/>
          <w:szCs w:val="24"/>
        </w:rPr>
        <w:t>The Mississippi Valley Historical Review, </w:t>
      </w:r>
      <w:r w:rsidRPr="00344013">
        <w:rPr>
          <w:sz w:val="24"/>
          <w:szCs w:val="24"/>
        </w:rPr>
        <w:t>20 (1933).</w:t>
      </w:r>
    </w:p>
    <w:p w14:paraId="54683610" w14:textId="77777777" w:rsidR="00344013" w:rsidRPr="00344013" w:rsidRDefault="00344013" w:rsidP="00344013">
      <w:pPr>
        <w:spacing w:line="360" w:lineRule="auto"/>
        <w:rPr>
          <w:sz w:val="24"/>
          <w:szCs w:val="24"/>
        </w:rPr>
      </w:pPr>
      <w:r w:rsidRPr="00344013">
        <w:rPr>
          <w:sz w:val="24"/>
          <w:szCs w:val="24"/>
        </w:rPr>
        <w:t>Major Clarence and Jacob Lawrence, 'Clarence Major Interviews: Jacob Lawrence, the Expressionist', </w:t>
      </w:r>
      <w:r w:rsidRPr="00344013">
        <w:rPr>
          <w:i/>
          <w:iCs/>
          <w:sz w:val="24"/>
          <w:szCs w:val="24"/>
        </w:rPr>
        <w:t>The Black Scholar, </w:t>
      </w:r>
      <w:r w:rsidRPr="00344013">
        <w:rPr>
          <w:sz w:val="24"/>
          <w:szCs w:val="24"/>
        </w:rPr>
        <w:t>9 (1977).</w:t>
      </w:r>
    </w:p>
    <w:p w14:paraId="3CEED9C1" w14:textId="77777777" w:rsidR="00344013" w:rsidRPr="00344013" w:rsidRDefault="00344013" w:rsidP="00344013">
      <w:pPr>
        <w:spacing w:line="360" w:lineRule="auto"/>
        <w:rPr>
          <w:sz w:val="24"/>
          <w:szCs w:val="24"/>
        </w:rPr>
      </w:pPr>
      <w:r w:rsidRPr="00344013">
        <w:rPr>
          <w:sz w:val="24"/>
          <w:szCs w:val="24"/>
        </w:rPr>
        <w:t>Nicholas Xavier, 'Interview with Jacob Lawrence', </w:t>
      </w:r>
      <w:r w:rsidRPr="00344013">
        <w:rPr>
          <w:i/>
          <w:iCs/>
          <w:sz w:val="24"/>
          <w:szCs w:val="24"/>
        </w:rPr>
        <w:t>Callaloo, </w:t>
      </w:r>
      <w:r w:rsidRPr="00344013">
        <w:rPr>
          <w:sz w:val="24"/>
          <w:szCs w:val="24"/>
        </w:rPr>
        <w:t>36 (2013).</w:t>
      </w:r>
    </w:p>
    <w:p w14:paraId="3224A811" w14:textId="77777777" w:rsidR="00344013" w:rsidRPr="00344013" w:rsidRDefault="00344013" w:rsidP="00344013">
      <w:pPr>
        <w:spacing w:line="360" w:lineRule="auto"/>
        <w:rPr>
          <w:sz w:val="24"/>
          <w:szCs w:val="24"/>
        </w:rPr>
      </w:pPr>
      <w:r w:rsidRPr="00344013">
        <w:rPr>
          <w:sz w:val="24"/>
          <w:szCs w:val="24"/>
        </w:rPr>
        <w:t>Ott John, 'Battle Station MoMA: Jacob Lawrence and the Desegregation of the Armed Forces and the Art World', </w:t>
      </w:r>
      <w:r w:rsidRPr="00344013">
        <w:rPr>
          <w:i/>
          <w:iCs/>
          <w:sz w:val="24"/>
          <w:szCs w:val="24"/>
        </w:rPr>
        <w:t>American Art, </w:t>
      </w:r>
      <w:r w:rsidRPr="00344013">
        <w:rPr>
          <w:sz w:val="24"/>
          <w:szCs w:val="24"/>
        </w:rPr>
        <w:t>29 (2015).</w:t>
      </w:r>
    </w:p>
    <w:p w14:paraId="43505DAE" w14:textId="77777777" w:rsidR="00344013" w:rsidRPr="00344013" w:rsidRDefault="00344013" w:rsidP="00344013">
      <w:pPr>
        <w:spacing w:line="360" w:lineRule="auto"/>
        <w:rPr>
          <w:sz w:val="24"/>
          <w:szCs w:val="24"/>
        </w:rPr>
      </w:pPr>
    </w:p>
    <w:p w14:paraId="7D26BD51" w14:textId="77777777" w:rsidR="00344013" w:rsidRPr="00344013" w:rsidRDefault="00344013" w:rsidP="00344013">
      <w:pPr>
        <w:spacing w:line="360" w:lineRule="auto"/>
        <w:rPr>
          <w:sz w:val="24"/>
          <w:szCs w:val="24"/>
          <w:u w:val="single"/>
        </w:rPr>
      </w:pPr>
      <w:r w:rsidRPr="00344013">
        <w:rPr>
          <w:sz w:val="24"/>
          <w:szCs w:val="24"/>
          <w:u w:val="single"/>
        </w:rPr>
        <w:t>Websites</w:t>
      </w:r>
    </w:p>
    <w:p w14:paraId="5239B5D9" w14:textId="77777777" w:rsidR="00344013" w:rsidRPr="00344013" w:rsidRDefault="00344013" w:rsidP="00344013">
      <w:pPr>
        <w:spacing w:line="360" w:lineRule="auto"/>
        <w:rPr>
          <w:sz w:val="24"/>
          <w:szCs w:val="24"/>
          <w:u w:val="single"/>
        </w:rPr>
      </w:pPr>
    </w:p>
    <w:p w14:paraId="0B02358E" w14:textId="77777777" w:rsidR="00344013" w:rsidRPr="00344013" w:rsidRDefault="00344013" w:rsidP="00344013">
      <w:pPr>
        <w:spacing w:line="360" w:lineRule="auto"/>
        <w:rPr>
          <w:sz w:val="24"/>
          <w:szCs w:val="24"/>
        </w:rPr>
      </w:pPr>
      <w:proofErr w:type="spellStart"/>
      <w:r w:rsidRPr="00344013">
        <w:rPr>
          <w:sz w:val="24"/>
          <w:szCs w:val="24"/>
        </w:rPr>
        <w:t>Artnet</w:t>
      </w:r>
      <w:proofErr w:type="spellEnd"/>
      <w:r w:rsidRPr="00344013">
        <w:rPr>
          <w:sz w:val="24"/>
          <w:szCs w:val="24"/>
        </w:rPr>
        <w:t xml:space="preserve">, 2021, A Cache of Photos from an Early MoMA Exhibition Offers New Clues About a Group of Lost Jacob Lawrence Paintings. </w:t>
      </w:r>
    </w:p>
    <w:p w14:paraId="6ECD3564" w14:textId="77777777" w:rsidR="00344013" w:rsidRPr="00344013" w:rsidRDefault="00344013" w:rsidP="00344013">
      <w:pPr>
        <w:spacing w:line="360" w:lineRule="auto"/>
        <w:rPr>
          <w:sz w:val="24"/>
          <w:szCs w:val="24"/>
        </w:rPr>
      </w:pPr>
      <w:hyperlink r:id="rId30" w:history="1">
        <w:r w:rsidRPr="00344013">
          <w:rPr>
            <w:rStyle w:val="Hyperlink"/>
            <w:sz w:val="24"/>
            <w:szCs w:val="24"/>
          </w:rPr>
          <w:t>https://news.artnet.com/market/early-moma-exhibition-jacob-lawrence-paintings-1954313</w:t>
        </w:r>
      </w:hyperlink>
    </w:p>
    <w:p w14:paraId="51862EFE" w14:textId="77777777" w:rsidR="00344013" w:rsidRPr="00344013" w:rsidRDefault="00344013" w:rsidP="00344013">
      <w:pPr>
        <w:spacing w:line="360" w:lineRule="auto"/>
        <w:rPr>
          <w:sz w:val="24"/>
          <w:szCs w:val="24"/>
          <w:u w:val="single"/>
        </w:rPr>
      </w:pPr>
    </w:p>
    <w:p w14:paraId="23C5B53F" w14:textId="77777777" w:rsidR="00344013" w:rsidRPr="00344013" w:rsidRDefault="00344013" w:rsidP="00344013">
      <w:pPr>
        <w:spacing w:line="360" w:lineRule="auto"/>
        <w:rPr>
          <w:sz w:val="24"/>
          <w:szCs w:val="24"/>
          <w:u w:val="single"/>
        </w:rPr>
      </w:pPr>
      <w:r w:rsidRPr="00344013">
        <w:rPr>
          <w:sz w:val="24"/>
          <w:szCs w:val="24"/>
        </w:rPr>
        <w:t xml:space="preserve">Peabody Essex Museum, 2021, JACOB LAWRENCE: THE AMERICAN STRUGGLE. </w:t>
      </w:r>
      <w:hyperlink r:id="rId31" w:history="1">
        <w:r w:rsidRPr="00344013">
          <w:rPr>
            <w:rStyle w:val="Hyperlink"/>
            <w:sz w:val="24"/>
            <w:szCs w:val="24"/>
          </w:rPr>
          <w:t>https://www.pem.org/jacob-lawrence-the-american-struggle-panels</w:t>
        </w:r>
      </w:hyperlink>
    </w:p>
    <w:p w14:paraId="72C6E5BC" w14:textId="77777777" w:rsidR="00344013" w:rsidRPr="00344013" w:rsidRDefault="00344013" w:rsidP="00344013">
      <w:pPr>
        <w:spacing w:line="360" w:lineRule="auto"/>
        <w:rPr>
          <w:sz w:val="24"/>
          <w:szCs w:val="24"/>
          <w:u w:val="single"/>
        </w:rPr>
      </w:pPr>
    </w:p>
    <w:p w14:paraId="536851CF" w14:textId="77777777" w:rsidR="00344013" w:rsidRPr="00344013" w:rsidRDefault="00344013" w:rsidP="00344013">
      <w:pPr>
        <w:spacing w:line="360" w:lineRule="auto"/>
        <w:rPr>
          <w:sz w:val="24"/>
          <w:szCs w:val="24"/>
        </w:rPr>
      </w:pPr>
      <w:r w:rsidRPr="00344013">
        <w:rPr>
          <w:sz w:val="24"/>
          <w:szCs w:val="24"/>
        </w:rPr>
        <w:t xml:space="preserve">Shaun </w:t>
      </w:r>
      <w:proofErr w:type="spellStart"/>
      <w:r w:rsidRPr="00344013">
        <w:rPr>
          <w:sz w:val="24"/>
          <w:szCs w:val="24"/>
        </w:rPr>
        <w:t>Assael</w:t>
      </w:r>
      <w:proofErr w:type="spellEnd"/>
      <w:r w:rsidRPr="00344013">
        <w:rPr>
          <w:sz w:val="24"/>
          <w:szCs w:val="24"/>
        </w:rPr>
        <w:t>, </w:t>
      </w:r>
      <w:r w:rsidRPr="00344013">
        <w:rPr>
          <w:i/>
          <w:iCs/>
          <w:sz w:val="24"/>
          <w:szCs w:val="24"/>
        </w:rPr>
        <w:t>The Forgotten French Artist Who Courted Thomas Jefferson and Got Pulled into a Scandal, </w:t>
      </w:r>
      <w:r w:rsidRPr="00344013">
        <w:rPr>
          <w:sz w:val="24"/>
          <w:szCs w:val="24"/>
        </w:rPr>
        <w:t>(2021: Smithsonian Magazine, 2022).</w:t>
      </w:r>
    </w:p>
    <w:p w14:paraId="64175D6B" w14:textId="77777777" w:rsidR="00344013" w:rsidRPr="00344013" w:rsidRDefault="00344013" w:rsidP="00344013">
      <w:pPr>
        <w:spacing w:line="360" w:lineRule="auto"/>
        <w:rPr>
          <w:sz w:val="24"/>
          <w:szCs w:val="24"/>
        </w:rPr>
      </w:pPr>
      <w:hyperlink r:id="rId32" w:history="1">
        <w:r w:rsidRPr="00344013">
          <w:rPr>
            <w:rStyle w:val="Hyperlink"/>
            <w:sz w:val="24"/>
            <w:szCs w:val="24"/>
          </w:rPr>
          <w:t>https://www.smithsonianmag.com/history/andre-michaux-scandal-thomas-jefferson-180977946/</w:t>
        </w:r>
      </w:hyperlink>
      <w:r w:rsidRPr="00344013">
        <w:rPr>
          <w:sz w:val="24"/>
          <w:szCs w:val="24"/>
        </w:rPr>
        <w:t xml:space="preserve"> </w:t>
      </w:r>
    </w:p>
    <w:p w14:paraId="6F67CF4C" w14:textId="77777777" w:rsidR="00344013" w:rsidRPr="00344013" w:rsidRDefault="00344013" w:rsidP="00344013">
      <w:pPr>
        <w:spacing w:line="360" w:lineRule="auto"/>
        <w:rPr>
          <w:sz w:val="24"/>
          <w:szCs w:val="24"/>
        </w:rPr>
      </w:pPr>
    </w:p>
    <w:p w14:paraId="7C88995B" w14:textId="77777777" w:rsidR="00344013" w:rsidRPr="00344013" w:rsidRDefault="00344013" w:rsidP="00344013">
      <w:pPr>
        <w:spacing w:line="360" w:lineRule="auto"/>
        <w:rPr>
          <w:sz w:val="24"/>
          <w:szCs w:val="24"/>
          <w:u w:val="single"/>
        </w:rPr>
      </w:pPr>
      <w:r w:rsidRPr="00344013">
        <w:rPr>
          <w:sz w:val="24"/>
          <w:szCs w:val="24"/>
        </w:rPr>
        <w:t xml:space="preserve">YouTube, 2015, Clay Jenkinson </w:t>
      </w:r>
      <w:proofErr w:type="spellStart"/>
      <w:r w:rsidRPr="00344013">
        <w:rPr>
          <w:sz w:val="24"/>
          <w:szCs w:val="24"/>
        </w:rPr>
        <w:t>Dr.</w:t>
      </w:r>
      <w:proofErr w:type="spellEnd"/>
      <w:r w:rsidRPr="00344013">
        <w:rPr>
          <w:sz w:val="24"/>
          <w:szCs w:val="24"/>
        </w:rPr>
        <w:t xml:space="preserve"> Larry </w:t>
      </w:r>
      <w:proofErr w:type="spellStart"/>
      <w:r w:rsidRPr="00344013">
        <w:rPr>
          <w:sz w:val="24"/>
          <w:szCs w:val="24"/>
        </w:rPr>
        <w:t>Skogen</w:t>
      </w:r>
      <w:proofErr w:type="spellEnd"/>
      <w:r w:rsidRPr="00344013">
        <w:rPr>
          <w:sz w:val="24"/>
          <w:szCs w:val="24"/>
        </w:rPr>
        <w:t>, </w:t>
      </w:r>
      <w:r w:rsidRPr="00344013">
        <w:rPr>
          <w:i/>
          <w:iCs/>
          <w:sz w:val="24"/>
          <w:szCs w:val="24"/>
        </w:rPr>
        <w:t xml:space="preserve">Conversations at the BSC Sacagawea. </w:t>
      </w:r>
      <w:hyperlink r:id="rId33" w:history="1">
        <w:r w:rsidRPr="00344013">
          <w:rPr>
            <w:rStyle w:val="Hyperlink"/>
            <w:sz w:val="24"/>
            <w:szCs w:val="24"/>
          </w:rPr>
          <w:t>https://www.youtube.com/watch?v=7t-fLpNdSxA</w:t>
        </w:r>
      </w:hyperlink>
    </w:p>
    <w:p w14:paraId="1F7036EA" w14:textId="77777777" w:rsidR="00344013" w:rsidRPr="00344013" w:rsidRDefault="00344013" w:rsidP="00344013">
      <w:pPr>
        <w:spacing w:line="360" w:lineRule="auto"/>
        <w:rPr>
          <w:sz w:val="24"/>
          <w:szCs w:val="24"/>
          <w:u w:val="single"/>
        </w:rPr>
      </w:pPr>
    </w:p>
    <w:p w14:paraId="2EF7766A" w14:textId="77777777" w:rsidR="00344013" w:rsidRPr="00344013" w:rsidRDefault="00344013" w:rsidP="00344013">
      <w:pPr>
        <w:spacing w:line="360" w:lineRule="auto"/>
        <w:rPr>
          <w:sz w:val="24"/>
          <w:szCs w:val="24"/>
        </w:rPr>
      </w:pPr>
      <w:r w:rsidRPr="00344013">
        <w:rPr>
          <w:sz w:val="24"/>
          <w:szCs w:val="24"/>
        </w:rPr>
        <w:lastRenderedPageBreak/>
        <w:t>YouTube, 2014, Gregory Evans Dowd, The Tecumseh Legend as History.</w:t>
      </w:r>
    </w:p>
    <w:p w14:paraId="66869E51" w14:textId="77777777" w:rsidR="00344013" w:rsidRPr="00344013" w:rsidRDefault="00344013" w:rsidP="00344013">
      <w:pPr>
        <w:spacing w:line="360" w:lineRule="auto"/>
        <w:rPr>
          <w:sz w:val="24"/>
          <w:szCs w:val="24"/>
          <w:u w:val="single"/>
        </w:rPr>
      </w:pPr>
      <w:hyperlink r:id="rId34" w:history="1">
        <w:r w:rsidRPr="00344013">
          <w:rPr>
            <w:rStyle w:val="Hyperlink"/>
            <w:sz w:val="24"/>
            <w:szCs w:val="24"/>
          </w:rPr>
          <w:t>https://www.youtube.com/watch?v=FBS_ZmvFZDQ</w:t>
        </w:r>
      </w:hyperlink>
      <w:r w:rsidRPr="00344013">
        <w:rPr>
          <w:sz w:val="24"/>
          <w:szCs w:val="24"/>
          <w:u w:val="single"/>
        </w:rPr>
        <w:t xml:space="preserve">  </w:t>
      </w:r>
    </w:p>
    <w:p w14:paraId="55747326" w14:textId="77777777" w:rsidR="00344013" w:rsidRPr="00344013" w:rsidRDefault="00344013" w:rsidP="00344013">
      <w:pPr>
        <w:spacing w:line="360" w:lineRule="auto"/>
        <w:rPr>
          <w:sz w:val="24"/>
          <w:szCs w:val="24"/>
          <w:u w:val="single"/>
        </w:rPr>
      </w:pPr>
    </w:p>
    <w:p w14:paraId="6F725DF5" w14:textId="77777777" w:rsidR="00344013" w:rsidRPr="00344013" w:rsidRDefault="00344013" w:rsidP="00344013">
      <w:pPr>
        <w:spacing w:line="360" w:lineRule="auto"/>
        <w:rPr>
          <w:sz w:val="24"/>
          <w:szCs w:val="24"/>
        </w:rPr>
      </w:pPr>
      <w:r w:rsidRPr="00344013">
        <w:rPr>
          <w:sz w:val="24"/>
          <w:szCs w:val="24"/>
        </w:rPr>
        <w:t>YouTube, 2016, Mark Charles, A Native Perspective on the Buried History of America.</w:t>
      </w:r>
    </w:p>
    <w:p w14:paraId="118B6217" w14:textId="77777777" w:rsidR="00344013" w:rsidRPr="00344013" w:rsidRDefault="00344013" w:rsidP="00344013">
      <w:pPr>
        <w:spacing w:line="360" w:lineRule="auto"/>
        <w:rPr>
          <w:sz w:val="24"/>
          <w:szCs w:val="24"/>
        </w:rPr>
      </w:pPr>
      <w:hyperlink r:id="rId35" w:history="1">
        <w:r w:rsidRPr="00344013">
          <w:rPr>
            <w:rStyle w:val="Hyperlink"/>
            <w:sz w:val="24"/>
            <w:szCs w:val="24"/>
          </w:rPr>
          <w:t>https://www.youtube.com/watch?v=eBVCHw1IIG0</w:t>
        </w:r>
      </w:hyperlink>
    </w:p>
    <w:p w14:paraId="2B3EB6FE" w14:textId="77777777" w:rsidR="00344013" w:rsidRPr="00344013" w:rsidRDefault="00344013" w:rsidP="00344013">
      <w:pPr>
        <w:spacing w:line="360" w:lineRule="auto"/>
        <w:rPr>
          <w:sz w:val="24"/>
          <w:szCs w:val="24"/>
        </w:rPr>
      </w:pPr>
    </w:p>
    <w:p w14:paraId="1FFEEF50" w14:textId="77777777" w:rsidR="00344013" w:rsidRPr="00344013" w:rsidRDefault="00344013" w:rsidP="00344013">
      <w:pPr>
        <w:spacing w:line="360" w:lineRule="auto"/>
        <w:rPr>
          <w:sz w:val="24"/>
          <w:szCs w:val="24"/>
        </w:rPr>
      </w:pPr>
      <w:r w:rsidRPr="00344013">
        <w:rPr>
          <w:sz w:val="24"/>
          <w:szCs w:val="24"/>
        </w:rPr>
        <w:t xml:space="preserve">YouTube, 2015, 2011/12 Sacagawea. </w:t>
      </w:r>
    </w:p>
    <w:p w14:paraId="122F9D04" w14:textId="77777777" w:rsidR="00344013" w:rsidRPr="00344013" w:rsidRDefault="00344013" w:rsidP="00344013">
      <w:pPr>
        <w:spacing w:line="360" w:lineRule="auto"/>
        <w:rPr>
          <w:sz w:val="24"/>
          <w:szCs w:val="24"/>
          <w:u w:val="single"/>
        </w:rPr>
      </w:pPr>
      <w:hyperlink r:id="rId36" w:history="1">
        <w:r w:rsidRPr="00344013">
          <w:rPr>
            <w:rStyle w:val="Hyperlink"/>
            <w:sz w:val="24"/>
            <w:szCs w:val="24"/>
          </w:rPr>
          <w:t>https://www.youtube.com/watch?v=7t-fLpNdSxA</w:t>
        </w:r>
      </w:hyperlink>
    </w:p>
    <w:p w14:paraId="47A76AD5" w14:textId="77777777" w:rsidR="00344013" w:rsidRPr="00344013" w:rsidRDefault="00344013" w:rsidP="00344013">
      <w:pPr>
        <w:spacing w:line="360" w:lineRule="auto"/>
        <w:rPr>
          <w:sz w:val="24"/>
          <w:szCs w:val="24"/>
          <w:u w:val="single"/>
        </w:rPr>
      </w:pPr>
    </w:p>
    <w:p w14:paraId="7CBA590C" w14:textId="77777777" w:rsidR="00344013" w:rsidRPr="00344013" w:rsidRDefault="00344013" w:rsidP="00344013">
      <w:pPr>
        <w:spacing w:line="360" w:lineRule="auto"/>
        <w:rPr>
          <w:sz w:val="24"/>
          <w:szCs w:val="24"/>
        </w:rPr>
      </w:pPr>
      <w:r w:rsidRPr="00344013">
        <w:rPr>
          <w:sz w:val="24"/>
          <w:szCs w:val="24"/>
        </w:rPr>
        <w:t>YouTube, 2015, Tracy Derks, Tecumseh: The Uncommon Genius.</w:t>
      </w:r>
    </w:p>
    <w:p w14:paraId="0AE941D3" w14:textId="4638F704" w:rsidR="00344013" w:rsidRPr="00344013" w:rsidRDefault="00344013" w:rsidP="00344013">
      <w:pPr>
        <w:spacing w:line="360" w:lineRule="auto"/>
        <w:rPr>
          <w:sz w:val="24"/>
          <w:szCs w:val="24"/>
        </w:rPr>
      </w:pPr>
      <w:hyperlink r:id="rId37" w:history="1">
        <w:r w:rsidRPr="00344013">
          <w:rPr>
            <w:rStyle w:val="Hyperlink"/>
            <w:sz w:val="24"/>
            <w:szCs w:val="24"/>
          </w:rPr>
          <w:t>https://www.youtube.com/watch?v=see_1N1NTEU&amp;t=587s</w:t>
        </w:r>
      </w:hyperlink>
      <w:r w:rsidRPr="00344013">
        <w:rPr>
          <w:sz w:val="24"/>
          <w:szCs w:val="24"/>
        </w:rPr>
        <w:t xml:space="preserve"> </w:t>
      </w:r>
    </w:p>
    <w:p w14:paraId="318EEFF4" w14:textId="77777777" w:rsidR="00344013" w:rsidRPr="00344013" w:rsidRDefault="00344013" w:rsidP="00344013">
      <w:pPr>
        <w:spacing w:line="360" w:lineRule="auto"/>
        <w:rPr>
          <w:sz w:val="24"/>
          <w:szCs w:val="24"/>
        </w:rPr>
      </w:pPr>
    </w:p>
    <w:p w14:paraId="5398353D" w14:textId="77777777" w:rsidR="00344013" w:rsidRPr="00344013" w:rsidRDefault="00344013" w:rsidP="00344013">
      <w:pPr>
        <w:spacing w:line="360" w:lineRule="auto"/>
        <w:rPr>
          <w:sz w:val="24"/>
          <w:szCs w:val="24"/>
        </w:rPr>
      </w:pPr>
    </w:p>
    <w:p w14:paraId="21D5AD49" w14:textId="77777777" w:rsidR="008E53FB" w:rsidRPr="008E53FB" w:rsidRDefault="008E53FB" w:rsidP="00344013">
      <w:pPr>
        <w:spacing w:line="360" w:lineRule="auto"/>
        <w:rPr>
          <w:sz w:val="24"/>
          <w:szCs w:val="24"/>
        </w:rPr>
      </w:pPr>
    </w:p>
    <w:p w14:paraId="60B4DCC8" w14:textId="77777777" w:rsidR="008E53FB" w:rsidRPr="00344013" w:rsidRDefault="008E53FB" w:rsidP="00344013">
      <w:pPr>
        <w:spacing w:line="360" w:lineRule="auto"/>
        <w:rPr>
          <w:sz w:val="24"/>
          <w:szCs w:val="24"/>
        </w:rPr>
      </w:pPr>
    </w:p>
    <w:sectPr w:rsidR="008E53FB" w:rsidRPr="00344013" w:rsidSect="000C5EAE">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631C7" w14:textId="77777777" w:rsidR="008E53FB" w:rsidRDefault="008E53FB" w:rsidP="008E53FB">
      <w:pPr>
        <w:spacing w:after="0" w:line="240" w:lineRule="auto"/>
      </w:pPr>
      <w:r>
        <w:separator/>
      </w:r>
    </w:p>
  </w:endnote>
  <w:endnote w:type="continuationSeparator" w:id="0">
    <w:p w14:paraId="2B070B01" w14:textId="77777777" w:rsidR="008E53FB" w:rsidRDefault="008E53FB" w:rsidP="008E5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778075"/>
      <w:docPartObj>
        <w:docPartGallery w:val="Page Numbers (Bottom of Page)"/>
        <w:docPartUnique/>
      </w:docPartObj>
    </w:sdtPr>
    <w:sdtEndPr>
      <w:rPr>
        <w:noProof/>
      </w:rPr>
    </w:sdtEndPr>
    <w:sdtContent>
      <w:p w14:paraId="271FFD00" w14:textId="6EA15309" w:rsidR="00C23F3A" w:rsidRDefault="00C23F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858145" w14:textId="77777777" w:rsidR="00F33D78" w:rsidRDefault="00F33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BEBCF" w14:textId="77777777" w:rsidR="008E53FB" w:rsidRDefault="008E53FB" w:rsidP="008E53FB">
      <w:pPr>
        <w:spacing w:after="0" w:line="240" w:lineRule="auto"/>
      </w:pPr>
      <w:r>
        <w:separator/>
      </w:r>
    </w:p>
  </w:footnote>
  <w:footnote w:type="continuationSeparator" w:id="0">
    <w:p w14:paraId="2C29F17A" w14:textId="77777777" w:rsidR="008E53FB" w:rsidRDefault="008E53FB" w:rsidP="008E53FB">
      <w:pPr>
        <w:spacing w:after="0" w:line="240" w:lineRule="auto"/>
      </w:pPr>
      <w:r>
        <w:continuationSeparator/>
      </w:r>
    </w:p>
  </w:footnote>
  <w:footnote w:id="1">
    <w:p w14:paraId="78E7FD53" w14:textId="77777777" w:rsidR="008E53FB" w:rsidRDefault="008E53FB" w:rsidP="008E53FB">
      <w:pPr>
        <w:pStyle w:val="FootnoteText"/>
      </w:pPr>
      <w:r>
        <w:rPr>
          <w:rStyle w:val="FootnoteReference"/>
        </w:rPr>
        <w:footnoteRef/>
      </w:r>
      <w:r>
        <w:t xml:space="preserve"> Peabody Essex Museum, 2021, JACOB LAWRENCE: THE AMERICAN STRUGGLE, </w:t>
      </w:r>
      <w:hyperlink r:id="rId1" w:history="1">
        <w:r>
          <w:rPr>
            <w:rStyle w:val="Hyperlink"/>
          </w:rPr>
          <w:t>https://www.pem.org/jacob-lawrence-the-american-struggle-panels</w:t>
        </w:r>
      </w:hyperlink>
      <w:r>
        <w:t xml:space="preserve"> [accessed 09/03/2022].</w:t>
      </w:r>
    </w:p>
  </w:footnote>
  <w:footnote w:id="2">
    <w:p w14:paraId="76EE56F4" w14:textId="77777777" w:rsidR="008E53FB" w:rsidRDefault="008E53FB" w:rsidP="008E53FB">
      <w:pPr>
        <w:pStyle w:val="FootnoteText"/>
      </w:pPr>
      <w:r>
        <w:rPr>
          <w:rStyle w:val="FootnoteReference"/>
        </w:rPr>
        <w:footnoteRef/>
      </w:r>
      <w:r w:rsidRPr="001839B4">
        <w:rPr>
          <w:sz w:val="22"/>
          <w:szCs w:val="22"/>
        </w:rPr>
        <w:t xml:space="preserve"> </w:t>
      </w:r>
      <w:r w:rsidRPr="001839B4">
        <w:t>Ellen Harkins Wheat, </w:t>
      </w:r>
      <w:r w:rsidRPr="001839B4">
        <w:rPr>
          <w:i/>
          <w:iCs/>
        </w:rPr>
        <w:t>Jacob Lawrence American Painter</w:t>
      </w:r>
      <w:r w:rsidRPr="001839B4">
        <w:t> (Seattle: University of Washington Press, 1986)</w:t>
      </w:r>
      <w:r>
        <w:t xml:space="preserve"> p.p. 104, 105.</w:t>
      </w:r>
    </w:p>
  </w:footnote>
  <w:footnote w:id="3">
    <w:p w14:paraId="308ACDF2" w14:textId="77777777" w:rsidR="008E53FB" w:rsidRPr="00CD5480" w:rsidRDefault="008E53FB" w:rsidP="008E53FB">
      <w:pPr>
        <w:pStyle w:val="FootnoteText"/>
      </w:pPr>
      <w:r>
        <w:rPr>
          <w:rStyle w:val="FootnoteReference"/>
        </w:rPr>
        <w:footnoteRef/>
      </w:r>
      <w:r>
        <w:t xml:space="preserve"> YouTube, 2016, Mark Charles, </w:t>
      </w:r>
      <w:r w:rsidRPr="00CD5480">
        <w:t>A Native Perspective on the Buried History of America</w:t>
      </w:r>
      <w:r>
        <w:t>,</w:t>
      </w:r>
    </w:p>
    <w:p w14:paraId="580B87C4" w14:textId="77777777" w:rsidR="008E53FB" w:rsidRDefault="008E53FB" w:rsidP="008E53FB">
      <w:pPr>
        <w:pStyle w:val="FootnoteText"/>
      </w:pPr>
      <w:hyperlink r:id="rId2" w:history="1">
        <w:r w:rsidRPr="008E1857">
          <w:rPr>
            <w:rStyle w:val="Hyperlink"/>
          </w:rPr>
          <w:t>https://www.youtube.com/watch?v=eBVCHw1IIG0</w:t>
        </w:r>
      </w:hyperlink>
      <w:r>
        <w:t xml:space="preserve"> [accessed 01/02/22].</w:t>
      </w:r>
    </w:p>
  </w:footnote>
  <w:footnote w:id="4">
    <w:p w14:paraId="4D6455A6" w14:textId="77777777" w:rsidR="008E53FB" w:rsidRDefault="008E53FB" w:rsidP="008E53FB">
      <w:pPr>
        <w:pStyle w:val="FootnoteText"/>
      </w:pPr>
      <w:r>
        <w:rPr>
          <w:rStyle w:val="FootnoteReference"/>
        </w:rPr>
        <w:footnoteRef/>
      </w:r>
      <w:r>
        <w:t xml:space="preserve"> John Ott, 'Battle Station MoMA: Jacob Lawrence and the Desegregation of the Armed Forces and the Art World', </w:t>
      </w:r>
      <w:r>
        <w:rPr>
          <w:i/>
          <w:iCs/>
        </w:rPr>
        <w:t>American Art, </w:t>
      </w:r>
      <w:r>
        <w:t>29 (2015), p. 76.</w:t>
      </w:r>
    </w:p>
  </w:footnote>
  <w:footnote w:id="5">
    <w:p w14:paraId="27829362" w14:textId="77777777" w:rsidR="008E53FB" w:rsidRDefault="008E53FB" w:rsidP="008E53FB">
      <w:pPr>
        <w:pStyle w:val="FootnoteText"/>
      </w:pPr>
      <w:r>
        <w:rPr>
          <w:rStyle w:val="FootnoteReference"/>
        </w:rPr>
        <w:footnoteRef/>
      </w:r>
      <w:r>
        <w:t xml:space="preserve"> James P. Ronda, </w:t>
      </w:r>
      <w:r>
        <w:rPr>
          <w:i/>
          <w:iCs/>
        </w:rPr>
        <w:t>Lewis and Clark among the Indians</w:t>
      </w:r>
      <w:r>
        <w:t> (Lincoln: University of Nebraska Press, 2002). For a more comprehensive discussion of the spelling of Sacagawea, see pages 257-259.</w:t>
      </w:r>
    </w:p>
  </w:footnote>
  <w:footnote w:id="6">
    <w:p w14:paraId="575CE7BF" w14:textId="77777777" w:rsidR="008E53FB" w:rsidRDefault="008E53FB" w:rsidP="008E53FB">
      <w:pPr>
        <w:pStyle w:val="FootnoteText"/>
      </w:pPr>
      <w:r>
        <w:rPr>
          <w:rStyle w:val="FootnoteReference"/>
        </w:rPr>
        <w:footnoteRef/>
      </w:r>
      <w:r>
        <w:t xml:space="preserve"> </w:t>
      </w:r>
      <w:r w:rsidRPr="00634A4C">
        <w:t xml:space="preserve">Sandy </w:t>
      </w:r>
      <w:proofErr w:type="spellStart"/>
      <w:r w:rsidRPr="00634A4C">
        <w:t>Antal</w:t>
      </w:r>
      <w:proofErr w:type="spellEnd"/>
      <w:r w:rsidRPr="00634A4C">
        <w:t>, </w:t>
      </w:r>
      <w:r w:rsidRPr="00634A4C">
        <w:rPr>
          <w:i/>
          <w:iCs/>
        </w:rPr>
        <w:t>Wampum Denied Procter's War of 1812</w:t>
      </w:r>
      <w:r w:rsidRPr="00634A4C">
        <w:t> (Montreal: Carleton Library Press, 1997)</w:t>
      </w:r>
      <w:r>
        <w:t>, p. 29.</w:t>
      </w:r>
    </w:p>
  </w:footnote>
  <w:footnote w:id="7">
    <w:p w14:paraId="6B07B6DF" w14:textId="77777777" w:rsidR="00344013" w:rsidRDefault="00344013" w:rsidP="00344013">
      <w:pPr>
        <w:pStyle w:val="FootnoteText"/>
      </w:pPr>
      <w:r>
        <w:rPr>
          <w:rStyle w:val="FootnoteReference"/>
        </w:rPr>
        <w:footnoteRef/>
      </w:r>
      <w:r>
        <w:t xml:space="preserve"> </w:t>
      </w:r>
      <w:bookmarkStart w:id="2" w:name="_Hlk97285395"/>
      <w:r>
        <w:t xml:space="preserve">Peter </w:t>
      </w:r>
      <w:proofErr w:type="spellStart"/>
      <w:r>
        <w:t>Nesbett</w:t>
      </w:r>
      <w:proofErr w:type="spellEnd"/>
      <w:r>
        <w:t xml:space="preserve"> and Michelle DuBois, 'Chronology: Life and Reception', in </w:t>
      </w:r>
      <w:r>
        <w:rPr>
          <w:i/>
          <w:iCs/>
        </w:rPr>
        <w:t>Over the Line the Art and Life of Jacob Lawrence</w:t>
      </w:r>
      <w:r>
        <w:t xml:space="preserve">, ed. by </w:t>
      </w:r>
      <w:proofErr w:type="spellStart"/>
      <w:r>
        <w:t>Nesbett</w:t>
      </w:r>
      <w:proofErr w:type="spellEnd"/>
      <w:r>
        <w:t xml:space="preserve"> Peter and DuBois Michelle (Seattle: University of Washington Press, 2001), p.p. </w:t>
      </w:r>
      <w:bookmarkEnd w:id="2"/>
      <w:r>
        <w:t>25, 26.</w:t>
      </w:r>
    </w:p>
  </w:footnote>
  <w:footnote w:id="8">
    <w:p w14:paraId="21FF8C4A" w14:textId="77777777" w:rsidR="00344013" w:rsidRDefault="00344013" w:rsidP="00344013">
      <w:pPr>
        <w:pStyle w:val="FootnoteText"/>
      </w:pPr>
      <w:r>
        <w:rPr>
          <w:rStyle w:val="FootnoteReference"/>
        </w:rPr>
        <w:footnoteRef/>
      </w:r>
      <w:bookmarkStart w:id="3" w:name="_Hlk99106575"/>
      <w:bookmarkStart w:id="4" w:name="_Hlk97727764"/>
      <w:r>
        <w:t xml:space="preserve"> Harkins Wheat, </w:t>
      </w:r>
      <w:r>
        <w:rPr>
          <w:i/>
          <w:iCs/>
        </w:rPr>
        <w:t>Jacob Lawrence American Painter</w:t>
      </w:r>
      <w:bookmarkEnd w:id="3"/>
      <w:r>
        <w:t xml:space="preserve">, </w:t>
      </w:r>
      <w:r w:rsidRPr="006D02A9">
        <w:t xml:space="preserve">p.p. </w:t>
      </w:r>
      <w:bookmarkEnd w:id="4"/>
      <w:r>
        <w:t>34, 35.</w:t>
      </w:r>
    </w:p>
  </w:footnote>
  <w:footnote w:id="9">
    <w:p w14:paraId="63B5AF59" w14:textId="77777777" w:rsidR="00344013" w:rsidRDefault="00344013" w:rsidP="00344013">
      <w:pPr>
        <w:pStyle w:val="FootnoteText"/>
      </w:pPr>
      <w:r>
        <w:rPr>
          <w:rStyle w:val="FootnoteReference"/>
        </w:rPr>
        <w:footnoteRef/>
      </w:r>
      <w:r>
        <w:t xml:space="preserve"> Clarence Major and Jacob Lawrence, 'Clarence Major Interviews: Jacob Lawrence, the Expressionist', </w:t>
      </w:r>
      <w:r>
        <w:rPr>
          <w:i/>
          <w:iCs/>
        </w:rPr>
        <w:t>The Black Scholar, </w:t>
      </w:r>
      <w:r>
        <w:t xml:space="preserve">9 (1977), p. 18.  </w:t>
      </w:r>
    </w:p>
  </w:footnote>
  <w:footnote w:id="10">
    <w:p w14:paraId="4C14D993" w14:textId="77777777" w:rsidR="00344013" w:rsidRDefault="00344013" w:rsidP="00344013">
      <w:pPr>
        <w:pStyle w:val="FootnoteText"/>
      </w:pPr>
      <w:r>
        <w:rPr>
          <w:rStyle w:val="FootnoteReference"/>
        </w:rPr>
        <w:footnoteRef/>
      </w:r>
      <w:r>
        <w:t xml:space="preserve"> Leah </w:t>
      </w:r>
      <w:proofErr w:type="spellStart"/>
      <w:r>
        <w:t>Dickerman</w:t>
      </w:r>
      <w:proofErr w:type="spellEnd"/>
      <w:r>
        <w:t xml:space="preserve">, Elsa Smithgall, </w:t>
      </w:r>
      <w:r>
        <w:rPr>
          <w:i/>
          <w:iCs/>
        </w:rPr>
        <w:t xml:space="preserve">Jacob Lawrence </w:t>
      </w:r>
      <w:proofErr w:type="gramStart"/>
      <w:r>
        <w:rPr>
          <w:i/>
          <w:iCs/>
        </w:rPr>
        <w:t>The</w:t>
      </w:r>
      <w:proofErr w:type="gramEnd"/>
      <w:r>
        <w:rPr>
          <w:i/>
          <w:iCs/>
        </w:rPr>
        <w:t xml:space="preserve"> Migration Series</w:t>
      </w:r>
      <w:r>
        <w:t xml:space="preserve"> (New York: Museum of Modern Art, 2015)</w:t>
      </w:r>
    </w:p>
  </w:footnote>
  <w:footnote w:id="11">
    <w:p w14:paraId="56EBB9FD" w14:textId="77777777" w:rsidR="00344013" w:rsidRDefault="00344013" w:rsidP="00344013">
      <w:pPr>
        <w:pStyle w:val="FootnoteText"/>
      </w:pPr>
      <w:r>
        <w:rPr>
          <w:rStyle w:val="FootnoteReference"/>
        </w:rPr>
        <w:footnoteRef/>
      </w:r>
      <w:r>
        <w:t xml:space="preserve"> </w:t>
      </w:r>
      <w:proofErr w:type="spellStart"/>
      <w:r>
        <w:t>Nesbett</w:t>
      </w:r>
      <w:proofErr w:type="spellEnd"/>
      <w:r>
        <w:t xml:space="preserve"> and DuBois, 'Chronology: Life and Reception', p.p. 28, 30, 32, 34, 36, 38, 64.</w:t>
      </w:r>
    </w:p>
  </w:footnote>
  <w:footnote w:id="12">
    <w:p w14:paraId="2C4AF3BB" w14:textId="77777777" w:rsidR="00344013" w:rsidRDefault="00344013" w:rsidP="00344013">
      <w:pPr>
        <w:pStyle w:val="FootnoteText"/>
      </w:pPr>
      <w:r>
        <w:rPr>
          <w:rStyle w:val="FootnoteReference"/>
        </w:rPr>
        <w:footnoteRef/>
      </w:r>
      <w:r>
        <w:t xml:space="preserve"> </w:t>
      </w:r>
      <w:r w:rsidRPr="00F27C54">
        <w:t>Harkins Wheat, </w:t>
      </w:r>
      <w:r w:rsidRPr="00F27C54">
        <w:rPr>
          <w:i/>
          <w:iCs/>
        </w:rPr>
        <w:t>Jacob Lawrence American Painter</w:t>
      </w:r>
      <w:r w:rsidRPr="00F27C54">
        <w:t>, p.p. 60, 140.</w:t>
      </w:r>
    </w:p>
  </w:footnote>
  <w:footnote w:id="13">
    <w:p w14:paraId="52751816" w14:textId="77777777" w:rsidR="00344013" w:rsidRDefault="00344013" w:rsidP="00344013">
      <w:pPr>
        <w:pStyle w:val="FootnoteText"/>
      </w:pPr>
      <w:r>
        <w:rPr>
          <w:rStyle w:val="FootnoteReference"/>
        </w:rPr>
        <w:footnoteRef/>
      </w:r>
      <w:r>
        <w:t xml:space="preserve">  </w:t>
      </w:r>
      <w:r w:rsidRPr="00AE6642">
        <w:t>Kyle T. Mays, </w:t>
      </w:r>
      <w:r w:rsidRPr="00AE6642">
        <w:rPr>
          <w:i/>
          <w:iCs/>
        </w:rPr>
        <w:t>An Afro-Indigenous History of the United States</w:t>
      </w:r>
      <w:r w:rsidRPr="00AE6642">
        <w:t> (Boston: Beacon Press, 2021)</w:t>
      </w:r>
      <w:r>
        <w:t>, p. 17.</w:t>
      </w:r>
    </w:p>
  </w:footnote>
  <w:footnote w:id="14">
    <w:p w14:paraId="7129E4F2" w14:textId="77777777" w:rsidR="00344013" w:rsidRDefault="00344013" w:rsidP="00344013">
      <w:pPr>
        <w:pStyle w:val="FootnoteText"/>
      </w:pPr>
      <w:r>
        <w:rPr>
          <w:rStyle w:val="FootnoteReference"/>
        </w:rPr>
        <w:footnoteRef/>
      </w:r>
      <w:r>
        <w:t xml:space="preserve"> </w:t>
      </w:r>
      <w:r w:rsidRPr="00131A59">
        <w:t>Robert J. Miller, 'The Doctrine of Discovery in United States History', in </w:t>
      </w:r>
      <w:r w:rsidRPr="00131A59">
        <w:rPr>
          <w:i/>
          <w:iCs/>
        </w:rPr>
        <w:t>Discovering Indigenous Lands the Doctrine of Discovery in the English Colonies</w:t>
      </w:r>
      <w:r>
        <w:rPr>
          <w:i/>
          <w:iCs/>
        </w:rPr>
        <w:t xml:space="preserve"> </w:t>
      </w:r>
      <w:r w:rsidRPr="00131A59">
        <w:t>(New York: Oxford University Press, 2010)</w:t>
      </w:r>
      <w:r>
        <w:t>, p. 86.</w:t>
      </w:r>
    </w:p>
  </w:footnote>
  <w:footnote w:id="15">
    <w:p w14:paraId="6F4119C3" w14:textId="77777777" w:rsidR="00344013" w:rsidRDefault="00344013" w:rsidP="00344013">
      <w:pPr>
        <w:pStyle w:val="FootnoteText"/>
      </w:pPr>
      <w:r>
        <w:rPr>
          <w:rStyle w:val="FootnoteReference"/>
        </w:rPr>
        <w:footnoteRef/>
      </w:r>
      <w:r>
        <w:t xml:space="preserve"> </w:t>
      </w:r>
      <w:r w:rsidRPr="006B3DBD">
        <w:t>Nell Irvin Painter, </w:t>
      </w:r>
      <w:r w:rsidRPr="006B3DBD">
        <w:rPr>
          <w:i/>
          <w:iCs/>
        </w:rPr>
        <w:t>Creating Black Americans</w:t>
      </w:r>
      <w:r w:rsidRPr="006B3DBD">
        <w:t> (Boston: Oxford University Press, 2006), p.</w:t>
      </w:r>
      <w:r>
        <w:t xml:space="preserve"> 220 246, 247.</w:t>
      </w:r>
    </w:p>
  </w:footnote>
  <w:footnote w:id="16">
    <w:p w14:paraId="2F8645CD" w14:textId="77777777" w:rsidR="00344013" w:rsidRDefault="00344013" w:rsidP="00344013">
      <w:pPr>
        <w:pStyle w:val="FootnoteText"/>
      </w:pPr>
      <w:r>
        <w:rPr>
          <w:rStyle w:val="FootnoteReference"/>
        </w:rPr>
        <w:footnoteRef/>
      </w:r>
      <w:r>
        <w:t xml:space="preserve"> Richard J. Powell, </w:t>
      </w:r>
      <w:r>
        <w:rPr>
          <w:i/>
          <w:iCs/>
        </w:rPr>
        <w:t>Black Art and Culture in the 20th Century</w:t>
      </w:r>
      <w:r>
        <w:t xml:space="preserve"> (London: Thames and Hudson, 1997) p. 121.</w:t>
      </w:r>
    </w:p>
  </w:footnote>
  <w:footnote w:id="17">
    <w:p w14:paraId="4D309BF8" w14:textId="77777777" w:rsidR="00344013" w:rsidRDefault="00344013" w:rsidP="00344013">
      <w:pPr>
        <w:pStyle w:val="FootnoteText"/>
      </w:pPr>
      <w:r>
        <w:rPr>
          <w:rStyle w:val="FootnoteReference"/>
        </w:rPr>
        <w:footnoteRef/>
      </w:r>
      <w:r>
        <w:t xml:space="preserve"> Anton </w:t>
      </w:r>
      <w:proofErr w:type="spellStart"/>
      <w:r>
        <w:t>Treuer</w:t>
      </w:r>
      <w:proofErr w:type="spellEnd"/>
      <w:r>
        <w:t>, </w:t>
      </w:r>
      <w:r>
        <w:rPr>
          <w:i/>
          <w:iCs/>
        </w:rPr>
        <w:t>Everything You Wanted to Know about Indians but were Afraid to Ask</w:t>
      </w:r>
      <w:r>
        <w:t> (Ithaca: Borealis Books, 2012), p. 1.</w:t>
      </w:r>
    </w:p>
  </w:footnote>
  <w:footnote w:id="18">
    <w:p w14:paraId="5CDC5268" w14:textId="77777777" w:rsidR="00344013" w:rsidRDefault="00344013" w:rsidP="00344013">
      <w:pPr>
        <w:pStyle w:val="FootnoteText"/>
      </w:pPr>
      <w:r>
        <w:rPr>
          <w:rStyle w:val="FootnoteReference"/>
        </w:rPr>
        <w:footnoteRef/>
      </w:r>
      <w:r>
        <w:t xml:space="preserve"> Xavier Nicholas, 'Interview with Jacob Lawrence', </w:t>
      </w:r>
      <w:r>
        <w:rPr>
          <w:i/>
          <w:iCs/>
        </w:rPr>
        <w:t>Callaloo, </w:t>
      </w:r>
      <w:r>
        <w:t>36 (2013), p. 266.</w:t>
      </w:r>
    </w:p>
  </w:footnote>
  <w:footnote w:id="19">
    <w:p w14:paraId="0B524D68" w14:textId="77777777" w:rsidR="00344013" w:rsidRDefault="00344013" w:rsidP="00344013">
      <w:pPr>
        <w:pStyle w:val="FootnoteText"/>
      </w:pPr>
      <w:r>
        <w:rPr>
          <w:rStyle w:val="FootnoteReference"/>
        </w:rPr>
        <w:footnoteRef/>
      </w:r>
      <w:r>
        <w:t xml:space="preserve"> </w:t>
      </w:r>
      <w:r w:rsidRPr="001045CC">
        <w:t xml:space="preserve">Peabody Essex Museum, 2021, JACOB LAWRENCE: THE AMERICAN STRUGGLE Panel 3, </w:t>
      </w:r>
      <w:hyperlink r:id="rId3" w:history="1">
        <w:r w:rsidRPr="001045CC">
          <w:rPr>
            <w:rStyle w:val="Hyperlink"/>
          </w:rPr>
          <w:t>https://www.pem.org/jacob-lawrence-the-american-struggle-panels/panel-3</w:t>
        </w:r>
      </w:hyperlink>
      <w:r w:rsidRPr="001045CC">
        <w:t xml:space="preserve"> [</w:t>
      </w:r>
      <w:r>
        <w:t xml:space="preserve">accessed </w:t>
      </w:r>
      <w:r w:rsidRPr="001045CC">
        <w:t>09/03/2022].</w:t>
      </w:r>
    </w:p>
  </w:footnote>
  <w:footnote w:id="20">
    <w:p w14:paraId="6F70384A" w14:textId="77777777" w:rsidR="00344013" w:rsidRDefault="00344013" w:rsidP="00344013">
      <w:pPr>
        <w:pStyle w:val="FootnoteText"/>
      </w:pPr>
      <w:r>
        <w:rPr>
          <w:rStyle w:val="FootnoteReference"/>
        </w:rPr>
        <w:footnoteRef/>
      </w:r>
      <w:r w:rsidRPr="001525F0">
        <w:t xml:space="preserve"> Fine</w:t>
      </w:r>
      <w:r>
        <w:t xml:space="preserve"> A</w:t>
      </w:r>
      <w:r w:rsidRPr="001525F0">
        <w:t>rt</w:t>
      </w:r>
      <w:r>
        <w:t xml:space="preserve"> A</w:t>
      </w:r>
      <w:r w:rsidRPr="001525F0">
        <w:t xml:space="preserve">merica, 2013, The Destruction Of Tea At Boston by Nathaniel Currier, </w:t>
      </w:r>
      <w:hyperlink r:id="rId4" w:history="1">
        <w:r w:rsidRPr="001525F0">
          <w:rPr>
            <w:rStyle w:val="Hyperlink"/>
          </w:rPr>
          <w:t>https://fineartamerica.com/featured/the-destruction-of-tea-at-boston-photo-researchers.html</w:t>
        </w:r>
      </w:hyperlink>
      <w:r w:rsidRPr="001525F0">
        <w:t xml:space="preserve">  [</w:t>
      </w:r>
      <w:r>
        <w:t xml:space="preserve">accessed </w:t>
      </w:r>
      <w:r w:rsidRPr="001525F0">
        <w:t>09/03/2022].</w:t>
      </w:r>
    </w:p>
  </w:footnote>
  <w:footnote w:id="21">
    <w:p w14:paraId="3F2C60D9" w14:textId="77777777" w:rsidR="00344013" w:rsidRDefault="00344013" w:rsidP="00344013">
      <w:pPr>
        <w:pStyle w:val="FootnoteText"/>
      </w:pPr>
      <w:r>
        <w:rPr>
          <w:rStyle w:val="FootnoteReference"/>
        </w:rPr>
        <w:footnoteRef/>
      </w:r>
      <w:r>
        <w:t xml:space="preserve"> </w:t>
      </w:r>
      <w:proofErr w:type="spellStart"/>
      <w:r w:rsidRPr="006C0931">
        <w:t>Fineartamerica</w:t>
      </w:r>
      <w:proofErr w:type="spellEnd"/>
      <w:r w:rsidRPr="006C0931">
        <w:t xml:space="preserve">, 2012, The Boston Tea Party by </w:t>
      </w:r>
      <w:proofErr w:type="spellStart"/>
      <w:r w:rsidRPr="006C0931">
        <w:t>Brauner</w:t>
      </w:r>
      <w:proofErr w:type="spellEnd"/>
      <w:r w:rsidRPr="006C0931">
        <w:t xml:space="preserve">, Luis </w:t>
      </w:r>
      <w:proofErr w:type="spellStart"/>
      <w:r w:rsidRPr="006C0931">
        <w:t>Arcas</w:t>
      </w:r>
      <w:proofErr w:type="spellEnd"/>
      <w:r w:rsidRPr="006C0931">
        <w:t xml:space="preserve">, </w:t>
      </w:r>
      <w:hyperlink r:id="rId5" w:history="1">
        <w:r w:rsidRPr="006C0931">
          <w:rPr>
            <w:rStyle w:val="Hyperlink"/>
          </w:rPr>
          <w:t>https://fineartamerica.com/featured/the-boston-tea-party-luis-arcas-brauner.html</w:t>
        </w:r>
      </w:hyperlink>
      <w:r w:rsidRPr="006C0931">
        <w:t xml:space="preserve"> [</w:t>
      </w:r>
      <w:r>
        <w:t xml:space="preserve">accessed </w:t>
      </w:r>
      <w:r w:rsidRPr="006C0931">
        <w:t>09/03/2022].</w:t>
      </w:r>
    </w:p>
  </w:footnote>
  <w:footnote w:id="22">
    <w:p w14:paraId="248C4950" w14:textId="77777777" w:rsidR="00344013" w:rsidRDefault="00344013" w:rsidP="00344013">
      <w:pPr>
        <w:pStyle w:val="FootnoteText"/>
      </w:pPr>
      <w:r>
        <w:rPr>
          <w:rStyle w:val="FootnoteReference"/>
        </w:rPr>
        <w:footnoteRef/>
      </w:r>
      <w:r>
        <w:t xml:space="preserve"> </w:t>
      </w:r>
      <w:r w:rsidRPr="00451B20">
        <w:t>Harkins Wheat, </w:t>
      </w:r>
      <w:r w:rsidRPr="00451B20">
        <w:rPr>
          <w:i/>
          <w:iCs/>
        </w:rPr>
        <w:t>Jacob Lawrence American Painter</w:t>
      </w:r>
      <w:r>
        <w:t>, p.p. 69, 70.</w:t>
      </w:r>
    </w:p>
  </w:footnote>
  <w:footnote w:id="23">
    <w:p w14:paraId="34E54BCB" w14:textId="77777777" w:rsidR="00344013" w:rsidRDefault="00344013" w:rsidP="00344013">
      <w:pPr>
        <w:pStyle w:val="FootnoteText"/>
      </w:pPr>
      <w:r>
        <w:rPr>
          <w:rStyle w:val="FootnoteReference"/>
        </w:rPr>
        <w:footnoteRef/>
      </w:r>
      <w:r>
        <w:t xml:space="preserve"> </w:t>
      </w:r>
      <w:r w:rsidRPr="00213F19">
        <w:t>Colin G. Calloway, </w:t>
      </w:r>
      <w:r w:rsidRPr="00213F19">
        <w:rPr>
          <w:i/>
          <w:iCs/>
        </w:rPr>
        <w:t>The American Revolution in Indian Country</w:t>
      </w:r>
      <w:r w:rsidRPr="00213F19">
        <w:t> (Cambridge: Cambridge University Press, 1995)</w:t>
      </w:r>
      <w:r>
        <w:t>, p. 18.</w:t>
      </w:r>
    </w:p>
  </w:footnote>
  <w:footnote w:id="24">
    <w:p w14:paraId="5B997A65" w14:textId="77777777" w:rsidR="00344013" w:rsidRDefault="00344013" w:rsidP="00344013">
      <w:pPr>
        <w:pStyle w:val="FootnoteText"/>
      </w:pPr>
      <w:r>
        <w:rPr>
          <w:rStyle w:val="FootnoteReference"/>
        </w:rPr>
        <w:footnoteRef/>
      </w:r>
      <w:r>
        <w:t xml:space="preserve"> </w:t>
      </w:r>
      <w:r w:rsidRPr="005762A3">
        <w:t>Barbara Alice Mann, </w:t>
      </w:r>
      <w:r w:rsidRPr="005762A3">
        <w:rPr>
          <w:i/>
          <w:iCs/>
        </w:rPr>
        <w:t>George Washington's War on Native America</w:t>
      </w:r>
      <w:r w:rsidRPr="005762A3">
        <w:t> (Westport: Praeger, 2005)</w:t>
      </w:r>
      <w:r>
        <w:t>, p. 9.</w:t>
      </w:r>
    </w:p>
  </w:footnote>
  <w:footnote w:id="25">
    <w:p w14:paraId="29F951C1" w14:textId="77777777" w:rsidR="00344013" w:rsidRDefault="00344013" w:rsidP="00344013">
      <w:pPr>
        <w:pStyle w:val="FootnoteText"/>
      </w:pPr>
      <w:r>
        <w:rPr>
          <w:rStyle w:val="FootnoteReference"/>
        </w:rPr>
        <w:footnoteRef/>
      </w:r>
      <w:r>
        <w:t xml:space="preserve"> </w:t>
      </w:r>
      <w:r w:rsidRPr="00B360FD">
        <w:t xml:space="preserve">Ann </w:t>
      </w:r>
      <w:proofErr w:type="spellStart"/>
      <w:r w:rsidRPr="00B360FD">
        <w:t>Hulton</w:t>
      </w:r>
      <w:proofErr w:type="spellEnd"/>
      <w:r w:rsidRPr="00B360FD">
        <w:t>, </w:t>
      </w:r>
      <w:r w:rsidRPr="00B360FD">
        <w:rPr>
          <w:i/>
          <w:iCs/>
        </w:rPr>
        <w:t>Letters of a Loyalist Lady</w:t>
      </w:r>
      <w:r w:rsidRPr="00B360FD">
        <w:t> (Cambridge: Harvard University Press, 1927)</w:t>
      </w:r>
      <w:r>
        <w:t>, p. 25.</w:t>
      </w:r>
    </w:p>
  </w:footnote>
  <w:footnote w:id="26">
    <w:p w14:paraId="5CC22384" w14:textId="77777777" w:rsidR="00344013" w:rsidRDefault="00344013" w:rsidP="00344013">
      <w:pPr>
        <w:pStyle w:val="FootnoteText"/>
      </w:pPr>
      <w:r>
        <w:rPr>
          <w:rStyle w:val="FootnoteReference"/>
        </w:rPr>
        <w:footnoteRef/>
      </w:r>
      <w:r>
        <w:t xml:space="preserve"> </w:t>
      </w:r>
      <w:r w:rsidRPr="00D030CF">
        <w:t>Ethan A. Schmidt, </w:t>
      </w:r>
      <w:r w:rsidRPr="00D030CF">
        <w:rPr>
          <w:i/>
          <w:iCs/>
        </w:rPr>
        <w:t>Native Americans in the American Revolution: How the War Divided, Devastated, and Transformed the Early American Indian World</w:t>
      </w:r>
      <w:r w:rsidRPr="00D030CF">
        <w:t> (Oxford: Praeger, 2014)</w:t>
      </w:r>
      <w:r>
        <w:t xml:space="preserve">, p. 12. </w:t>
      </w:r>
    </w:p>
  </w:footnote>
  <w:footnote w:id="27">
    <w:p w14:paraId="1ED966F5" w14:textId="77777777" w:rsidR="00344013" w:rsidRDefault="00344013" w:rsidP="00344013">
      <w:pPr>
        <w:pStyle w:val="FootnoteText"/>
      </w:pPr>
      <w:r>
        <w:rPr>
          <w:rStyle w:val="FootnoteReference"/>
        </w:rPr>
        <w:footnoteRef/>
      </w:r>
      <w:r>
        <w:t xml:space="preserve"> </w:t>
      </w:r>
      <w:r w:rsidRPr="00A24375">
        <w:t xml:space="preserve">Barbara Graymont, </w:t>
      </w:r>
      <w:r w:rsidRPr="00A24375">
        <w:rPr>
          <w:i/>
          <w:iCs/>
        </w:rPr>
        <w:t>The Iroquois in the American Revolution</w:t>
      </w:r>
      <w:r w:rsidRPr="00A24375">
        <w:t xml:space="preserve"> (New York: Syracuse University Press, 1972)</w:t>
      </w:r>
      <w:r>
        <w:t>, p. 14.</w:t>
      </w:r>
    </w:p>
  </w:footnote>
  <w:footnote w:id="28">
    <w:p w14:paraId="154F7CFA" w14:textId="77777777" w:rsidR="00344013" w:rsidRDefault="00344013" w:rsidP="00344013">
      <w:pPr>
        <w:pStyle w:val="FootnoteText"/>
      </w:pPr>
      <w:r>
        <w:rPr>
          <w:rStyle w:val="FootnoteReference"/>
        </w:rPr>
        <w:footnoteRef/>
      </w:r>
      <w:r>
        <w:t xml:space="preserve"> </w:t>
      </w:r>
      <w:r w:rsidRPr="00F17A39">
        <w:t>Colin G. Calloway, </w:t>
      </w:r>
      <w:r w:rsidRPr="00F17A39">
        <w:rPr>
          <w:i/>
          <w:iCs/>
        </w:rPr>
        <w:t>The American Revolution in Indian Country</w:t>
      </w:r>
      <w:r>
        <w:t>, p. 3.</w:t>
      </w:r>
    </w:p>
  </w:footnote>
  <w:footnote w:id="29">
    <w:p w14:paraId="257A5099" w14:textId="77777777" w:rsidR="00344013" w:rsidRDefault="00344013" w:rsidP="00344013">
      <w:pPr>
        <w:pStyle w:val="FootnoteText"/>
      </w:pPr>
      <w:r>
        <w:rPr>
          <w:rStyle w:val="FootnoteReference"/>
        </w:rPr>
        <w:footnoteRef/>
      </w:r>
      <w:r>
        <w:t xml:space="preserve"> </w:t>
      </w:r>
      <w:r w:rsidRPr="00AA16BE">
        <w:t xml:space="preserve">James W. Bradley, </w:t>
      </w:r>
      <w:proofErr w:type="spellStart"/>
      <w:r w:rsidRPr="00AA16BE">
        <w:t>'Re</w:t>
      </w:r>
      <w:proofErr w:type="spellEnd"/>
      <w:r w:rsidRPr="00AA16BE">
        <w:t>-Visiting Wampum and Other Seventeenth-Century Shell Games', </w:t>
      </w:r>
      <w:r w:rsidRPr="00AA16BE">
        <w:rPr>
          <w:i/>
          <w:iCs/>
        </w:rPr>
        <w:t>Archaeology of Eastern North America, </w:t>
      </w:r>
      <w:r w:rsidRPr="00AA16BE">
        <w:t xml:space="preserve">(2011), </w:t>
      </w:r>
      <w:r>
        <w:t>p.p. 25, 33.</w:t>
      </w:r>
    </w:p>
  </w:footnote>
  <w:footnote w:id="30">
    <w:p w14:paraId="6072C5E3" w14:textId="77777777" w:rsidR="00344013" w:rsidRDefault="00344013" w:rsidP="00344013">
      <w:pPr>
        <w:pStyle w:val="FootnoteText"/>
      </w:pPr>
      <w:r>
        <w:rPr>
          <w:rStyle w:val="FootnoteReference"/>
        </w:rPr>
        <w:footnoteRef/>
      </w:r>
      <w:r>
        <w:t xml:space="preserve"> </w:t>
      </w:r>
      <w:r w:rsidRPr="00955098">
        <w:t xml:space="preserve">Bradley, </w:t>
      </w:r>
      <w:proofErr w:type="spellStart"/>
      <w:r w:rsidRPr="00955098">
        <w:t>'Re</w:t>
      </w:r>
      <w:proofErr w:type="spellEnd"/>
      <w:r w:rsidRPr="00955098">
        <w:t>-Visiting Wampum,</w:t>
      </w:r>
      <w:r>
        <w:t xml:space="preserve"> p. 30.</w:t>
      </w:r>
    </w:p>
  </w:footnote>
  <w:footnote w:id="31">
    <w:p w14:paraId="2E1E7A2B" w14:textId="77777777" w:rsidR="00344013" w:rsidRDefault="00344013" w:rsidP="00344013">
      <w:pPr>
        <w:pStyle w:val="FootnoteText"/>
      </w:pPr>
      <w:r>
        <w:rPr>
          <w:rStyle w:val="FootnoteReference"/>
        </w:rPr>
        <w:footnoteRef/>
      </w:r>
      <w:r>
        <w:t xml:space="preserve"> </w:t>
      </w:r>
      <w:r w:rsidRPr="001D6DEB">
        <w:t>Marshall Joseph Becker, 'Wampum Bags and Containers from the Native Northeast', </w:t>
      </w:r>
      <w:r w:rsidRPr="001D6DEB">
        <w:rPr>
          <w:i/>
          <w:iCs/>
        </w:rPr>
        <w:t>Material Culture, </w:t>
      </w:r>
      <w:r w:rsidRPr="001D6DEB">
        <w:t>(2013),</w:t>
      </w:r>
      <w:r>
        <w:t xml:space="preserve"> p. 21.</w:t>
      </w:r>
    </w:p>
  </w:footnote>
  <w:footnote w:id="32">
    <w:p w14:paraId="6241A241" w14:textId="77777777" w:rsidR="00344013" w:rsidRDefault="00344013" w:rsidP="00344013">
      <w:pPr>
        <w:pStyle w:val="FootnoteText"/>
      </w:pPr>
      <w:r>
        <w:rPr>
          <w:rStyle w:val="FootnoteReference"/>
        </w:rPr>
        <w:footnoteRef/>
      </w:r>
      <w:r>
        <w:t xml:space="preserve"> </w:t>
      </w:r>
      <w:r w:rsidRPr="00BA220D">
        <w:t xml:space="preserve">Bradley, </w:t>
      </w:r>
      <w:proofErr w:type="spellStart"/>
      <w:r w:rsidRPr="00BA220D">
        <w:t>'Re</w:t>
      </w:r>
      <w:proofErr w:type="spellEnd"/>
      <w:r w:rsidRPr="00BA220D">
        <w:t xml:space="preserve">-Visiting Wampum, </w:t>
      </w:r>
      <w:r>
        <w:t>p. 34.</w:t>
      </w:r>
    </w:p>
  </w:footnote>
  <w:footnote w:id="33">
    <w:p w14:paraId="0AFA8144" w14:textId="77777777" w:rsidR="00344013" w:rsidRDefault="00344013" w:rsidP="00344013">
      <w:pPr>
        <w:pStyle w:val="FootnoteText"/>
      </w:pPr>
      <w:r>
        <w:rPr>
          <w:rStyle w:val="FootnoteReference"/>
        </w:rPr>
        <w:footnoteRef/>
      </w:r>
      <w:r w:rsidRPr="00502312">
        <w:t xml:space="preserve"> </w:t>
      </w:r>
      <w:r w:rsidRPr="00B22FBE">
        <w:t>Becker, 'Small Wampum Bands used by Native Americans in the Northeast</w:t>
      </w:r>
      <w:r>
        <w:t>,</w:t>
      </w:r>
      <w:r w:rsidRPr="00B22FBE">
        <w:t xml:space="preserve"> </w:t>
      </w:r>
      <w:r w:rsidRPr="00502312">
        <w:t>p.</w:t>
      </w:r>
      <w:r>
        <w:t>p. 2, 5.</w:t>
      </w:r>
    </w:p>
  </w:footnote>
  <w:footnote w:id="34">
    <w:p w14:paraId="473DC586" w14:textId="77777777" w:rsidR="00344013" w:rsidRDefault="00344013" w:rsidP="00344013">
      <w:pPr>
        <w:pStyle w:val="FootnoteText"/>
      </w:pPr>
      <w:r>
        <w:rPr>
          <w:rStyle w:val="FootnoteReference"/>
        </w:rPr>
        <w:footnoteRef/>
      </w:r>
      <w:r>
        <w:t xml:space="preserve"> </w:t>
      </w:r>
      <w:r w:rsidRPr="008A607E">
        <w:t xml:space="preserve">Bradley, </w:t>
      </w:r>
      <w:proofErr w:type="spellStart"/>
      <w:r w:rsidRPr="008A607E">
        <w:t>'Re</w:t>
      </w:r>
      <w:proofErr w:type="spellEnd"/>
      <w:r w:rsidRPr="008A607E">
        <w:t>-Visiting Wampum</w:t>
      </w:r>
      <w:r>
        <w:t>,</w:t>
      </w:r>
      <w:r w:rsidRPr="008A607E">
        <w:t xml:space="preserve"> p.</w:t>
      </w:r>
      <w:r>
        <w:t>p. 35, 36, 39. Wampum acted as currency for about two decades in the mid-seventeenth century, for a short time it was more valuable than furs and firearms.</w:t>
      </w:r>
    </w:p>
  </w:footnote>
  <w:footnote w:id="35">
    <w:p w14:paraId="27CF8BE2" w14:textId="77777777" w:rsidR="00344013" w:rsidRDefault="00344013" w:rsidP="00344013">
      <w:pPr>
        <w:pStyle w:val="FootnoteText"/>
      </w:pPr>
      <w:r>
        <w:rPr>
          <w:rStyle w:val="FootnoteReference"/>
        </w:rPr>
        <w:footnoteRef/>
      </w:r>
      <w:r>
        <w:t xml:space="preserve"> </w:t>
      </w:r>
      <w:bookmarkStart w:id="6" w:name="_Hlk81296339"/>
      <w:r w:rsidRPr="009E2AFC">
        <w:t>Richard Cullen Rath, 'Hearing Wampum: THE SENSES, MEDIATION, AND THE LIMITS OF ANALOGY', in </w:t>
      </w:r>
      <w:r w:rsidRPr="009E2AFC">
        <w:rPr>
          <w:i/>
          <w:iCs/>
        </w:rPr>
        <w:t>Colonial Mediascapes: Sensory Worlds of the Early Americas</w:t>
      </w:r>
      <w:r>
        <w:rPr>
          <w:i/>
          <w:iCs/>
        </w:rPr>
        <w:t xml:space="preserve"> </w:t>
      </w:r>
      <w:r w:rsidRPr="009E2AFC">
        <w:t>(Lincoln: University of Nebraska Press, 2014), p</w:t>
      </w:r>
      <w:r>
        <w:t>.</w:t>
      </w:r>
      <w:r w:rsidRPr="009E2AFC">
        <w:t>p</w:t>
      </w:r>
      <w:bookmarkEnd w:id="6"/>
      <w:r w:rsidRPr="009E2AFC">
        <w:t>.</w:t>
      </w:r>
      <w:r>
        <w:t xml:space="preserve"> 312, 313.</w:t>
      </w:r>
    </w:p>
  </w:footnote>
  <w:footnote w:id="36">
    <w:p w14:paraId="60362DA6" w14:textId="77777777" w:rsidR="00344013" w:rsidRDefault="00344013" w:rsidP="00344013">
      <w:pPr>
        <w:pStyle w:val="FootnoteText"/>
      </w:pPr>
      <w:r>
        <w:rPr>
          <w:rStyle w:val="FootnoteReference"/>
        </w:rPr>
        <w:footnoteRef/>
      </w:r>
      <w:r>
        <w:t xml:space="preserve"> </w:t>
      </w:r>
      <w:r w:rsidRPr="00FE311B">
        <w:t>Graymont, </w:t>
      </w:r>
      <w:r w:rsidRPr="00FE311B">
        <w:rPr>
          <w:i/>
          <w:iCs/>
        </w:rPr>
        <w:t>The Iroquois in the American Revolution</w:t>
      </w:r>
      <w:r>
        <w:t>, p. 16, 17.</w:t>
      </w:r>
    </w:p>
  </w:footnote>
  <w:footnote w:id="37">
    <w:p w14:paraId="19821D43" w14:textId="77777777" w:rsidR="00344013" w:rsidRDefault="00344013" w:rsidP="00344013">
      <w:pPr>
        <w:pStyle w:val="FootnoteText"/>
      </w:pPr>
      <w:r>
        <w:rPr>
          <w:rStyle w:val="FootnoteReference"/>
        </w:rPr>
        <w:footnoteRef/>
      </w:r>
      <w:r>
        <w:t xml:space="preserve"> </w:t>
      </w:r>
      <w:bookmarkStart w:id="7" w:name="_Hlk81299465"/>
      <w:r w:rsidRPr="002B64D0">
        <w:t>Timothy J. Shannon, </w:t>
      </w:r>
      <w:r w:rsidRPr="002B64D0">
        <w:rPr>
          <w:i/>
          <w:iCs/>
        </w:rPr>
        <w:t>Indians and Colonists at the Crossroads of Empire the Albany Congress of 1754</w:t>
      </w:r>
      <w:r w:rsidRPr="002B64D0">
        <w:t> (Ithaca: Cornell University Press, 2002)</w:t>
      </w:r>
      <w:r>
        <w:t>, p.p</w:t>
      </w:r>
      <w:bookmarkEnd w:id="7"/>
      <w:r>
        <w:t>. 17-21.</w:t>
      </w:r>
    </w:p>
  </w:footnote>
  <w:footnote w:id="38">
    <w:p w14:paraId="2FA952A8" w14:textId="77777777" w:rsidR="00344013" w:rsidRDefault="00344013" w:rsidP="00344013">
      <w:pPr>
        <w:pStyle w:val="FootnoteText"/>
      </w:pPr>
      <w:r>
        <w:rPr>
          <w:rStyle w:val="FootnoteReference"/>
        </w:rPr>
        <w:footnoteRef/>
      </w:r>
      <w:r>
        <w:t xml:space="preserve"> </w:t>
      </w:r>
      <w:r w:rsidRPr="00CD5B02">
        <w:t>Rath, 'Hearing Wampum, p.</w:t>
      </w:r>
      <w:r>
        <w:t xml:space="preserve"> 292. </w:t>
      </w:r>
    </w:p>
  </w:footnote>
  <w:footnote w:id="39">
    <w:p w14:paraId="0DD4BD2B" w14:textId="77777777" w:rsidR="00344013" w:rsidRDefault="00344013" w:rsidP="00344013">
      <w:pPr>
        <w:pStyle w:val="FootnoteText"/>
      </w:pPr>
      <w:r>
        <w:rPr>
          <w:rStyle w:val="FootnoteReference"/>
        </w:rPr>
        <w:footnoteRef/>
      </w:r>
      <w:r w:rsidRPr="00C523E1">
        <w:t xml:space="preserve"> Shannon, </w:t>
      </w:r>
      <w:r w:rsidRPr="00C523E1">
        <w:rPr>
          <w:i/>
          <w:iCs/>
        </w:rPr>
        <w:t>Indians and Colonists at the Crossroads of Empire</w:t>
      </w:r>
      <w:r w:rsidRPr="00C523E1">
        <w:t>, p.p</w:t>
      </w:r>
      <w:r>
        <w:t>. 8, 13, 22.</w:t>
      </w:r>
    </w:p>
  </w:footnote>
  <w:footnote w:id="40">
    <w:p w14:paraId="3569CEB2" w14:textId="77777777" w:rsidR="00344013" w:rsidRDefault="00344013" w:rsidP="00344013">
      <w:pPr>
        <w:pStyle w:val="FootnoteText"/>
      </w:pPr>
      <w:r>
        <w:rPr>
          <w:rStyle w:val="FootnoteReference"/>
        </w:rPr>
        <w:footnoteRef/>
      </w:r>
      <w:r>
        <w:t xml:space="preserve"> </w:t>
      </w:r>
      <w:r w:rsidRPr="004361A0">
        <w:t xml:space="preserve">Eric </w:t>
      </w:r>
      <w:proofErr w:type="spellStart"/>
      <w:r w:rsidRPr="004361A0">
        <w:t>Hinderaker</w:t>
      </w:r>
      <w:proofErr w:type="spellEnd"/>
      <w:r w:rsidRPr="004361A0">
        <w:t>, </w:t>
      </w:r>
      <w:r w:rsidRPr="004361A0">
        <w:rPr>
          <w:i/>
          <w:iCs/>
        </w:rPr>
        <w:t>The Two Hendricks Unravelling a Mohawk Mystery</w:t>
      </w:r>
      <w:r w:rsidRPr="004361A0">
        <w:t> (Cambridge: Harvard University Press, 2010). p.</w:t>
      </w:r>
      <w:r>
        <w:t xml:space="preserve"> </w:t>
      </w:r>
      <w:r w:rsidRPr="004361A0">
        <w:t>3</w:t>
      </w:r>
      <w:r>
        <w:t>.</w:t>
      </w:r>
    </w:p>
  </w:footnote>
  <w:footnote w:id="41">
    <w:p w14:paraId="372B65B8" w14:textId="77777777" w:rsidR="00344013" w:rsidRDefault="00344013" w:rsidP="00344013">
      <w:pPr>
        <w:pStyle w:val="FootnoteText"/>
      </w:pPr>
      <w:r>
        <w:rPr>
          <w:rStyle w:val="FootnoteReference"/>
        </w:rPr>
        <w:footnoteRef/>
      </w:r>
      <w:r>
        <w:t xml:space="preserve"> </w:t>
      </w:r>
      <w:r w:rsidRPr="005611D8">
        <w:t>Schmidt, </w:t>
      </w:r>
      <w:r w:rsidRPr="005611D8">
        <w:rPr>
          <w:i/>
          <w:iCs/>
        </w:rPr>
        <w:t>Native Americans in the American Revolution</w:t>
      </w:r>
      <w:r w:rsidRPr="005611D8">
        <w:t>, p.p.</w:t>
      </w:r>
      <w:r>
        <w:t xml:space="preserve"> 22, 23, 24.</w:t>
      </w:r>
    </w:p>
  </w:footnote>
  <w:footnote w:id="42">
    <w:p w14:paraId="16EA22A2" w14:textId="77777777" w:rsidR="00344013" w:rsidRDefault="00344013" w:rsidP="00344013">
      <w:pPr>
        <w:pStyle w:val="FootnoteText"/>
      </w:pPr>
      <w:r>
        <w:rPr>
          <w:rStyle w:val="FootnoteReference"/>
        </w:rPr>
        <w:footnoteRef/>
      </w:r>
      <w:r>
        <w:t xml:space="preserve"> </w:t>
      </w:r>
      <w:proofErr w:type="spellStart"/>
      <w:r w:rsidRPr="005471E4">
        <w:t>Hinderaker</w:t>
      </w:r>
      <w:proofErr w:type="spellEnd"/>
      <w:r w:rsidRPr="005471E4">
        <w:t>, </w:t>
      </w:r>
      <w:r w:rsidRPr="005471E4">
        <w:rPr>
          <w:i/>
          <w:iCs/>
        </w:rPr>
        <w:t>The Two Hendricks Unrave</w:t>
      </w:r>
      <w:r>
        <w:rPr>
          <w:i/>
          <w:iCs/>
        </w:rPr>
        <w:t>l</w:t>
      </w:r>
      <w:r w:rsidRPr="005471E4">
        <w:rPr>
          <w:i/>
          <w:iCs/>
        </w:rPr>
        <w:t>ling a Mohawk Mystery</w:t>
      </w:r>
      <w:r>
        <w:t>, p.p. 8, 9.</w:t>
      </w:r>
    </w:p>
  </w:footnote>
  <w:footnote w:id="43">
    <w:p w14:paraId="2F3F4BB6" w14:textId="77777777" w:rsidR="00344013" w:rsidRDefault="00344013" w:rsidP="00344013">
      <w:pPr>
        <w:pStyle w:val="FootnoteText"/>
      </w:pPr>
      <w:r>
        <w:rPr>
          <w:rStyle w:val="FootnoteReference"/>
        </w:rPr>
        <w:footnoteRef/>
      </w:r>
      <w:r>
        <w:t xml:space="preserve"> </w:t>
      </w:r>
      <w:r w:rsidRPr="00FD7D5B">
        <w:t>Timothy J. Shannon, 'Dressing for Success on the Mohawk Frontier: Hendrick, William Johnson, and the Indian Fashion', </w:t>
      </w:r>
      <w:r w:rsidRPr="00FD7D5B">
        <w:rPr>
          <w:i/>
          <w:iCs/>
        </w:rPr>
        <w:t>The William and Mary Quarterly, </w:t>
      </w:r>
      <w:r w:rsidRPr="00FD7D5B">
        <w:t>53 (1996</w:t>
      </w:r>
      <w:r>
        <w:t>), p. 13.</w:t>
      </w:r>
    </w:p>
  </w:footnote>
  <w:footnote w:id="44">
    <w:p w14:paraId="2A485B10" w14:textId="77777777" w:rsidR="00344013" w:rsidRDefault="00344013" w:rsidP="00344013">
      <w:pPr>
        <w:pStyle w:val="FootnoteText"/>
      </w:pPr>
      <w:r>
        <w:rPr>
          <w:rStyle w:val="FootnoteReference"/>
        </w:rPr>
        <w:footnoteRef/>
      </w:r>
      <w:bookmarkStart w:id="8" w:name="_Hlk80784443"/>
      <w:proofErr w:type="spellStart"/>
      <w:r w:rsidRPr="00073FE0">
        <w:t>Hinderaker</w:t>
      </w:r>
      <w:proofErr w:type="spellEnd"/>
      <w:r w:rsidRPr="00073FE0">
        <w:t>, </w:t>
      </w:r>
      <w:r w:rsidRPr="00073FE0">
        <w:rPr>
          <w:i/>
          <w:iCs/>
        </w:rPr>
        <w:t>The Two Hendricks Unravelling a Mohawk Mystery</w:t>
      </w:r>
      <w:r>
        <w:t xml:space="preserve">, p.p. 2, 8. </w:t>
      </w:r>
      <w:bookmarkEnd w:id="8"/>
    </w:p>
  </w:footnote>
  <w:footnote w:id="45">
    <w:p w14:paraId="34DA3567" w14:textId="77777777" w:rsidR="00344013" w:rsidRDefault="00344013" w:rsidP="00344013">
      <w:pPr>
        <w:pStyle w:val="FootnoteText"/>
      </w:pPr>
      <w:r>
        <w:rPr>
          <w:rStyle w:val="FootnoteReference"/>
        </w:rPr>
        <w:footnoteRef/>
      </w:r>
      <w:r>
        <w:t xml:space="preserve"> </w:t>
      </w:r>
      <w:r w:rsidRPr="00924B76">
        <w:t>Graymont, </w:t>
      </w:r>
      <w:r w:rsidRPr="00662F7F">
        <w:rPr>
          <w:i/>
          <w:iCs/>
        </w:rPr>
        <w:t>The Iroquois in the American Revolution</w:t>
      </w:r>
      <w:r>
        <w:t>, p. 60.</w:t>
      </w:r>
    </w:p>
  </w:footnote>
  <w:footnote w:id="46">
    <w:p w14:paraId="323F79EC" w14:textId="77777777" w:rsidR="00344013" w:rsidRDefault="00344013" w:rsidP="00344013">
      <w:pPr>
        <w:pStyle w:val="FootnoteText"/>
      </w:pPr>
      <w:r>
        <w:rPr>
          <w:rStyle w:val="FootnoteReference"/>
        </w:rPr>
        <w:footnoteRef/>
      </w:r>
      <w:r>
        <w:t xml:space="preserve"> </w:t>
      </w:r>
      <w:r w:rsidRPr="00347B3C">
        <w:t>Schmidt, </w:t>
      </w:r>
      <w:r w:rsidRPr="00347B3C">
        <w:rPr>
          <w:i/>
          <w:iCs/>
        </w:rPr>
        <w:t>Native Americans in the American Revolution</w:t>
      </w:r>
      <w:r>
        <w:t>, p.p. 19, 20.</w:t>
      </w:r>
    </w:p>
  </w:footnote>
  <w:footnote w:id="47">
    <w:p w14:paraId="483533D7" w14:textId="77777777" w:rsidR="00344013" w:rsidRDefault="00344013" w:rsidP="00344013">
      <w:pPr>
        <w:pStyle w:val="FootnoteText"/>
      </w:pPr>
      <w:r>
        <w:rPr>
          <w:rStyle w:val="FootnoteReference"/>
        </w:rPr>
        <w:footnoteRef/>
      </w:r>
      <w:r>
        <w:t xml:space="preserve"> </w:t>
      </w:r>
      <w:r w:rsidRPr="001823FB">
        <w:t>Graymont, </w:t>
      </w:r>
      <w:r w:rsidRPr="001823FB">
        <w:rPr>
          <w:i/>
          <w:iCs/>
        </w:rPr>
        <w:t>The Iroquois in the American Revolution</w:t>
      </w:r>
      <w:r>
        <w:t>, p.p. 14, 21, 23.</w:t>
      </w:r>
    </w:p>
  </w:footnote>
  <w:footnote w:id="48">
    <w:p w14:paraId="3C12A888" w14:textId="77777777" w:rsidR="00344013" w:rsidRDefault="00344013" w:rsidP="00344013">
      <w:pPr>
        <w:pStyle w:val="FootnoteText"/>
      </w:pPr>
      <w:r>
        <w:rPr>
          <w:rStyle w:val="FootnoteReference"/>
        </w:rPr>
        <w:footnoteRef/>
      </w:r>
      <w:r>
        <w:t xml:space="preserve"> </w:t>
      </w:r>
      <w:r w:rsidRPr="00EE1C62">
        <w:t xml:space="preserve">Robert G. Parkinson, </w:t>
      </w:r>
      <w:r w:rsidRPr="00707A0E">
        <w:rPr>
          <w:i/>
          <w:iCs/>
        </w:rPr>
        <w:t>The Common Cause Creating Race and Nation in the American Revolution</w:t>
      </w:r>
      <w:r w:rsidRPr="00EE1C62">
        <w:t xml:space="preserve"> (Williamsburg: University of North Carolina Press, 2016)</w:t>
      </w:r>
      <w:r>
        <w:t>, p.p. 20, 21, 22.</w:t>
      </w:r>
    </w:p>
  </w:footnote>
  <w:footnote w:id="49">
    <w:p w14:paraId="32D832B0" w14:textId="77777777" w:rsidR="00344013" w:rsidRDefault="00344013" w:rsidP="00344013">
      <w:pPr>
        <w:pStyle w:val="FootnoteText"/>
      </w:pPr>
      <w:r>
        <w:rPr>
          <w:rStyle w:val="FootnoteReference"/>
        </w:rPr>
        <w:footnoteRef/>
      </w:r>
      <w:r w:rsidRPr="00AD0D6F">
        <w:t xml:space="preserve"> Peabody Essex Museum, 2021, JACOB LAWRENCE: THE AMERICAN STRUGGLE Panel 18, </w:t>
      </w:r>
      <w:hyperlink r:id="rId6" w:history="1">
        <w:r w:rsidRPr="00AD0D6F">
          <w:rPr>
            <w:rStyle w:val="Hyperlink"/>
          </w:rPr>
          <w:t>https://www.pem.org/jacob-lawrence-the-american-struggle-panels/panel-3</w:t>
        </w:r>
      </w:hyperlink>
      <w:r w:rsidRPr="00AD0D6F">
        <w:t xml:space="preserve"> [</w:t>
      </w:r>
      <w:r>
        <w:t xml:space="preserve">accessed </w:t>
      </w:r>
      <w:r w:rsidRPr="00AD0D6F">
        <w:t>09/03/2022].</w:t>
      </w:r>
    </w:p>
  </w:footnote>
  <w:footnote w:id="50">
    <w:p w14:paraId="2B1D5624" w14:textId="77777777" w:rsidR="00344013" w:rsidRDefault="00344013" w:rsidP="00344013">
      <w:pPr>
        <w:pStyle w:val="FootnoteText"/>
      </w:pPr>
      <w:r>
        <w:rPr>
          <w:rStyle w:val="FootnoteReference"/>
        </w:rPr>
        <w:footnoteRef/>
      </w:r>
      <w:r>
        <w:t xml:space="preserve"> </w:t>
      </w:r>
      <w:r w:rsidRPr="009D4863">
        <w:t>Robert D. Bush</w:t>
      </w:r>
      <w:r>
        <w:t xml:space="preserve">, </w:t>
      </w:r>
      <w:r w:rsidRPr="00317971">
        <w:rPr>
          <w:i/>
          <w:iCs/>
        </w:rPr>
        <w:t>The Louisiana Purchase a Global Context</w:t>
      </w:r>
      <w:r>
        <w:rPr>
          <w:i/>
          <w:iCs/>
        </w:rPr>
        <w:t xml:space="preserve">, </w:t>
      </w:r>
      <w:r>
        <w:t>(London: Taylor &amp; Francis 2013), p. 69.</w:t>
      </w:r>
    </w:p>
  </w:footnote>
  <w:footnote w:id="51">
    <w:p w14:paraId="1F7E7281" w14:textId="77777777" w:rsidR="00344013" w:rsidRDefault="00344013" w:rsidP="00344013">
      <w:pPr>
        <w:pStyle w:val="FootnoteText"/>
      </w:pPr>
      <w:r>
        <w:rPr>
          <w:rStyle w:val="FootnoteReference"/>
        </w:rPr>
        <w:footnoteRef/>
      </w:r>
      <w:r>
        <w:t xml:space="preserve"> </w:t>
      </w:r>
      <w:r w:rsidRPr="00EC41E0">
        <w:t>Ralph B. Guinness, 'The Purpose of the Lewis and Clark Expedition', </w:t>
      </w:r>
      <w:r w:rsidRPr="00EC41E0">
        <w:rPr>
          <w:i/>
          <w:iCs/>
        </w:rPr>
        <w:t>The Mississippi Valley Historical Review, </w:t>
      </w:r>
      <w:r w:rsidRPr="00EC41E0">
        <w:t xml:space="preserve">20 (1933), p.p. 90, 91. &amp; Shaun </w:t>
      </w:r>
      <w:proofErr w:type="spellStart"/>
      <w:r w:rsidRPr="00EC41E0">
        <w:t>Assael</w:t>
      </w:r>
      <w:proofErr w:type="spellEnd"/>
      <w:r w:rsidRPr="00EC41E0">
        <w:t>, </w:t>
      </w:r>
      <w:r w:rsidRPr="00EC41E0">
        <w:rPr>
          <w:i/>
          <w:iCs/>
        </w:rPr>
        <w:t>The Forgotten French Artist Who Courted Thomas Jefferson and Got Pulled into a Scandal, </w:t>
      </w:r>
      <w:r w:rsidRPr="00EC41E0">
        <w:t>(2021: Smithsonian Magazine, 2022).</w:t>
      </w:r>
    </w:p>
  </w:footnote>
  <w:footnote w:id="52">
    <w:p w14:paraId="50FB8705" w14:textId="77777777" w:rsidR="00344013" w:rsidRDefault="00344013" w:rsidP="00344013">
      <w:pPr>
        <w:pStyle w:val="FootnoteText"/>
      </w:pPr>
      <w:r>
        <w:rPr>
          <w:rStyle w:val="FootnoteReference"/>
        </w:rPr>
        <w:footnoteRef/>
      </w:r>
      <w:r w:rsidRPr="004412FA">
        <w:t xml:space="preserve"> James V. Fenelon and Mary Louise Defender-Wilson, 'Voyage of Domination, "Purchase" as Conquest, Sakakawea for Savagery: Distorted Icons from Misrepresentations of the Lewis and Clark Expedition', </w:t>
      </w:r>
      <w:proofErr w:type="spellStart"/>
      <w:r w:rsidRPr="004412FA">
        <w:rPr>
          <w:i/>
          <w:iCs/>
        </w:rPr>
        <w:t>Wicazo</w:t>
      </w:r>
      <w:proofErr w:type="spellEnd"/>
      <w:r w:rsidRPr="004412FA">
        <w:rPr>
          <w:i/>
          <w:iCs/>
        </w:rPr>
        <w:t xml:space="preserve"> Sa Review, </w:t>
      </w:r>
      <w:r w:rsidRPr="004412FA">
        <w:t>19 (2004),</w:t>
      </w:r>
      <w:r>
        <w:t xml:space="preserve"> p.p. 88, 91.</w:t>
      </w:r>
    </w:p>
  </w:footnote>
  <w:footnote w:id="53">
    <w:p w14:paraId="5C77A195" w14:textId="77777777" w:rsidR="00344013" w:rsidRDefault="00344013" w:rsidP="00344013">
      <w:pPr>
        <w:pStyle w:val="FootnoteText"/>
      </w:pPr>
      <w:r>
        <w:rPr>
          <w:rStyle w:val="FootnoteReference"/>
        </w:rPr>
        <w:footnoteRef/>
      </w:r>
      <w:r>
        <w:t xml:space="preserve"> </w:t>
      </w:r>
      <w:r w:rsidRPr="00902BAD">
        <w:t>Katie Griffiths, Sacagawea Shoshone Guide, Interpreter, and Leading Member of the Corps of Discovery (New York: Cavendish Square, 2018)</w:t>
      </w:r>
      <w:r>
        <w:t>, p.p. 11, 14, 16.</w:t>
      </w:r>
    </w:p>
  </w:footnote>
  <w:footnote w:id="54">
    <w:p w14:paraId="747EB801" w14:textId="77777777" w:rsidR="00344013" w:rsidRDefault="00344013" w:rsidP="00344013">
      <w:pPr>
        <w:pStyle w:val="FootnoteText"/>
      </w:pPr>
      <w:r>
        <w:rPr>
          <w:rStyle w:val="FootnoteReference"/>
        </w:rPr>
        <w:footnoteRef/>
      </w:r>
      <w:r>
        <w:t xml:space="preserve"> YouTube, 2015, 2011/12 Sacagawea, </w:t>
      </w:r>
      <w:hyperlink r:id="rId7" w:history="1">
        <w:r w:rsidRPr="001A1274">
          <w:rPr>
            <w:rStyle w:val="Hyperlink"/>
          </w:rPr>
          <w:t>https://www.youtube.com/watch?v=7t-fLpNdSxA</w:t>
        </w:r>
      </w:hyperlink>
      <w:r w:rsidRPr="001A1274">
        <w:t xml:space="preserve"> [</w:t>
      </w:r>
      <w:r>
        <w:t xml:space="preserve">accessed </w:t>
      </w:r>
      <w:r w:rsidRPr="001A1274">
        <w:t>09/03/2022].</w:t>
      </w:r>
      <w:r>
        <w:t xml:space="preserve">  </w:t>
      </w:r>
    </w:p>
  </w:footnote>
  <w:footnote w:id="55">
    <w:p w14:paraId="3C65E743" w14:textId="77777777" w:rsidR="00344013" w:rsidRDefault="00344013" w:rsidP="00344013">
      <w:pPr>
        <w:pStyle w:val="FootnoteText"/>
      </w:pPr>
      <w:r>
        <w:rPr>
          <w:rStyle w:val="FootnoteReference"/>
        </w:rPr>
        <w:footnoteRef/>
      </w:r>
      <w:r>
        <w:t xml:space="preserve"> </w:t>
      </w:r>
      <w:r w:rsidRPr="00B22F08">
        <w:t>Eva Emery Dye, </w:t>
      </w:r>
      <w:r w:rsidRPr="00B22F08">
        <w:rPr>
          <w:i/>
          <w:iCs/>
        </w:rPr>
        <w:t>The Conquest</w:t>
      </w:r>
      <w:r w:rsidRPr="00B22F08">
        <w:t> (Chicago: A. C. McClurg &amp; Co, 1902)</w:t>
      </w:r>
      <w:r>
        <w:t>.</w:t>
      </w:r>
    </w:p>
  </w:footnote>
  <w:footnote w:id="56">
    <w:p w14:paraId="2C65DA92" w14:textId="77777777" w:rsidR="00344013" w:rsidRDefault="00344013" w:rsidP="00344013">
      <w:pPr>
        <w:pStyle w:val="FootnoteText"/>
      </w:pPr>
      <w:r>
        <w:rPr>
          <w:rStyle w:val="FootnoteReference"/>
        </w:rPr>
        <w:footnoteRef/>
      </w:r>
      <w:r>
        <w:t xml:space="preserve"> </w:t>
      </w:r>
      <w:r w:rsidRPr="00DC52EF">
        <w:t>Dye, </w:t>
      </w:r>
      <w:r w:rsidRPr="00DC52EF">
        <w:rPr>
          <w:i/>
          <w:iCs/>
        </w:rPr>
        <w:t>The Conquest</w:t>
      </w:r>
      <w:r w:rsidRPr="00DC52EF">
        <w:t>, p. 228.</w:t>
      </w:r>
    </w:p>
  </w:footnote>
  <w:footnote w:id="57">
    <w:p w14:paraId="5A7ED5B9" w14:textId="77777777" w:rsidR="00344013" w:rsidRDefault="00344013" w:rsidP="00344013">
      <w:pPr>
        <w:pStyle w:val="FootnoteText"/>
      </w:pPr>
      <w:r>
        <w:rPr>
          <w:rStyle w:val="FootnoteReference"/>
        </w:rPr>
        <w:footnoteRef/>
      </w:r>
      <w:r>
        <w:t xml:space="preserve"> </w:t>
      </w:r>
      <w:r w:rsidRPr="00DC52EF">
        <w:t>'The Lewis and Clark Expedition', </w:t>
      </w:r>
      <w:r w:rsidRPr="00DC52EF">
        <w:rPr>
          <w:i/>
          <w:iCs/>
        </w:rPr>
        <w:t>The Journal of Education, </w:t>
      </w:r>
      <w:r w:rsidRPr="00DC52EF">
        <w:t>59 (1904), p.p. 230, 233, 234.</w:t>
      </w:r>
    </w:p>
  </w:footnote>
  <w:footnote w:id="58">
    <w:p w14:paraId="4EDA0D5F" w14:textId="77777777" w:rsidR="00344013" w:rsidRDefault="00344013" w:rsidP="00344013">
      <w:pPr>
        <w:pStyle w:val="FootnoteText"/>
      </w:pPr>
      <w:r>
        <w:rPr>
          <w:rStyle w:val="FootnoteReference"/>
        </w:rPr>
        <w:footnoteRef/>
      </w:r>
      <w:r>
        <w:t xml:space="preserve"> </w:t>
      </w:r>
      <w:r w:rsidRPr="00DC52EF">
        <w:t>Donna J. Kessler, </w:t>
      </w:r>
      <w:r w:rsidRPr="00DC52EF">
        <w:rPr>
          <w:i/>
          <w:iCs/>
        </w:rPr>
        <w:t>The Making of Sacagawea A Euro-American Legend</w:t>
      </w:r>
      <w:r w:rsidRPr="00DC52EF">
        <w:t> (Tuscaloosa: University of Alabama Press, 1996), p.p. 101, 102.</w:t>
      </w:r>
    </w:p>
  </w:footnote>
  <w:footnote w:id="59">
    <w:p w14:paraId="1E3FD652" w14:textId="77777777" w:rsidR="00344013" w:rsidRDefault="00344013" w:rsidP="00344013">
      <w:pPr>
        <w:pStyle w:val="FootnoteText"/>
      </w:pPr>
      <w:r>
        <w:rPr>
          <w:rStyle w:val="FootnoteReference"/>
        </w:rPr>
        <w:footnoteRef/>
      </w:r>
      <w:r>
        <w:t xml:space="preserve"> </w:t>
      </w:r>
      <w:r w:rsidRPr="00DC52EF">
        <w:t xml:space="preserve">Grace Raymond </w:t>
      </w:r>
      <w:proofErr w:type="spellStart"/>
      <w:r w:rsidRPr="00DC52EF">
        <w:t>Hebard</w:t>
      </w:r>
      <w:proofErr w:type="spellEnd"/>
      <w:r w:rsidRPr="00DC52EF">
        <w:t>, </w:t>
      </w:r>
      <w:r w:rsidRPr="00DC52EF">
        <w:rPr>
          <w:i/>
          <w:iCs/>
        </w:rPr>
        <w:t>Sacajawea Guide and Interpreter of Lewis and Clark</w:t>
      </w:r>
      <w:r w:rsidRPr="00DC52EF">
        <w:t> (Glendale: A. H. Clark Company, 1933), p. 79.</w:t>
      </w:r>
    </w:p>
  </w:footnote>
  <w:footnote w:id="60">
    <w:p w14:paraId="120DD558" w14:textId="77777777" w:rsidR="00344013" w:rsidRDefault="00344013" w:rsidP="00344013">
      <w:pPr>
        <w:pStyle w:val="FootnoteText"/>
      </w:pPr>
      <w:bookmarkStart w:id="10" w:name="_Hlk99275308"/>
      <w:bookmarkStart w:id="11" w:name="_Hlk94704690"/>
      <w:r>
        <w:rPr>
          <w:rStyle w:val="FootnoteReference"/>
        </w:rPr>
        <w:footnoteRef/>
      </w:r>
      <w:r w:rsidRPr="00C0096D">
        <w:t xml:space="preserve"> Fenelon and Defender-Wilson, 'Voyage of Domination</w:t>
      </w:r>
      <w:r>
        <w:t>’</w:t>
      </w:r>
      <w:r w:rsidRPr="00C0096D">
        <w:t>, </w:t>
      </w:r>
      <w:bookmarkEnd w:id="10"/>
      <w:r>
        <w:t xml:space="preserve">p. </w:t>
      </w:r>
      <w:bookmarkEnd w:id="11"/>
      <w:r>
        <w:t>92.</w:t>
      </w:r>
    </w:p>
  </w:footnote>
  <w:footnote w:id="61">
    <w:p w14:paraId="37BE445F" w14:textId="77777777" w:rsidR="00344013" w:rsidRDefault="00344013" w:rsidP="00344013">
      <w:pPr>
        <w:pStyle w:val="FootnoteText"/>
      </w:pPr>
      <w:r>
        <w:rPr>
          <w:rStyle w:val="FootnoteReference"/>
        </w:rPr>
        <w:footnoteRef/>
      </w:r>
      <w:r>
        <w:t xml:space="preserve"> YouTube, 2015, </w:t>
      </w:r>
      <w:r w:rsidRPr="008C6528">
        <w:t xml:space="preserve">Clay Jenkinson </w:t>
      </w:r>
      <w:proofErr w:type="spellStart"/>
      <w:r w:rsidRPr="008C6528">
        <w:t>Dr</w:t>
      </w:r>
      <w:r>
        <w:t>.</w:t>
      </w:r>
      <w:proofErr w:type="spellEnd"/>
      <w:r w:rsidRPr="008C6528">
        <w:t xml:space="preserve"> Larry </w:t>
      </w:r>
      <w:proofErr w:type="spellStart"/>
      <w:r w:rsidRPr="008C6528">
        <w:t>Skogen</w:t>
      </w:r>
      <w:proofErr w:type="spellEnd"/>
      <w:r w:rsidRPr="008C6528">
        <w:t>, </w:t>
      </w:r>
      <w:r w:rsidRPr="008C6528">
        <w:rPr>
          <w:i/>
          <w:iCs/>
        </w:rPr>
        <w:t>Conversations at the BSC Sacagawe</w:t>
      </w:r>
      <w:r>
        <w:rPr>
          <w:i/>
          <w:iCs/>
        </w:rPr>
        <w:t xml:space="preserve">a, </w:t>
      </w:r>
      <w:hyperlink r:id="rId8" w:history="1">
        <w:r w:rsidRPr="009C2F04">
          <w:rPr>
            <w:rStyle w:val="Hyperlink"/>
          </w:rPr>
          <w:t>https://www.youtube.com/watch?v=7t-fLpNdSxA</w:t>
        </w:r>
      </w:hyperlink>
      <w:r>
        <w:t xml:space="preserve"> [accessed 01/03/2022].</w:t>
      </w:r>
    </w:p>
  </w:footnote>
  <w:footnote w:id="62">
    <w:p w14:paraId="1951BB38" w14:textId="77777777" w:rsidR="00344013" w:rsidRDefault="00344013" w:rsidP="00344013">
      <w:pPr>
        <w:pStyle w:val="FootnoteText"/>
      </w:pPr>
      <w:r>
        <w:rPr>
          <w:rStyle w:val="FootnoteReference"/>
        </w:rPr>
        <w:footnoteRef/>
      </w:r>
      <w:r w:rsidRPr="00955397">
        <w:t xml:space="preserve"> Fenelon and Defender-Wilson, 'Voyage of Domination, p.</w:t>
      </w:r>
      <w:r>
        <w:t xml:space="preserve"> 97.</w:t>
      </w:r>
    </w:p>
  </w:footnote>
  <w:footnote w:id="63">
    <w:p w14:paraId="6F880A7D" w14:textId="77777777" w:rsidR="00344013" w:rsidRDefault="00344013" w:rsidP="00344013">
      <w:pPr>
        <w:pStyle w:val="FootnoteText"/>
      </w:pPr>
      <w:r>
        <w:rPr>
          <w:rStyle w:val="FootnoteReference"/>
        </w:rPr>
        <w:footnoteRef/>
      </w:r>
      <w:r>
        <w:t xml:space="preserve"> </w:t>
      </w:r>
      <w:r w:rsidRPr="00BB5929">
        <w:t>Kessler, The Making of Sacagawea</w:t>
      </w:r>
      <w:r>
        <w:t xml:space="preserve">, </w:t>
      </w:r>
      <w:proofErr w:type="spellStart"/>
      <w:r>
        <w:t>p.p</w:t>
      </w:r>
      <w:proofErr w:type="spellEnd"/>
      <w:r>
        <w:t xml:space="preserve">, 2, 17, 26, 27. </w:t>
      </w:r>
    </w:p>
  </w:footnote>
  <w:footnote w:id="64">
    <w:p w14:paraId="510751A0" w14:textId="77777777" w:rsidR="00344013" w:rsidRDefault="00344013" w:rsidP="00344013">
      <w:pPr>
        <w:pStyle w:val="FootnoteText"/>
      </w:pPr>
      <w:r>
        <w:rPr>
          <w:rStyle w:val="FootnoteReference"/>
        </w:rPr>
        <w:footnoteRef/>
      </w:r>
      <w:r>
        <w:t xml:space="preserve"> </w:t>
      </w:r>
      <w:r w:rsidRPr="006A4174">
        <w:t>J</w:t>
      </w:r>
      <w:r>
        <w:t>ames P. Ronda</w:t>
      </w:r>
      <w:r w:rsidRPr="006A4174">
        <w:t>, 'Exploring the Explorers: Great Plains Peoples and the Lewis and Clark Expedition', </w:t>
      </w:r>
      <w:r w:rsidRPr="006A4174">
        <w:rPr>
          <w:i/>
          <w:iCs/>
        </w:rPr>
        <w:t>Great Plains Quarterly, </w:t>
      </w:r>
      <w:r w:rsidRPr="006A4174">
        <w:t>13 (1993)</w:t>
      </w:r>
      <w:r>
        <w:t>, p.p. 184, 185.</w:t>
      </w:r>
    </w:p>
  </w:footnote>
  <w:footnote w:id="65">
    <w:p w14:paraId="20D3367A" w14:textId="77777777" w:rsidR="00344013" w:rsidRDefault="00344013" w:rsidP="00344013">
      <w:pPr>
        <w:pStyle w:val="FootnoteText"/>
      </w:pPr>
      <w:r>
        <w:rPr>
          <w:rStyle w:val="FootnoteReference"/>
        </w:rPr>
        <w:footnoteRef/>
      </w:r>
      <w:r>
        <w:t xml:space="preserve"> </w:t>
      </w:r>
      <w:proofErr w:type="spellStart"/>
      <w:r w:rsidRPr="001810CA">
        <w:t>Nesbett</w:t>
      </w:r>
      <w:proofErr w:type="spellEnd"/>
      <w:r w:rsidRPr="001810CA">
        <w:t xml:space="preserve"> and DuBois, 'Chronology: Life and Reception', in </w:t>
      </w:r>
      <w:r w:rsidRPr="001810CA">
        <w:rPr>
          <w:i/>
          <w:iCs/>
        </w:rPr>
        <w:t>Over the Line the Art and Life of Jacob Lawrence</w:t>
      </w:r>
      <w:r>
        <w:t>, p. 25.</w:t>
      </w:r>
    </w:p>
  </w:footnote>
  <w:footnote w:id="66">
    <w:p w14:paraId="61DDA782" w14:textId="77777777" w:rsidR="00344013" w:rsidRDefault="00344013" w:rsidP="00344013">
      <w:pPr>
        <w:pStyle w:val="FootnoteText"/>
      </w:pPr>
      <w:r>
        <w:rPr>
          <w:rStyle w:val="FootnoteReference"/>
        </w:rPr>
        <w:footnoteRef/>
      </w:r>
      <w:r>
        <w:t xml:space="preserve"> </w:t>
      </w:r>
      <w:bookmarkStart w:id="12" w:name="_Hlk99275535"/>
      <w:r w:rsidRPr="00C360DE">
        <w:t xml:space="preserve">Alexander </w:t>
      </w:r>
      <w:proofErr w:type="spellStart"/>
      <w:r w:rsidRPr="00C360DE">
        <w:t>Tsesis</w:t>
      </w:r>
      <w:proofErr w:type="spellEnd"/>
      <w:r w:rsidRPr="00C360DE">
        <w:t>, </w:t>
      </w:r>
      <w:r w:rsidRPr="00C360DE">
        <w:rPr>
          <w:i/>
          <w:iCs/>
        </w:rPr>
        <w:t xml:space="preserve">The Thirteenth Amendment and American Freedom </w:t>
      </w:r>
      <w:r>
        <w:rPr>
          <w:i/>
          <w:iCs/>
        </w:rPr>
        <w:t>a</w:t>
      </w:r>
      <w:r w:rsidRPr="00C360DE">
        <w:rPr>
          <w:i/>
          <w:iCs/>
        </w:rPr>
        <w:t xml:space="preserve"> Legal History</w:t>
      </w:r>
      <w:r w:rsidRPr="00C360DE">
        <w:t> (New York: New York University Press, 2004</w:t>
      </w:r>
      <w:bookmarkEnd w:id="12"/>
      <w:r w:rsidRPr="00C360DE">
        <w:t>)</w:t>
      </w:r>
      <w:r>
        <w:t>, p.p. 11, 105, 106.</w:t>
      </w:r>
    </w:p>
  </w:footnote>
  <w:footnote w:id="67">
    <w:p w14:paraId="0F70011E" w14:textId="77777777" w:rsidR="00344013" w:rsidRDefault="00344013" w:rsidP="00344013">
      <w:pPr>
        <w:pStyle w:val="FootnoteText"/>
      </w:pPr>
      <w:r>
        <w:rPr>
          <w:rStyle w:val="FootnoteReference"/>
        </w:rPr>
        <w:footnoteRef/>
      </w:r>
      <w:r>
        <w:t xml:space="preserve"> Ellen </w:t>
      </w:r>
      <w:r w:rsidRPr="006E3F10">
        <w:t>Harkins Wheat, </w:t>
      </w:r>
      <w:r w:rsidRPr="006E3F10">
        <w:rPr>
          <w:i/>
          <w:iCs/>
        </w:rPr>
        <w:t>Jacob Lawrence American Painter</w:t>
      </w:r>
      <w:r w:rsidRPr="006E3F10">
        <w:t> (Seattle: University of Washington Press, 1986)</w:t>
      </w:r>
      <w:r>
        <w:t>, p. 101.</w:t>
      </w:r>
    </w:p>
  </w:footnote>
  <w:footnote w:id="68">
    <w:p w14:paraId="56E79C09" w14:textId="77777777" w:rsidR="00344013" w:rsidRDefault="00344013" w:rsidP="00344013">
      <w:pPr>
        <w:pStyle w:val="FootnoteText"/>
      </w:pPr>
      <w:r>
        <w:rPr>
          <w:rStyle w:val="FootnoteReference"/>
        </w:rPr>
        <w:footnoteRef/>
      </w:r>
      <w:r>
        <w:t xml:space="preserve"> </w:t>
      </w:r>
      <w:proofErr w:type="spellStart"/>
      <w:r w:rsidRPr="00EA7E2C">
        <w:t>Nesbett</w:t>
      </w:r>
      <w:proofErr w:type="spellEnd"/>
      <w:r w:rsidRPr="00EA7E2C">
        <w:t xml:space="preserve"> and DuBois, 'Chronology: Life and Reception', in </w:t>
      </w:r>
      <w:r w:rsidRPr="00EA7E2C">
        <w:rPr>
          <w:i/>
          <w:iCs/>
        </w:rPr>
        <w:t>Over the Line the Art and Life of Jacob Lawrence</w:t>
      </w:r>
      <w:r w:rsidRPr="00EA7E2C">
        <w:t>, p.</w:t>
      </w:r>
      <w:r>
        <w:t xml:space="preserve"> 34.</w:t>
      </w:r>
    </w:p>
  </w:footnote>
  <w:footnote w:id="69">
    <w:p w14:paraId="0E59F1B2" w14:textId="77777777" w:rsidR="00344013" w:rsidRDefault="00344013" w:rsidP="00344013">
      <w:pPr>
        <w:pStyle w:val="FootnoteText"/>
      </w:pPr>
      <w:r>
        <w:rPr>
          <w:rStyle w:val="FootnoteReference"/>
        </w:rPr>
        <w:footnoteRef/>
      </w:r>
      <w:r>
        <w:t xml:space="preserve"> </w:t>
      </w:r>
      <w:r w:rsidRPr="00EB4A17">
        <w:t>Harkins Wheat, Jacob Lawrence American Painter</w:t>
      </w:r>
      <w:r>
        <w:t>, p. 29.</w:t>
      </w:r>
    </w:p>
  </w:footnote>
  <w:footnote w:id="70">
    <w:p w14:paraId="2B99E6C6" w14:textId="77777777" w:rsidR="00344013" w:rsidRDefault="00344013" w:rsidP="00344013">
      <w:pPr>
        <w:pStyle w:val="FootnoteText"/>
      </w:pPr>
      <w:r>
        <w:rPr>
          <w:rStyle w:val="FootnoteReference"/>
        </w:rPr>
        <w:footnoteRef/>
      </w:r>
      <w:r>
        <w:t xml:space="preserve"> </w:t>
      </w:r>
      <w:r w:rsidRPr="005020AA">
        <w:t>Clarence Major and Jacob Lawrence, 'Clarence Major Interviews: Jacob Lawrence, </w:t>
      </w:r>
      <w:r>
        <w:t>p. 16.</w:t>
      </w:r>
    </w:p>
  </w:footnote>
  <w:footnote w:id="71">
    <w:p w14:paraId="4A36FABE" w14:textId="77777777" w:rsidR="00344013" w:rsidRDefault="00344013" w:rsidP="00344013">
      <w:pPr>
        <w:pStyle w:val="FootnoteText"/>
      </w:pPr>
      <w:r>
        <w:rPr>
          <w:rStyle w:val="FootnoteReference"/>
        </w:rPr>
        <w:footnoteRef/>
      </w:r>
      <w:r>
        <w:t xml:space="preserve"> </w:t>
      </w:r>
      <w:r w:rsidRPr="00703553">
        <w:t>Griffiths, </w:t>
      </w:r>
      <w:r w:rsidRPr="00703553">
        <w:rPr>
          <w:i/>
          <w:iCs/>
        </w:rPr>
        <w:t>Sacagawea Shoshone Guide</w:t>
      </w:r>
      <w:r>
        <w:t>, p. 14.</w:t>
      </w:r>
    </w:p>
  </w:footnote>
  <w:footnote w:id="72">
    <w:p w14:paraId="3A3E296F" w14:textId="77777777" w:rsidR="00344013" w:rsidRDefault="00344013" w:rsidP="00344013">
      <w:pPr>
        <w:pStyle w:val="FootnoteText"/>
      </w:pPr>
      <w:r>
        <w:rPr>
          <w:rStyle w:val="FootnoteReference"/>
        </w:rPr>
        <w:footnoteRef/>
      </w:r>
      <w:r>
        <w:t xml:space="preserve"> </w:t>
      </w:r>
      <w:r w:rsidRPr="00AC7F4B">
        <w:t xml:space="preserve">Hope Benedict, </w:t>
      </w:r>
      <w:r w:rsidRPr="00AC7F4B">
        <w:rPr>
          <w:i/>
          <w:iCs/>
        </w:rPr>
        <w:t>Lemhi County</w:t>
      </w:r>
      <w:r w:rsidRPr="00AC7F4B">
        <w:t xml:space="preserve"> (Chicago: Arcadia, 2006)</w:t>
      </w:r>
      <w:r>
        <w:t>, p. 8.</w:t>
      </w:r>
    </w:p>
  </w:footnote>
  <w:footnote w:id="73">
    <w:p w14:paraId="7DC85C11" w14:textId="77777777" w:rsidR="00344013" w:rsidRDefault="00344013" w:rsidP="00344013">
      <w:pPr>
        <w:pStyle w:val="FootnoteText"/>
      </w:pPr>
      <w:r>
        <w:rPr>
          <w:rStyle w:val="FootnoteReference"/>
        </w:rPr>
        <w:footnoteRef/>
      </w:r>
      <w:r>
        <w:t xml:space="preserve"> </w:t>
      </w:r>
      <w:r w:rsidRPr="006E47D0">
        <w:t>Laurence Armand French, </w:t>
      </w:r>
      <w:r w:rsidRPr="006E47D0">
        <w:rPr>
          <w:i/>
          <w:iCs/>
        </w:rPr>
        <w:t>Legislating Indian Country Significant Milestones in Transforming Tribalism</w:t>
      </w:r>
      <w:r w:rsidRPr="006E47D0">
        <w:t> (New York: Peter Lang, 2007)</w:t>
      </w:r>
      <w:r>
        <w:t>, p.p. 83, 92, 103.</w:t>
      </w:r>
    </w:p>
  </w:footnote>
  <w:footnote w:id="74">
    <w:p w14:paraId="0A80E2BA" w14:textId="77777777" w:rsidR="00344013" w:rsidRDefault="00344013" w:rsidP="00344013">
      <w:pPr>
        <w:pStyle w:val="FootnoteText"/>
      </w:pPr>
      <w:r>
        <w:rPr>
          <w:rStyle w:val="FootnoteReference"/>
        </w:rPr>
        <w:footnoteRef/>
      </w:r>
      <w:r>
        <w:t xml:space="preserve"> </w:t>
      </w:r>
      <w:r w:rsidRPr="00A7581E">
        <w:t>Milton M. James, 'Jacob Lawrence', </w:t>
      </w:r>
      <w:r w:rsidRPr="00A7581E">
        <w:rPr>
          <w:i/>
          <w:iCs/>
        </w:rPr>
        <w:t>Negro History Bulletin, </w:t>
      </w:r>
      <w:r w:rsidRPr="00A7581E">
        <w:t xml:space="preserve">21 (1957), </w:t>
      </w:r>
      <w:r>
        <w:t xml:space="preserve">p. </w:t>
      </w:r>
      <w:r w:rsidRPr="00A7581E">
        <w:t>18</w:t>
      </w:r>
      <w:r>
        <w:t>.</w:t>
      </w:r>
    </w:p>
  </w:footnote>
  <w:footnote w:id="75">
    <w:p w14:paraId="0D86B870" w14:textId="77777777" w:rsidR="00344013" w:rsidRDefault="00344013" w:rsidP="00344013">
      <w:pPr>
        <w:pStyle w:val="FootnoteText"/>
      </w:pPr>
      <w:r>
        <w:rPr>
          <w:rStyle w:val="FootnoteReference"/>
        </w:rPr>
        <w:footnoteRef/>
      </w:r>
      <w:r>
        <w:t xml:space="preserve"> </w:t>
      </w:r>
      <w:r w:rsidRPr="009B7844">
        <w:t>The Museum of Modern Art, 'Jacob Lawrence', </w:t>
      </w:r>
      <w:r w:rsidRPr="009B7844">
        <w:rPr>
          <w:i/>
          <w:iCs/>
        </w:rPr>
        <w:t>The Bulletin of the Museum of Modern Art, </w:t>
      </w:r>
      <w:r w:rsidRPr="009B7844">
        <w:t xml:space="preserve">12 (1944), </w:t>
      </w:r>
      <w:r>
        <w:t xml:space="preserve">p. </w:t>
      </w:r>
      <w:r w:rsidRPr="009B7844">
        <w:t>11</w:t>
      </w:r>
      <w:r>
        <w:t>.</w:t>
      </w:r>
    </w:p>
  </w:footnote>
  <w:footnote w:id="76">
    <w:p w14:paraId="045E6361" w14:textId="77777777" w:rsidR="00344013" w:rsidRDefault="00344013" w:rsidP="00344013">
      <w:pPr>
        <w:pStyle w:val="FootnoteText"/>
      </w:pPr>
      <w:r>
        <w:rPr>
          <w:rStyle w:val="FootnoteReference"/>
        </w:rPr>
        <w:footnoteRef/>
      </w:r>
      <w:r>
        <w:t xml:space="preserve"> </w:t>
      </w:r>
      <w:r w:rsidRPr="006F3385">
        <w:t>Patricia</w:t>
      </w:r>
      <w:r>
        <w:t xml:space="preserve"> Hills</w:t>
      </w:r>
      <w:r w:rsidRPr="006F3385">
        <w:t>, 'Jacob Lawrence's Expressive Cubism', in </w:t>
      </w:r>
      <w:r w:rsidRPr="006F3385">
        <w:rPr>
          <w:i/>
          <w:iCs/>
        </w:rPr>
        <w:t>Jacob Lawrence American Painter</w:t>
      </w:r>
      <w:r w:rsidRPr="006F3385">
        <w:t>, ed. by Ellen Harkins Wheat</w:t>
      </w:r>
      <w:r>
        <w:t xml:space="preserve"> </w:t>
      </w:r>
      <w:r w:rsidRPr="006F3385">
        <w:t>(Seattle: 1986, 1986), p</w:t>
      </w:r>
      <w:r>
        <w:t>. 16.</w:t>
      </w:r>
    </w:p>
  </w:footnote>
  <w:footnote w:id="77">
    <w:p w14:paraId="341726AD" w14:textId="77777777" w:rsidR="00344013" w:rsidRDefault="00344013" w:rsidP="00344013">
      <w:pPr>
        <w:pStyle w:val="FootnoteText"/>
      </w:pPr>
      <w:r>
        <w:rPr>
          <w:rStyle w:val="FootnoteReference"/>
        </w:rPr>
        <w:footnoteRef/>
      </w:r>
      <w:r>
        <w:t xml:space="preserve"> </w:t>
      </w:r>
      <w:r w:rsidRPr="00AF36B0">
        <w:t xml:space="preserve">Peabody Essex Museum, 2021, JACOB LAWRENCE: THE AMERICAN STRUGGLE Panel 21, </w:t>
      </w:r>
      <w:hyperlink r:id="rId9" w:history="1">
        <w:r w:rsidRPr="00AF36B0">
          <w:rPr>
            <w:rStyle w:val="Hyperlink"/>
          </w:rPr>
          <w:t>https://www.pem.org/jacob-lawrence-the-american-struggle-panels/panel-3</w:t>
        </w:r>
      </w:hyperlink>
      <w:r w:rsidRPr="00AF36B0">
        <w:t xml:space="preserve"> [</w:t>
      </w:r>
      <w:r>
        <w:t xml:space="preserve">accessed </w:t>
      </w:r>
      <w:r w:rsidRPr="00AF36B0">
        <w:t>09/03/2022].</w:t>
      </w:r>
    </w:p>
  </w:footnote>
  <w:footnote w:id="78">
    <w:p w14:paraId="77339BA7" w14:textId="77777777" w:rsidR="00344013" w:rsidRDefault="00344013" w:rsidP="00344013">
      <w:pPr>
        <w:pStyle w:val="FootnoteText"/>
      </w:pPr>
      <w:r>
        <w:rPr>
          <w:rStyle w:val="FootnoteReference"/>
        </w:rPr>
        <w:footnoteRef/>
      </w:r>
      <w:r w:rsidRPr="008771F3">
        <w:rPr>
          <w:sz w:val="22"/>
          <w:szCs w:val="22"/>
        </w:rPr>
        <w:t xml:space="preserve"> </w:t>
      </w:r>
      <w:r w:rsidRPr="008771F3">
        <w:t>John Sugden,</w:t>
      </w:r>
      <w:r w:rsidRPr="008771F3">
        <w:rPr>
          <w:i/>
          <w:iCs/>
        </w:rPr>
        <w:t> Tecumseh A Life </w:t>
      </w:r>
      <w:r w:rsidRPr="008771F3">
        <w:t>(New York: Henry Holt &amp; Co, 2013)</w:t>
      </w:r>
      <w:r w:rsidRPr="008771F3">
        <w:rPr>
          <w:i/>
          <w:iCs/>
        </w:rPr>
        <w:t>,</w:t>
      </w:r>
      <w:r>
        <w:rPr>
          <w:i/>
          <w:iCs/>
        </w:rPr>
        <w:t xml:space="preserve"> </w:t>
      </w:r>
      <w:r w:rsidRPr="007E3E41">
        <w:t>p.p</w:t>
      </w:r>
      <w:r w:rsidRPr="007E3E41">
        <w:rPr>
          <w:i/>
          <w:iCs/>
        </w:rPr>
        <w:t>.</w:t>
      </w:r>
      <w:r>
        <w:t xml:space="preserve"> 226, 233.</w:t>
      </w:r>
    </w:p>
  </w:footnote>
  <w:footnote w:id="79">
    <w:p w14:paraId="11E74996" w14:textId="77777777" w:rsidR="00344013" w:rsidRDefault="00344013" w:rsidP="00344013">
      <w:pPr>
        <w:pStyle w:val="FootnoteText"/>
      </w:pPr>
      <w:r>
        <w:rPr>
          <w:rStyle w:val="FootnoteReference"/>
        </w:rPr>
        <w:footnoteRef/>
      </w:r>
      <w:r>
        <w:t xml:space="preserve"> </w:t>
      </w:r>
      <w:r w:rsidRPr="00237B64">
        <w:t>Guy St-Denis, </w:t>
      </w:r>
      <w:r w:rsidRPr="00237B64">
        <w:rPr>
          <w:i/>
          <w:iCs/>
        </w:rPr>
        <w:t>Tecumseh’s Bones</w:t>
      </w:r>
      <w:r w:rsidRPr="00237B64">
        <w:t> (Montreal: McGill-Queens University Press, 2005)</w:t>
      </w:r>
      <w:r>
        <w:t>.</w:t>
      </w:r>
    </w:p>
  </w:footnote>
  <w:footnote w:id="80">
    <w:p w14:paraId="70FEB2F7" w14:textId="77777777" w:rsidR="00344013" w:rsidRDefault="00344013" w:rsidP="00344013">
      <w:pPr>
        <w:pStyle w:val="FootnoteText"/>
      </w:pPr>
      <w:r>
        <w:rPr>
          <w:rStyle w:val="FootnoteReference"/>
        </w:rPr>
        <w:footnoteRef/>
      </w:r>
      <w:r>
        <w:t xml:space="preserve"> </w:t>
      </w:r>
      <w:r w:rsidRPr="00C90547">
        <w:t>Robert Breckinridge McAfee, History of the Late War in the Western Country (Bedford: Applewood's Books, 1816)</w:t>
      </w:r>
      <w:r>
        <w:t>, p.p. 25, 26.</w:t>
      </w:r>
    </w:p>
  </w:footnote>
  <w:footnote w:id="81">
    <w:p w14:paraId="7624A5C3" w14:textId="77777777" w:rsidR="00344013" w:rsidRDefault="00344013" w:rsidP="00344013">
      <w:pPr>
        <w:pStyle w:val="FootnoteText"/>
      </w:pPr>
      <w:r>
        <w:rPr>
          <w:rStyle w:val="FootnoteReference"/>
        </w:rPr>
        <w:footnoteRef/>
      </w:r>
      <w:r>
        <w:t xml:space="preserve"> </w:t>
      </w:r>
      <w:r w:rsidRPr="00C606D8">
        <w:t>Benjamin Drake, </w:t>
      </w:r>
      <w:r w:rsidRPr="00C606D8">
        <w:rPr>
          <w:i/>
          <w:iCs/>
        </w:rPr>
        <w:t>Life of Tecumseh and of His Brother the Prophet</w:t>
      </w:r>
      <w:r w:rsidRPr="00C606D8">
        <w:t> (Cincinnati: E. Morgan &amp; Co, 1841)</w:t>
      </w:r>
      <w:r>
        <w:t>, p. 129.</w:t>
      </w:r>
    </w:p>
  </w:footnote>
  <w:footnote w:id="82">
    <w:p w14:paraId="76F829BD" w14:textId="77777777" w:rsidR="00344013" w:rsidRPr="005444A8" w:rsidRDefault="00344013" w:rsidP="00344013">
      <w:pPr>
        <w:pStyle w:val="FootnoteText"/>
      </w:pPr>
      <w:r>
        <w:rPr>
          <w:rStyle w:val="FootnoteReference"/>
        </w:rPr>
        <w:footnoteRef/>
      </w:r>
      <w:r>
        <w:t xml:space="preserve"> </w:t>
      </w:r>
      <w:r w:rsidRPr="005444A8">
        <w:t>YouTube, 2015, Tracy Derks, Tecumseh: The Uncommon Genius,</w:t>
      </w:r>
    </w:p>
    <w:p w14:paraId="29663A43" w14:textId="77777777" w:rsidR="00344013" w:rsidRDefault="00344013" w:rsidP="00344013">
      <w:pPr>
        <w:pStyle w:val="FootnoteText"/>
      </w:pPr>
      <w:hyperlink r:id="rId10" w:history="1">
        <w:r w:rsidRPr="005444A8">
          <w:rPr>
            <w:rStyle w:val="Hyperlink"/>
          </w:rPr>
          <w:t>https://www.youtube.com/watch?v=see_1N1NTEU&amp;t=587s</w:t>
        </w:r>
      </w:hyperlink>
      <w:r>
        <w:t xml:space="preserve"> [accessed 28/03/22].</w:t>
      </w:r>
    </w:p>
  </w:footnote>
  <w:footnote w:id="83">
    <w:p w14:paraId="51D5E6E5" w14:textId="77777777" w:rsidR="00344013" w:rsidRDefault="00344013" w:rsidP="00344013">
      <w:pPr>
        <w:pStyle w:val="FootnoteText"/>
      </w:pPr>
      <w:bookmarkStart w:id="14" w:name="_Hlk95909381"/>
      <w:r>
        <w:rPr>
          <w:rStyle w:val="FootnoteReference"/>
        </w:rPr>
        <w:footnoteRef/>
      </w:r>
      <w:r w:rsidRPr="00F44498">
        <w:t xml:space="preserve"> Sugden, </w:t>
      </w:r>
      <w:r w:rsidRPr="007518BA">
        <w:rPr>
          <w:i/>
          <w:iCs/>
        </w:rPr>
        <w:t>Tecumseh A Life</w:t>
      </w:r>
      <w:r>
        <w:t>, p. ix.</w:t>
      </w:r>
    </w:p>
    <w:bookmarkEnd w:id="14"/>
  </w:footnote>
  <w:footnote w:id="84">
    <w:p w14:paraId="1607AEC5" w14:textId="77777777" w:rsidR="00344013" w:rsidRDefault="00344013" w:rsidP="00344013">
      <w:pPr>
        <w:pStyle w:val="FootnoteText"/>
      </w:pPr>
      <w:r>
        <w:rPr>
          <w:rStyle w:val="FootnoteReference"/>
        </w:rPr>
        <w:footnoteRef/>
      </w:r>
      <w:r>
        <w:t xml:space="preserve"> </w:t>
      </w:r>
      <w:r w:rsidRPr="00F878A0">
        <w:t>Stephen Warren, </w:t>
      </w:r>
      <w:r w:rsidRPr="00F878A0">
        <w:rPr>
          <w:i/>
          <w:iCs/>
        </w:rPr>
        <w:t>The Worlds the Shawnees made Migration and Violence in Early America</w:t>
      </w:r>
      <w:r w:rsidRPr="00F878A0">
        <w:t> (Chapel Hill: University of North Carolina Press, 2014)</w:t>
      </w:r>
      <w:r>
        <w:t>, p. 17.</w:t>
      </w:r>
    </w:p>
  </w:footnote>
  <w:footnote w:id="85">
    <w:p w14:paraId="3FC86B4C" w14:textId="77777777" w:rsidR="00344013" w:rsidRPr="008048AE" w:rsidRDefault="00344013" w:rsidP="00344013">
      <w:pPr>
        <w:pStyle w:val="FootnoteText"/>
      </w:pPr>
      <w:r>
        <w:rPr>
          <w:rStyle w:val="FootnoteReference"/>
        </w:rPr>
        <w:footnoteRef/>
      </w:r>
      <w:r>
        <w:t xml:space="preserve"> </w:t>
      </w:r>
      <w:bookmarkStart w:id="15" w:name="_Hlk99353370"/>
      <w:r w:rsidRPr="008048AE">
        <w:t>YouTube, 2014, Gregory Evans Dowd, The Tecumseh Legend as History,</w:t>
      </w:r>
    </w:p>
    <w:p w14:paraId="06C91123" w14:textId="77777777" w:rsidR="00344013" w:rsidRDefault="00344013" w:rsidP="00344013">
      <w:pPr>
        <w:pStyle w:val="FootnoteText"/>
      </w:pPr>
      <w:hyperlink r:id="rId11" w:history="1">
        <w:r w:rsidRPr="008048AE">
          <w:rPr>
            <w:rStyle w:val="Hyperlink"/>
          </w:rPr>
          <w:t>https://www.youtube.com/watch?v=FBS_ZmvFZDQ</w:t>
        </w:r>
      </w:hyperlink>
      <w:r w:rsidRPr="002358FA">
        <w:t xml:space="preserve">  [accessed 28/03/22].</w:t>
      </w:r>
    </w:p>
    <w:bookmarkEnd w:id="15"/>
  </w:footnote>
  <w:footnote w:id="86">
    <w:p w14:paraId="6AA32CFA" w14:textId="77777777" w:rsidR="00344013" w:rsidRDefault="00344013" w:rsidP="00344013">
      <w:pPr>
        <w:pStyle w:val="FootnoteText"/>
      </w:pPr>
      <w:r>
        <w:rPr>
          <w:rStyle w:val="FootnoteReference"/>
        </w:rPr>
        <w:footnoteRef/>
      </w:r>
      <w:r>
        <w:t xml:space="preserve"> </w:t>
      </w:r>
      <w:r w:rsidRPr="00F249AE">
        <w:t xml:space="preserve">Elmore </w:t>
      </w:r>
      <w:proofErr w:type="spellStart"/>
      <w:r w:rsidRPr="00F249AE">
        <w:t>Barce</w:t>
      </w:r>
      <w:proofErr w:type="spellEnd"/>
      <w:r w:rsidRPr="00F249AE">
        <w:t>, 'Tecumseh's Confederacy', </w:t>
      </w:r>
      <w:r w:rsidRPr="00F249AE">
        <w:rPr>
          <w:i/>
          <w:iCs/>
        </w:rPr>
        <w:t>Indiana Magazine of History, </w:t>
      </w:r>
      <w:r w:rsidRPr="00F249AE">
        <w:t>12 (1916),</w:t>
      </w:r>
      <w:r>
        <w:t xml:space="preserve"> p. 167.</w:t>
      </w:r>
    </w:p>
  </w:footnote>
  <w:footnote w:id="87">
    <w:p w14:paraId="110154AE" w14:textId="77777777" w:rsidR="00344013" w:rsidRDefault="00344013" w:rsidP="00344013">
      <w:pPr>
        <w:pStyle w:val="FootnoteText"/>
      </w:pPr>
      <w:r>
        <w:rPr>
          <w:rStyle w:val="FootnoteReference"/>
        </w:rPr>
        <w:footnoteRef/>
      </w:r>
      <w:r>
        <w:t xml:space="preserve"> </w:t>
      </w:r>
      <w:r w:rsidRPr="00FA1B0D">
        <w:t>Sugden, </w:t>
      </w:r>
      <w:r w:rsidRPr="00FA1B0D">
        <w:rPr>
          <w:i/>
          <w:iCs/>
        </w:rPr>
        <w:t>Tecumseh A Life</w:t>
      </w:r>
      <w:r w:rsidRPr="00FA1B0D">
        <w:t>, p.</w:t>
      </w:r>
      <w:r>
        <w:t>p.</w:t>
      </w:r>
      <w:r w:rsidRPr="00FA1B0D">
        <w:t xml:space="preserve"> ix</w:t>
      </w:r>
      <w:r>
        <w:t>, 22,23.</w:t>
      </w:r>
    </w:p>
  </w:footnote>
  <w:footnote w:id="88">
    <w:p w14:paraId="7B1A533A" w14:textId="77777777" w:rsidR="00344013" w:rsidRDefault="00344013" w:rsidP="00344013">
      <w:pPr>
        <w:pStyle w:val="FootnoteText"/>
      </w:pPr>
      <w:r>
        <w:rPr>
          <w:rStyle w:val="FootnoteReference"/>
        </w:rPr>
        <w:footnoteRef/>
      </w:r>
      <w:r>
        <w:t xml:space="preserve"> </w:t>
      </w:r>
      <w:r w:rsidRPr="00165BF1">
        <w:t xml:space="preserve">Sami </w:t>
      </w:r>
      <w:proofErr w:type="spellStart"/>
      <w:r w:rsidRPr="00165BF1">
        <w:t>Lakomaki</w:t>
      </w:r>
      <w:proofErr w:type="spellEnd"/>
      <w:r w:rsidRPr="00165BF1">
        <w:t>, </w:t>
      </w:r>
      <w:proofErr w:type="gramStart"/>
      <w:r w:rsidRPr="00165BF1">
        <w:rPr>
          <w:i/>
          <w:iCs/>
        </w:rPr>
        <w:t>Gathering Together</w:t>
      </w:r>
      <w:proofErr w:type="gramEnd"/>
      <w:r w:rsidRPr="00165BF1">
        <w:rPr>
          <w:i/>
          <w:iCs/>
        </w:rPr>
        <w:t xml:space="preserve"> the Shawnee People through Diaspora and Nationhood, 1600-1870</w:t>
      </w:r>
      <w:r w:rsidRPr="00165BF1">
        <w:t> (New Haven: Yale University Press, 2014)</w:t>
      </w:r>
      <w:r>
        <w:t>, p.p. 13, 18, 26, 27, 30, 33</w:t>
      </w:r>
      <w:r w:rsidRPr="00110634">
        <w:t>, 34.</w:t>
      </w:r>
    </w:p>
  </w:footnote>
  <w:footnote w:id="89">
    <w:p w14:paraId="3BF7C4DE" w14:textId="77777777" w:rsidR="00344013" w:rsidRPr="007A1FDA" w:rsidRDefault="00344013" w:rsidP="00344013">
      <w:pPr>
        <w:pStyle w:val="FootnoteText"/>
      </w:pPr>
      <w:r>
        <w:rPr>
          <w:rStyle w:val="FootnoteReference"/>
        </w:rPr>
        <w:footnoteRef/>
      </w:r>
      <w:r>
        <w:t xml:space="preserve"> </w:t>
      </w:r>
      <w:r w:rsidRPr="007A1FDA">
        <w:t>YouTube, Tracy Derks, Tecumseh</w:t>
      </w:r>
      <w:r>
        <w:t>,</w:t>
      </w:r>
    </w:p>
    <w:p w14:paraId="2B484899" w14:textId="77777777" w:rsidR="00344013" w:rsidRDefault="00344013" w:rsidP="00344013">
      <w:pPr>
        <w:pStyle w:val="FootnoteText"/>
      </w:pPr>
      <w:hyperlink r:id="rId12" w:history="1">
        <w:r w:rsidRPr="007A1FDA">
          <w:rPr>
            <w:rStyle w:val="Hyperlink"/>
          </w:rPr>
          <w:t>https://www.youtube.com/watch?v=see_1N1NTEU&amp;t=587s</w:t>
        </w:r>
      </w:hyperlink>
      <w:r w:rsidRPr="007A1FDA">
        <w:t xml:space="preserve"> </w:t>
      </w:r>
      <w:r>
        <w:t>[accessed 07/01/22].</w:t>
      </w:r>
    </w:p>
  </w:footnote>
  <w:footnote w:id="90">
    <w:p w14:paraId="0F15E828" w14:textId="77777777" w:rsidR="00344013" w:rsidRDefault="00344013" w:rsidP="00344013">
      <w:pPr>
        <w:pStyle w:val="FootnoteText"/>
      </w:pPr>
      <w:r>
        <w:rPr>
          <w:rStyle w:val="FootnoteReference"/>
        </w:rPr>
        <w:footnoteRef/>
      </w:r>
      <w:r w:rsidRPr="00927695">
        <w:t xml:space="preserve"> </w:t>
      </w:r>
      <w:bookmarkStart w:id="16" w:name="_Hlk99356574"/>
      <w:r w:rsidRPr="00927695">
        <w:t>Sugden, </w:t>
      </w:r>
      <w:r w:rsidRPr="00927695">
        <w:rPr>
          <w:i/>
          <w:iCs/>
        </w:rPr>
        <w:t>Tecumseh A Life</w:t>
      </w:r>
      <w:r>
        <w:t xml:space="preserve">, </w:t>
      </w:r>
      <w:bookmarkEnd w:id="16"/>
      <w:r>
        <w:t>p. 9.</w:t>
      </w:r>
    </w:p>
  </w:footnote>
  <w:footnote w:id="91">
    <w:p w14:paraId="56780073" w14:textId="77777777" w:rsidR="00344013" w:rsidRDefault="00344013" w:rsidP="00344013">
      <w:pPr>
        <w:pStyle w:val="FootnoteText"/>
      </w:pPr>
      <w:r>
        <w:rPr>
          <w:rStyle w:val="FootnoteReference"/>
        </w:rPr>
        <w:footnoteRef/>
      </w:r>
      <w:r>
        <w:t xml:space="preserve"> </w:t>
      </w:r>
      <w:proofErr w:type="spellStart"/>
      <w:r w:rsidRPr="00461F60">
        <w:t>Whicker</w:t>
      </w:r>
      <w:proofErr w:type="spellEnd"/>
      <w:r w:rsidRPr="00461F60">
        <w:t xml:space="preserve">, 'Tecumseh and </w:t>
      </w:r>
      <w:proofErr w:type="spellStart"/>
      <w:r w:rsidRPr="00461F60">
        <w:t>Pushmataha</w:t>
      </w:r>
      <w:proofErr w:type="spellEnd"/>
      <w:r w:rsidRPr="00461F60">
        <w:t xml:space="preserve">', </w:t>
      </w:r>
      <w:r>
        <w:t>p. 316.</w:t>
      </w:r>
    </w:p>
  </w:footnote>
  <w:footnote w:id="92">
    <w:p w14:paraId="54B62547" w14:textId="77777777" w:rsidR="00344013" w:rsidRDefault="00344013" w:rsidP="00344013">
      <w:pPr>
        <w:pStyle w:val="FootnoteText"/>
      </w:pPr>
      <w:r>
        <w:rPr>
          <w:rStyle w:val="FootnoteReference"/>
        </w:rPr>
        <w:footnoteRef/>
      </w:r>
      <w:r>
        <w:t xml:space="preserve"> W</w:t>
      </w:r>
      <w:r w:rsidRPr="00A876D5">
        <w:t>hite, </w:t>
      </w:r>
      <w:r w:rsidRPr="00A876D5">
        <w:rPr>
          <w:i/>
          <w:iCs/>
        </w:rPr>
        <w:t>The Middle Ground</w:t>
      </w:r>
      <w:r>
        <w:t>, p. 519.</w:t>
      </w:r>
    </w:p>
  </w:footnote>
  <w:footnote w:id="93">
    <w:p w14:paraId="6AC0E50A" w14:textId="77777777" w:rsidR="00344013" w:rsidRPr="00022955" w:rsidRDefault="00344013" w:rsidP="00344013">
      <w:pPr>
        <w:pStyle w:val="FootnoteText"/>
      </w:pPr>
      <w:r>
        <w:rPr>
          <w:rStyle w:val="FootnoteReference"/>
        </w:rPr>
        <w:footnoteRef/>
      </w:r>
      <w:r>
        <w:t xml:space="preserve"> </w:t>
      </w:r>
      <w:r w:rsidRPr="00022955">
        <w:t>White, </w:t>
      </w:r>
      <w:r w:rsidRPr="00022955">
        <w:rPr>
          <w:i/>
          <w:iCs/>
        </w:rPr>
        <w:t>The Middle Ground</w:t>
      </w:r>
      <w:r w:rsidRPr="00022955">
        <w:t>, p.p. 518, 519.</w:t>
      </w:r>
    </w:p>
    <w:p w14:paraId="051F9F15" w14:textId="77777777" w:rsidR="00344013" w:rsidRDefault="00344013" w:rsidP="00344013">
      <w:pPr>
        <w:pStyle w:val="FootnoteText"/>
      </w:pPr>
    </w:p>
  </w:footnote>
  <w:footnote w:id="94">
    <w:p w14:paraId="29269211" w14:textId="77777777" w:rsidR="00344013" w:rsidRDefault="00344013" w:rsidP="00344013">
      <w:pPr>
        <w:pStyle w:val="FootnoteText"/>
      </w:pPr>
      <w:r>
        <w:rPr>
          <w:rStyle w:val="FootnoteReference"/>
        </w:rPr>
        <w:footnoteRef/>
      </w:r>
      <w:r>
        <w:t xml:space="preserve"> </w:t>
      </w:r>
      <w:r w:rsidRPr="005D5B25">
        <w:t>Ott, 'Battle Station MoMA</w:t>
      </w:r>
      <w:r>
        <w:t>, p.p. 79, 81, 82.</w:t>
      </w:r>
    </w:p>
  </w:footnote>
  <w:footnote w:id="95">
    <w:p w14:paraId="47BE5ACF" w14:textId="77777777" w:rsidR="00344013" w:rsidRDefault="00344013" w:rsidP="00344013">
      <w:pPr>
        <w:pStyle w:val="FootnoteText"/>
      </w:pPr>
      <w:r>
        <w:rPr>
          <w:rStyle w:val="FootnoteReference"/>
        </w:rPr>
        <w:footnoteRef/>
      </w:r>
      <w:r>
        <w:t xml:space="preserve"> </w:t>
      </w:r>
      <w:r w:rsidRPr="008444B5">
        <w:t>French, </w:t>
      </w:r>
      <w:r w:rsidRPr="008444B5">
        <w:rPr>
          <w:i/>
          <w:iCs/>
        </w:rPr>
        <w:t>Legislating Indian Country</w:t>
      </w:r>
      <w:r>
        <w:rPr>
          <w:i/>
          <w:iCs/>
        </w:rPr>
        <w:t xml:space="preserve">, </w:t>
      </w:r>
      <w:r>
        <w:t>p. 102.</w:t>
      </w:r>
    </w:p>
  </w:footnote>
  <w:footnote w:id="96">
    <w:p w14:paraId="6CAE9FB9" w14:textId="77777777" w:rsidR="00344013" w:rsidRDefault="00344013" w:rsidP="00344013">
      <w:pPr>
        <w:pStyle w:val="FootnoteText"/>
      </w:pPr>
      <w:r>
        <w:rPr>
          <w:rStyle w:val="FootnoteReference"/>
        </w:rPr>
        <w:footnoteRef/>
      </w:r>
      <w:r>
        <w:t xml:space="preserve"> </w:t>
      </w:r>
      <w:r w:rsidRPr="00493992">
        <w:t>Romare Bearden, Sam Gilliam Jr., Richard Hunt, Jacob Lawrence, Tom Lloyd, William Williams</w:t>
      </w:r>
      <w:r>
        <w:t>,</w:t>
      </w:r>
      <w:r w:rsidRPr="00493992">
        <w:t xml:space="preserve"> and Hale Woodruff, 'The Black Artist in America: A Symposium', </w:t>
      </w:r>
      <w:r w:rsidRPr="00493992">
        <w:rPr>
          <w:i/>
          <w:iCs/>
        </w:rPr>
        <w:t>The Metropolitan Museum of Art Bulletin, </w:t>
      </w:r>
      <w:r w:rsidRPr="00493992">
        <w:t>27 (1969)</w:t>
      </w:r>
      <w:r>
        <w:t xml:space="preserve"> p. 246.</w:t>
      </w:r>
    </w:p>
  </w:footnote>
  <w:footnote w:id="97">
    <w:p w14:paraId="023264F6" w14:textId="77777777" w:rsidR="00344013" w:rsidRDefault="00344013" w:rsidP="00344013">
      <w:pPr>
        <w:pStyle w:val="FootnoteText"/>
      </w:pPr>
      <w:r>
        <w:rPr>
          <w:rStyle w:val="FootnoteReference"/>
        </w:rPr>
        <w:footnoteRef/>
      </w:r>
      <w:r>
        <w:t xml:space="preserve"> </w:t>
      </w:r>
      <w:r w:rsidRPr="006C1F10">
        <w:t>Ott, 'Battle Station MoMA,</w:t>
      </w:r>
      <w:r>
        <w:t xml:space="preserve"> p. 82.</w:t>
      </w:r>
    </w:p>
  </w:footnote>
  <w:footnote w:id="98">
    <w:p w14:paraId="6257E272" w14:textId="77777777" w:rsidR="00344013" w:rsidRDefault="00344013" w:rsidP="00344013">
      <w:pPr>
        <w:pStyle w:val="FootnoteText"/>
      </w:pPr>
      <w:r>
        <w:rPr>
          <w:rStyle w:val="FootnoteReference"/>
        </w:rPr>
        <w:footnoteRef/>
      </w:r>
      <w:r>
        <w:t xml:space="preserve"> </w:t>
      </w:r>
      <w:r w:rsidRPr="00DD684B">
        <w:t>Sugden, </w:t>
      </w:r>
      <w:r w:rsidRPr="00DD684B">
        <w:rPr>
          <w:i/>
          <w:iCs/>
        </w:rPr>
        <w:t>Tecumseh A Life</w:t>
      </w:r>
      <w:r w:rsidRPr="00DD684B">
        <w:t>,</w:t>
      </w:r>
      <w:r>
        <w:t xml:space="preserve"> p. 24.</w:t>
      </w:r>
    </w:p>
  </w:footnote>
  <w:footnote w:id="99">
    <w:p w14:paraId="60970848" w14:textId="77777777" w:rsidR="00344013" w:rsidRDefault="00344013" w:rsidP="00344013">
      <w:pPr>
        <w:pStyle w:val="FootnoteText"/>
      </w:pPr>
      <w:r>
        <w:rPr>
          <w:rStyle w:val="FootnoteReference"/>
        </w:rPr>
        <w:footnoteRef/>
      </w:r>
      <w:r>
        <w:t xml:space="preserve"> Harkins </w:t>
      </w:r>
      <w:r w:rsidRPr="00AE499D">
        <w:t>Wheat, </w:t>
      </w:r>
      <w:r w:rsidRPr="00AE499D">
        <w:rPr>
          <w:i/>
          <w:iCs/>
        </w:rPr>
        <w:t>Jacob Lawrence American Painter</w:t>
      </w:r>
      <w:r>
        <w:rPr>
          <w:i/>
          <w:iCs/>
        </w:rPr>
        <w:t>,</w:t>
      </w:r>
      <w:r w:rsidRPr="00AE499D">
        <w:t> </w:t>
      </w:r>
      <w:r>
        <w:t>31.</w:t>
      </w:r>
    </w:p>
  </w:footnote>
  <w:footnote w:id="100">
    <w:p w14:paraId="1D258CF9" w14:textId="77777777" w:rsidR="00344013" w:rsidRDefault="00344013" w:rsidP="00344013">
      <w:pPr>
        <w:pStyle w:val="FootnoteText"/>
      </w:pPr>
      <w:r>
        <w:rPr>
          <w:rStyle w:val="FootnoteReference"/>
        </w:rPr>
        <w:footnoteRef/>
      </w:r>
      <w:r w:rsidRPr="00652E6F">
        <w:t xml:space="preserve"> Painter, </w:t>
      </w:r>
      <w:r w:rsidRPr="00652E6F">
        <w:rPr>
          <w:i/>
          <w:iCs/>
        </w:rPr>
        <w:t>Creating Black Americans</w:t>
      </w:r>
      <w:r>
        <w:t xml:space="preserve">, p.p. 220, 221, 222, 224, 225, </w:t>
      </w:r>
      <w:r w:rsidRPr="00C21916">
        <w:t>228.</w:t>
      </w:r>
    </w:p>
  </w:footnote>
  <w:footnote w:id="101">
    <w:p w14:paraId="449DE5A1" w14:textId="77777777" w:rsidR="00344013" w:rsidRDefault="00344013" w:rsidP="00344013">
      <w:pPr>
        <w:pStyle w:val="FootnoteText"/>
      </w:pPr>
      <w:r>
        <w:rPr>
          <w:rStyle w:val="FootnoteReference"/>
        </w:rPr>
        <w:footnoteRef/>
      </w:r>
      <w:r>
        <w:t xml:space="preserve"> </w:t>
      </w:r>
      <w:r w:rsidRPr="00535B8C">
        <w:t>Harkins Wheat, </w:t>
      </w:r>
      <w:r w:rsidRPr="00535B8C">
        <w:rPr>
          <w:i/>
          <w:iCs/>
        </w:rPr>
        <w:t>Jacob Lawrence American Painter</w:t>
      </w:r>
      <w:r>
        <w:t>, p.p. 69, 70.</w:t>
      </w:r>
    </w:p>
  </w:footnote>
  <w:footnote w:id="102">
    <w:p w14:paraId="787F1BAA" w14:textId="77777777" w:rsidR="00344013" w:rsidRDefault="00344013" w:rsidP="00344013">
      <w:pPr>
        <w:pStyle w:val="FootnoteText"/>
      </w:pPr>
      <w:r>
        <w:rPr>
          <w:rStyle w:val="FootnoteReference"/>
        </w:rPr>
        <w:footnoteRef/>
      </w:r>
      <w:r>
        <w:t xml:space="preserve"> </w:t>
      </w:r>
      <w:r w:rsidRPr="008A4143">
        <w:t>Ott, 'Battle Station MoMA</w:t>
      </w:r>
      <w:r>
        <w:t>, p. 62.</w:t>
      </w:r>
    </w:p>
  </w:footnote>
  <w:footnote w:id="103">
    <w:p w14:paraId="3F554238" w14:textId="77777777" w:rsidR="00344013" w:rsidRDefault="00344013" w:rsidP="00344013">
      <w:pPr>
        <w:pStyle w:val="FootnoteText"/>
      </w:pPr>
      <w:r>
        <w:rPr>
          <w:rStyle w:val="FootnoteReference"/>
        </w:rPr>
        <w:footnoteRef/>
      </w:r>
      <w:r>
        <w:t xml:space="preserve"> </w:t>
      </w:r>
      <w:r w:rsidRPr="00535B8C">
        <w:t>Harkins Wheat, </w:t>
      </w:r>
      <w:r w:rsidRPr="00535B8C">
        <w:rPr>
          <w:i/>
          <w:iCs/>
        </w:rPr>
        <w:t>Jacob Lawrence American Painter</w:t>
      </w:r>
      <w:r>
        <w:t>, p. 71.</w:t>
      </w:r>
    </w:p>
  </w:footnote>
  <w:footnote w:id="104">
    <w:p w14:paraId="44DA22C1" w14:textId="77777777" w:rsidR="00344013" w:rsidRDefault="00344013" w:rsidP="00344013">
      <w:pPr>
        <w:pStyle w:val="FootnoteText"/>
      </w:pPr>
      <w:r>
        <w:rPr>
          <w:rStyle w:val="FootnoteReference"/>
        </w:rPr>
        <w:footnoteRef/>
      </w:r>
      <w:r>
        <w:t xml:space="preserve"> </w:t>
      </w:r>
      <w:bookmarkStart w:id="17" w:name="_Hlk99442249"/>
      <w:proofErr w:type="spellStart"/>
      <w:r>
        <w:t>Artnet</w:t>
      </w:r>
      <w:proofErr w:type="spellEnd"/>
      <w:r>
        <w:t xml:space="preserve">, 2021, </w:t>
      </w:r>
      <w:r w:rsidRPr="0030039A">
        <w:t xml:space="preserve">A Cache of Photos </w:t>
      </w:r>
      <w:r>
        <w:t>f</w:t>
      </w:r>
      <w:r w:rsidRPr="0030039A">
        <w:t>rom an Early MoMA Exhibition Offers New Clues About a Group of Lost Jacob Lawrence Paintings</w:t>
      </w:r>
      <w:r>
        <w:t xml:space="preserve">, </w:t>
      </w:r>
    </w:p>
    <w:p w14:paraId="7F7419BB" w14:textId="77777777" w:rsidR="00344013" w:rsidRDefault="00344013" w:rsidP="00344013">
      <w:pPr>
        <w:pStyle w:val="FootnoteText"/>
      </w:pPr>
      <w:hyperlink r:id="rId13" w:history="1">
        <w:r w:rsidRPr="00D61143">
          <w:rPr>
            <w:rStyle w:val="Hyperlink"/>
          </w:rPr>
          <w:t>https://news.artnet.com/market/early-moma-exhibition-jacob-lawrence-paintings-1954313</w:t>
        </w:r>
      </w:hyperlink>
      <w:r>
        <w:t xml:space="preserve"> [accessed 20/03/22].</w:t>
      </w:r>
    </w:p>
    <w:bookmarkEnd w:id="17"/>
  </w:footnote>
  <w:footnote w:id="105">
    <w:p w14:paraId="240C100C" w14:textId="77777777" w:rsidR="00344013" w:rsidRPr="00D75198" w:rsidRDefault="00344013" w:rsidP="00344013">
      <w:pPr>
        <w:pStyle w:val="FootnoteText"/>
      </w:pPr>
      <w:r>
        <w:rPr>
          <w:rStyle w:val="FootnoteReference"/>
        </w:rPr>
        <w:footnoteRef/>
      </w:r>
      <w:r>
        <w:t xml:space="preserve"> </w:t>
      </w:r>
      <w:proofErr w:type="spellStart"/>
      <w:r w:rsidRPr="00D75198">
        <w:t>Artnet</w:t>
      </w:r>
      <w:proofErr w:type="spellEnd"/>
      <w:r w:rsidRPr="00D75198">
        <w:t xml:space="preserve">, 2021, A Cache of Photos from an Early MoMA Exhibition Offers New Clues About a Group of Lost Jacob Lawrence Paintings, </w:t>
      </w:r>
    </w:p>
    <w:p w14:paraId="7DD07299" w14:textId="77777777" w:rsidR="00344013" w:rsidRPr="00D75198" w:rsidRDefault="00344013" w:rsidP="00344013">
      <w:pPr>
        <w:pStyle w:val="FootnoteText"/>
      </w:pPr>
      <w:hyperlink r:id="rId14" w:history="1">
        <w:r w:rsidRPr="00D75198">
          <w:rPr>
            <w:rStyle w:val="Hyperlink"/>
          </w:rPr>
          <w:t>https://news.artnet.com/market/early-moma-exhibition-jacob-lawrence-paintings-1954313</w:t>
        </w:r>
      </w:hyperlink>
      <w:r w:rsidRPr="00D75198">
        <w:t xml:space="preserve"> [</w:t>
      </w:r>
      <w:r>
        <w:t xml:space="preserve">accessed </w:t>
      </w:r>
      <w:r w:rsidRPr="00D75198">
        <w:t>20/03/22].</w:t>
      </w:r>
    </w:p>
    <w:p w14:paraId="40C95A68" w14:textId="77777777" w:rsidR="00344013" w:rsidRDefault="00344013" w:rsidP="00344013">
      <w:pPr>
        <w:pStyle w:val="FootnoteText"/>
      </w:pPr>
    </w:p>
  </w:footnote>
  <w:footnote w:id="106">
    <w:p w14:paraId="079E2752" w14:textId="77777777" w:rsidR="00344013" w:rsidRDefault="00344013" w:rsidP="00344013">
      <w:pPr>
        <w:pStyle w:val="FootnoteText"/>
      </w:pPr>
      <w:r>
        <w:rPr>
          <w:rStyle w:val="FootnoteReference"/>
        </w:rPr>
        <w:footnoteRef/>
      </w:r>
      <w:r>
        <w:t xml:space="preserve"> Seattle Office of Arts and Culture, 1995, Celebration of Heritage,</w:t>
      </w:r>
    </w:p>
    <w:p w14:paraId="5957189B" w14:textId="77777777" w:rsidR="00344013" w:rsidRDefault="00344013" w:rsidP="00344013">
      <w:pPr>
        <w:pStyle w:val="FootnoteText"/>
      </w:pPr>
      <w:hyperlink r:id="rId15" w:history="1">
        <w:r w:rsidRPr="008E1857">
          <w:rPr>
            <w:rStyle w:val="Hyperlink"/>
          </w:rPr>
          <w:t>https://seattlearts.emuseum.com/objects/7/celebration-of-heritage</w:t>
        </w:r>
      </w:hyperlink>
      <w:r>
        <w:t xml:space="preserve"> [accessed 30/03/22].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7B7F54"/>
    <w:multiLevelType w:val="hybridMultilevel"/>
    <w:tmpl w:val="24CCF14E"/>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321599D"/>
    <w:multiLevelType w:val="hybridMultilevel"/>
    <w:tmpl w:val="2BFEFC62"/>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E234189"/>
    <w:multiLevelType w:val="hybridMultilevel"/>
    <w:tmpl w:val="B5A293A2"/>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72828F9"/>
    <w:multiLevelType w:val="hybridMultilevel"/>
    <w:tmpl w:val="1A0ED1DA"/>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3FB"/>
    <w:rsid w:val="00002F7A"/>
    <w:rsid w:val="000070C8"/>
    <w:rsid w:val="0006662C"/>
    <w:rsid w:val="000C5EAE"/>
    <w:rsid w:val="000E5436"/>
    <w:rsid w:val="00152E1A"/>
    <w:rsid w:val="001904B1"/>
    <w:rsid w:val="001F78B2"/>
    <w:rsid w:val="00201F63"/>
    <w:rsid w:val="00235CC4"/>
    <w:rsid w:val="002C6065"/>
    <w:rsid w:val="00344013"/>
    <w:rsid w:val="00367427"/>
    <w:rsid w:val="00391876"/>
    <w:rsid w:val="00407034"/>
    <w:rsid w:val="00462E2F"/>
    <w:rsid w:val="004A7890"/>
    <w:rsid w:val="004B5E7E"/>
    <w:rsid w:val="004D06CD"/>
    <w:rsid w:val="00542769"/>
    <w:rsid w:val="005F3FB0"/>
    <w:rsid w:val="006A56BA"/>
    <w:rsid w:val="006C6341"/>
    <w:rsid w:val="006F7F82"/>
    <w:rsid w:val="007054BF"/>
    <w:rsid w:val="00712EB4"/>
    <w:rsid w:val="0072282D"/>
    <w:rsid w:val="00755F69"/>
    <w:rsid w:val="007B3855"/>
    <w:rsid w:val="007C22F2"/>
    <w:rsid w:val="007F2DDF"/>
    <w:rsid w:val="008E53FB"/>
    <w:rsid w:val="00917902"/>
    <w:rsid w:val="00980FF8"/>
    <w:rsid w:val="009B4CBB"/>
    <w:rsid w:val="009F7A3F"/>
    <w:rsid w:val="00AE5246"/>
    <w:rsid w:val="00AE770F"/>
    <w:rsid w:val="00AF464F"/>
    <w:rsid w:val="00B05BD2"/>
    <w:rsid w:val="00B211C4"/>
    <w:rsid w:val="00B5309F"/>
    <w:rsid w:val="00C23F3A"/>
    <w:rsid w:val="00D53D83"/>
    <w:rsid w:val="00E0759D"/>
    <w:rsid w:val="00F33D78"/>
    <w:rsid w:val="00F344C9"/>
    <w:rsid w:val="00F83D1B"/>
    <w:rsid w:val="00F965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A1A057"/>
  <w15:chartTrackingRefBased/>
  <w15:docId w15:val="{9E96578B-B8D1-4CF9-84F8-7FFA055B8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3FB"/>
    <w:rPr>
      <w:color w:val="0563C1" w:themeColor="hyperlink"/>
      <w:u w:val="single"/>
    </w:rPr>
  </w:style>
  <w:style w:type="paragraph" w:styleId="FootnoteText">
    <w:name w:val="footnote text"/>
    <w:basedOn w:val="Normal"/>
    <w:link w:val="FootnoteTextChar"/>
    <w:uiPriority w:val="99"/>
    <w:semiHidden/>
    <w:unhideWhenUsed/>
    <w:rsid w:val="008E53F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53FB"/>
    <w:rPr>
      <w:sz w:val="20"/>
      <w:szCs w:val="20"/>
    </w:rPr>
  </w:style>
  <w:style w:type="character" w:styleId="FootnoteReference">
    <w:name w:val="footnote reference"/>
    <w:basedOn w:val="DefaultParagraphFont"/>
    <w:uiPriority w:val="99"/>
    <w:semiHidden/>
    <w:unhideWhenUsed/>
    <w:rsid w:val="008E53FB"/>
    <w:rPr>
      <w:vertAlign w:val="superscript"/>
    </w:rPr>
  </w:style>
  <w:style w:type="character" w:styleId="UnresolvedMention">
    <w:name w:val="Unresolved Mention"/>
    <w:basedOn w:val="DefaultParagraphFont"/>
    <w:uiPriority w:val="99"/>
    <w:semiHidden/>
    <w:unhideWhenUsed/>
    <w:rsid w:val="00344013"/>
    <w:rPr>
      <w:color w:val="605E5C"/>
      <w:shd w:val="clear" w:color="auto" w:fill="E1DFDD"/>
    </w:rPr>
  </w:style>
  <w:style w:type="paragraph" w:styleId="NoSpacing">
    <w:name w:val="No Spacing"/>
    <w:link w:val="NoSpacingChar"/>
    <w:uiPriority w:val="1"/>
    <w:qFormat/>
    <w:rsid w:val="00AF46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464F"/>
    <w:rPr>
      <w:rFonts w:eastAsiaTheme="minorEastAsia"/>
      <w:lang w:val="en-US"/>
    </w:rPr>
  </w:style>
  <w:style w:type="paragraph" w:styleId="Header">
    <w:name w:val="header"/>
    <w:basedOn w:val="Normal"/>
    <w:link w:val="HeaderChar"/>
    <w:uiPriority w:val="99"/>
    <w:unhideWhenUsed/>
    <w:rsid w:val="00F33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D78"/>
  </w:style>
  <w:style w:type="paragraph" w:styleId="Footer">
    <w:name w:val="footer"/>
    <w:basedOn w:val="Normal"/>
    <w:link w:val="FooterChar"/>
    <w:uiPriority w:val="99"/>
    <w:unhideWhenUsed/>
    <w:rsid w:val="00F33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customXml" Target="ink/ink10.xml"/><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hyperlink" Target="https://www.youtube.com/watch?v=FBS_ZmvFZDQ" TargetMode="External"/><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customXml" Target="ink/ink9.xml"/><Relationship Id="rId33" Type="http://schemas.openxmlformats.org/officeDocument/2006/relationships/hyperlink" Target="https://www.youtube.com/watch?v=7t-fLpNdSxA"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customXml" Target="ink/ink8.xml"/><Relationship Id="rId32" Type="http://schemas.openxmlformats.org/officeDocument/2006/relationships/hyperlink" Target="https://www.smithsonianmag.com/history/andre-michaux-scandal-thomas-jefferson-180977946/" TargetMode="External"/><Relationship Id="rId37" Type="http://schemas.openxmlformats.org/officeDocument/2006/relationships/hyperlink" Target="https://www.youtube.com/watch?v=see_1N1NTEU&amp;t=587s"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ustomXml" Target="ink/ink5.xml"/><Relationship Id="rId23" Type="http://schemas.openxmlformats.org/officeDocument/2006/relationships/customXml" Target="ink/ink7.xml"/><Relationship Id="rId28" Type="http://schemas.openxmlformats.org/officeDocument/2006/relationships/image" Target="media/image11.png"/><Relationship Id="rId36" Type="http://schemas.openxmlformats.org/officeDocument/2006/relationships/hyperlink" Target="https://www.youtube.com/watch?v=7t-fLpNdSxA"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yperlink" Target="https://www.pem.org/jacob-lawrence-the-american-struggle-panels"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customXml" Target="ink/ink6.xml"/><Relationship Id="rId27" Type="http://schemas.openxmlformats.org/officeDocument/2006/relationships/image" Target="media/image10.png"/><Relationship Id="rId30" Type="http://schemas.openxmlformats.org/officeDocument/2006/relationships/hyperlink" Target="https://news.artnet.com/market/early-moma-exhibition-jacob-lawrence-paintings-1954313" TargetMode="External"/><Relationship Id="rId35" Type="http://schemas.openxmlformats.org/officeDocument/2006/relationships/hyperlink" Target="https://www.youtube.com/watch?v=eBVCHw1IIG0"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7t-fLpNdSxA" TargetMode="External"/><Relationship Id="rId13" Type="http://schemas.openxmlformats.org/officeDocument/2006/relationships/hyperlink" Target="https://news.artnet.com/market/early-moma-exhibition-jacob-lawrence-paintings-1954313" TargetMode="External"/><Relationship Id="rId3" Type="http://schemas.openxmlformats.org/officeDocument/2006/relationships/hyperlink" Target="https://www.pem.org/jacob-lawrence-the-american-struggle-panels/panel-3" TargetMode="External"/><Relationship Id="rId7" Type="http://schemas.openxmlformats.org/officeDocument/2006/relationships/hyperlink" Target="https://www.youtube.com/watch?v=7t-fLpNdSxA" TargetMode="External"/><Relationship Id="rId12" Type="http://schemas.openxmlformats.org/officeDocument/2006/relationships/hyperlink" Target="https://www.youtube.com/watch?v=see_1N1NTEU&amp;t=587s" TargetMode="External"/><Relationship Id="rId2" Type="http://schemas.openxmlformats.org/officeDocument/2006/relationships/hyperlink" Target="https://www.youtube.com/watch?v=eBVCHw1IIG0" TargetMode="External"/><Relationship Id="rId1" Type="http://schemas.openxmlformats.org/officeDocument/2006/relationships/hyperlink" Target="https://www.pem.org/jacob-lawrence-the-american-struggle-panels" TargetMode="External"/><Relationship Id="rId6" Type="http://schemas.openxmlformats.org/officeDocument/2006/relationships/hyperlink" Target="https://www.pem.org/jacob-lawrence-the-american-struggle-panels/panel-3" TargetMode="External"/><Relationship Id="rId11" Type="http://schemas.openxmlformats.org/officeDocument/2006/relationships/hyperlink" Target="https://www.youtube.com/watch?v=FBS_ZmvFZDQ" TargetMode="External"/><Relationship Id="rId5" Type="http://schemas.openxmlformats.org/officeDocument/2006/relationships/hyperlink" Target="https://fineartamerica.com/featured/the-boston-tea-party-luis-arcas-brauner.html" TargetMode="External"/><Relationship Id="rId15" Type="http://schemas.openxmlformats.org/officeDocument/2006/relationships/hyperlink" Target="https://seattlearts.emuseum.com/objects/7/celebration-of-heritage" TargetMode="External"/><Relationship Id="rId10" Type="http://schemas.openxmlformats.org/officeDocument/2006/relationships/hyperlink" Target="https://www.youtube.com/watch?v=see_1N1NTEU&amp;t=587s" TargetMode="External"/><Relationship Id="rId4" Type="http://schemas.openxmlformats.org/officeDocument/2006/relationships/hyperlink" Target="https://fineartamerica.com/featured/the-destruction-of-tea-at-boston-photo-researchers.html" TargetMode="External"/><Relationship Id="rId9" Type="http://schemas.openxmlformats.org/officeDocument/2006/relationships/hyperlink" Target="https://www.pem.org/jacob-lawrence-the-american-struggle-panels/panel-3" TargetMode="External"/><Relationship Id="rId14" Type="http://schemas.openxmlformats.org/officeDocument/2006/relationships/hyperlink" Target="https://news.artnet.com/market/early-moma-exhibition-jacob-lawrence-paintings-1954313"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31T13:54:19.346"/>
    </inkml:context>
    <inkml:brush xml:id="br0">
      <inkml:brushProperty name="width" value="0.04979" units="cm"/>
      <inkml:brushProperty name="height" value="0.04979" units="cm"/>
      <inkml:brushProperty name="color" value="#FFFFFF"/>
    </inkml:brush>
  </inkml:definitions>
  <inkml:trace contextRef="#ctx0" brushRef="#br0">1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31T13:54:19.357"/>
    </inkml:context>
    <inkml:brush xml:id="br0">
      <inkml:brushProperty name="width" value="0.04979" units="cm"/>
      <inkml:brushProperty name="height" value="0.04979" units="cm"/>
      <inkml:brushProperty name="color" value="#FFFFFF"/>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31T13:54:19.358"/>
    </inkml:context>
    <inkml:brush xml:id="br0">
      <inkml:brushProperty name="width" value="0.05" units="cm"/>
      <inkml:brushProperty name="height" value="0.05" units="cm"/>
      <inkml:brushProperty name="color" value="#FFFFFF"/>
    </inkml:brush>
  </inkml:definitions>
  <inkml:trace contextRef="#ctx0" brushRef="#br0">19 16 24575,'2'105'0,"-4"109"0,-5-162 0,-1 29 0,6-43 0,1-26 0,1 0 0,-1 0 0,2-1 0,-1 1 0,2 0 0,0-1 0,0 1 0,6 16 0,-8-27 0,0-1 0,0 0 0,0 1 0,0-1 0,0 0 0,1 0 0,-1 1 0,0-1 0,0 0 0,0 1 0,0-1 0,1 0 0,-1 0 0,0 0 0,0 1 0,0-1 0,1 0 0,-1 0 0,0 0 0,0 1 0,1-1 0,-1 0 0,0 0 0,0 0 0,1 0 0,-1 0 0,0 0 0,1 0 0,-1 0 0,0 1 0,1-1 0,-1 0 0,0 0 0,0 0 0,1-1 0,-1 1 0,0 0 0,1 0 0,-1 0 0,0 0 0,1 0 0,-1 0 0,0 0 0,1-1 0,10-14 0,4-21 0,-11 21 0,-1 0 0,-1 0 0,-1 0 0,0 0 0,-1 0 0,-3-25 0,1 24 0,2 0 0,-1 0 0,2 0 0,0 0 0,6-28 0,5-8 0,8-84 0,-15 90 0,-3 31 0,-1 0 0,0 0 0,-1 0 0,-2-16 0,-3 29 0,-2 10 0,-5 11 0,8-9 0,1 0 0,1 0 0,0 1 0,0-1 0,1 1 0,0 0 0,1-1 0,1 16 0,-2 33 0,1-60 0,0 1 0,0 0 0,0 0 0,0 0 0,0 0 0,0 0 0,-1 0 0,1 0 0,0-1 0,0 1 0,0 0 0,0 0 0,0 0 0,0 0 0,0 0 0,0 0 0,0 0 0,-1 0 0,1 0 0,0 0 0,0 0 0,0-1 0,0 1 0,0 0 0,0 0 0,-1 0 0,1 0 0,0 0 0,0 0 0,0 0 0,0 0 0,0 0 0,0 0 0,-1 0 0,1 0 0,0 0 0,0 0 0,0 1 0,0-1 0,0 0 0,0 0 0,0 0 0,-1 0 0,1 0 0,0 0 0,0 0 0,0 0 0,0 0 0,0 0 0,0 0 0,0 1 0,0-1 0,0 0 0,-1 0 0,1 0 0,0 0 0,0 0 0,0 1 0,-11-22 0,-7-26 0,14 36 0,1 11 0,0 23 0,1 43 0,2-61 0,0 17 173,-1-12-480,1 1-1,0-1 0,1 1 1,2 11-1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31T13:54:19.359"/>
    </inkml:context>
    <inkml:brush xml:id="br0">
      <inkml:brushProperty name="width" value="0.05" units="cm"/>
      <inkml:brushProperty name="height" value="0.05" units="cm"/>
      <inkml:brushProperty name="color" value="#FFFFFF"/>
    </inkml:brush>
  </inkml:definitions>
  <inkml:trace contextRef="#ctx0" brushRef="#br0">0 1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31T13:54:19.360"/>
    </inkml:context>
    <inkml:brush xml:id="br0">
      <inkml:brushProperty name="width" value="0.05" units="cm"/>
      <inkml:brushProperty name="height" value="0.0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9T15:46:42.773"/>
    </inkml:context>
    <inkml:brush xml:id="br0">
      <inkml:brushProperty name="width" value="0.04979" units="cm"/>
      <inkml:brushProperty name="height" value="0.04979" units="cm"/>
      <inkml:brushProperty name="color" value="#FFFFFF"/>
    </inkml:brush>
  </inkml:definitions>
  <inkml:trace contextRef="#ctx0" brushRef="#br0">1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9T15:46:41.644"/>
    </inkml:context>
    <inkml:brush xml:id="br0">
      <inkml:brushProperty name="width" value="0.04979" units="cm"/>
      <inkml:brushProperty name="height" value="0.04979" units="cm"/>
      <inkml:brushProperty name="color" value="#FFFFFF"/>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9T15:46:29.304"/>
    </inkml:context>
    <inkml:brush xml:id="br0">
      <inkml:brushProperty name="width" value="0.05" units="cm"/>
      <inkml:brushProperty name="height" value="0.05" units="cm"/>
      <inkml:brushProperty name="color" value="#FFFFFF"/>
    </inkml:brush>
  </inkml:definitions>
  <inkml:trace contextRef="#ctx0" brushRef="#br0">19 16 24575,'2'105'0,"-4"109"0,-5-162 0,-1 29 0,6-43 0,1-26 0,1 0 0,-1 0 0,2-1 0,-1 1 0,2 0 0,0-1 0,0 1 0,6 16 0,-8-27 0,0-1 0,0 0 0,0 1 0,0-1 0,0 0 0,1 0 0,-1 1 0,0-1 0,0 0 0,0 1 0,0-1 0,1 0 0,-1 0 0,0 0 0,0 1 0,0-1 0,1 0 0,-1 0 0,0 0 0,0 1 0,1-1 0,-1 0 0,0 0 0,0 0 0,1 0 0,-1 0 0,0 0 0,1 0 0,-1 0 0,0 1 0,1-1 0,-1 0 0,0 0 0,0 0 0,1-1 0,-1 1 0,0 0 0,1 0 0,-1 0 0,0 0 0,1 0 0,-1 0 0,0 0 0,1-1 0,10-14 0,4-21 0,-11 21 0,-1 0 0,-1 0 0,-1 0 0,0 0 0,-1 0 0,-3-25 0,1 24 0,2 0 0,-1 0 0,2 0 0,0 0 0,6-28 0,5-8 0,8-84 0,-15 90 0,-3 31 0,-1 0 0,0 0 0,-1 0 0,-2-16 0,-3 29 0,-2 10 0,-5 11 0,8-9 0,1 0 0,1 0 0,0 1 0,0-1 0,1 1 0,0 0 0,1-1 0,1 16 0,-2 33 0,1-60 0,0 1 0,0 0 0,0 0 0,0 0 0,0 0 0,0 0 0,-1 0 0,1 0 0,0-1 0,0 1 0,0 0 0,0 0 0,0 0 0,0 0 0,0 0 0,0 0 0,0 0 0,-1 0 0,1 0 0,0 0 0,0 0 0,0-1 0,0 1 0,0 0 0,0 0 0,-1 0 0,1 0 0,0 0 0,0 0 0,0 0 0,0 0 0,0 0 0,0 0 0,-1 0 0,1 0 0,0 0 0,0 0 0,0 1 0,0-1 0,0 0 0,0 0 0,0 0 0,-1 0 0,1 0 0,0 0 0,0 0 0,0 0 0,0 0 0,0 0 0,0 0 0,0 1 0,0-1 0,0 0 0,-1 0 0,1 0 0,0 0 0,0 0 0,0 1 0,-11-22 0,-7-26 0,14 36 0,1 11 0,0 23 0,1 43 0,2-61 0,0 17 173,-1-12-480,1 1-1,0-1 0,1 1 1,2 11-1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9T15:42:01.097"/>
    </inkml:context>
    <inkml:brush xml:id="br0">
      <inkml:brushProperty name="width" value="0.05" units="cm"/>
      <inkml:brushProperty name="height" value="0.05" units="cm"/>
      <inkml:brushProperty name="color" value="#FFFFFF"/>
    </inkml:brush>
  </inkml:definitions>
  <inkml:trace contextRef="#ctx0" brushRef="#br0">0 1 24575,'0'0'-8191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9T15:38:39.577"/>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 Dissertation History and Heritage: HPHI7012</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65</Pages>
  <Words>17084</Words>
  <Characters>90037</Characters>
  <Application>Microsoft Office Word</Application>
  <DocSecurity>0</DocSecurity>
  <Lines>1526</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EXPLORING THE REPRESENTATIONS OF NATIVE AMERICANS IN THREE PANELS OF JACOB LAWRENCE’S ‘STRUGGLE FROM THE HISTORY OF THE AMERICAN PEOPLE’ COLLECTION</dc:title>
  <dc:subject/>
  <dc:creator>Rosanna Jevon (1602506)</dc:creator>
  <cp:keywords/>
  <dc:description/>
  <cp:lastModifiedBy>Rosanna Jevon (1602506)</cp:lastModifiedBy>
  <cp:revision>2</cp:revision>
  <dcterms:created xsi:type="dcterms:W3CDTF">2022-03-31T20:16:00Z</dcterms:created>
  <dcterms:modified xsi:type="dcterms:W3CDTF">2022-03-31T20:16:00Z</dcterms:modified>
</cp:coreProperties>
</file>