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51DB4" w14:textId="77777777" w:rsidR="00B46E12" w:rsidRDefault="00B46E12">
      <w:pPr>
        <w:spacing w:before="0" w:after="160" w:line="259" w:lineRule="auto"/>
        <w:ind w:left="0" w:right="0" w:firstLine="0"/>
        <w:jc w:val="left"/>
      </w:pPr>
    </w:p>
    <w:p w14:paraId="5B83ED9F" w14:textId="77777777" w:rsidR="00B46E12" w:rsidRDefault="00B46E12">
      <w:pPr>
        <w:spacing w:before="0" w:after="160" w:line="259" w:lineRule="auto"/>
        <w:ind w:left="0" w:right="0" w:firstLine="0"/>
        <w:jc w:val="left"/>
      </w:pPr>
    </w:p>
    <w:p w14:paraId="7C4E3824" w14:textId="77777777" w:rsidR="00B46E12" w:rsidRDefault="00B46E12">
      <w:pPr>
        <w:spacing w:before="0" w:after="160" w:line="259" w:lineRule="auto"/>
        <w:ind w:left="0" w:right="0" w:firstLine="0"/>
        <w:jc w:val="left"/>
      </w:pPr>
    </w:p>
    <w:p w14:paraId="4B165575" w14:textId="77777777" w:rsidR="00B46E12" w:rsidRDefault="00B46E12">
      <w:pPr>
        <w:spacing w:before="0" w:after="160" w:line="259" w:lineRule="auto"/>
        <w:ind w:left="0" w:right="0" w:firstLine="0"/>
        <w:jc w:val="left"/>
      </w:pPr>
    </w:p>
    <w:p w14:paraId="53837DF1" w14:textId="77777777" w:rsidR="00B46E12" w:rsidRDefault="00B46E12">
      <w:pPr>
        <w:spacing w:before="0" w:after="160" w:line="259" w:lineRule="auto"/>
        <w:ind w:left="0" w:right="0" w:firstLine="0"/>
        <w:jc w:val="left"/>
      </w:pPr>
    </w:p>
    <w:p w14:paraId="0A9FC13B" w14:textId="77777777" w:rsidR="00B46E12" w:rsidRDefault="00B46E12" w:rsidP="00B46E12">
      <w:pPr>
        <w:jc w:val="center"/>
        <w:rPr>
          <w:b/>
          <w:bCs/>
          <w:sz w:val="40"/>
          <w:szCs w:val="36"/>
        </w:rPr>
      </w:pPr>
    </w:p>
    <w:p w14:paraId="6DFFB514" w14:textId="77777777" w:rsidR="00B46E12" w:rsidRDefault="00B46E12" w:rsidP="00B46E12">
      <w:pPr>
        <w:jc w:val="center"/>
        <w:rPr>
          <w:b/>
          <w:bCs/>
          <w:sz w:val="40"/>
          <w:szCs w:val="36"/>
        </w:rPr>
      </w:pPr>
    </w:p>
    <w:p w14:paraId="7FD6DBD6" w14:textId="475FD57F" w:rsidR="00B46E12" w:rsidRPr="00B46E12" w:rsidRDefault="00B46E12" w:rsidP="00B46E12">
      <w:pPr>
        <w:jc w:val="center"/>
        <w:rPr>
          <w:b/>
          <w:bCs/>
          <w:sz w:val="28"/>
          <w:szCs w:val="24"/>
        </w:rPr>
      </w:pPr>
      <w:r w:rsidRPr="00B46E12">
        <w:rPr>
          <w:b/>
          <w:bCs/>
          <w:sz w:val="28"/>
          <w:szCs w:val="24"/>
        </w:rPr>
        <w:t>LCBB4001</w:t>
      </w:r>
    </w:p>
    <w:p w14:paraId="1125E011" w14:textId="13A64E23" w:rsidR="00B46E12" w:rsidRDefault="00B46E12" w:rsidP="00B46E12">
      <w:pPr>
        <w:jc w:val="center"/>
        <w:rPr>
          <w:b/>
          <w:bCs/>
          <w:sz w:val="40"/>
          <w:szCs w:val="36"/>
        </w:rPr>
      </w:pPr>
      <w:r w:rsidRPr="00B46E12">
        <w:rPr>
          <w:b/>
          <w:bCs/>
          <w:sz w:val="40"/>
          <w:szCs w:val="36"/>
        </w:rPr>
        <w:t>Assignment- A1</w:t>
      </w:r>
    </w:p>
    <w:p w14:paraId="00C85BD3" w14:textId="77777777" w:rsidR="00C75A55" w:rsidRPr="00B46E12" w:rsidRDefault="00C75A55" w:rsidP="00C75A55">
      <w:pPr>
        <w:jc w:val="center"/>
        <w:rPr>
          <w:b/>
          <w:bCs/>
          <w:sz w:val="40"/>
          <w:szCs w:val="36"/>
        </w:rPr>
      </w:pPr>
      <w:r w:rsidRPr="00B46E12">
        <w:rPr>
          <w:b/>
          <w:bCs/>
          <w:sz w:val="40"/>
          <w:szCs w:val="36"/>
        </w:rPr>
        <w:t>Accounting Fundamentals</w:t>
      </w:r>
    </w:p>
    <w:p w14:paraId="6E104232" w14:textId="65ED12ED" w:rsidR="00C75A55" w:rsidRPr="00B46E12" w:rsidRDefault="00347C75" w:rsidP="00B46E12">
      <w:pPr>
        <w:jc w:val="center"/>
        <w:rPr>
          <w:b/>
          <w:bCs/>
          <w:sz w:val="40"/>
          <w:szCs w:val="36"/>
        </w:rPr>
      </w:pPr>
      <w:r>
        <w:rPr>
          <w:b/>
          <w:bCs/>
          <w:sz w:val="40"/>
          <w:szCs w:val="36"/>
        </w:rPr>
        <w:t xml:space="preserve">Lecturer: Riaz </w:t>
      </w:r>
      <w:proofErr w:type="spellStart"/>
      <w:r>
        <w:rPr>
          <w:b/>
          <w:bCs/>
          <w:sz w:val="40"/>
          <w:szCs w:val="36"/>
        </w:rPr>
        <w:t>Batti</w:t>
      </w:r>
      <w:proofErr w:type="spellEnd"/>
    </w:p>
    <w:p w14:paraId="41A20A45" w14:textId="77777777" w:rsidR="00B46E12" w:rsidRDefault="00B46E12">
      <w:pPr>
        <w:spacing w:before="0" w:after="160" w:line="259" w:lineRule="auto"/>
        <w:ind w:left="0" w:right="0" w:firstLine="0"/>
        <w:jc w:val="left"/>
        <w:rPr>
          <w:rFonts w:ascii="Arial" w:hAnsi="Arial"/>
          <w:b/>
        </w:rPr>
      </w:pPr>
    </w:p>
    <w:p w14:paraId="0243EC5F" w14:textId="77777777" w:rsidR="00B46E12" w:rsidRDefault="00B46E12">
      <w:pPr>
        <w:spacing w:before="0" w:after="160" w:line="259" w:lineRule="auto"/>
        <w:ind w:left="0" w:right="0" w:firstLine="0"/>
        <w:jc w:val="left"/>
        <w:rPr>
          <w:rFonts w:ascii="Arial" w:hAnsi="Arial"/>
          <w:b/>
        </w:rPr>
      </w:pPr>
    </w:p>
    <w:p w14:paraId="651C824C" w14:textId="77777777" w:rsidR="00B46E12" w:rsidRDefault="00B46E12">
      <w:pPr>
        <w:spacing w:before="0" w:after="160" w:line="259" w:lineRule="auto"/>
        <w:ind w:left="0" w:right="0" w:firstLine="0"/>
        <w:jc w:val="left"/>
        <w:rPr>
          <w:rFonts w:ascii="Arial" w:hAnsi="Arial"/>
          <w:b/>
        </w:rPr>
      </w:pPr>
    </w:p>
    <w:p w14:paraId="7ED6C913" w14:textId="77777777" w:rsidR="00B46E12" w:rsidRDefault="00B46E12">
      <w:pPr>
        <w:spacing w:before="0" w:after="160" w:line="259" w:lineRule="auto"/>
        <w:ind w:left="0" w:right="0" w:firstLine="0"/>
        <w:jc w:val="left"/>
        <w:rPr>
          <w:rFonts w:ascii="Arial" w:hAnsi="Arial"/>
          <w:b/>
        </w:rPr>
      </w:pPr>
    </w:p>
    <w:p w14:paraId="6C16EC46" w14:textId="77777777" w:rsidR="00B46E12" w:rsidRDefault="00B46E12">
      <w:pPr>
        <w:spacing w:before="0" w:after="160" w:line="259" w:lineRule="auto"/>
        <w:ind w:left="0" w:right="0" w:firstLine="0"/>
        <w:jc w:val="left"/>
        <w:rPr>
          <w:rFonts w:ascii="Arial" w:hAnsi="Arial"/>
          <w:b/>
        </w:rPr>
      </w:pPr>
    </w:p>
    <w:p w14:paraId="4C8278AA" w14:textId="77777777" w:rsidR="00B46E12" w:rsidRDefault="00B46E12">
      <w:pPr>
        <w:spacing w:before="0" w:after="160" w:line="259" w:lineRule="auto"/>
        <w:ind w:left="0" w:right="0" w:firstLine="0"/>
        <w:jc w:val="left"/>
        <w:rPr>
          <w:rFonts w:ascii="Arial" w:hAnsi="Arial"/>
          <w:b/>
        </w:rPr>
      </w:pPr>
    </w:p>
    <w:p w14:paraId="7108FB1E" w14:textId="5871552B" w:rsidR="00B46E12" w:rsidRPr="00B46E12" w:rsidRDefault="00B46E12" w:rsidP="00B46E12">
      <w:pPr>
        <w:rPr>
          <w:i/>
          <w:iCs/>
        </w:rPr>
      </w:pPr>
      <w:r w:rsidRPr="00B46E12">
        <w:rPr>
          <w:i/>
          <w:iCs/>
        </w:rPr>
        <w:t xml:space="preserve">Student </w:t>
      </w:r>
      <w:r w:rsidR="00347C75" w:rsidRPr="00B46E12">
        <w:rPr>
          <w:i/>
          <w:iCs/>
        </w:rPr>
        <w:t>Name:</w:t>
      </w:r>
      <w:r w:rsidR="00347C75">
        <w:rPr>
          <w:i/>
          <w:iCs/>
        </w:rPr>
        <w:t xml:space="preserve"> Mihail</w:t>
      </w:r>
      <w:r w:rsidR="00980387">
        <w:rPr>
          <w:i/>
          <w:iCs/>
        </w:rPr>
        <w:t xml:space="preserve"> Roussev</w:t>
      </w:r>
    </w:p>
    <w:p w14:paraId="3D42178D" w14:textId="676F9C29" w:rsidR="00B46E12" w:rsidRDefault="00B46E12" w:rsidP="00B46E12">
      <w:pPr>
        <w:rPr>
          <w:rFonts w:eastAsiaTheme="majorEastAsia" w:cstheme="majorBidi"/>
          <w:color w:val="2F5496" w:themeColor="accent1" w:themeShade="BF"/>
          <w:sz w:val="32"/>
          <w:szCs w:val="32"/>
        </w:rPr>
      </w:pPr>
      <w:r w:rsidRPr="00B46E12">
        <w:rPr>
          <w:i/>
          <w:iCs/>
        </w:rPr>
        <w:t>Student ID:</w:t>
      </w:r>
      <w:r w:rsidR="00980387">
        <w:rPr>
          <w:i/>
          <w:iCs/>
        </w:rPr>
        <w:t>2115133</w:t>
      </w:r>
      <w:r>
        <w:br w:type="page"/>
      </w:r>
    </w:p>
    <w:sdt>
      <w:sdtPr>
        <w:rPr>
          <w:rFonts w:ascii="Times New Roman" w:eastAsia="Arial" w:hAnsi="Times New Roman" w:cs="Arial"/>
          <w:color w:val="000000"/>
          <w:sz w:val="24"/>
          <w:szCs w:val="22"/>
        </w:rPr>
        <w:id w:val="2118336170"/>
        <w:docPartObj>
          <w:docPartGallery w:val="Table of Contents"/>
          <w:docPartUnique/>
        </w:docPartObj>
      </w:sdtPr>
      <w:sdtEndPr>
        <w:rPr>
          <w:b/>
          <w:bCs/>
          <w:noProof/>
        </w:rPr>
      </w:sdtEndPr>
      <w:sdtContent>
        <w:p w14:paraId="49411FEE" w14:textId="758309F7" w:rsidR="00B46E12" w:rsidRDefault="00B46E12">
          <w:pPr>
            <w:pStyle w:val="TOCHeading"/>
          </w:pPr>
          <w:r>
            <w:t>Table of Contents</w:t>
          </w:r>
        </w:p>
        <w:p w14:paraId="70BD17E8" w14:textId="316EEDA7" w:rsidR="009921B5" w:rsidRDefault="00B46E12">
          <w:pPr>
            <w:pStyle w:val="TOC1"/>
            <w:tabs>
              <w:tab w:val="right" w:leader="dot" w:pos="9350"/>
            </w:tabs>
            <w:rPr>
              <w:rFonts w:asciiTheme="minorHAnsi" w:eastAsiaTheme="minorEastAsia" w:hAnsiTheme="minorHAnsi" w:cs="Vrinda"/>
              <w:noProof/>
              <w:color w:val="auto"/>
              <w:sz w:val="22"/>
              <w:szCs w:val="28"/>
              <w:lang w:bidi="bn-BD"/>
            </w:rPr>
          </w:pPr>
          <w:r>
            <w:fldChar w:fldCharType="begin"/>
          </w:r>
          <w:r>
            <w:instrText xml:space="preserve"> TOC \o "1-3" \h \z \u </w:instrText>
          </w:r>
          <w:r>
            <w:fldChar w:fldCharType="separate"/>
          </w:r>
          <w:hyperlink w:anchor="_Toc111410360" w:history="1">
            <w:r w:rsidR="009921B5" w:rsidRPr="00F32AF8">
              <w:rPr>
                <w:rStyle w:val="Hyperlink"/>
                <w:noProof/>
              </w:rPr>
              <w:t>Introduction</w:t>
            </w:r>
            <w:r w:rsidR="009921B5">
              <w:rPr>
                <w:noProof/>
                <w:webHidden/>
              </w:rPr>
              <w:tab/>
            </w:r>
            <w:r w:rsidR="009921B5">
              <w:rPr>
                <w:noProof/>
                <w:webHidden/>
              </w:rPr>
              <w:fldChar w:fldCharType="begin"/>
            </w:r>
            <w:r w:rsidR="009921B5">
              <w:rPr>
                <w:noProof/>
                <w:webHidden/>
              </w:rPr>
              <w:instrText xml:space="preserve"> PAGEREF _Toc111410360 \h </w:instrText>
            </w:r>
            <w:r w:rsidR="009921B5">
              <w:rPr>
                <w:noProof/>
                <w:webHidden/>
              </w:rPr>
            </w:r>
            <w:r w:rsidR="009921B5">
              <w:rPr>
                <w:noProof/>
                <w:webHidden/>
              </w:rPr>
              <w:fldChar w:fldCharType="separate"/>
            </w:r>
            <w:r w:rsidR="009921B5">
              <w:rPr>
                <w:noProof/>
                <w:webHidden/>
              </w:rPr>
              <w:t>3</w:t>
            </w:r>
            <w:r w:rsidR="009921B5">
              <w:rPr>
                <w:noProof/>
                <w:webHidden/>
              </w:rPr>
              <w:fldChar w:fldCharType="end"/>
            </w:r>
          </w:hyperlink>
        </w:p>
        <w:p w14:paraId="214B0B2E" w14:textId="7A742675" w:rsidR="009921B5" w:rsidRDefault="00000000">
          <w:pPr>
            <w:pStyle w:val="TOC1"/>
            <w:tabs>
              <w:tab w:val="right" w:leader="dot" w:pos="9350"/>
            </w:tabs>
            <w:rPr>
              <w:rFonts w:asciiTheme="minorHAnsi" w:eastAsiaTheme="minorEastAsia" w:hAnsiTheme="minorHAnsi" w:cs="Vrinda"/>
              <w:noProof/>
              <w:color w:val="auto"/>
              <w:sz w:val="22"/>
              <w:szCs w:val="28"/>
              <w:lang w:bidi="bn-BD"/>
            </w:rPr>
          </w:pPr>
          <w:hyperlink w:anchor="_Toc111410361" w:history="1">
            <w:r w:rsidR="009921B5" w:rsidRPr="00F32AF8">
              <w:rPr>
                <w:rStyle w:val="Hyperlink"/>
                <w:noProof/>
              </w:rPr>
              <w:t>Question 1</w:t>
            </w:r>
            <w:r w:rsidR="009921B5">
              <w:rPr>
                <w:noProof/>
                <w:webHidden/>
              </w:rPr>
              <w:tab/>
            </w:r>
            <w:r w:rsidR="009921B5">
              <w:rPr>
                <w:noProof/>
                <w:webHidden/>
              </w:rPr>
              <w:fldChar w:fldCharType="begin"/>
            </w:r>
            <w:r w:rsidR="009921B5">
              <w:rPr>
                <w:noProof/>
                <w:webHidden/>
              </w:rPr>
              <w:instrText xml:space="preserve"> PAGEREF _Toc111410361 \h </w:instrText>
            </w:r>
            <w:r w:rsidR="009921B5">
              <w:rPr>
                <w:noProof/>
                <w:webHidden/>
              </w:rPr>
            </w:r>
            <w:r w:rsidR="009921B5">
              <w:rPr>
                <w:noProof/>
                <w:webHidden/>
              </w:rPr>
              <w:fldChar w:fldCharType="separate"/>
            </w:r>
            <w:r w:rsidR="009921B5">
              <w:rPr>
                <w:noProof/>
                <w:webHidden/>
              </w:rPr>
              <w:t>4</w:t>
            </w:r>
            <w:r w:rsidR="009921B5">
              <w:rPr>
                <w:noProof/>
                <w:webHidden/>
              </w:rPr>
              <w:fldChar w:fldCharType="end"/>
            </w:r>
          </w:hyperlink>
        </w:p>
        <w:p w14:paraId="56F8ACC4" w14:textId="60A4D02E" w:rsidR="009921B5" w:rsidRDefault="00000000">
          <w:pPr>
            <w:pStyle w:val="TOC2"/>
            <w:tabs>
              <w:tab w:val="right" w:leader="dot" w:pos="9350"/>
            </w:tabs>
            <w:rPr>
              <w:rFonts w:asciiTheme="minorHAnsi" w:eastAsiaTheme="minorEastAsia" w:hAnsiTheme="minorHAnsi" w:cs="Vrinda"/>
              <w:noProof/>
              <w:color w:val="auto"/>
              <w:sz w:val="22"/>
              <w:szCs w:val="28"/>
              <w:lang w:bidi="bn-BD"/>
            </w:rPr>
          </w:pPr>
          <w:hyperlink w:anchor="_Toc111410362" w:history="1">
            <w:r w:rsidR="009921B5" w:rsidRPr="00F32AF8">
              <w:rPr>
                <w:rStyle w:val="Hyperlink"/>
                <w:noProof/>
              </w:rPr>
              <w:t xml:space="preserve">Requirement (a) </w:t>
            </w:r>
            <w:r w:rsidR="009921B5" w:rsidRPr="00F32AF8">
              <w:rPr>
                <w:rStyle w:val="Hyperlink"/>
                <w:rFonts w:eastAsia="Times New Roman" w:cs="Times New Roman"/>
                <w:noProof/>
              </w:rPr>
              <w:t>Preparation of an income statement and balance sheet for the year ended 31</w:t>
            </w:r>
            <w:r w:rsidR="009921B5" w:rsidRPr="00F32AF8">
              <w:rPr>
                <w:rStyle w:val="Hyperlink"/>
                <w:rFonts w:eastAsia="Times New Roman" w:cs="Times New Roman"/>
                <w:noProof/>
                <w:vertAlign w:val="superscript"/>
              </w:rPr>
              <w:t>st</w:t>
            </w:r>
            <w:r w:rsidR="009921B5" w:rsidRPr="00F32AF8">
              <w:rPr>
                <w:rStyle w:val="Hyperlink"/>
                <w:rFonts w:eastAsia="Times New Roman" w:cs="Times New Roman"/>
                <w:noProof/>
              </w:rPr>
              <w:t xml:space="preserve"> December 2021 for Wales plc</w:t>
            </w:r>
            <w:r w:rsidR="009921B5">
              <w:rPr>
                <w:noProof/>
                <w:webHidden/>
              </w:rPr>
              <w:tab/>
            </w:r>
            <w:r w:rsidR="009921B5">
              <w:rPr>
                <w:noProof/>
                <w:webHidden/>
              </w:rPr>
              <w:fldChar w:fldCharType="begin"/>
            </w:r>
            <w:r w:rsidR="009921B5">
              <w:rPr>
                <w:noProof/>
                <w:webHidden/>
              </w:rPr>
              <w:instrText xml:space="preserve"> PAGEREF _Toc111410362 \h </w:instrText>
            </w:r>
            <w:r w:rsidR="009921B5">
              <w:rPr>
                <w:noProof/>
                <w:webHidden/>
              </w:rPr>
            </w:r>
            <w:r w:rsidR="009921B5">
              <w:rPr>
                <w:noProof/>
                <w:webHidden/>
              </w:rPr>
              <w:fldChar w:fldCharType="separate"/>
            </w:r>
            <w:r w:rsidR="009921B5">
              <w:rPr>
                <w:noProof/>
                <w:webHidden/>
              </w:rPr>
              <w:t>4</w:t>
            </w:r>
            <w:r w:rsidR="009921B5">
              <w:rPr>
                <w:noProof/>
                <w:webHidden/>
              </w:rPr>
              <w:fldChar w:fldCharType="end"/>
            </w:r>
          </w:hyperlink>
        </w:p>
        <w:p w14:paraId="1D08B8DE" w14:textId="640494FE" w:rsidR="009921B5" w:rsidRDefault="00000000">
          <w:pPr>
            <w:pStyle w:val="TOC2"/>
            <w:tabs>
              <w:tab w:val="right" w:leader="dot" w:pos="9350"/>
            </w:tabs>
            <w:rPr>
              <w:rFonts w:asciiTheme="minorHAnsi" w:eastAsiaTheme="minorEastAsia" w:hAnsiTheme="minorHAnsi" w:cs="Vrinda"/>
              <w:noProof/>
              <w:color w:val="auto"/>
              <w:sz w:val="22"/>
              <w:szCs w:val="28"/>
              <w:lang w:bidi="bn-BD"/>
            </w:rPr>
          </w:pPr>
          <w:hyperlink w:anchor="_Toc111410363" w:history="1">
            <w:r w:rsidR="009921B5" w:rsidRPr="00F32AF8">
              <w:rPr>
                <w:rStyle w:val="Hyperlink"/>
                <w:noProof/>
              </w:rPr>
              <w:t>Requirement (b) The reason Why a Balance Sheet Balances</w:t>
            </w:r>
            <w:r w:rsidR="009921B5">
              <w:rPr>
                <w:noProof/>
                <w:webHidden/>
              </w:rPr>
              <w:tab/>
            </w:r>
            <w:r w:rsidR="009921B5">
              <w:rPr>
                <w:noProof/>
                <w:webHidden/>
              </w:rPr>
              <w:fldChar w:fldCharType="begin"/>
            </w:r>
            <w:r w:rsidR="009921B5">
              <w:rPr>
                <w:noProof/>
                <w:webHidden/>
              </w:rPr>
              <w:instrText xml:space="preserve"> PAGEREF _Toc111410363 \h </w:instrText>
            </w:r>
            <w:r w:rsidR="009921B5">
              <w:rPr>
                <w:noProof/>
                <w:webHidden/>
              </w:rPr>
            </w:r>
            <w:r w:rsidR="009921B5">
              <w:rPr>
                <w:noProof/>
                <w:webHidden/>
              </w:rPr>
              <w:fldChar w:fldCharType="separate"/>
            </w:r>
            <w:r w:rsidR="009921B5">
              <w:rPr>
                <w:noProof/>
                <w:webHidden/>
              </w:rPr>
              <w:t>7</w:t>
            </w:r>
            <w:r w:rsidR="009921B5">
              <w:rPr>
                <w:noProof/>
                <w:webHidden/>
              </w:rPr>
              <w:fldChar w:fldCharType="end"/>
            </w:r>
          </w:hyperlink>
        </w:p>
        <w:p w14:paraId="72A8D212" w14:textId="4723DF8C" w:rsidR="009921B5" w:rsidRDefault="00000000">
          <w:pPr>
            <w:pStyle w:val="TOC1"/>
            <w:tabs>
              <w:tab w:val="right" w:leader="dot" w:pos="9350"/>
            </w:tabs>
            <w:rPr>
              <w:rFonts w:asciiTheme="minorHAnsi" w:eastAsiaTheme="minorEastAsia" w:hAnsiTheme="minorHAnsi" w:cs="Vrinda"/>
              <w:noProof/>
              <w:color w:val="auto"/>
              <w:sz w:val="22"/>
              <w:szCs w:val="28"/>
              <w:lang w:bidi="bn-BD"/>
            </w:rPr>
          </w:pPr>
          <w:hyperlink w:anchor="_Toc111410364" w:history="1">
            <w:r w:rsidR="009921B5" w:rsidRPr="00F32AF8">
              <w:rPr>
                <w:rStyle w:val="Hyperlink"/>
                <w:noProof/>
              </w:rPr>
              <w:t>Question 2</w:t>
            </w:r>
            <w:r w:rsidR="009921B5">
              <w:rPr>
                <w:noProof/>
                <w:webHidden/>
              </w:rPr>
              <w:tab/>
            </w:r>
            <w:r w:rsidR="009921B5">
              <w:rPr>
                <w:noProof/>
                <w:webHidden/>
              </w:rPr>
              <w:fldChar w:fldCharType="begin"/>
            </w:r>
            <w:r w:rsidR="009921B5">
              <w:rPr>
                <w:noProof/>
                <w:webHidden/>
              </w:rPr>
              <w:instrText xml:space="preserve"> PAGEREF _Toc111410364 \h </w:instrText>
            </w:r>
            <w:r w:rsidR="009921B5">
              <w:rPr>
                <w:noProof/>
                <w:webHidden/>
              </w:rPr>
            </w:r>
            <w:r w:rsidR="009921B5">
              <w:rPr>
                <w:noProof/>
                <w:webHidden/>
              </w:rPr>
              <w:fldChar w:fldCharType="separate"/>
            </w:r>
            <w:r w:rsidR="009921B5">
              <w:rPr>
                <w:noProof/>
                <w:webHidden/>
              </w:rPr>
              <w:t>9</w:t>
            </w:r>
            <w:r w:rsidR="009921B5">
              <w:rPr>
                <w:noProof/>
                <w:webHidden/>
              </w:rPr>
              <w:fldChar w:fldCharType="end"/>
            </w:r>
          </w:hyperlink>
        </w:p>
        <w:p w14:paraId="518FE9EF" w14:textId="1E5A615D" w:rsidR="009921B5" w:rsidRDefault="00000000">
          <w:pPr>
            <w:pStyle w:val="TOC2"/>
            <w:tabs>
              <w:tab w:val="right" w:leader="dot" w:pos="9350"/>
            </w:tabs>
            <w:rPr>
              <w:rFonts w:asciiTheme="minorHAnsi" w:eastAsiaTheme="minorEastAsia" w:hAnsiTheme="minorHAnsi" w:cs="Vrinda"/>
              <w:noProof/>
              <w:color w:val="auto"/>
              <w:sz w:val="22"/>
              <w:szCs w:val="28"/>
              <w:lang w:bidi="bn-BD"/>
            </w:rPr>
          </w:pPr>
          <w:hyperlink w:anchor="_Toc111410365" w:history="1">
            <w:r w:rsidR="009921B5" w:rsidRPr="00F32AF8">
              <w:rPr>
                <w:rStyle w:val="Hyperlink"/>
                <w:noProof/>
                <w:shd w:val="clear" w:color="auto" w:fill="FFFFFF"/>
              </w:rPr>
              <w:t>A) Financial Ratios</w:t>
            </w:r>
            <w:r w:rsidR="009921B5">
              <w:rPr>
                <w:noProof/>
                <w:webHidden/>
              </w:rPr>
              <w:tab/>
            </w:r>
            <w:r w:rsidR="009921B5">
              <w:rPr>
                <w:noProof/>
                <w:webHidden/>
              </w:rPr>
              <w:fldChar w:fldCharType="begin"/>
            </w:r>
            <w:r w:rsidR="009921B5">
              <w:rPr>
                <w:noProof/>
                <w:webHidden/>
              </w:rPr>
              <w:instrText xml:space="preserve"> PAGEREF _Toc111410365 \h </w:instrText>
            </w:r>
            <w:r w:rsidR="009921B5">
              <w:rPr>
                <w:noProof/>
                <w:webHidden/>
              </w:rPr>
            </w:r>
            <w:r w:rsidR="009921B5">
              <w:rPr>
                <w:noProof/>
                <w:webHidden/>
              </w:rPr>
              <w:fldChar w:fldCharType="separate"/>
            </w:r>
            <w:r w:rsidR="009921B5">
              <w:rPr>
                <w:noProof/>
                <w:webHidden/>
              </w:rPr>
              <w:t>9</w:t>
            </w:r>
            <w:r w:rsidR="009921B5">
              <w:rPr>
                <w:noProof/>
                <w:webHidden/>
              </w:rPr>
              <w:fldChar w:fldCharType="end"/>
            </w:r>
          </w:hyperlink>
        </w:p>
        <w:p w14:paraId="190E5729" w14:textId="4D611A14" w:rsidR="009921B5" w:rsidRDefault="00000000">
          <w:pPr>
            <w:pStyle w:val="TOC1"/>
            <w:tabs>
              <w:tab w:val="right" w:leader="dot" w:pos="9350"/>
            </w:tabs>
            <w:rPr>
              <w:rFonts w:asciiTheme="minorHAnsi" w:eastAsiaTheme="minorEastAsia" w:hAnsiTheme="minorHAnsi" w:cs="Vrinda"/>
              <w:noProof/>
              <w:color w:val="auto"/>
              <w:sz w:val="22"/>
              <w:szCs w:val="28"/>
              <w:lang w:bidi="bn-BD"/>
            </w:rPr>
          </w:pPr>
          <w:hyperlink w:anchor="_Toc111410366" w:history="1">
            <w:r w:rsidR="009921B5" w:rsidRPr="00F32AF8">
              <w:rPr>
                <w:rStyle w:val="Hyperlink"/>
                <w:noProof/>
                <w:lang w:bidi="bn-IN"/>
              </w:rPr>
              <w:t>B) Analysis of the ratios</w:t>
            </w:r>
            <w:r w:rsidR="009921B5">
              <w:rPr>
                <w:noProof/>
                <w:webHidden/>
              </w:rPr>
              <w:tab/>
            </w:r>
            <w:r w:rsidR="009921B5">
              <w:rPr>
                <w:noProof/>
                <w:webHidden/>
              </w:rPr>
              <w:fldChar w:fldCharType="begin"/>
            </w:r>
            <w:r w:rsidR="009921B5">
              <w:rPr>
                <w:noProof/>
                <w:webHidden/>
              </w:rPr>
              <w:instrText xml:space="preserve"> PAGEREF _Toc111410366 \h </w:instrText>
            </w:r>
            <w:r w:rsidR="009921B5">
              <w:rPr>
                <w:noProof/>
                <w:webHidden/>
              </w:rPr>
            </w:r>
            <w:r w:rsidR="009921B5">
              <w:rPr>
                <w:noProof/>
                <w:webHidden/>
              </w:rPr>
              <w:fldChar w:fldCharType="separate"/>
            </w:r>
            <w:r w:rsidR="009921B5">
              <w:rPr>
                <w:noProof/>
                <w:webHidden/>
              </w:rPr>
              <w:t>12</w:t>
            </w:r>
            <w:r w:rsidR="009921B5">
              <w:rPr>
                <w:noProof/>
                <w:webHidden/>
              </w:rPr>
              <w:fldChar w:fldCharType="end"/>
            </w:r>
          </w:hyperlink>
        </w:p>
        <w:p w14:paraId="5632717F" w14:textId="66CAA161" w:rsidR="009921B5" w:rsidRDefault="00000000">
          <w:pPr>
            <w:pStyle w:val="TOC1"/>
            <w:tabs>
              <w:tab w:val="right" w:leader="dot" w:pos="9350"/>
            </w:tabs>
            <w:rPr>
              <w:rFonts w:asciiTheme="minorHAnsi" w:eastAsiaTheme="minorEastAsia" w:hAnsiTheme="minorHAnsi" w:cs="Vrinda"/>
              <w:noProof/>
              <w:color w:val="auto"/>
              <w:sz w:val="22"/>
              <w:szCs w:val="28"/>
              <w:lang w:bidi="bn-BD"/>
            </w:rPr>
          </w:pPr>
          <w:hyperlink w:anchor="_Toc111410367" w:history="1">
            <w:r w:rsidR="009921B5" w:rsidRPr="00F32AF8">
              <w:rPr>
                <w:rStyle w:val="Hyperlink"/>
                <w:noProof/>
              </w:rPr>
              <w:t>Conclusion</w:t>
            </w:r>
            <w:r w:rsidR="009921B5">
              <w:rPr>
                <w:noProof/>
                <w:webHidden/>
              </w:rPr>
              <w:tab/>
            </w:r>
            <w:r w:rsidR="009921B5">
              <w:rPr>
                <w:noProof/>
                <w:webHidden/>
              </w:rPr>
              <w:fldChar w:fldCharType="begin"/>
            </w:r>
            <w:r w:rsidR="009921B5">
              <w:rPr>
                <w:noProof/>
                <w:webHidden/>
              </w:rPr>
              <w:instrText xml:space="preserve"> PAGEREF _Toc111410367 \h </w:instrText>
            </w:r>
            <w:r w:rsidR="009921B5">
              <w:rPr>
                <w:noProof/>
                <w:webHidden/>
              </w:rPr>
            </w:r>
            <w:r w:rsidR="009921B5">
              <w:rPr>
                <w:noProof/>
                <w:webHidden/>
              </w:rPr>
              <w:fldChar w:fldCharType="separate"/>
            </w:r>
            <w:r w:rsidR="009921B5">
              <w:rPr>
                <w:noProof/>
                <w:webHidden/>
              </w:rPr>
              <w:t>15</w:t>
            </w:r>
            <w:r w:rsidR="009921B5">
              <w:rPr>
                <w:noProof/>
                <w:webHidden/>
              </w:rPr>
              <w:fldChar w:fldCharType="end"/>
            </w:r>
          </w:hyperlink>
        </w:p>
        <w:p w14:paraId="6838F86A" w14:textId="57282928" w:rsidR="009921B5" w:rsidRDefault="00000000">
          <w:pPr>
            <w:pStyle w:val="TOC1"/>
            <w:tabs>
              <w:tab w:val="right" w:leader="dot" w:pos="9350"/>
            </w:tabs>
            <w:rPr>
              <w:rFonts w:asciiTheme="minorHAnsi" w:eastAsiaTheme="minorEastAsia" w:hAnsiTheme="minorHAnsi" w:cs="Vrinda"/>
              <w:noProof/>
              <w:color w:val="auto"/>
              <w:sz w:val="22"/>
              <w:szCs w:val="28"/>
              <w:lang w:bidi="bn-BD"/>
            </w:rPr>
          </w:pPr>
          <w:hyperlink w:anchor="_Toc111410368" w:history="1">
            <w:r w:rsidR="009921B5" w:rsidRPr="00F32AF8">
              <w:rPr>
                <w:rStyle w:val="Hyperlink"/>
                <w:noProof/>
              </w:rPr>
              <w:t>References</w:t>
            </w:r>
            <w:r w:rsidR="009921B5">
              <w:rPr>
                <w:noProof/>
                <w:webHidden/>
              </w:rPr>
              <w:tab/>
            </w:r>
            <w:r w:rsidR="009921B5">
              <w:rPr>
                <w:noProof/>
                <w:webHidden/>
              </w:rPr>
              <w:fldChar w:fldCharType="begin"/>
            </w:r>
            <w:r w:rsidR="009921B5">
              <w:rPr>
                <w:noProof/>
                <w:webHidden/>
              </w:rPr>
              <w:instrText xml:space="preserve"> PAGEREF _Toc111410368 \h </w:instrText>
            </w:r>
            <w:r w:rsidR="009921B5">
              <w:rPr>
                <w:noProof/>
                <w:webHidden/>
              </w:rPr>
            </w:r>
            <w:r w:rsidR="009921B5">
              <w:rPr>
                <w:noProof/>
                <w:webHidden/>
              </w:rPr>
              <w:fldChar w:fldCharType="separate"/>
            </w:r>
            <w:r w:rsidR="009921B5">
              <w:rPr>
                <w:noProof/>
                <w:webHidden/>
              </w:rPr>
              <w:t>16</w:t>
            </w:r>
            <w:r w:rsidR="009921B5">
              <w:rPr>
                <w:noProof/>
                <w:webHidden/>
              </w:rPr>
              <w:fldChar w:fldCharType="end"/>
            </w:r>
          </w:hyperlink>
        </w:p>
        <w:p w14:paraId="6272DBC1" w14:textId="6C9EEE32" w:rsidR="00B46E12" w:rsidRDefault="00B46E12">
          <w:r>
            <w:rPr>
              <w:b/>
              <w:bCs/>
              <w:noProof/>
            </w:rPr>
            <w:fldChar w:fldCharType="end"/>
          </w:r>
        </w:p>
      </w:sdtContent>
    </w:sdt>
    <w:p w14:paraId="0D4C43B7" w14:textId="77777777" w:rsidR="00B46E12" w:rsidRDefault="00B46E12">
      <w:pPr>
        <w:spacing w:before="0" w:after="160" w:line="259" w:lineRule="auto"/>
        <w:ind w:left="0" w:right="0" w:firstLine="0"/>
        <w:jc w:val="left"/>
        <w:rPr>
          <w:rFonts w:eastAsiaTheme="majorEastAsia" w:cstheme="majorBidi"/>
          <w:b/>
          <w:color w:val="2F5496" w:themeColor="accent1" w:themeShade="BF"/>
          <w:sz w:val="32"/>
          <w:szCs w:val="32"/>
        </w:rPr>
      </w:pPr>
      <w:r>
        <w:br w:type="page"/>
      </w:r>
    </w:p>
    <w:p w14:paraId="7B062365" w14:textId="2B8E4DD2" w:rsidR="00527F7E" w:rsidRDefault="00B14DAA" w:rsidP="00B14DAA">
      <w:pPr>
        <w:pStyle w:val="Heading1"/>
      </w:pPr>
      <w:bookmarkStart w:id="0" w:name="_Toc111410360"/>
      <w:r>
        <w:lastRenderedPageBreak/>
        <w:t>Introduction</w:t>
      </w:r>
      <w:bookmarkEnd w:id="0"/>
    </w:p>
    <w:p w14:paraId="7F5BC4C8" w14:textId="7066FEBA" w:rsidR="00277DF9" w:rsidRDefault="00236293" w:rsidP="00236293">
      <w:pPr>
        <w:ind w:left="0" w:firstLine="0"/>
      </w:pPr>
      <w:r w:rsidRPr="00277DF9">
        <w:t xml:space="preserve">Accounting is a system that record, classify, </w:t>
      </w:r>
      <w:r w:rsidR="00B46E12">
        <w:t xml:space="preserve">and </w:t>
      </w:r>
      <w:r w:rsidR="00277DF9" w:rsidRPr="00277DF9">
        <w:t>summarize</w:t>
      </w:r>
      <w:r w:rsidR="004E2423" w:rsidRPr="00277DF9">
        <w:t xml:space="preserve"> </w:t>
      </w:r>
      <w:r w:rsidR="00277DF9" w:rsidRPr="00277DF9">
        <w:t>the</w:t>
      </w:r>
      <w:r w:rsidR="004E2423" w:rsidRPr="00277DF9">
        <w:t xml:space="preserve"> </w:t>
      </w:r>
      <w:r w:rsidR="00277DF9" w:rsidRPr="00277DF9">
        <w:t>organization</w:t>
      </w:r>
      <w:r w:rsidR="00B46E12">
        <w:t>'</w:t>
      </w:r>
      <w:r w:rsidR="00277DF9" w:rsidRPr="00277DF9">
        <w:t>s</w:t>
      </w:r>
      <w:r w:rsidR="004E2423" w:rsidRPr="00277DF9">
        <w:t xml:space="preserve"> transaction and provide information to interested users. </w:t>
      </w:r>
      <w:r w:rsidR="00072260" w:rsidRPr="00277DF9">
        <w:t xml:space="preserve">Bookkeeping is </w:t>
      </w:r>
      <w:r w:rsidR="00277DF9" w:rsidRPr="00277DF9">
        <w:t>the</w:t>
      </w:r>
      <w:r w:rsidR="00072260" w:rsidRPr="00277DF9">
        <w:t xml:space="preserve"> first </w:t>
      </w:r>
      <w:r w:rsidR="00277DF9" w:rsidRPr="00277DF9">
        <w:t>fundamental</w:t>
      </w:r>
      <w:r w:rsidR="00072260" w:rsidRPr="00277DF9">
        <w:t xml:space="preserve"> of accounting</w:t>
      </w:r>
      <w:r w:rsidR="00AD7AF9" w:rsidRPr="00277DF9">
        <w:t xml:space="preserve">. In this report an income statement of </w:t>
      </w:r>
      <w:r w:rsidR="00B46E12">
        <w:t>Wales plc</w:t>
      </w:r>
      <w:r w:rsidR="00AD7AF9" w:rsidRPr="00277DF9">
        <w:t xml:space="preserve"> will be prepared first, then a statement of </w:t>
      </w:r>
      <w:r w:rsidR="00277DF9" w:rsidRPr="00277DF9">
        <w:t>owners’</w:t>
      </w:r>
      <w:r w:rsidR="00AD7AF9" w:rsidRPr="00277DF9">
        <w:t xml:space="preserve"> equity of </w:t>
      </w:r>
      <w:r w:rsidR="00B46E12">
        <w:t>Wales plc</w:t>
      </w:r>
      <w:r w:rsidR="00AD7AF9" w:rsidRPr="00277DF9">
        <w:t xml:space="preserve"> will be presented and a statement of </w:t>
      </w:r>
      <w:r w:rsidR="00277DF9" w:rsidRPr="00277DF9">
        <w:t>financial</w:t>
      </w:r>
      <w:r w:rsidR="00AD7AF9" w:rsidRPr="00277DF9">
        <w:t xml:space="preserve"> position will be prepared for </w:t>
      </w:r>
      <w:r w:rsidR="00B46E12">
        <w:t>Wales plc</w:t>
      </w:r>
      <w:r w:rsidR="00AD7AF9" w:rsidRPr="00277DF9">
        <w:t xml:space="preserve">. </w:t>
      </w:r>
      <w:r w:rsidR="0056633D" w:rsidRPr="00277DF9">
        <w:t xml:space="preserve">The reason why the balance sheets always </w:t>
      </w:r>
      <w:r w:rsidR="00277DF9" w:rsidRPr="00277DF9">
        <w:t>show</w:t>
      </w:r>
      <w:r w:rsidR="0056633D" w:rsidRPr="00277DF9">
        <w:t xml:space="preserve"> a balancing figure will be described in this report. </w:t>
      </w:r>
      <w:r w:rsidR="00045C46" w:rsidRPr="00277DF9">
        <w:t xml:space="preserve">To analyze </w:t>
      </w:r>
      <w:r w:rsidR="00B46E12">
        <w:t xml:space="preserve">the </w:t>
      </w:r>
      <w:r w:rsidR="00045C46" w:rsidRPr="00277DF9">
        <w:t>financial statements of a company</w:t>
      </w:r>
      <w:r w:rsidR="00DF4E93" w:rsidRPr="00277DF9">
        <w:t xml:space="preserve">, </w:t>
      </w:r>
      <w:r w:rsidR="00277DF9" w:rsidRPr="00277DF9">
        <w:t>calculating</w:t>
      </w:r>
      <w:r w:rsidR="00DF4E93" w:rsidRPr="00277DF9">
        <w:t xml:space="preserve"> and </w:t>
      </w:r>
      <w:r w:rsidR="00277DF9" w:rsidRPr="00277DF9">
        <w:t>analyzing</w:t>
      </w:r>
      <w:r w:rsidR="00DF4E93" w:rsidRPr="00277DF9">
        <w:t xml:space="preserve"> </w:t>
      </w:r>
      <w:r w:rsidR="00277DF9" w:rsidRPr="00277DF9">
        <w:t>the</w:t>
      </w:r>
      <w:r w:rsidR="004E7FD1" w:rsidRPr="00277DF9">
        <w:t xml:space="preserve"> financial ratios are very </w:t>
      </w:r>
      <w:r w:rsidR="00277DF9" w:rsidRPr="00277DF9">
        <w:t>useful</w:t>
      </w:r>
      <w:r w:rsidR="004E7FD1" w:rsidRPr="00277DF9">
        <w:t xml:space="preserve">. </w:t>
      </w:r>
      <w:r w:rsidR="00556229" w:rsidRPr="00277DF9">
        <w:t xml:space="preserve">That is why every </w:t>
      </w:r>
      <w:r w:rsidR="00277DF9" w:rsidRPr="00277DF9">
        <w:t>company</w:t>
      </w:r>
      <w:r w:rsidR="00556229" w:rsidRPr="00277DF9">
        <w:t xml:space="preserve"> as </w:t>
      </w:r>
      <w:r w:rsidR="00277DF9" w:rsidRPr="00277DF9">
        <w:t>well</w:t>
      </w:r>
      <w:r w:rsidR="00556229" w:rsidRPr="00277DF9">
        <w:t xml:space="preserve"> as every </w:t>
      </w:r>
      <w:r w:rsidR="00277DF9" w:rsidRPr="00277DF9">
        <w:t>investor</w:t>
      </w:r>
      <w:r w:rsidR="00556229" w:rsidRPr="00277DF9">
        <w:t xml:space="preserve"> </w:t>
      </w:r>
      <w:r w:rsidR="00277DF9" w:rsidRPr="00277DF9">
        <w:t>analyses</w:t>
      </w:r>
      <w:r w:rsidR="005A2AB5" w:rsidRPr="00277DF9">
        <w:t xml:space="preserve"> </w:t>
      </w:r>
      <w:r w:rsidR="00277DF9" w:rsidRPr="00277DF9">
        <w:t>the</w:t>
      </w:r>
      <w:r w:rsidR="005A2AB5" w:rsidRPr="00277DF9">
        <w:t xml:space="preserve"> financial ratios of every company to </w:t>
      </w:r>
      <w:r w:rsidR="00622E76" w:rsidRPr="00277DF9">
        <w:t xml:space="preserve">make their decision. Besides the </w:t>
      </w:r>
      <w:r w:rsidR="00277DF9" w:rsidRPr="00277DF9">
        <w:t>performance</w:t>
      </w:r>
      <w:r w:rsidR="00622E76" w:rsidRPr="00277DF9">
        <w:t xml:space="preserve"> of a company can be known by </w:t>
      </w:r>
      <w:r w:rsidR="00277DF9" w:rsidRPr="00277DF9">
        <w:t>analyzing</w:t>
      </w:r>
      <w:r w:rsidR="00622E76" w:rsidRPr="00277DF9">
        <w:t xml:space="preserve"> the ratios</w:t>
      </w:r>
      <w:r w:rsidR="00B473D3" w:rsidRPr="00277DF9">
        <w:t xml:space="preserve">. </w:t>
      </w:r>
      <w:r w:rsidR="004E7FD1" w:rsidRPr="00277DF9">
        <w:t>Different financial ratios like</w:t>
      </w:r>
      <w:r w:rsidR="00277DF9" w:rsidRPr="00277DF9">
        <w:t xml:space="preserve"> ROCE, ROE, Earnings per share, Net profit margin, Asset turnover, Stock holding days, Debtors collection period, Current ratio, gearing ratio, </w:t>
      </w:r>
      <w:r w:rsidR="00B46E12">
        <w:t xml:space="preserve">and </w:t>
      </w:r>
      <w:r w:rsidR="00277DF9" w:rsidRPr="00277DF9">
        <w:t xml:space="preserve">Interest cover </w:t>
      </w:r>
      <w:r w:rsidR="006E544E" w:rsidRPr="00277DF9">
        <w:t xml:space="preserve">of </w:t>
      </w:r>
      <w:r w:rsidR="00182951">
        <w:t>sweets</w:t>
      </w:r>
      <w:r w:rsidR="00B46E12">
        <w:t xml:space="preserve"> plc</w:t>
      </w:r>
      <w:r w:rsidR="00437AC0" w:rsidRPr="00277DF9">
        <w:t xml:space="preserve"> w</w:t>
      </w:r>
      <w:r w:rsidR="006E544E" w:rsidRPr="00277DF9">
        <w:t xml:space="preserve">ill be calculated in this </w:t>
      </w:r>
      <w:r w:rsidR="00277DF9" w:rsidRPr="00277DF9">
        <w:t>report</w:t>
      </w:r>
      <w:r w:rsidR="00437AC0" w:rsidRPr="00277DF9">
        <w:t xml:space="preserve">. </w:t>
      </w:r>
      <w:r w:rsidR="00B9323D" w:rsidRPr="00277DF9">
        <w:t xml:space="preserve">And comment on every </w:t>
      </w:r>
      <w:r w:rsidR="00277DF9" w:rsidRPr="00277DF9">
        <w:t>financial</w:t>
      </w:r>
      <w:r w:rsidR="00B9323D" w:rsidRPr="00277DF9">
        <w:t xml:space="preserve"> </w:t>
      </w:r>
      <w:r w:rsidR="00277DF9" w:rsidRPr="00277DF9">
        <w:t>ratio</w:t>
      </w:r>
      <w:r w:rsidR="00B9323D" w:rsidRPr="00277DF9">
        <w:t xml:space="preserve"> of </w:t>
      </w:r>
      <w:r w:rsidR="00182951">
        <w:t>sweets</w:t>
      </w:r>
      <w:r w:rsidR="00B46E12">
        <w:t xml:space="preserve"> plc</w:t>
      </w:r>
      <w:r w:rsidR="00B9323D" w:rsidRPr="00277DF9">
        <w:t xml:space="preserve"> will </w:t>
      </w:r>
      <w:r w:rsidR="00277DF9" w:rsidRPr="00277DF9">
        <w:t>be</w:t>
      </w:r>
      <w:r w:rsidR="00B9323D" w:rsidRPr="00277DF9">
        <w:t xml:space="preserve"> provided in the final part of the report</w:t>
      </w:r>
      <w:r w:rsidR="00B9323D">
        <w:t xml:space="preserve">. </w:t>
      </w:r>
    </w:p>
    <w:p w14:paraId="06BD751C" w14:textId="3F333567" w:rsidR="00B14DAA" w:rsidRDefault="00277DF9" w:rsidP="00277DF9">
      <w:pPr>
        <w:spacing w:after="4" w:line="250" w:lineRule="auto"/>
        <w:ind w:right="100"/>
        <w:jc w:val="left"/>
      </w:pPr>
      <w:r>
        <w:rPr>
          <w:sz w:val="20"/>
        </w:rPr>
        <w:t xml:space="preserve"> </w:t>
      </w:r>
      <w:r w:rsidRPr="00277DF9">
        <w:rPr>
          <w:sz w:val="20"/>
        </w:rPr>
        <w:t xml:space="preserve"> </w:t>
      </w:r>
      <w:r w:rsidR="00B14DAA">
        <w:br w:type="page"/>
      </w:r>
    </w:p>
    <w:p w14:paraId="2F50F1ED" w14:textId="3F87BF0F" w:rsidR="00005835" w:rsidRDefault="00005835" w:rsidP="00005835">
      <w:pPr>
        <w:pStyle w:val="Heading1"/>
        <w:rPr>
          <w:rFonts w:eastAsia="Arial"/>
        </w:rPr>
      </w:pPr>
      <w:bookmarkStart w:id="1" w:name="_Toc111410361"/>
      <w:r>
        <w:rPr>
          <w:rFonts w:eastAsia="Arial"/>
        </w:rPr>
        <w:lastRenderedPageBreak/>
        <w:t>Q</w:t>
      </w:r>
      <w:r w:rsidR="0022108A">
        <w:rPr>
          <w:rFonts w:eastAsia="Arial"/>
        </w:rPr>
        <w:t>uestion</w:t>
      </w:r>
      <w:r>
        <w:rPr>
          <w:rFonts w:eastAsia="Arial"/>
        </w:rPr>
        <w:t xml:space="preserve"> 1</w:t>
      </w:r>
      <w:bookmarkEnd w:id="1"/>
      <w:r>
        <w:rPr>
          <w:rFonts w:eastAsia="Arial"/>
        </w:rPr>
        <w:t xml:space="preserve"> </w:t>
      </w:r>
    </w:p>
    <w:p w14:paraId="6FE7FC2D" w14:textId="52C8F4DA" w:rsidR="00B14DAA" w:rsidRPr="00B14DAA" w:rsidRDefault="00B14DAA" w:rsidP="00B14DAA">
      <w:pPr>
        <w:pStyle w:val="Heading2"/>
      </w:pPr>
      <w:bookmarkStart w:id="2" w:name="_Toc111410362"/>
      <w:r>
        <w:rPr>
          <w:rFonts w:eastAsia="Arial" w:cs="Arial"/>
        </w:rPr>
        <w:t>Require</w:t>
      </w:r>
      <w:r>
        <w:t>ment (a)</w:t>
      </w:r>
      <w:r w:rsidR="00B46E12">
        <w:t xml:space="preserve"> </w:t>
      </w:r>
      <w:r w:rsidR="00B46E12">
        <w:rPr>
          <w:rFonts w:eastAsia="Times New Roman" w:cs="Times New Roman"/>
        </w:rPr>
        <w:t>Preparation of an income statement and balance sheet for the year ended 31</w:t>
      </w:r>
      <w:r w:rsidR="00B46E12">
        <w:rPr>
          <w:rFonts w:eastAsia="Times New Roman" w:cs="Times New Roman"/>
          <w:vertAlign w:val="superscript"/>
        </w:rPr>
        <w:t>st</w:t>
      </w:r>
      <w:r w:rsidR="00B46E12">
        <w:rPr>
          <w:rFonts w:eastAsia="Times New Roman" w:cs="Times New Roman"/>
        </w:rPr>
        <w:t xml:space="preserve"> December 2021 for Wales plc</w:t>
      </w:r>
      <w:bookmarkEnd w:id="2"/>
    </w:p>
    <w:p w14:paraId="1A937AD6" w14:textId="1C6BBBD7" w:rsidR="00005835" w:rsidRPr="00005835" w:rsidRDefault="00005835" w:rsidP="00005835">
      <w:pPr>
        <w:jc w:val="center"/>
      </w:pPr>
      <w:r>
        <w:rPr>
          <w:rFonts w:eastAsia="Times New Roman" w:cs="Times New Roman"/>
        </w:rPr>
        <w:t>Wales plc</w:t>
      </w:r>
    </w:p>
    <w:p w14:paraId="47BDDE78" w14:textId="77777777" w:rsidR="00005835" w:rsidRDefault="00005835" w:rsidP="00005835">
      <w:pPr>
        <w:jc w:val="center"/>
        <w:rPr>
          <w:rFonts w:eastAsia="Times New Roman" w:cs="Times New Roman"/>
        </w:rPr>
      </w:pPr>
      <w:r>
        <w:rPr>
          <w:rFonts w:eastAsia="Times New Roman" w:cs="Times New Roman"/>
        </w:rPr>
        <w:t>Income statement</w:t>
      </w:r>
    </w:p>
    <w:p w14:paraId="0D5A07FA" w14:textId="565F8F46" w:rsidR="007C788E" w:rsidRDefault="00005835" w:rsidP="00005835">
      <w:pPr>
        <w:jc w:val="center"/>
        <w:rPr>
          <w:rFonts w:eastAsia="Times New Roman" w:cs="Times New Roman"/>
        </w:rPr>
      </w:pPr>
      <w:r>
        <w:rPr>
          <w:rFonts w:eastAsia="Times New Roman" w:cs="Times New Roman"/>
        </w:rPr>
        <w:t xml:space="preserve"> For the year ended 31</w:t>
      </w:r>
      <w:r>
        <w:rPr>
          <w:rFonts w:eastAsia="Times New Roman" w:cs="Times New Roman"/>
          <w:vertAlign w:val="superscript"/>
        </w:rPr>
        <w:t>st</w:t>
      </w:r>
      <w:r>
        <w:rPr>
          <w:rFonts w:eastAsia="Times New Roman" w:cs="Times New Roman"/>
        </w:rPr>
        <w:t xml:space="preserve"> December 2021</w:t>
      </w:r>
    </w:p>
    <w:tbl>
      <w:tblPr>
        <w:tblW w:w="9436" w:type="dxa"/>
        <w:tblInd w:w="113" w:type="dxa"/>
        <w:tblLook w:val="04A0" w:firstRow="1" w:lastRow="0" w:firstColumn="1" w:lastColumn="0" w:noHBand="0" w:noVBand="1"/>
      </w:tblPr>
      <w:tblGrid>
        <w:gridCol w:w="5240"/>
        <w:gridCol w:w="1363"/>
        <w:gridCol w:w="1427"/>
        <w:gridCol w:w="1406"/>
      </w:tblGrid>
      <w:tr w:rsidR="00005835" w:rsidRPr="00005835" w14:paraId="3D587656" w14:textId="77777777" w:rsidTr="00005835">
        <w:trPr>
          <w:trHeight w:val="348"/>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FAADB"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Particulars</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280A7C16"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14:paraId="35471A61"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03CBD289"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r>
      <w:tr w:rsidR="00005835" w:rsidRPr="00005835" w14:paraId="727D91F2"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05C08D4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Sales</w:t>
            </w:r>
          </w:p>
        </w:tc>
        <w:tc>
          <w:tcPr>
            <w:tcW w:w="1363" w:type="dxa"/>
            <w:tcBorders>
              <w:top w:val="nil"/>
              <w:left w:val="nil"/>
              <w:bottom w:val="single" w:sz="4" w:space="0" w:color="auto"/>
              <w:right w:val="single" w:sz="4" w:space="0" w:color="auto"/>
            </w:tcBorders>
            <w:shd w:val="clear" w:color="auto" w:fill="auto"/>
            <w:noWrap/>
            <w:vAlign w:val="bottom"/>
            <w:hideMark/>
          </w:tcPr>
          <w:p w14:paraId="46F95E1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79BB57A"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800,000</w:t>
            </w:r>
          </w:p>
        </w:tc>
        <w:tc>
          <w:tcPr>
            <w:tcW w:w="1406" w:type="dxa"/>
            <w:tcBorders>
              <w:top w:val="nil"/>
              <w:left w:val="nil"/>
              <w:bottom w:val="single" w:sz="4" w:space="0" w:color="auto"/>
              <w:right w:val="single" w:sz="4" w:space="0" w:color="auto"/>
            </w:tcBorders>
            <w:shd w:val="clear" w:color="auto" w:fill="auto"/>
            <w:noWrap/>
            <w:vAlign w:val="bottom"/>
            <w:hideMark/>
          </w:tcPr>
          <w:p w14:paraId="5B8E05B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40832EDC"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5654DCA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Add: new sales</w:t>
            </w:r>
          </w:p>
        </w:tc>
        <w:tc>
          <w:tcPr>
            <w:tcW w:w="1363" w:type="dxa"/>
            <w:tcBorders>
              <w:top w:val="nil"/>
              <w:left w:val="nil"/>
              <w:bottom w:val="single" w:sz="4" w:space="0" w:color="auto"/>
              <w:right w:val="single" w:sz="4" w:space="0" w:color="auto"/>
            </w:tcBorders>
            <w:shd w:val="clear" w:color="auto" w:fill="auto"/>
            <w:noWrap/>
            <w:vAlign w:val="bottom"/>
            <w:hideMark/>
          </w:tcPr>
          <w:p w14:paraId="10A2210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36D9D705"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980</w:t>
            </w:r>
          </w:p>
        </w:tc>
        <w:tc>
          <w:tcPr>
            <w:tcW w:w="1406" w:type="dxa"/>
            <w:tcBorders>
              <w:top w:val="nil"/>
              <w:left w:val="nil"/>
              <w:bottom w:val="single" w:sz="4" w:space="0" w:color="auto"/>
              <w:right w:val="single" w:sz="4" w:space="0" w:color="auto"/>
            </w:tcBorders>
            <w:shd w:val="clear" w:color="auto" w:fill="auto"/>
            <w:noWrap/>
            <w:vAlign w:val="bottom"/>
            <w:hideMark/>
          </w:tcPr>
          <w:p w14:paraId="5E1AAD9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8E09E23"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03A98B10"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Total sales</w:t>
            </w:r>
          </w:p>
        </w:tc>
        <w:tc>
          <w:tcPr>
            <w:tcW w:w="1363" w:type="dxa"/>
            <w:tcBorders>
              <w:top w:val="nil"/>
              <w:left w:val="nil"/>
              <w:bottom w:val="single" w:sz="4" w:space="0" w:color="auto"/>
              <w:right w:val="single" w:sz="4" w:space="0" w:color="auto"/>
            </w:tcBorders>
            <w:shd w:val="clear" w:color="auto" w:fill="auto"/>
            <w:noWrap/>
            <w:vAlign w:val="bottom"/>
            <w:hideMark/>
          </w:tcPr>
          <w:p w14:paraId="1A488FD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CC24F2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75640354"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800,980</w:t>
            </w:r>
          </w:p>
        </w:tc>
      </w:tr>
      <w:tr w:rsidR="00005835" w:rsidRPr="00005835" w14:paraId="401736F6"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7C1F587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Less: Cost of sales</w:t>
            </w:r>
          </w:p>
        </w:tc>
        <w:tc>
          <w:tcPr>
            <w:tcW w:w="1363" w:type="dxa"/>
            <w:tcBorders>
              <w:top w:val="nil"/>
              <w:left w:val="nil"/>
              <w:bottom w:val="single" w:sz="4" w:space="0" w:color="auto"/>
              <w:right w:val="single" w:sz="4" w:space="0" w:color="auto"/>
            </w:tcBorders>
            <w:shd w:val="clear" w:color="auto" w:fill="auto"/>
            <w:noWrap/>
            <w:vAlign w:val="bottom"/>
            <w:hideMark/>
          </w:tcPr>
          <w:p w14:paraId="5992A0F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935A00F"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578,650</w:t>
            </w:r>
          </w:p>
        </w:tc>
        <w:tc>
          <w:tcPr>
            <w:tcW w:w="1406" w:type="dxa"/>
            <w:tcBorders>
              <w:top w:val="nil"/>
              <w:left w:val="nil"/>
              <w:bottom w:val="single" w:sz="4" w:space="0" w:color="auto"/>
              <w:right w:val="single" w:sz="4" w:space="0" w:color="auto"/>
            </w:tcBorders>
            <w:shd w:val="clear" w:color="auto" w:fill="auto"/>
            <w:noWrap/>
            <w:vAlign w:val="bottom"/>
            <w:hideMark/>
          </w:tcPr>
          <w:p w14:paraId="494A3D1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63330859"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55A4426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1994246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344C1E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5FD0AABD"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578,650</w:t>
            </w:r>
          </w:p>
        </w:tc>
      </w:tr>
      <w:tr w:rsidR="00005835" w:rsidRPr="00005835" w14:paraId="4778EC3A"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7D4298E"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Gross Profit</w:t>
            </w:r>
          </w:p>
        </w:tc>
        <w:tc>
          <w:tcPr>
            <w:tcW w:w="1363" w:type="dxa"/>
            <w:tcBorders>
              <w:top w:val="nil"/>
              <w:left w:val="nil"/>
              <w:bottom w:val="single" w:sz="4" w:space="0" w:color="auto"/>
              <w:right w:val="single" w:sz="4" w:space="0" w:color="auto"/>
            </w:tcBorders>
            <w:shd w:val="clear" w:color="auto" w:fill="auto"/>
            <w:noWrap/>
            <w:vAlign w:val="bottom"/>
            <w:hideMark/>
          </w:tcPr>
          <w:p w14:paraId="614B03A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15D7FA0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19A0C381"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222,330</w:t>
            </w:r>
          </w:p>
        </w:tc>
      </w:tr>
      <w:tr w:rsidR="00005835" w:rsidRPr="00005835" w14:paraId="551D9074"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050B480A" w14:textId="1101CDB0"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Less: Operating expenses</w:t>
            </w:r>
          </w:p>
        </w:tc>
        <w:tc>
          <w:tcPr>
            <w:tcW w:w="1363" w:type="dxa"/>
            <w:tcBorders>
              <w:top w:val="nil"/>
              <w:left w:val="nil"/>
              <w:bottom w:val="single" w:sz="4" w:space="0" w:color="auto"/>
              <w:right w:val="single" w:sz="4" w:space="0" w:color="auto"/>
            </w:tcBorders>
            <w:shd w:val="clear" w:color="auto" w:fill="auto"/>
            <w:noWrap/>
            <w:vAlign w:val="bottom"/>
            <w:hideMark/>
          </w:tcPr>
          <w:p w14:paraId="1CD7486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0A00732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4E4F593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C5E4794"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6A3BA24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Administrative expenses </w:t>
            </w:r>
          </w:p>
        </w:tc>
        <w:tc>
          <w:tcPr>
            <w:tcW w:w="1363" w:type="dxa"/>
            <w:tcBorders>
              <w:top w:val="nil"/>
              <w:left w:val="nil"/>
              <w:bottom w:val="single" w:sz="4" w:space="0" w:color="auto"/>
              <w:right w:val="single" w:sz="4" w:space="0" w:color="auto"/>
            </w:tcBorders>
            <w:shd w:val="clear" w:color="auto" w:fill="auto"/>
            <w:noWrap/>
            <w:vAlign w:val="bottom"/>
            <w:hideMark/>
          </w:tcPr>
          <w:p w14:paraId="0CCE875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A2A075D"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30,000</w:t>
            </w:r>
          </w:p>
        </w:tc>
        <w:tc>
          <w:tcPr>
            <w:tcW w:w="1406" w:type="dxa"/>
            <w:tcBorders>
              <w:top w:val="nil"/>
              <w:left w:val="nil"/>
              <w:bottom w:val="single" w:sz="4" w:space="0" w:color="auto"/>
              <w:right w:val="single" w:sz="4" w:space="0" w:color="auto"/>
            </w:tcBorders>
            <w:shd w:val="clear" w:color="auto" w:fill="auto"/>
            <w:noWrap/>
            <w:vAlign w:val="bottom"/>
            <w:hideMark/>
          </w:tcPr>
          <w:p w14:paraId="69696BE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9397BA7"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17ECC27F" w14:textId="36608D9E"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Directors’ remuneration </w:t>
            </w:r>
          </w:p>
        </w:tc>
        <w:tc>
          <w:tcPr>
            <w:tcW w:w="1363" w:type="dxa"/>
            <w:tcBorders>
              <w:top w:val="nil"/>
              <w:left w:val="nil"/>
              <w:bottom w:val="single" w:sz="4" w:space="0" w:color="auto"/>
              <w:right w:val="single" w:sz="4" w:space="0" w:color="auto"/>
            </w:tcBorders>
            <w:shd w:val="clear" w:color="auto" w:fill="auto"/>
            <w:noWrap/>
            <w:vAlign w:val="bottom"/>
            <w:hideMark/>
          </w:tcPr>
          <w:p w14:paraId="70EE51C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01C46916"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5000</w:t>
            </w:r>
          </w:p>
        </w:tc>
        <w:tc>
          <w:tcPr>
            <w:tcW w:w="1406" w:type="dxa"/>
            <w:tcBorders>
              <w:top w:val="nil"/>
              <w:left w:val="nil"/>
              <w:bottom w:val="single" w:sz="4" w:space="0" w:color="auto"/>
              <w:right w:val="single" w:sz="4" w:space="0" w:color="auto"/>
            </w:tcBorders>
            <w:shd w:val="clear" w:color="auto" w:fill="auto"/>
            <w:noWrap/>
            <w:vAlign w:val="bottom"/>
            <w:hideMark/>
          </w:tcPr>
          <w:p w14:paraId="6700152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376FA8A1"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7D497C6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Distribution costs </w:t>
            </w:r>
          </w:p>
        </w:tc>
        <w:tc>
          <w:tcPr>
            <w:tcW w:w="1363" w:type="dxa"/>
            <w:tcBorders>
              <w:top w:val="nil"/>
              <w:left w:val="nil"/>
              <w:bottom w:val="single" w:sz="4" w:space="0" w:color="auto"/>
              <w:right w:val="single" w:sz="4" w:space="0" w:color="auto"/>
            </w:tcBorders>
            <w:shd w:val="clear" w:color="auto" w:fill="auto"/>
            <w:noWrap/>
            <w:vAlign w:val="bottom"/>
            <w:hideMark/>
          </w:tcPr>
          <w:p w14:paraId="073640E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4763B9E6"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28000</w:t>
            </w:r>
          </w:p>
        </w:tc>
        <w:tc>
          <w:tcPr>
            <w:tcW w:w="1406" w:type="dxa"/>
            <w:tcBorders>
              <w:top w:val="nil"/>
              <w:left w:val="nil"/>
              <w:bottom w:val="single" w:sz="4" w:space="0" w:color="auto"/>
              <w:right w:val="single" w:sz="4" w:space="0" w:color="auto"/>
            </w:tcBorders>
            <w:shd w:val="clear" w:color="auto" w:fill="auto"/>
            <w:noWrap/>
            <w:vAlign w:val="bottom"/>
            <w:hideMark/>
          </w:tcPr>
          <w:p w14:paraId="57DF954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597396EB"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51A4F36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Salesmen commission </w:t>
            </w:r>
          </w:p>
        </w:tc>
        <w:tc>
          <w:tcPr>
            <w:tcW w:w="1363" w:type="dxa"/>
            <w:tcBorders>
              <w:top w:val="nil"/>
              <w:left w:val="nil"/>
              <w:bottom w:val="single" w:sz="4" w:space="0" w:color="auto"/>
              <w:right w:val="single" w:sz="4" w:space="0" w:color="auto"/>
            </w:tcBorders>
            <w:shd w:val="clear" w:color="auto" w:fill="auto"/>
            <w:noWrap/>
            <w:vAlign w:val="bottom"/>
            <w:hideMark/>
          </w:tcPr>
          <w:p w14:paraId="401B1BE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6B0B1495"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3000</w:t>
            </w:r>
          </w:p>
        </w:tc>
        <w:tc>
          <w:tcPr>
            <w:tcW w:w="1406" w:type="dxa"/>
            <w:tcBorders>
              <w:top w:val="nil"/>
              <w:left w:val="nil"/>
              <w:bottom w:val="single" w:sz="4" w:space="0" w:color="auto"/>
              <w:right w:val="single" w:sz="4" w:space="0" w:color="auto"/>
            </w:tcBorders>
            <w:shd w:val="clear" w:color="auto" w:fill="auto"/>
            <w:noWrap/>
            <w:vAlign w:val="bottom"/>
            <w:hideMark/>
          </w:tcPr>
          <w:p w14:paraId="23218EE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7A38A7FD"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4271AA4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63" w:type="dxa"/>
            <w:tcBorders>
              <w:top w:val="nil"/>
              <w:left w:val="nil"/>
              <w:bottom w:val="single" w:sz="4" w:space="0" w:color="auto"/>
              <w:right w:val="single" w:sz="4" w:space="0" w:color="auto"/>
            </w:tcBorders>
            <w:shd w:val="clear" w:color="auto" w:fill="auto"/>
            <w:noWrap/>
            <w:vAlign w:val="bottom"/>
            <w:hideMark/>
          </w:tcPr>
          <w:p w14:paraId="1D9D8D9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404E2EC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126650DB"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66,000</w:t>
            </w:r>
          </w:p>
        </w:tc>
      </w:tr>
      <w:tr w:rsidR="00005835" w:rsidRPr="00005835" w14:paraId="36B0B9B0"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6A918B38"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Operating income</w:t>
            </w:r>
          </w:p>
        </w:tc>
        <w:tc>
          <w:tcPr>
            <w:tcW w:w="1363" w:type="dxa"/>
            <w:tcBorders>
              <w:top w:val="nil"/>
              <w:left w:val="nil"/>
              <w:bottom w:val="single" w:sz="4" w:space="0" w:color="auto"/>
              <w:right w:val="single" w:sz="4" w:space="0" w:color="auto"/>
            </w:tcBorders>
            <w:shd w:val="clear" w:color="auto" w:fill="auto"/>
            <w:noWrap/>
            <w:vAlign w:val="bottom"/>
            <w:hideMark/>
          </w:tcPr>
          <w:p w14:paraId="6C96DC5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72904FF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2557DC72"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156,330</w:t>
            </w:r>
          </w:p>
        </w:tc>
      </w:tr>
      <w:tr w:rsidR="00005835" w:rsidRPr="00005835" w14:paraId="34539619"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4D05839" w14:textId="6A80A802"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Other expense</w:t>
            </w:r>
            <w:r>
              <w:rPr>
                <w:rFonts w:eastAsia="Times New Roman" w:cs="Times New Roman"/>
                <w:b/>
                <w:bCs/>
                <w:szCs w:val="24"/>
              </w:rPr>
              <w:t>s</w:t>
            </w:r>
          </w:p>
        </w:tc>
        <w:tc>
          <w:tcPr>
            <w:tcW w:w="1363" w:type="dxa"/>
            <w:tcBorders>
              <w:top w:val="nil"/>
              <w:left w:val="nil"/>
              <w:bottom w:val="single" w:sz="4" w:space="0" w:color="auto"/>
              <w:right w:val="single" w:sz="4" w:space="0" w:color="auto"/>
            </w:tcBorders>
            <w:shd w:val="clear" w:color="auto" w:fill="auto"/>
            <w:noWrap/>
            <w:vAlign w:val="bottom"/>
            <w:hideMark/>
          </w:tcPr>
          <w:p w14:paraId="37D560E5"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0FF2F10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7615907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4449D77C"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05B1FC8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interest paid</w:t>
            </w:r>
          </w:p>
        </w:tc>
        <w:tc>
          <w:tcPr>
            <w:tcW w:w="1363" w:type="dxa"/>
            <w:tcBorders>
              <w:top w:val="nil"/>
              <w:left w:val="nil"/>
              <w:bottom w:val="single" w:sz="4" w:space="0" w:color="auto"/>
              <w:right w:val="single" w:sz="4" w:space="0" w:color="auto"/>
            </w:tcBorders>
            <w:shd w:val="clear" w:color="auto" w:fill="auto"/>
            <w:noWrap/>
            <w:vAlign w:val="bottom"/>
            <w:hideMark/>
          </w:tcPr>
          <w:p w14:paraId="18325AEF"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2000</w:t>
            </w:r>
          </w:p>
        </w:tc>
        <w:tc>
          <w:tcPr>
            <w:tcW w:w="1427" w:type="dxa"/>
            <w:tcBorders>
              <w:top w:val="nil"/>
              <w:left w:val="nil"/>
              <w:bottom w:val="single" w:sz="4" w:space="0" w:color="auto"/>
              <w:right w:val="single" w:sz="4" w:space="0" w:color="auto"/>
            </w:tcBorders>
            <w:shd w:val="clear" w:color="auto" w:fill="auto"/>
            <w:noWrap/>
            <w:vAlign w:val="bottom"/>
            <w:hideMark/>
          </w:tcPr>
          <w:p w14:paraId="5ED72EA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0025C6D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7D6A580"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5FDC7E6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Add: accrued interest</w:t>
            </w:r>
          </w:p>
        </w:tc>
        <w:tc>
          <w:tcPr>
            <w:tcW w:w="1363" w:type="dxa"/>
            <w:tcBorders>
              <w:top w:val="nil"/>
              <w:left w:val="nil"/>
              <w:bottom w:val="single" w:sz="4" w:space="0" w:color="auto"/>
              <w:right w:val="single" w:sz="4" w:space="0" w:color="auto"/>
            </w:tcBorders>
            <w:shd w:val="clear" w:color="auto" w:fill="auto"/>
            <w:noWrap/>
            <w:vAlign w:val="bottom"/>
            <w:hideMark/>
          </w:tcPr>
          <w:p w14:paraId="28EADD50"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2000</w:t>
            </w:r>
          </w:p>
        </w:tc>
        <w:tc>
          <w:tcPr>
            <w:tcW w:w="1427" w:type="dxa"/>
            <w:tcBorders>
              <w:top w:val="nil"/>
              <w:left w:val="nil"/>
              <w:bottom w:val="single" w:sz="4" w:space="0" w:color="auto"/>
              <w:right w:val="single" w:sz="4" w:space="0" w:color="auto"/>
            </w:tcBorders>
            <w:shd w:val="clear" w:color="auto" w:fill="auto"/>
            <w:noWrap/>
            <w:vAlign w:val="bottom"/>
            <w:hideMark/>
          </w:tcPr>
          <w:p w14:paraId="5539050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0781C106"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4000</w:t>
            </w:r>
          </w:p>
        </w:tc>
      </w:tr>
      <w:tr w:rsidR="00005835" w:rsidRPr="00005835" w14:paraId="27FF74D5"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2097DA52"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Income before tax</w:t>
            </w:r>
          </w:p>
        </w:tc>
        <w:tc>
          <w:tcPr>
            <w:tcW w:w="1363" w:type="dxa"/>
            <w:tcBorders>
              <w:top w:val="nil"/>
              <w:left w:val="nil"/>
              <w:bottom w:val="single" w:sz="4" w:space="0" w:color="auto"/>
              <w:right w:val="single" w:sz="4" w:space="0" w:color="auto"/>
            </w:tcBorders>
            <w:shd w:val="clear" w:color="auto" w:fill="auto"/>
            <w:noWrap/>
            <w:vAlign w:val="bottom"/>
            <w:hideMark/>
          </w:tcPr>
          <w:p w14:paraId="7C9F45D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05464E7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753C5E6D"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152,330</w:t>
            </w:r>
          </w:p>
        </w:tc>
      </w:tr>
      <w:tr w:rsidR="00005835" w:rsidRPr="00005835" w14:paraId="763D7E3A"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0E31E553" w14:textId="68286190"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Corporate tax</w:t>
            </w:r>
          </w:p>
        </w:tc>
        <w:tc>
          <w:tcPr>
            <w:tcW w:w="1363" w:type="dxa"/>
            <w:tcBorders>
              <w:top w:val="nil"/>
              <w:left w:val="nil"/>
              <w:bottom w:val="single" w:sz="4" w:space="0" w:color="auto"/>
              <w:right w:val="single" w:sz="4" w:space="0" w:color="auto"/>
            </w:tcBorders>
            <w:shd w:val="clear" w:color="auto" w:fill="auto"/>
            <w:noWrap/>
            <w:vAlign w:val="bottom"/>
            <w:hideMark/>
          </w:tcPr>
          <w:p w14:paraId="2B3761B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06AD7F8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49023F26"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100000</w:t>
            </w:r>
          </w:p>
        </w:tc>
      </w:tr>
      <w:tr w:rsidR="00005835" w:rsidRPr="00005835" w14:paraId="64518CB4" w14:textId="77777777" w:rsidTr="00005835">
        <w:trPr>
          <w:trHeight w:val="322"/>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02066B7"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Net income</w:t>
            </w:r>
          </w:p>
        </w:tc>
        <w:tc>
          <w:tcPr>
            <w:tcW w:w="1363" w:type="dxa"/>
            <w:tcBorders>
              <w:top w:val="nil"/>
              <w:left w:val="nil"/>
              <w:bottom w:val="single" w:sz="4" w:space="0" w:color="auto"/>
              <w:right w:val="single" w:sz="4" w:space="0" w:color="auto"/>
            </w:tcBorders>
            <w:shd w:val="clear" w:color="auto" w:fill="auto"/>
            <w:noWrap/>
            <w:vAlign w:val="bottom"/>
            <w:hideMark/>
          </w:tcPr>
          <w:p w14:paraId="661146D5"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7" w:type="dxa"/>
            <w:tcBorders>
              <w:top w:val="nil"/>
              <w:left w:val="nil"/>
              <w:bottom w:val="single" w:sz="4" w:space="0" w:color="auto"/>
              <w:right w:val="single" w:sz="4" w:space="0" w:color="auto"/>
            </w:tcBorders>
            <w:shd w:val="clear" w:color="auto" w:fill="auto"/>
            <w:noWrap/>
            <w:vAlign w:val="bottom"/>
            <w:hideMark/>
          </w:tcPr>
          <w:p w14:paraId="3FD736B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6" w:type="dxa"/>
            <w:tcBorders>
              <w:top w:val="nil"/>
              <w:left w:val="nil"/>
              <w:bottom w:val="single" w:sz="4" w:space="0" w:color="auto"/>
              <w:right w:val="single" w:sz="4" w:space="0" w:color="auto"/>
            </w:tcBorders>
            <w:shd w:val="clear" w:color="auto" w:fill="auto"/>
            <w:noWrap/>
            <w:vAlign w:val="bottom"/>
            <w:hideMark/>
          </w:tcPr>
          <w:p w14:paraId="3E5BD6F0" w14:textId="77777777" w:rsidR="00005835" w:rsidRPr="00005835" w:rsidRDefault="00005835" w:rsidP="00005835">
            <w:pPr>
              <w:spacing w:after="0" w:line="240" w:lineRule="auto"/>
              <w:ind w:left="0" w:right="0" w:firstLine="0"/>
              <w:jc w:val="right"/>
              <w:rPr>
                <w:rFonts w:eastAsia="Times New Roman" w:cs="Times New Roman"/>
                <w:b/>
                <w:bCs/>
                <w:szCs w:val="24"/>
                <w:u w:val="double"/>
              </w:rPr>
            </w:pPr>
            <w:r w:rsidRPr="00005835">
              <w:rPr>
                <w:rFonts w:eastAsia="Times New Roman" w:cs="Times New Roman"/>
                <w:b/>
                <w:bCs/>
                <w:szCs w:val="24"/>
                <w:u w:val="double"/>
              </w:rPr>
              <w:t>52,330</w:t>
            </w:r>
          </w:p>
        </w:tc>
      </w:tr>
    </w:tbl>
    <w:p w14:paraId="2B085309" w14:textId="73740C9D" w:rsidR="00005835" w:rsidRDefault="00005835" w:rsidP="00005835">
      <w:pPr>
        <w:jc w:val="center"/>
      </w:pPr>
    </w:p>
    <w:p w14:paraId="4E25709C" w14:textId="0D5DEAAA" w:rsidR="00005835" w:rsidRDefault="00005835">
      <w:pPr>
        <w:spacing w:after="160" w:line="259" w:lineRule="auto"/>
        <w:ind w:left="0" w:right="0" w:firstLine="0"/>
        <w:jc w:val="left"/>
      </w:pPr>
      <w:r>
        <w:br w:type="page"/>
      </w:r>
    </w:p>
    <w:p w14:paraId="1FB89924" w14:textId="77777777" w:rsidR="00005835" w:rsidRPr="00005835" w:rsidRDefault="00005835" w:rsidP="00005835">
      <w:pPr>
        <w:jc w:val="center"/>
      </w:pPr>
      <w:r>
        <w:rPr>
          <w:rFonts w:eastAsia="Times New Roman" w:cs="Times New Roman"/>
        </w:rPr>
        <w:lastRenderedPageBreak/>
        <w:t>Wales plc</w:t>
      </w:r>
    </w:p>
    <w:p w14:paraId="07D7BD11" w14:textId="6B2AEB59" w:rsidR="00005835" w:rsidRDefault="00005835" w:rsidP="00005835">
      <w:pPr>
        <w:jc w:val="center"/>
        <w:rPr>
          <w:rFonts w:eastAsia="Times New Roman" w:cs="Times New Roman"/>
        </w:rPr>
      </w:pPr>
      <w:r>
        <w:rPr>
          <w:rFonts w:eastAsia="Times New Roman" w:cs="Times New Roman"/>
        </w:rPr>
        <w:t>Statement of Changes in Equity</w:t>
      </w:r>
    </w:p>
    <w:p w14:paraId="7A7CF77C" w14:textId="77777777" w:rsidR="00005835" w:rsidRDefault="00005835" w:rsidP="00005835">
      <w:pPr>
        <w:jc w:val="center"/>
        <w:rPr>
          <w:rFonts w:eastAsia="Times New Roman" w:cs="Times New Roman"/>
        </w:rPr>
      </w:pPr>
      <w:r>
        <w:rPr>
          <w:rFonts w:eastAsia="Times New Roman" w:cs="Times New Roman"/>
        </w:rPr>
        <w:t xml:space="preserve"> For the year ended 31</w:t>
      </w:r>
      <w:r>
        <w:rPr>
          <w:rFonts w:eastAsia="Times New Roman" w:cs="Times New Roman"/>
          <w:vertAlign w:val="superscript"/>
        </w:rPr>
        <w:t>st</w:t>
      </w:r>
      <w:r>
        <w:rPr>
          <w:rFonts w:eastAsia="Times New Roman" w:cs="Times New Roman"/>
        </w:rPr>
        <w:t xml:space="preserve"> December 2021</w:t>
      </w:r>
    </w:p>
    <w:tbl>
      <w:tblPr>
        <w:tblW w:w="8860" w:type="dxa"/>
        <w:tblInd w:w="113" w:type="dxa"/>
        <w:tblLook w:val="04A0" w:firstRow="1" w:lastRow="0" w:firstColumn="1" w:lastColumn="0" w:noHBand="0" w:noVBand="1"/>
      </w:tblPr>
      <w:tblGrid>
        <w:gridCol w:w="4920"/>
        <w:gridCol w:w="1280"/>
        <w:gridCol w:w="1340"/>
        <w:gridCol w:w="1320"/>
      </w:tblGrid>
      <w:tr w:rsidR="00005835" w:rsidRPr="00005835" w14:paraId="06CE05E3" w14:textId="77777777" w:rsidTr="00005835">
        <w:trPr>
          <w:trHeight w:val="288"/>
        </w:trPr>
        <w:tc>
          <w:tcPr>
            <w:tcW w:w="4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6045D" w14:textId="3FBDE914"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Particulars</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73123FF2" w14:textId="612CAEDC"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b/>
                <w:bCs/>
                <w:szCs w:val="24"/>
              </w:rPr>
              <w:t>£</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1E2C10CA" w14:textId="64EEF806"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b/>
                <w:bCs/>
                <w:szCs w:val="24"/>
              </w:rPr>
              <w:t>£</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1B8CE230" w14:textId="311F28A4"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b/>
                <w:bCs/>
                <w:szCs w:val="24"/>
              </w:rPr>
              <w:t>£</w:t>
            </w:r>
          </w:p>
        </w:tc>
      </w:tr>
      <w:tr w:rsidR="00005835" w:rsidRPr="00005835" w14:paraId="6B7719EF" w14:textId="77777777" w:rsidTr="00005835">
        <w:trPr>
          <w:trHeight w:val="324"/>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28C47CA7" w14:textId="24B12AE6"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Retained profits </w:t>
            </w:r>
            <w:r w:rsidR="00B46E12">
              <w:rPr>
                <w:rFonts w:eastAsia="Times New Roman" w:cs="Times New Roman"/>
                <w:szCs w:val="24"/>
              </w:rPr>
              <w:t>on</w:t>
            </w:r>
            <w:r w:rsidRPr="00005835">
              <w:rPr>
                <w:rFonts w:eastAsia="Times New Roman" w:cs="Times New Roman"/>
                <w:szCs w:val="24"/>
              </w:rPr>
              <w:t xml:space="preserve"> 1</w:t>
            </w:r>
            <w:r w:rsidRPr="00005835">
              <w:rPr>
                <w:rFonts w:eastAsia="Times New Roman" w:cs="Times New Roman"/>
                <w:szCs w:val="24"/>
                <w:vertAlign w:val="superscript"/>
              </w:rPr>
              <w:t>st</w:t>
            </w:r>
            <w:r w:rsidRPr="00005835">
              <w:rPr>
                <w:rFonts w:eastAsia="Times New Roman" w:cs="Times New Roman"/>
                <w:szCs w:val="24"/>
              </w:rPr>
              <w:t xml:space="preserve"> January 2021 </w:t>
            </w:r>
          </w:p>
        </w:tc>
        <w:tc>
          <w:tcPr>
            <w:tcW w:w="1280" w:type="dxa"/>
            <w:tcBorders>
              <w:top w:val="nil"/>
              <w:left w:val="nil"/>
              <w:bottom w:val="single" w:sz="4" w:space="0" w:color="auto"/>
              <w:right w:val="single" w:sz="4" w:space="0" w:color="auto"/>
            </w:tcBorders>
            <w:shd w:val="clear" w:color="auto" w:fill="auto"/>
            <w:noWrap/>
            <w:vAlign w:val="bottom"/>
            <w:hideMark/>
          </w:tcPr>
          <w:p w14:paraId="14EEEC6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2CF12907"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132,000</w:t>
            </w:r>
          </w:p>
        </w:tc>
        <w:tc>
          <w:tcPr>
            <w:tcW w:w="1320" w:type="dxa"/>
            <w:tcBorders>
              <w:top w:val="nil"/>
              <w:left w:val="nil"/>
              <w:bottom w:val="single" w:sz="4" w:space="0" w:color="auto"/>
              <w:right w:val="single" w:sz="4" w:space="0" w:color="auto"/>
            </w:tcBorders>
            <w:shd w:val="clear" w:color="auto" w:fill="auto"/>
            <w:noWrap/>
            <w:vAlign w:val="bottom"/>
            <w:hideMark/>
          </w:tcPr>
          <w:p w14:paraId="3ABFCF0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548ECCB"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532ADB7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Share capital</w:t>
            </w:r>
          </w:p>
        </w:tc>
        <w:tc>
          <w:tcPr>
            <w:tcW w:w="1280" w:type="dxa"/>
            <w:tcBorders>
              <w:top w:val="nil"/>
              <w:left w:val="nil"/>
              <w:bottom w:val="single" w:sz="4" w:space="0" w:color="auto"/>
              <w:right w:val="single" w:sz="4" w:space="0" w:color="auto"/>
            </w:tcBorders>
            <w:shd w:val="clear" w:color="auto" w:fill="auto"/>
            <w:noWrap/>
            <w:vAlign w:val="bottom"/>
            <w:hideMark/>
          </w:tcPr>
          <w:p w14:paraId="2E321E9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53CCC087"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500,000</w:t>
            </w:r>
          </w:p>
        </w:tc>
        <w:tc>
          <w:tcPr>
            <w:tcW w:w="1320" w:type="dxa"/>
            <w:tcBorders>
              <w:top w:val="nil"/>
              <w:left w:val="nil"/>
              <w:bottom w:val="single" w:sz="4" w:space="0" w:color="auto"/>
              <w:right w:val="single" w:sz="4" w:space="0" w:color="auto"/>
            </w:tcBorders>
            <w:shd w:val="clear" w:color="auto" w:fill="auto"/>
            <w:noWrap/>
            <w:vAlign w:val="bottom"/>
            <w:hideMark/>
          </w:tcPr>
          <w:p w14:paraId="7102D8E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9DC11A9"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29B0E26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preference shares </w:t>
            </w:r>
          </w:p>
        </w:tc>
        <w:tc>
          <w:tcPr>
            <w:tcW w:w="1280" w:type="dxa"/>
            <w:tcBorders>
              <w:top w:val="nil"/>
              <w:left w:val="nil"/>
              <w:bottom w:val="single" w:sz="4" w:space="0" w:color="auto"/>
              <w:right w:val="single" w:sz="4" w:space="0" w:color="auto"/>
            </w:tcBorders>
            <w:shd w:val="clear" w:color="auto" w:fill="auto"/>
            <w:noWrap/>
            <w:vAlign w:val="bottom"/>
            <w:hideMark/>
          </w:tcPr>
          <w:p w14:paraId="01EADEF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2A787722"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200000</w:t>
            </w:r>
          </w:p>
        </w:tc>
        <w:tc>
          <w:tcPr>
            <w:tcW w:w="1320" w:type="dxa"/>
            <w:tcBorders>
              <w:top w:val="nil"/>
              <w:left w:val="nil"/>
              <w:bottom w:val="single" w:sz="4" w:space="0" w:color="auto"/>
              <w:right w:val="single" w:sz="4" w:space="0" w:color="auto"/>
            </w:tcBorders>
            <w:shd w:val="clear" w:color="auto" w:fill="auto"/>
            <w:noWrap/>
            <w:vAlign w:val="bottom"/>
            <w:hideMark/>
          </w:tcPr>
          <w:p w14:paraId="6A7F1F2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57E5216C"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7A9E541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Profit for the year</w:t>
            </w:r>
          </w:p>
        </w:tc>
        <w:tc>
          <w:tcPr>
            <w:tcW w:w="1280" w:type="dxa"/>
            <w:tcBorders>
              <w:top w:val="nil"/>
              <w:left w:val="nil"/>
              <w:bottom w:val="single" w:sz="4" w:space="0" w:color="auto"/>
              <w:right w:val="single" w:sz="4" w:space="0" w:color="auto"/>
            </w:tcBorders>
            <w:shd w:val="clear" w:color="auto" w:fill="auto"/>
            <w:noWrap/>
            <w:vAlign w:val="bottom"/>
            <w:hideMark/>
          </w:tcPr>
          <w:p w14:paraId="270CCC1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30FDC6F3"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52,330</w:t>
            </w:r>
          </w:p>
        </w:tc>
        <w:tc>
          <w:tcPr>
            <w:tcW w:w="1320" w:type="dxa"/>
            <w:tcBorders>
              <w:top w:val="nil"/>
              <w:left w:val="nil"/>
              <w:bottom w:val="single" w:sz="4" w:space="0" w:color="auto"/>
              <w:right w:val="single" w:sz="4" w:space="0" w:color="auto"/>
            </w:tcBorders>
            <w:shd w:val="clear" w:color="auto" w:fill="auto"/>
            <w:noWrap/>
            <w:vAlign w:val="bottom"/>
            <w:hideMark/>
          </w:tcPr>
          <w:p w14:paraId="12C62E2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0308511"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0C40203A" w14:textId="77777777"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Less: Dividend paid</w:t>
            </w:r>
          </w:p>
        </w:tc>
        <w:tc>
          <w:tcPr>
            <w:tcW w:w="1280" w:type="dxa"/>
            <w:tcBorders>
              <w:top w:val="nil"/>
              <w:left w:val="nil"/>
              <w:bottom w:val="single" w:sz="4" w:space="0" w:color="auto"/>
              <w:right w:val="single" w:sz="4" w:space="0" w:color="auto"/>
            </w:tcBorders>
            <w:shd w:val="clear" w:color="auto" w:fill="auto"/>
            <w:noWrap/>
            <w:vAlign w:val="bottom"/>
            <w:hideMark/>
          </w:tcPr>
          <w:p w14:paraId="13210B7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75C0B4A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7CDE88B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F89DB4E"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606D9EE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Ordinary </w:t>
            </w:r>
          </w:p>
        </w:tc>
        <w:tc>
          <w:tcPr>
            <w:tcW w:w="1280" w:type="dxa"/>
            <w:tcBorders>
              <w:top w:val="nil"/>
              <w:left w:val="nil"/>
              <w:bottom w:val="single" w:sz="4" w:space="0" w:color="auto"/>
              <w:right w:val="single" w:sz="4" w:space="0" w:color="auto"/>
            </w:tcBorders>
            <w:shd w:val="clear" w:color="auto" w:fill="auto"/>
            <w:noWrap/>
            <w:vAlign w:val="bottom"/>
            <w:hideMark/>
          </w:tcPr>
          <w:p w14:paraId="68754FC4"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-20000</w:t>
            </w:r>
          </w:p>
        </w:tc>
        <w:tc>
          <w:tcPr>
            <w:tcW w:w="1340" w:type="dxa"/>
            <w:tcBorders>
              <w:top w:val="nil"/>
              <w:left w:val="nil"/>
              <w:bottom w:val="single" w:sz="4" w:space="0" w:color="auto"/>
              <w:right w:val="single" w:sz="4" w:space="0" w:color="auto"/>
            </w:tcBorders>
            <w:shd w:val="clear" w:color="auto" w:fill="auto"/>
            <w:noWrap/>
            <w:vAlign w:val="bottom"/>
            <w:hideMark/>
          </w:tcPr>
          <w:p w14:paraId="7782109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53C3F48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E9E1799"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06AF128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preference shares </w:t>
            </w:r>
          </w:p>
        </w:tc>
        <w:tc>
          <w:tcPr>
            <w:tcW w:w="1280" w:type="dxa"/>
            <w:tcBorders>
              <w:top w:val="nil"/>
              <w:left w:val="nil"/>
              <w:bottom w:val="single" w:sz="4" w:space="0" w:color="auto"/>
              <w:right w:val="single" w:sz="4" w:space="0" w:color="auto"/>
            </w:tcBorders>
            <w:shd w:val="clear" w:color="auto" w:fill="auto"/>
            <w:noWrap/>
            <w:vAlign w:val="bottom"/>
            <w:hideMark/>
          </w:tcPr>
          <w:p w14:paraId="0565D089"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-30000</w:t>
            </w:r>
          </w:p>
        </w:tc>
        <w:tc>
          <w:tcPr>
            <w:tcW w:w="1340" w:type="dxa"/>
            <w:tcBorders>
              <w:top w:val="nil"/>
              <w:left w:val="nil"/>
              <w:bottom w:val="single" w:sz="4" w:space="0" w:color="auto"/>
              <w:right w:val="single" w:sz="4" w:space="0" w:color="auto"/>
            </w:tcBorders>
            <w:shd w:val="clear" w:color="auto" w:fill="auto"/>
            <w:noWrap/>
            <w:vAlign w:val="bottom"/>
            <w:hideMark/>
          </w:tcPr>
          <w:p w14:paraId="2DFDB9F0"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-50000</w:t>
            </w:r>
          </w:p>
        </w:tc>
        <w:tc>
          <w:tcPr>
            <w:tcW w:w="1320" w:type="dxa"/>
            <w:tcBorders>
              <w:top w:val="nil"/>
              <w:left w:val="nil"/>
              <w:bottom w:val="single" w:sz="4" w:space="0" w:color="auto"/>
              <w:right w:val="single" w:sz="4" w:space="0" w:color="auto"/>
            </w:tcBorders>
            <w:shd w:val="clear" w:color="auto" w:fill="auto"/>
            <w:noWrap/>
            <w:vAlign w:val="bottom"/>
            <w:hideMark/>
          </w:tcPr>
          <w:p w14:paraId="79D2FF6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7D896872" w14:textId="77777777" w:rsidTr="00005835">
        <w:trPr>
          <w:trHeight w:val="288"/>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01FC0D25" w14:textId="71465FAF"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 xml:space="preserve">Total Owners </w:t>
            </w:r>
            <w:r w:rsidR="00B46E12">
              <w:rPr>
                <w:rFonts w:eastAsia="Times New Roman" w:cs="Times New Roman"/>
                <w:b/>
                <w:bCs/>
                <w:szCs w:val="24"/>
              </w:rPr>
              <w:t>E</w:t>
            </w:r>
            <w:r w:rsidRPr="00005835">
              <w:rPr>
                <w:rFonts w:eastAsia="Times New Roman" w:cs="Times New Roman"/>
                <w:b/>
                <w:bCs/>
                <w:szCs w:val="24"/>
              </w:rPr>
              <w:t>quity</w:t>
            </w:r>
          </w:p>
        </w:tc>
        <w:tc>
          <w:tcPr>
            <w:tcW w:w="1280" w:type="dxa"/>
            <w:tcBorders>
              <w:top w:val="nil"/>
              <w:left w:val="nil"/>
              <w:bottom w:val="single" w:sz="4" w:space="0" w:color="auto"/>
              <w:right w:val="single" w:sz="4" w:space="0" w:color="auto"/>
            </w:tcBorders>
            <w:shd w:val="clear" w:color="auto" w:fill="auto"/>
            <w:noWrap/>
            <w:vAlign w:val="bottom"/>
            <w:hideMark/>
          </w:tcPr>
          <w:p w14:paraId="3D90FFA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14:paraId="7EABD6B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20" w:type="dxa"/>
            <w:tcBorders>
              <w:top w:val="nil"/>
              <w:left w:val="nil"/>
              <w:bottom w:val="single" w:sz="4" w:space="0" w:color="auto"/>
              <w:right w:val="single" w:sz="4" w:space="0" w:color="auto"/>
            </w:tcBorders>
            <w:shd w:val="clear" w:color="auto" w:fill="auto"/>
            <w:noWrap/>
            <w:vAlign w:val="bottom"/>
            <w:hideMark/>
          </w:tcPr>
          <w:p w14:paraId="21596521" w14:textId="77777777" w:rsidR="00005835" w:rsidRPr="00005835" w:rsidRDefault="00005835" w:rsidP="00005835">
            <w:pPr>
              <w:spacing w:after="0" w:line="240" w:lineRule="auto"/>
              <w:ind w:left="0" w:right="0" w:firstLine="0"/>
              <w:jc w:val="right"/>
              <w:rPr>
                <w:rFonts w:eastAsia="Times New Roman" w:cs="Times New Roman"/>
                <w:b/>
                <w:bCs/>
                <w:szCs w:val="24"/>
                <w:u w:val="double"/>
              </w:rPr>
            </w:pPr>
            <w:r w:rsidRPr="00005835">
              <w:rPr>
                <w:rFonts w:eastAsia="Times New Roman" w:cs="Times New Roman"/>
                <w:b/>
                <w:bCs/>
                <w:szCs w:val="24"/>
                <w:u w:val="double"/>
              </w:rPr>
              <w:t>834,330</w:t>
            </w:r>
          </w:p>
        </w:tc>
      </w:tr>
    </w:tbl>
    <w:p w14:paraId="11D6399A" w14:textId="77777777" w:rsidR="00005835" w:rsidRDefault="00005835" w:rsidP="00005835">
      <w:pPr>
        <w:spacing w:after="160" w:line="259" w:lineRule="auto"/>
        <w:ind w:left="0" w:right="0" w:firstLine="0"/>
        <w:jc w:val="center"/>
        <w:rPr>
          <w:rFonts w:eastAsia="Times New Roman" w:cs="Times New Roman"/>
        </w:rPr>
      </w:pPr>
      <w:r>
        <w:rPr>
          <w:rFonts w:eastAsia="Times New Roman" w:cs="Times New Roman"/>
        </w:rPr>
        <w:br w:type="page"/>
      </w:r>
    </w:p>
    <w:p w14:paraId="255BF682" w14:textId="5925951C" w:rsidR="00005835" w:rsidRPr="00005835" w:rsidRDefault="00005835" w:rsidP="00005835">
      <w:pPr>
        <w:jc w:val="center"/>
      </w:pPr>
      <w:r>
        <w:rPr>
          <w:rFonts w:eastAsia="Times New Roman" w:cs="Times New Roman"/>
        </w:rPr>
        <w:lastRenderedPageBreak/>
        <w:t>Wales plc</w:t>
      </w:r>
    </w:p>
    <w:p w14:paraId="3ED4C287" w14:textId="065FDB0B" w:rsidR="00005835" w:rsidRDefault="00005835" w:rsidP="00005835">
      <w:pPr>
        <w:jc w:val="center"/>
        <w:rPr>
          <w:rFonts w:eastAsia="Times New Roman" w:cs="Times New Roman"/>
        </w:rPr>
      </w:pPr>
      <w:r>
        <w:rPr>
          <w:rFonts w:eastAsia="Times New Roman" w:cs="Times New Roman"/>
        </w:rPr>
        <w:t>Statement of financial position</w:t>
      </w:r>
    </w:p>
    <w:p w14:paraId="01DD574A" w14:textId="445653AC" w:rsidR="00005835" w:rsidRDefault="00005835" w:rsidP="00005835">
      <w:pPr>
        <w:jc w:val="center"/>
        <w:rPr>
          <w:rFonts w:eastAsia="Times New Roman" w:cs="Times New Roman"/>
        </w:rPr>
      </w:pPr>
      <w:r>
        <w:rPr>
          <w:rFonts w:eastAsia="Times New Roman" w:cs="Times New Roman"/>
        </w:rPr>
        <w:t xml:space="preserve"> For the year ended 31</w:t>
      </w:r>
      <w:r>
        <w:rPr>
          <w:rFonts w:eastAsia="Times New Roman" w:cs="Times New Roman"/>
          <w:vertAlign w:val="superscript"/>
        </w:rPr>
        <w:t>st</w:t>
      </w:r>
      <w:r>
        <w:rPr>
          <w:rFonts w:eastAsia="Times New Roman" w:cs="Times New Roman"/>
        </w:rPr>
        <w:t xml:space="preserve"> December 2021</w:t>
      </w:r>
    </w:p>
    <w:tbl>
      <w:tblPr>
        <w:tblW w:w="9445" w:type="dxa"/>
        <w:tblInd w:w="113" w:type="dxa"/>
        <w:tblLook w:val="04A0" w:firstRow="1" w:lastRow="0" w:firstColumn="1" w:lastColumn="0" w:noHBand="0" w:noVBand="1"/>
      </w:tblPr>
      <w:tblGrid>
        <w:gridCol w:w="5246"/>
        <w:gridCol w:w="1364"/>
        <w:gridCol w:w="1428"/>
        <w:gridCol w:w="1407"/>
      </w:tblGrid>
      <w:tr w:rsidR="00005835" w:rsidRPr="00005835" w14:paraId="5053A5D5" w14:textId="77777777" w:rsidTr="00005835">
        <w:trPr>
          <w:trHeight w:val="318"/>
        </w:trPr>
        <w:tc>
          <w:tcPr>
            <w:tcW w:w="5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ECC1D"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Particulars</w:t>
            </w:r>
          </w:p>
        </w:tc>
        <w:tc>
          <w:tcPr>
            <w:tcW w:w="1364" w:type="dxa"/>
            <w:tcBorders>
              <w:top w:val="single" w:sz="4" w:space="0" w:color="auto"/>
              <w:left w:val="nil"/>
              <w:bottom w:val="single" w:sz="4" w:space="0" w:color="auto"/>
              <w:right w:val="single" w:sz="4" w:space="0" w:color="auto"/>
            </w:tcBorders>
            <w:shd w:val="clear" w:color="auto" w:fill="auto"/>
            <w:noWrap/>
            <w:vAlign w:val="bottom"/>
            <w:hideMark/>
          </w:tcPr>
          <w:p w14:paraId="7AE96107"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14:paraId="663C4A58"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c>
          <w:tcPr>
            <w:tcW w:w="1407" w:type="dxa"/>
            <w:tcBorders>
              <w:top w:val="single" w:sz="4" w:space="0" w:color="auto"/>
              <w:left w:val="nil"/>
              <w:bottom w:val="single" w:sz="4" w:space="0" w:color="auto"/>
              <w:right w:val="single" w:sz="4" w:space="0" w:color="auto"/>
            </w:tcBorders>
            <w:shd w:val="clear" w:color="auto" w:fill="auto"/>
            <w:noWrap/>
            <w:vAlign w:val="bottom"/>
            <w:hideMark/>
          </w:tcPr>
          <w:p w14:paraId="31FCF51A"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w:t>
            </w:r>
          </w:p>
        </w:tc>
      </w:tr>
      <w:tr w:rsidR="00005835" w:rsidRPr="00005835" w14:paraId="21B6529E"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340DCFD8" w14:textId="77777777"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Assets</w:t>
            </w:r>
          </w:p>
        </w:tc>
        <w:tc>
          <w:tcPr>
            <w:tcW w:w="1364" w:type="dxa"/>
            <w:tcBorders>
              <w:top w:val="nil"/>
              <w:left w:val="nil"/>
              <w:bottom w:val="single" w:sz="4" w:space="0" w:color="auto"/>
              <w:right w:val="single" w:sz="4" w:space="0" w:color="auto"/>
            </w:tcBorders>
            <w:shd w:val="clear" w:color="auto" w:fill="auto"/>
            <w:noWrap/>
            <w:vAlign w:val="bottom"/>
            <w:hideMark/>
          </w:tcPr>
          <w:p w14:paraId="10EB67C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31F96D7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48E8B00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B0CB89D"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6A8C28D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Current Assets</w:t>
            </w:r>
          </w:p>
        </w:tc>
        <w:tc>
          <w:tcPr>
            <w:tcW w:w="1364" w:type="dxa"/>
            <w:tcBorders>
              <w:top w:val="nil"/>
              <w:left w:val="nil"/>
              <w:bottom w:val="single" w:sz="4" w:space="0" w:color="auto"/>
              <w:right w:val="single" w:sz="4" w:space="0" w:color="auto"/>
            </w:tcBorders>
            <w:shd w:val="clear" w:color="auto" w:fill="auto"/>
            <w:noWrap/>
            <w:vAlign w:val="bottom"/>
            <w:hideMark/>
          </w:tcPr>
          <w:p w14:paraId="1E08088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353C6BB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69FC9C8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575B338"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521317E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Trade receivable </w:t>
            </w:r>
          </w:p>
        </w:tc>
        <w:tc>
          <w:tcPr>
            <w:tcW w:w="1364" w:type="dxa"/>
            <w:tcBorders>
              <w:top w:val="nil"/>
              <w:left w:val="nil"/>
              <w:bottom w:val="single" w:sz="4" w:space="0" w:color="auto"/>
              <w:right w:val="single" w:sz="4" w:space="0" w:color="auto"/>
            </w:tcBorders>
            <w:shd w:val="clear" w:color="auto" w:fill="auto"/>
            <w:noWrap/>
            <w:vAlign w:val="bottom"/>
            <w:hideMark/>
          </w:tcPr>
          <w:p w14:paraId="4188F3F3"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170,125</w:t>
            </w:r>
          </w:p>
        </w:tc>
        <w:tc>
          <w:tcPr>
            <w:tcW w:w="1428" w:type="dxa"/>
            <w:tcBorders>
              <w:top w:val="nil"/>
              <w:left w:val="nil"/>
              <w:bottom w:val="single" w:sz="4" w:space="0" w:color="auto"/>
              <w:right w:val="single" w:sz="4" w:space="0" w:color="auto"/>
            </w:tcBorders>
            <w:shd w:val="clear" w:color="auto" w:fill="auto"/>
            <w:noWrap/>
            <w:vAlign w:val="bottom"/>
            <w:hideMark/>
          </w:tcPr>
          <w:p w14:paraId="3E0394D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2A727EC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31EA8E0"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0F691D8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Add: new sale</w:t>
            </w:r>
          </w:p>
        </w:tc>
        <w:tc>
          <w:tcPr>
            <w:tcW w:w="1364" w:type="dxa"/>
            <w:tcBorders>
              <w:top w:val="nil"/>
              <w:left w:val="nil"/>
              <w:bottom w:val="single" w:sz="4" w:space="0" w:color="auto"/>
              <w:right w:val="single" w:sz="4" w:space="0" w:color="auto"/>
            </w:tcBorders>
            <w:shd w:val="clear" w:color="auto" w:fill="auto"/>
            <w:noWrap/>
            <w:vAlign w:val="bottom"/>
            <w:hideMark/>
          </w:tcPr>
          <w:p w14:paraId="4E9F5229"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980</w:t>
            </w:r>
          </w:p>
        </w:tc>
        <w:tc>
          <w:tcPr>
            <w:tcW w:w="1428" w:type="dxa"/>
            <w:tcBorders>
              <w:top w:val="nil"/>
              <w:left w:val="nil"/>
              <w:bottom w:val="single" w:sz="4" w:space="0" w:color="auto"/>
              <w:right w:val="single" w:sz="4" w:space="0" w:color="auto"/>
            </w:tcBorders>
            <w:shd w:val="clear" w:color="auto" w:fill="auto"/>
            <w:noWrap/>
            <w:vAlign w:val="bottom"/>
            <w:hideMark/>
          </w:tcPr>
          <w:p w14:paraId="511FC19D"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171,105</w:t>
            </w:r>
          </w:p>
        </w:tc>
        <w:tc>
          <w:tcPr>
            <w:tcW w:w="1407" w:type="dxa"/>
            <w:tcBorders>
              <w:top w:val="nil"/>
              <w:left w:val="nil"/>
              <w:bottom w:val="single" w:sz="4" w:space="0" w:color="auto"/>
              <w:right w:val="single" w:sz="4" w:space="0" w:color="auto"/>
            </w:tcBorders>
            <w:shd w:val="clear" w:color="auto" w:fill="auto"/>
            <w:noWrap/>
            <w:vAlign w:val="bottom"/>
            <w:hideMark/>
          </w:tcPr>
          <w:p w14:paraId="4A53924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E1D7991"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4A41440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Cash and bank </w:t>
            </w:r>
          </w:p>
        </w:tc>
        <w:tc>
          <w:tcPr>
            <w:tcW w:w="1364" w:type="dxa"/>
            <w:tcBorders>
              <w:top w:val="nil"/>
              <w:left w:val="nil"/>
              <w:bottom w:val="single" w:sz="4" w:space="0" w:color="auto"/>
              <w:right w:val="single" w:sz="4" w:space="0" w:color="auto"/>
            </w:tcBorders>
            <w:shd w:val="clear" w:color="auto" w:fill="auto"/>
            <w:noWrap/>
            <w:vAlign w:val="bottom"/>
            <w:hideMark/>
          </w:tcPr>
          <w:p w14:paraId="44DAE82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1D081DF2"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76,250</w:t>
            </w:r>
          </w:p>
        </w:tc>
        <w:tc>
          <w:tcPr>
            <w:tcW w:w="1407" w:type="dxa"/>
            <w:tcBorders>
              <w:top w:val="nil"/>
              <w:left w:val="nil"/>
              <w:bottom w:val="single" w:sz="4" w:space="0" w:color="auto"/>
              <w:right w:val="single" w:sz="4" w:space="0" w:color="auto"/>
            </w:tcBorders>
            <w:shd w:val="clear" w:color="auto" w:fill="auto"/>
            <w:noWrap/>
            <w:vAlign w:val="bottom"/>
            <w:hideMark/>
          </w:tcPr>
          <w:p w14:paraId="5B718C3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CFC6A6B" w14:textId="77777777" w:rsidTr="00005835">
        <w:trPr>
          <w:trHeight w:val="331"/>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3BCD8A1D" w14:textId="0F35BC33"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Stock </w:t>
            </w:r>
            <w:r w:rsidR="00B46E12">
              <w:rPr>
                <w:rFonts w:eastAsia="Times New Roman" w:cs="Times New Roman"/>
                <w:szCs w:val="24"/>
              </w:rPr>
              <w:t>on</w:t>
            </w:r>
            <w:r w:rsidRPr="00005835">
              <w:rPr>
                <w:rFonts w:eastAsia="Times New Roman" w:cs="Times New Roman"/>
                <w:szCs w:val="24"/>
              </w:rPr>
              <w:t xml:space="preserve"> 31</w:t>
            </w:r>
            <w:r w:rsidRPr="00005835">
              <w:rPr>
                <w:rFonts w:eastAsia="Times New Roman" w:cs="Times New Roman"/>
                <w:szCs w:val="24"/>
                <w:vertAlign w:val="superscript"/>
              </w:rPr>
              <w:t>st</w:t>
            </w:r>
            <w:r w:rsidRPr="00005835">
              <w:rPr>
                <w:rFonts w:eastAsia="Times New Roman" w:cs="Times New Roman"/>
                <w:szCs w:val="24"/>
              </w:rPr>
              <w:t xml:space="preserve"> December 2021 </w:t>
            </w:r>
          </w:p>
        </w:tc>
        <w:tc>
          <w:tcPr>
            <w:tcW w:w="1364" w:type="dxa"/>
            <w:tcBorders>
              <w:top w:val="nil"/>
              <w:left w:val="nil"/>
              <w:bottom w:val="single" w:sz="4" w:space="0" w:color="auto"/>
              <w:right w:val="single" w:sz="4" w:space="0" w:color="auto"/>
            </w:tcBorders>
            <w:shd w:val="clear" w:color="auto" w:fill="auto"/>
            <w:noWrap/>
            <w:vAlign w:val="bottom"/>
            <w:hideMark/>
          </w:tcPr>
          <w:p w14:paraId="57385D9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286B48A4"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330,600</w:t>
            </w:r>
          </w:p>
        </w:tc>
        <w:tc>
          <w:tcPr>
            <w:tcW w:w="1407" w:type="dxa"/>
            <w:tcBorders>
              <w:top w:val="nil"/>
              <w:left w:val="nil"/>
              <w:bottom w:val="single" w:sz="4" w:space="0" w:color="auto"/>
              <w:right w:val="single" w:sz="4" w:space="0" w:color="auto"/>
            </w:tcBorders>
            <w:shd w:val="clear" w:color="auto" w:fill="auto"/>
            <w:noWrap/>
            <w:vAlign w:val="bottom"/>
            <w:hideMark/>
          </w:tcPr>
          <w:p w14:paraId="36CE8CC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79AB3E01"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6A8B4B75"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Total current assets</w:t>
            </w:r>
          </w:p>
        </w:tc>
        <w:tc>
          <w:tcPr>
            <w:tcW w:w="1364" w:type="dxa"/>
            <w:tcBorders>
              <w:top w:val="nil"/>
              <w:left w:val="nil"/>
              <w:bottom w:val="single" w:sz="4" w:space="0" w:color="auto"/>
              <w:right w:val="single" w:sz="4" w:space="0" w:color="auto"/>
            </w:tcBorders>
            <w:shd w:val="clear" w:color="auto" w:fill="auto"/>
            <w:noWrap/>
            <w:vAlign w:val="bottom"/>
            <w:hideMark/>
          </w:tcPr>
          <w:p w14:paraId="7CDAB75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6DB9989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0420CED4"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577,955</w:t>
            </w:r>
          </w:p>
        </w:tc>
      </w:tr>
      <w:tr w:rsidR="00005835" w:rsidRPr="00005835" w14:paraId="74F348A4"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3976A5E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Non-current assets</w:t>
            </w:r>
          </w:p>
        </w:tc>
        <w:tc>
          <w:tcPr>
            <w:tcW w:w="1364" w:type="dxa"/>
            <w:tcBorders>
              <w:top w:val="nil"/>
              <w:left w:val="nil"/>
              <w:bottom w:val="single" w:sz="4" w:space="0" w:color="auto"/>
              <w:right w:val="single" w:sz="4" w:space="0" w:color="auto"/>
            </w:tcBorders>
            <w:shd w:val="clear" w:color="auto" w:fill="auto"/>
            <w:noWrap/>
            <w:vAlign w:val="bottom"/>
            <w:hideMark/>
          </w:tcPr>
          <w:p w14:paraId="17C7340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5023073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6AD7D42A"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101DB4F7"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34369F4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Plant and equipment </w:t>
            </w:r>
          </w:p>
        </w:tc>
        <w:tc>
          <w:tcPr>
            <w:tcW w:w="1364" w:type="dxa"/>
            <w:tcBorders>
              <w:top w:val="nil"/>
              <w:left w:val="nil"/>
              <w:bottom w:val="single" w:sz="4" w:space="0" w:color="auto"/>
              <w:right w:val="single" w:sz="4" w:space="0" w:color="auto"/>
            </w:tcBorders>
            <w:shd w:val="clear" w:color="auto" w:fill="auto"/>
            <w:noWrap/>
            <w:vAlign w:val="bottom"/>
            <w:hideMark/>
          </w:tcPr>
          <w:p w14:paraId="2E8A6A8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0F265654"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650,000</w:t>
            </w:r>
          </w:p>
        </w:tc>
        <w:tc>
          <w:tcPr>
            <w:tcW w:w="1407" w:type="dxa"/>
            <w:tcBorders>
              <w:top w:val="nil"/>
              <w:left w:val="nil"/>
              <w:bottom w:val="single" w:sz="4" w:space="0" w:color="auto"/>
              <w:right w:val="single" w:sz="4" w:space="0" w:color="auto"/>
            </w:tcBorders>
            <w:shd w:val="clear" w:color="auto" w:fill="auto"/>
            <w:noWrap/>
            <w:vAlign w:val="bottom"/>
            <w:hideMark/>
          </w:tcPr>
          <w:p w14:paraId="4CCA8358"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650,000</w:t>
            </w:r>
          </w:p>
        </w:tc>
      </w:tr>
      <w:tr w:rsidR="00005835" w:rsidRPr="00005835" w14:paraId="7A082679"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5EB43415"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Total assets</w:t>
            </w:r>
          </w:p>
        </w:tc>
        <w:tc>
          <w:tcPr>
            <w:tcW w:w="1364" w:type="dxa"/>
            <w:tcBorders>
              <w:top w:val="nil"/>
              <w:left w:val="nil"/>
              <w:bottom w:val="single" w:sz="4" w:space="0" w:color="auto"/>
              <w:right w:val="single" w:sz="4" w:space="0" w:color="auto"/>
            </w:tcBorders>
            <w:shd w:val="clear" w:color="auto" w:fill="auto"/>
            <w:noWrap/>
            <w:vAlign w:val="bottom"/>
            <w:hideMark/>
          </w:tcPr>
          <w:p w14:paraId="423EE6FD"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02305E3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149A2EF5" w14:textId="77777777" w:rsidR="00005835" w:rsidRPr="00005835" w:rsidRDefault="00005835" w:rsidP="00005835">
            <w:pPr>
              <w:spacing w:after="0" w:line="240" w:lineRule="auto"/>
              <w:ind w:left="0" w:right="0" w:firstLine="0"/>
              <w:jc w:val="right"/>
              <w:rPr>
                <w:rFonts w:eastAsia="Times New Roman" w:cs="Times New Roman"/>
                <w:b/>
                <w:bCs/>
                <w:szCs w:val="24"/>
                <w:u w:val="double"/>
              </w:rPr>
            </w:pPr>
            <w:r w:rsidRPr="00005835">
              <w:rPr>
                <w:rFonts w:eastAsia="Times New Roman" w:cs="Times New Roman"/>
                <w:b/>
                <w:bCs/>
                <w:szCs w:val="24"/>
                <w:u w:val="double"/>
              </w:rPr>
              <w:t>1,227,955</w:t>
            </w:r>
          </w:p>
        </w:tc>
      </w:tr>
      <w:tr w:rsidR="00005835" w:rsidRPr="00005835" w14:paraId="3379D9E0"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25B8ED0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64" w:type="dxa"/>
            <w:tcBorders>
              <w:top w:val="nil"/>
              <w:left w:val="nil"/>
              <w:bottom w:val="single" w:sz="4" w:space="0" w:color="auto"/>
              <w:right w:val="single" w:sz="4" w:space="0" w:color="auto"/>
            </w:tcBorders>
            <w:shd w:val="clear" w:color="auto" w:fill="auto"/>
            <w:noWrap/>
            <w:vAlign w:val="bottom"/>
            <w:hideMark/>
          </w:tcPr>
          <w:p w14:paraId="42696C1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6163E28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4FF635C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FD44A87"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64A84442" w14:textId="4A5C7C9E" w:rsidR="00005835" w:rsidRPr="00005835" w:rsidRDefault="00005835" w:rsidP="00005835">
            <w:pPr>
              <w:spacing w:after="0" w:line="240" w:lineRule="auto"/>
              <w:ind w:left="0" w:right="0" w:firstLine="0"/>
              <w:jc w:val="center"/>
              <w:rPr>
                <w:rFonts w:eastAsia="Times New Roman" w:cs="Times New Roman"/>
                <w:b/>
                <w:bCs/>
                <w:szCs w:val="24"/>
              </w:rPr>
            </w:pPr>
            <w:r w:rsidRPr="00005835">
              <w:rPr>
                <w:rFonts w:eastAsia="Times New Roman" w:cs="Times New Roman"/>
                <w:b/>
                <w:bCs/>
                <w:szCs w:val="24"/>
              </w:rPr>
              <w:t>Liabilities and owners’ equity</w:t>
            </w:r>
          </w:p>
        </w:tc>
        <w:tc>
          <w:tcPr>
            <w:tcW w:w="1364" w:type="dxa"/>
            <w:tcBorders>
              <w:top w:val="nil"/>
              <w:left w:val="nil"/>
              <w:bottom w:val="single" w:sz="4" w:space="0" w:color="auto"/>
              <w:right w:val="single" w:sz="4" w:space="0" w:color="auto"/>
            </w:tcBorders>
            <w:shd w:val="clear" w:color="auto" w:fill="auto"/>
            <w:noWrap/>
            <w:vAlign w:val="bottom"/>
            <w:hideMark/>
          </w:tcPr>
          <w:p w14:paraId="264F88A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543AE92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730F5F9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7C015092"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7E3BE8F1" w14:textId="77777777"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Current Liability</w:t>
            </w:r>
          </w:p>
        </w:tc>
        <w:tc>
          <w:tcPr>
            <w:tcW w:w="1364" w:type="dxa"/>
            <w:tcBorders>
              <w:top w:val="nil"/>
              <w:left w:val="nil"/>
              <w:bottom w:val="single" w:sz="4" w:space="0" w:color="auto"/>
              <w:right w:val="single" w:sz="4" w:space="0" w:color="auto"/>
            </w:tcBorders>
            <w:shd w:val="clear" w:color="auto" w:fill="auto"/>
            <w:noWrap/>
            <w:vAlign w:val="bottom"/>
            <w:hideMark/>
          </w:tcPr>
          <w:p w14:paraId="5B6465D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35A34EA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550D584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757F8099"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597CDFA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Trade payable </w:t>
            </w:r>
          </w:p>
        </w:tc>
        <w:tc>
          <w:tcPr>
            <w:tcW w:w="1364" w:type="dxa"/>
            <w:tcBorders>
              <w:top w:val="nil"/>
              <w:left w:val="nil"/>
              <w:bottom w:val="single" w:sz="4" w:space="0" w:color="auto"/>
              <w:right w:val="single" w:sz="4" w:space="0" w:color="auto"/>
            </w:tcBorders>
            <w:shd w:val="clear" w:color="auto" w:fill="auto"/>
            <w:noWrap/>
            <w:vAlign w:val="bottom"/>
            <w:hideMark/>
          </w:tcPr>
          <w:p w14:paraId="269C2797"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4FA7883F"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188,625</w:t>
            </w:r>
          </w:p>
        </w:tc>
        <w:tc>
          <w:tcPr>
            <w:tcW w:w="1407" w:type="dxa"/>
            <w:tcBorders>
              <w:top w:val="nil"/>
              <w:left w:val="nil"/>
              <w:bottom w:val="single" w:sz="4" w:space="0" w:color="auto"/>
              <w:right w:val="single" w:sz="4" w:space="0" w:color="auto"/>
            </w:tcBorders>
            <w:shd w:val="clear" w:color="auto" w:fill="auto"/>
            <w:noWrap/>
            <w:vAlign w:val="bottom"/>
            <w:hideMark/>
          </w:tcPr>
          <w:p w14:paraId="6922C22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420E8C6E"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37756864" w14:textId="1B81AE45"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Commission pay</w:t>
            </w:r>
            <w:r w:rsidR="00B46E12">
              <w:rPr>
                <w:rFonts w:eastAsia="Times New Roman" w:cs="Times New Roman"/>
                <w:szCs w:val="24"/>
              </w:rPr>
              <w:t>a</w:t>
            </w:r>
            <w:r w:rsidRPr="00005835">
              <w:rPr>
                <w:rFonts w:eastAsia="Times New Roman" w:cs="Times New Roman"/>
                <w:szCs w:val="24"/>
              </w:rPr>
              <w:t>ble</w:t>
            </w:r>
          </w:p>
        </w:tc>
        <w:tc>
          <w:tcPr>
            <w:tcW w:w="1364" w:type="dxa"/>
            <w:tcBorders>
              <w:top w:val="nil"/>
              <w:left w:val="nil"/>
              <w:bottom w:val="single" w:sz="4" w:space="0" w:color="auto"/>
              <w:right w:val="single" w:sz="4" w:space="0" w:color="auto"/>
            </w:tcBorders>
            <w:shd w:val="clear" w:color="auto" w:fill="auto"/>
            <w:noWrap/>
            <w:vAlign w:val="bottom"/>
            <w:hideMark/>
          </w:tcPr>
          <w:p w14:paraId="2E32931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65413C6E"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3000</w:t>
            </w:r>
          </w:p>
        </w:tc>
        <w:tc>
          <w:tcPr>
            <w:tcW w:w="1407" w:type="dxa"/>
            <w:tcBorders>
              <w:top w:val="nil"/>
              <w:left w:val="nil"/>
              <w:bottom w:val="single" w:sz="4" w:space="0" w:color="auto"/>
              <w:right w:val="single" w:sz="4" w:space="0" w:color="auto"/>
            </w:tcBorders>
            <w:shd w:val="clear" w:color="auto" w:fill="auto"/>
            <w:noWrap/>
            <w:vAlign w:val="bottom"/>
            <w:hideMark/>
          </w:tcPr>
          <w:p w14:paraId="12B843D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4D92AB63"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432E3A31"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Interest payable</w:t>
            </w:r>
          </w:p>
        </w:tc>
        <w:tc>
          <w:tcPr>
            <w:tcW w:w="1364" w:type="dxa"/>
            <w:tcBorders>
              <w:top w:val="nil"/>
              <w:left w:val="nil"/>
              <w:bottom w:val="single" w:sz="4" w:space="0" w:color="auto"/>
              <w:right w:val="single" w:sz="4" w:space="0" w:color="auto"/>
            </w:tcBorders>
            <w:shd w:val="clear" w:color="auto" w:fill="auto"/>
            <w:noWrap/>
            <w:vAlign w:val="bottom"/>
            <w:hideMark/>
          </w:tcPr>
          <w:p w14:paraId="5F7B48A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179F5397"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2000</w:t>
            </w:r>
          </w:p>
        </w:tc>
        <w:tc>
          <w:tcPr>
            <w:tcW w:w="1407" w:type="dxa"/>
            <w:tcBorders>
              <w:top w:val="nil"/>
              <w:left w:val="nil"/>
              <w:bottom w:val="single" w:sz="4" w:space="0" w:color="auto"/>
              <w:right w:val="single" w:sz="4" w:space="0" w:color="auto"/>
            </w:tcBorders>
            <w:shd w:val="clear" w:color="auto" w:fill="auto"/>
            <w:noWrap/>
            <w:vAlign w:val="bottom"/>
            <w:hideMark/>
          </w:tcPr>
          <w:p w14:paraId="5656735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3BF6D305"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0EC5E151" w14:textId="4572ED6C"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Tax payable</w:t>
            </w:r>
          </w:p>
        </w:tc>
        <w:tc>
          <w:tcPr>
            <w:tcW w:w="1364" w:type="dxa"/>
            <w:tcBorders>
              <w:top w:val="nil"/>
              <w:left w:val="nil"/>
              <w:bottom w:val="single" w:sz="4" w:space="0" w:color="auto"/>
              <w:right w:val="single" w:sz="4" w:space="0" w:color="auto"/>
            </w:tcBorders>
            <w:shd w:val="clear" w:color="auto" w:fill="auto"/>
            <w:noWrap/>
            <w:vAlign w:val="bottom"/>
            <w:hideMark/>
          </w:tcPr>
          <w:p w14:paraId="5861869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30742D9C"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100000</w:t>
            </w:r>
          </w:p>
        </w:tc>
        <w:tc>
          <w:tcPr>
            <w:tcW w:w="1407" w:type="dxa"/>
            <w:tcBorders>
              <w:top w:val="nil"/>
              <w:left w:val="nil"/>
              <w:bottom w:val="single" w:sz="4" w:space="0" w:color="auto"/>
              <w:right w:val="single" w:sz="4" w:space="0" w:color="auto"/>
            </w:tcBorders>
            <w:shd w:val="clear" w:color="auto" w:fill="auto"/>
            <w:noWrap/>
            <w:vAlign w:val="bottom"/>
            <w:hideMark/>
          </w:tcPr>
          <w:p w14:paraId="740697B4"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592C976D"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070A3FC3" w14:textId="77777777"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Total Current Liability</w:t>
            </w:r>
          </w:p>
        </w:tc>
        <w:tc>
          <w:tcPr>
            <w:tcW w:w="1364" w:type="dxa"/>
            <w:tcBorders>
              <w:top w:val="nil"/>
              <w:left w:val="nil"/>
              <w:bottom w:val="single" w:sz="4" w:space="0" w:color="auto"/>
              <w:right w:val="single" w:sz="4" w:space="0" w:color="auto"/>
            </w:tcBorders>
            <w:shd w:val="clear" w:color="auto" w:fill="auto"/>
            <w:noWrap/>
            <w:vAlign w:val="bottom"/>
            <w:hideMark/>
          </w:tcPr>
          <w:p w14:paraId="2F3CC04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48A8621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7EC7FC72"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293,625</w:t>
            </w:r>
          </w:p>
        </w:tc>
      </w:tr>
      <w:tr w:rsidR="00005835" w:rsidRPr="00005835" w14:paraId="3A0EE85F"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1EBA0DBC" w14:textId="77777777"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Non-Current Liability</w:t>
            </w:r>
          </w:p>
        </w:tc>
        <w:tc>
          <w:tcPr>
            <w:tcW w:w="1364" w:type="dxa"/>
            <w:tcBorders>
              <w:top w:val="nil"/>
              <w:left w:val="nil"/>
              <w:bottom w:val="single" w:sz="4" w:space="0" w:color="auto"/>
              <w:right w:val="single" w:sz="4" w:space="0" w:color="auto"/>
            </w:tcBorders>
            <w:shd w:val="clear" w:color="auto" w:fill="auto"/>
            <w:noWrap/>
            <w:vAlign w:val="bottom"/>
            <w:hideMark/>
          </w:tcPr>
          <w:p w14:paraId="62ADB6A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3D45A20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3364B8B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05BF1249"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68F55E9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xml:space="preserve">Debentures  </w:t>
            </w:r>
          </w:p>
        </w:tc>
        <w:tc>
          <w:tcPr>
            <w:tcW w:w="1364" w:type="dxa"/>
            <w:tcBorders>
              <w:top w:val="nil"/>
              <w:left w:val="nil"/>
              <w:bottom w:val="single" w:sz="4" w:space="0" w:color="auto"/>
              <w:right w:val="single" w:sz="4" w:space="0" w:color="auto"/>
            </w:tcBorders>
            <w:shd w:val="clear" w:color="auto" w:fill="auto"/>
            <w:noWrap/>
            <w:vAlign w:val="bottom"/>
            <w:hideMark/>
          </w:tcPr>
          <w:p w14:paraId="283A13FB"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571D5135"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100,000</w:t>
            </w:r>
          </w:p>
        </w:tc>
        <w:tc>
          <w:tcPr>
            <w:tcW w:w="1407" w:type="dxa"/>
            <w:tcBorders>
              <w:top w:val="nil"/>
              <w:left w:val="nil"/>
              <w:bottom w:val="single" w:sz="4" w:space="0" w:color="auto"/>
              <w:right w:val="single" w:sz="4" w:space="0" w:color="auto"/>
            </w:tcBorders>
            <w:shd w:val="clear" w:color="auto" w:fill="auto"/>
            <w:noWrap/>
            <w:vAlign w:val="bottom"/>
            <w:hideMark/>
          </w:tcPr>
          <w:p w14:paraId="1AC153F8"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100,000</w:t>
            </w:r>
          </w:p>
        </w:tc>
      </w:tr>
      <w:tr w:rsidR="00005835" w:rsidRPr="00005835" w14:paraId="64E71BEB"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0E2D2F0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64" w:type="dxa"/>
            <w:tcBorders>
              <w:top w:val="nil"/>
              <w:left w:val="nil"/>
              <w:bottom w:val="single" w:sz="4" w:space="0" w:color="auto"/>
              <w:right w:val="single" w:sz="4" w:space="0" w:color="auto"/>
            </w:tcBorders>
            <w:shd w:val="clear" w:color="auto" w:fill="auto"/>
            <w:noWrap/>
            <w:vAlign w:val="bottom"/>
            <w:hideMark/>
          </w:tcPr>
          <w:p w14:paraId="76729F7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265DB78F"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7457BC7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2C0DCFBD"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1126E0D0" w14:textId="0A20B9AF" w:rsidR="00005835" w:rsidRPr="00005835" w:rsidRDefault="00005835" w:rsidP="00005835">
            <w:pPr>
              <w:spacing w:after="0" w:line="240" w:lineRule="auto"/>
              <w:ind w:left="0" w:right="0" w:firstLine="0"/>
              <w:jc w:val="left"/>
              <w:rPr>
                <w:rFonts w:eastAsia="Times New Roman" w:cs="Times New Roman"/>
                <w:b/>
                <w:bCs/>
                <w:szCs w:val="24"/>
              </w:rPr>
            </w:pPr>
            <w:r w:rsidRPr="00005835">
              <w:rPr>
                <w:rFonts w:eastAsia="Times New Roman" w:cs="Times New Roman"/>
                <w:b/>
                <w:bCs/>
                <w:szCs w:val="24"/>
              </w:rPr>
              <w:t>Owner</w:t>
            </w:r>
            <w:r w:rsidR="00B46E12">
              <w:rPr>
                <w:rFonts w:eastAsia="Times New Roman" w:cs="Times New Roman"/>
                <w:b/>
                <w:bCs/>
                <w:szCs w:val="24"/>
              </w:rPr>
              <w:t>'s</w:t>
            </w:r>
            <w:r w:rsidRPr="00005835">
              <w:rPr>
                <w:rFonts w:eastAsia="Times New Roman" w:cs="Times New Roman"/>
                <w:b/>
                <w:bCs/>
                <w:szCs w:val="24"/>
              </w:rPr>
              <w:t xml:space="preserve"> Equity</w:t>
            </w:r>
          </w:p>
        </w:tc>
        <w:tc>
          <w:tcPr>
            <w:tcW w:w="1364" w:type="dxa"/>
            <w:tcBorders>
              <w:top w:val="nil"/>
              <w:left w:val="nil"/>
              <w:bottom w:val="single" w:sz="4" w:space="0" w:color="auto"/>
              <w:right w:val="single" w:sz="4" w:space="0" w:color="auto"/>
            </w:tcBorders>
            <w:shd w:val="clear" w:color="auto" w:fill="auto"/>
            <w:noWrap/>
            <w:vAlign w:val="bottom"/>
            <w:hideMark/>
          </w:tcPr>
          <w:p w14:paraId="1B8B4842"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495FC466"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79FE4E46" w14:textId="77777777" w:rsidR="00005835" w:rsidRPr="00005835" w:rsidRDefault="00005835" w:rsidP="00005835">
            <w:pPr>
              <w:spacing w:after="0" w:line="240" w:lineRule="auto"/>
              <w:ind w:left="0" w:right="0" w:firstLine="0"/>
              <w:jc w:val="right"/>
              <w:rPr>
                <w:rFonts w:eastAsia="Times New Roman" w:cs="Times New Roman"/>
                <w:szCs w:val="24"/>
              </w:rPr>
            </w:pPr>
            <w:r w:rsidRPr="00005835">
              <w:rPr>
                <w:rFonts w:eastAsia="Times New Roman" w:cs="Times New Roman"/>
                <w:szCs w:val="24"/>
              </w:rPr>
              <w:t>834,330</w:t>
            </w:r>
          </w:p>
        </w:tc>
      </w:tr>
      <w:tr w:rsidR="00005835" w:rsidRPr="00005835" w14:paraId="198B1A38"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28E74653"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364" w:type="dxa"/>
            <w:tcBorders>
              <w:top w:val="nil"/>
              <w:left w:val="nil"/>
              <w:bottom w:val="single" w:sz="4" w:space="0" w:color="auto"/>
              <w:right w:val="single" w:sz="4" w:space="0" w:color="auto"/>
            </w:tcBorders>
            <w:shd w:val="clear" w:color="auto" w:fill="auto"/>
            <w:noWrap/>
            <w:vAlign w:val="bottom"/>
            <w:hideMark/>
          </w:tcPr>
          <w:p w14:paraId="4B81AEA0"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49150D1C"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47A4D4F8"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r>
      <w:tr w:rsidR="00005835" w:rsidRPr="00005835" w14:paraId="31CF9670" w14:textId="77777777" w:rsidTr="00005835">
        <w:trPr>
          <w:trHeight w:val="294"/>
        </w:trPr>
        <w:tc>
          <w:tcPr>
            <w:tcW w:w="5246" w:type="dxa"/>
            <w:tcBorders>
              <w:top w:val="nil"/>
              <w:left w:val="single" w:sz="4" w:space="0" w:color="auto"/>
              <w:bottom w:val="single" w:sz="4" w:space="0" w:color="auto"/>
              <w:right w:val="single" w:sz="4" w:space="0" w:color="auto"/>
            </w:tcBorders>
            <w:shd w:val="clear" w:color="auto" w:fill="auto"/>
            <w:noWrap/>
            <w:vAlign w:val="bottom"/>
            <w:hideMark/>
          </w:tcPr>
          <w:p w14:paraId="08798DF2" w14:textId="72305BC8" w:rsidR="00005835" w:rsidRPr="00005835" w:rsidRDefault="00005835" w:rsidP="00005835">
            <w:pPr>
              <w:spacing w:after="0" w:line="240" w:lineRule="auto"/>
              <w:ind w:left="0" w:right="0" w:firstLine="0"/>
              <w:jc w:val="right"/>
              <w:rPr>
                <w:rFonts w:eastAsia="Times New Roman" w:cs="Times New Roman"/>
                <w:b/>
                <w:bCs/>
                <w:szCs w:val="24"/>
              </w:rPr>
            </w:pPr>
            <w:r w:rsidRPr="00005835">
              <w:rPr>
                <w:rFonts w:eastAsia="Times New Roman" w:cs="Times New Roman"/>
                <w:b/>
                <w:bCs/>
                <w:szCs w:val="24"/>
              </w:rPr>
              <w:t>Total Liabilities and owners’ equity</w:t>
            </w:r>
          </w:p>
        </w:tc>
        <w:tc>
          <w:tcPr>
            <w:tcW w:w="1364" w:type="dxa"/>
            <w:tcBorders>
              <w:top w:val="nil"/>
              <w:left w:val="nil"/>
              <w:bottom w:val="single" w:sz="4" w:space="0" w:color="auto"/>
              <w:right w:val="single" w:sz="4" w:space="0" w:color="auto"/>
            </w:tcBorders>
            <w:shd w:val="clear" w:color="auto" w:fill="auto"/>
            <w:noWrap/>
            <w:vAlign w:val="bottom"/>
            <w:hideMark/>
          </w:tcPr>
          <w:p w14:paraId="3A4727D9"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28" w:type="dxa"/>
            <w:tcBorders>
              <w:top w:val="nil"/>
              <w:left w:val="nil"/>
              <w:bottom w:val="single" w:sz="4" w:space="0" w:color="auto"/>
              <w:right w:val="single" w:sz="4" w:space="0" w:color="auto"/>
            </w:tcBorders>
            <w:shd w:val="clear" w:color="auto" w:fill="auto"/>
            <w:noWrap/>
            <w:vAlign w:val="bottom"/>
            <w:hideMark/>
          </w:tcPr>
          <w:p w14:paraId="56D08CBE" w14:textId="77777777" w:rsidR="00005835" w:rsidRPr="00005835" w:rsidRDefault="00005835" w:rsidP="00005835">
            <w:pPr>
              <w:spacing w:after="0" w:line="240" w:lineRule="auto"/>
              <w:ind w:left="0" w:right="0" w:firstLine="0"/>
              <w:jc w:val="left"/>
              <w:rPr>
                <w:rFonts w:eastAsia="Times New Roman" w:cs="Times New Roman"/>
                <w:szCs w:val="24"/>
              </w:rPr>
            </w:pPr>
            <w:r w:rsidRPr="00005835">
              <w:rPr>
                <w:rFonts w:eastAsia="Times New Roman" w:cs="Times New Roman"/>
                <w:szCs w:val="24"/>
              </w:rPr>
              <w:t> </w:t>
            </w:r>
          </w:p>
        </w:tc>
        <w:tc>
          <w:tcPr>
            <w:tcW w:w="1407" w:type="dxa"/>
            <w:tcBorders>
              <w:top w:val="nil"/>
              <w:left w:val="nil"/>
              <w:bottom w:val="single" w:sz="4" w:space="0" w:color="auto"/>
              <w:right w:val="single" w:sz="4" w:space="0" w:color="auto"/>
            </w:tcBorders>
            <w:shd w:val="clear" w:color="auto" w:fill="auto"/>
            <w:noWrap/>
            <w:vAlign w:val="bottom"/>
            <w:hideMark/>
          </w:tcPr>
          <w:p w14:paraId="19B437DB" w14:textId="77777777" w:rsidR="00005835" w:rsidRPr="00005835" w:rsidRDefault="00005835" w:rsidP="00005835">
            <w:pPr>
              <w:spacing w:after="0" w:line="240" w:lineRule="auto"/>
              <w:ind w:left="0" w:right="0" w:firstLine="0"/>
              <w:jc w:val="right"/>
              <w:rPr>
                <w:rFonts w:eastAsia="Times New Roman" w:cs="Times New Roman"/>
                <w:b/>
                <w:bCs/>
                <w:szCs w:val="24"/>
                <w:u w:val="double"/>
              </w:rPr>
            </w:pPr>
            <w:r w:rsidRPr="00005835">
              <w:rPr>
                <w:rFonts w:eastAsia="Times New Roman" w:cs="Times New Roman"/>
                <w:b/>
                <w:bCs/>
                <w:szCs w:val="24"/>
                <w:u w:val="double"/>
              </w:rPr>
              <w:t>1,227,955</w:t>
            </w:r>
          </w:p>
        </w:tc>
      </w:tr>
    </w:tbl>
    <w:p w14:paraId="565419F1" w14:textId="44549287" w:rsidR="00B14DAA" w:rsidRDefault="00B14DAA" w:rsidP="00005835">
      <w:pPr>
        <w:jc w:val="center"/>
      </w:pPr>
    </w:p>
    <w:p w14:paraId="7B861118" w14:textId="77777777" w:rsidR="00B14DAA" w:rsidRDefault="00B14DAA">
      <w:pPr>
        <w:spacing w:after="160" w:line="259" w:lineRule="auto"/>
        <w:ind w:left="0" w:right="0" w:firstLine="0"/>
        <w:jc w:val="left"/>
      </w:pPr>
      <w:r>
        <w:br w:type="page"/>
      </w:r>
    </w:p>
    <w:p w14:paraId="194AA762" w14:textId="2FCEE2F9" w:rsidR="001A0B1A" w:rsidRPr="00C751E5" w:rsidRDefault="00B14DAA" w:rsidP="00C751E5">
      <w:pPr>
        <w:pStyle w:val="Heading2"/>
        <w:rPr>
          <w:rStyle w:val="mntl-sc-block-headingtext"/>
        </w:rPr>
      </w:pPr>
      <w:bookmarkStart w:id="3" w:name="_Toc111410363"/>
      <w:r w:rsidRPr="00C751E5">
        <w:lastRenderedPageBreak/>
        <w:t>Requirement (b)</w:t>
      </w:r>
      <w:r w:rsidR="00C751E5" w:rsidRPr="00C751E5">
        <w:t xml:space="preserve"> The reason </w:t>
      </w:r>
      <w:r w:rsidR="001A0B1A" w:rsidRPr="00C751E5">
        <w:rPr>
          <w:rStyle w:val="mntl-sc-block-headingtext"/>
        </w:rPr>
        <w:t>Why a Balance Sheet Balances</w:t>
      </w:r>
      <w:bookmarkEnd w:id="3"/>
    </w:p>
    <w:p w14:paraId="6C5B44CC" w14:textId="29A12153" w:rsidR="000C19F8" w:rsidRDefault="00B46E12" w:rsidP="001C4079">
      <w:r>
        <w:t>A b</w:t>
      </w:r>
      <w:r w:rsidR="00EC5422">
        <w:t>alance sheet or state</w:t>
      </w:r>
      <w:r w:rsidR="00EE5981">
        <w:t xml:space="preserve">ment of financial position of a company shows the total assets, </w:t>
      </w:r>
      <w:r w:rsidR="00277DF9">
        <w:t>liabilities</w:t>
      </w:r>
      <w:r>
        <w:t>,</w:t>
      </w:r>
      <w:r w:rsidR="00EE5981">
        <w:t xml:space="preserve"> and </w:t>
      </w:r>
      <w:r w:rsidR="00277DF9">
        <w:t>owner</w:t>
      </w:r>
      <w:r>
        <w:t>'s</w:t>
      </w:r>
      <w:r w:rsidR="00EE5981">
        <w:t xml:space="preserve"> equity of a com</w:t>
      </w:r>
      <w:r w:rsidR="00161896">
        <w:t xml:space="preserve">pany. This </w:t>
      </w:r>
      <w:r w:rsidR="000C19F8">
        <w:t>balance</w:t>
      </w:r>
      <w:r w:rsidR="00161896">
        <w:t xml:space="preserve"> sheet always </w:t>
      </w:r>
      <w:r w:rsidR="00277DF9">
        <w:t>balances</w:t>
      </w:r>
      <w:r w:rsidR="00161896">
        <w:t xml:space="preserve">. </w:t>
      </w:r>
      <w:r w:rsidR="00971A47">
        <w:t xml:space="preserve">The balance </w:t>
      </w:r>
      <w:r w:rsidR="00277DF9">
        <w:t>sheets</w:t>
      </w:r>
      <w:r w:rsidR="00971A47">
        <w:t xml:space="preserve"> have </w:t>
      </w:r>
      <w:r w:rsidR="00277DF9">
        <w:t>mainly</w:t>
      </w:r>
      <w:r w:rsidR="00971A47">
        <w:t xml:space="preserve"> two side</w:t>
      </w:r>
      <w:r>
        <w:t>s</w:t>
      </w:r>
      <w:r w:rsidR="00971A47">
        <w:t xml:space="preserve">. </w:t>
      </w:r>
      <w:r>
        <w:t>O</w:t>
      </w:r>
      <w:r w:rsidR="00971A47">
        <w:t xml:space="preserve">n one side all </w:t>
      </w:r>
      <w:r w:rsidR="00A43DFD">
        <w:t xml:space="preserve">assets of an </w:t>
      </w:r>
      <w:r w:rsidR="00277DF9">
        <w:t>organization</w:t>
      </w:r>
      <w:r w:rsidR="00A43DFD">
        <w:t xml:space="preserve"> </w:t>
      </w:r>
      <w:r w:rsidR="00277DF9">
        <w:t>are</w:t>
      </w:r>
      <w:r w:rsidR="00A43DFD">
        <w:t xml:space="preserve"> </w:t>
      </w:r>
      <w:r w:rsidR="00DF3FC1">
        <w:t>shown</w:t>
      </w:r>
      <w:r>
        <w:t xml:space="preserve"> </w:t>
      </w:r>
      <w:r>
        <w:rPr>
          <w:shd w:val="clear" w:color="auto" w:fill="FFFFFF"/>
        </w:rPr>
        <w:t>(</w:t>
      </w:r>
      <w:proofErr w:type="spellStart"/>
      <w:r>
        <w:rPr>
          <w:shd w:val="clear" w:color="auto" w:fill="FFFFFF"/>
        </w:rPr>
        <w:t>Ogneva</w:t>
      </w:r>
      <w:proofErr w:type="spellEnd"/>
      <w:r>
        <w:rPr>
          <w:shd w:val="clear" w:color="auto" w:fill="FFFFFF"/>
        </w:rPr>
        <w:t xml:space="preserve">, </w:t>
      </w:r>
      <w:proofErr w:type="spellStart"/>
      <w:r>
        <w:rPr>
          <w:shd w:val="clear" w:color="auto" w:fill="FFFFFF"/>
        </w:rPr>
        <w:t>Piotroski</w:t>
      </w:r>
      <w:proofErr w:type="spellEnd"/>
      <w:r>
        <w:rPr>
          <w:shd w:val="clear" w:color="auto" w:fill="FFFFFF"/>
        </w:rPr>
        <w:t xml:space="preserve"> and </w:t>
      </w:r>
      <w:proofErr w:type="spellStart"/>
      <w:r>
        <w:rPr>
          <w:shd w:val="clear" w:color="auto" w:fill="FFFFFF"/>
        </w:rPr>
        <w:t>Zakolyukina</w:t>
      </w:r>
      <w:proofErr w:type="spellEnd"/>
      <w:r>
        <w:rPr>
          <w:shd w:val="clear" w:color="auto" w:fill="FFFFFF"/>
        </w:rPr>
        <w:t>, 2020)</w:t>
      </w:r>
      <w:r w:rsidR="00F03489">
        <w:t>. On the other side</w:t>
      </w:r>
      <w:r>
        <w:t>,</w:t>
      </w:r>
      <w:r w:rsidR="00F03489">
        <w:t xml:space="preserve"> all liabilities and </w:t>
      </w:r>
      <w:r w:rsidR="00277DF9">
        <w:t>owners’</w:t>
      </w:r>
      <w:r w:rsidR="00F03489">
        <w:t xml:space="preserve"> equity are shown. </w:t>
      </w:r>
      <w:r w:rsidR="00223A60">
        <w:t xml:space="preserve">So, </w:t>
      </w:r>
      <w:r w:rsidR="00277DF9">
        <w:t>the</w:t>
      </w:r>
      <w:r w:rsidR="00223A60">
        <w:t xml:space="preserve"> statement of financial position or balance sheet has two </w:t>
      </w:r>
      <w:r w:rsidR="00277DF9">
        <w:t>mains</w:t>
      </w:r>
      <w:r w:rsidR="00223A60">
        <w:t xml:space="preserve"> </w:t>
      </w:r>
      <w:r w:rsidR="00277DF9">
        <w:t>aside</w:t>
      </w:r>
      <w:r w:rsidR="00223A60">
        <w:t xml:space="preserve"> and three main </w:t>
      </w:r>
      <w:r w:rsidR="00277DF9">
        <w:t>elements</w:t>
      </w:r>
      <w:r w:rsidR="006B4644">
        <w:t xml:space="preserve">. All transaction </w:t>
      </w:r>
      <w:r w:rsidR="00277DF9">
        <w:t>is</w:t>
      </w:r>
      <w:r w:rsidR="006B4644">
        <w:t xml:space="preserve"> recorded under th</w:t>
      </w:r>
      <w:r>
        <w:t>ese</w:t>
      </w:r>
      <w:r w:rsidR="006B4644">
        <w:t xml:space="preserve"> three main head assets, liabilities</w:t>
      </w:r>
      <w:r>
        <w:t>,</w:t>
      </w:r>
      <w:r w:rsidR="006B4644">
        <w:t xml:space="preserve"> and </w:t>
      </w:r>
      <w:r w:rsidR="00277DF9">
        <w:t>owner</w:t>
      </w:r>
      <w:r>
        <w:t>'s</w:t>
      </w:r>
      <w:r w:rsidR="006B4644">
        <w:t xml:space="preserve"> equity.</w:t>
      </w:r>
      <w:r w:rsidR="00DA41D3">
        <w:t xml:space="preserve"> </w:t>
      </w:r>
      <w:r w:rsidR="00277DF9">
        <w:t>These three elements</w:t>
      </w:r>
      <w:r w:rsidR="00DA41D3">
        <w:t xml:space="preserve"> of </w:t>
      </w:r>
      <w:r w:rsidR="00277DF9">
        <w:t>owner’s</w:t>
      </w:r>
      <w:r w:rsidR="00DA41D3">
        <w:t xml:space="preserve"> equity as been described below:</w:t>
      </w:r>
    </w:p>
    <w:p w14:paraId="052A1CF2" w14:textId="50B60DCE" w:rsidR="00DA41D3" w:rsidRPr="00277DF9" w:rsidRDefault="00831169" w:rsidP="00C751E5">
      <w:pPr>
        <w:spacing w:after="0"/>
        <w:ind w:left="14" w:right="101" w:hanging="14"/>
      </w:pPr>
      <w:r w:rsidRPr="00277DF9">
        <w:rPr>
          <w:b/>
          <w:bCs/>
        </w:rPr>
        <w:t>Assets:</w:t>
      </w:r>
      <w:r>
        <w:t xml:space="preserve"> </w:t>
      </w:r>
      <w:r w:rsidR="002A67FB">
        <w:t xml:space="preserve">assets </w:t>
      </w:r>
      <w:r w:rsidR="00277DF9">
        <w:t>are</w:t>
      </w:r>
      <w:r w:rsidR="002A67FB">
        <w:t xml:space="preserve"> the first part of a balance sheet where all assets</w:t>
      </w:r>
      <w:r w:rsidR="000C7B1E">
        <w:t xml:space="preserve"> of an </w:t>
      </w:r>
      <w:r w:rsidR="00277DF9">
        <w:t>organization</w:t>
      </w:r>
      <w:r w:rsidR="000C7B1E">
        <w:t xml:space="preserve"> are </w:t>
      </w:r>
      <w:r w:rsidR="00277DF9">
        <w:t xml:space="preserve">classified </w:t>
      </w:r>
      <w:r w:rsidR="00B46E12">
        <w:t xml:space="preserve">and </w:t>
      </w:r>
      <w:r w:rsidR="00277DF9">
        <w:t>shown</w:t>
      </w:r>
      <w:r w:rsidR="00B46E12">
        <w:t xml:space="preserve"> </w:t>
      </w:r>
      <w:r w:rsidR="00B46E12">
        <w:rPr>
          <w:shd w:val="clear" w:color="auto" w:fill="FFFFFF"/>
        </w:rPr>
        <w:t>(</w:t>
      </w:r>
      <w:proofErr w:type="spellStart"/>
      <w:r w:rsidR="00B46E12">
        <w:rPr>
          <w:shd w:val="clear" w:color="auto" w:fill="FFFFFF"/>
        </w:rPr>
        <w:t>Faccia</w:t>
      </w:r>
      <w:proofErr w:type="spellEnd"/>
      <w:r w:rsidR="00B46E12">
        <w:rPr>
          <w:shd w:val="clear" w:color="auto" w:fill="FFFFFF"/>
        </w:rPr>
        <w:t xml:space="preserve"> and </w:t>
      </w:r>
      <w:proofErr w:type="spellStart"/>
      <w:r w:rsidR="00B46E12">
        <w:rPr>
          <w:shd w:val="clear" w:color="auto" w:fill="FFFFFF"/>
        </w:rPr>
        <w:t>Mosteanu</w:t>
      </w:r>
      <w:proofErr w:type="spellEnd"/>
      <w:r w:rsidR="00B46E12">
        <w:rPr>
          <w:shd w:val="clear" w:color="auto" w:fill="FFFFFF"/>
        </w:rPr>
        <w:t>, 2019)</w:t>
      </w:r>
      <w:r w:rsidR="008C7D22">
        <w:t xml:space="preserve">. </w:t>
      </w:r>
      <w:r w:rsidR="00277DF9">
        <w:t>The</w:t>
      </w:r>
      <w:r w:rsidR="008C7D22">
        <w:t xml:space="preserve"> assets </w:t>
      </w:r>
      <w:r w:rsidR="00C93B03">
        <w:t xml:space="preserve">are classified </w:t>
      </w:r>
      <w:r w:rsidR="00277DF9">
        <w:t>into</w:t>
      </w:r>
      <w:r w:rsidR="008C7D22">
        <w:t xml:space="preserve"> main categories</w:t>
      </w:r>
      <w:r w:rsidR="00C93B03">
        <w:t xml:space="preserve">. </w:t>
      </w:r>
      <w:r w:rsidR="00277DF9">
        <w:t>The</w:t>
      </w:r>
      <w:r w:rsidR="00C93B03">
        <w:t xml:space="preserve">y are current assets and current liabilities. </w:t>
      </w:r>
      <w:r w:rsidR="00E12629">
        <w:t>Cash and cash equivalent, account receivable, prepaid expense, inventory</w:t>
      </w:r>
      <w:r w:rsidR="00CB5E56">
        <w:t>, marketable security</w:t>
      </w:r>
      <w:r w:rsidR="00B46E12">
        <w:t>,</w:t>
      </w:r>
      <w:r w:rsidR="00CB5E56">
        <w:t xml:space="preserve"> </w:t>
      </w:r>
      <w:r w:rsidR="00277DF9">
        <w:t>etc.</w:t>
      </w:r>
      <w:r w:rsidR="00CB5E56">
        <w:t xml:space="preserve"> are considered current assets</w:t>
      </w:r>
      <w:r w:rsidR="00350481">
        <w:t xml:space="preserve">. On the other </w:t>
      </w:r>
      <w:r w:rsidR="00277DF9">
        <w:t>hand,</w:t>
      </w:r>
      <w:r w:rsidR="00350481">
        <w:t xml:space="preserve"> property plant and equipment, land, </w:t>
      </w:r>
      <w:r w:rsidR="00350481" w:rsidRPr="00277DF9">
        <w:t>buildings</w:t>
      </w:r>
      <w:r w:rsidR="00B35587" w:rsidRPr="00277DF9">
        <w:t xml:space="preserve">, trademarks, </w:t>
      </w:r>
      <w:r w:rsidR="00277DF9" w:rsidRPr="00277DF9">
        <w:t>furniture</w:t>
      </w:r>
      <w:r w:rsidR="00DA3234" w:rsidRPr="00277DF9">
        <w:t>, machines</w:t>
      </w:r>
      <w:r w:rsidR="00B46E12">
        <w:t>,</w:t>
      </w:r>
      <w:r w:rsidR="00DA3234" w:rsidRPr="00277DF9">
        <w:t xml:space="preserve"> </w:t>
      </w:r>
      <w:r w:rsidR="00277DF9" w:rsidRPr="00277DF9">
        <w:t>etc.</w:t>
      </w:r>
      <w:r w:rsidR="00DA3234" w:rsidRPr="00277DF9">
        <w:t xml:space="preserve"> are considered non-current assets.</w:t>
      </w:r>
    </w:p>
    <w:p w14:paraId="1E3C6D70" w14:textId="65117E9E" w:rsidR="000C19F8" w:rsidRDefault="00A70B74" w:rsidP="00C751E5">
      <w:pPr>
        <w:spacing w:after="0"/>
        <w:ind w:left="14" w:right="101" w:hanging="14"/>
      </w:pPr>
      <w:r w:rsidRPr="00C751E5">
        <w:rPr>
          <w:b/>
          <w:bCs/>
        </w:rPr>
        <w:t>Liabilities:</w:t>
      </w:r>
      <w:r w:rsidRPr="00277DF9">
        <w:t xml:space="preserve"> In </w:t>
      </w:r>
      <w:r w:rsidR="00277DF9" w:rsidRPr="00277DF9">
        <w:t>the</w:t>
      </w:r>
      <w:r w:rsidRPr="00277DF9">
        <w:t xml:space="preserve"> </w:t>
      </w:r>
      <w:r w:rsidR="00277DF9" w:rsidRPr="00277DF9">
        <w:t>s</w:t>
      </w:r>
      <w:r w:rsidR="00277DF9">
        <w:t>econd</w:t>
      </w:r>
      <w:r>
        <w:t xml:space="preserve"> part of </w:t>
      </w:r>
      <w:r w:rsidR="00B46E12">
        <w:t xml:space="preserve">the </w:t>
      </w:r>
      <w:r>
        <w:t xml:space="preserve">balance sheets, there are two major </w:t>
      </w:r>
      <w:r w:rsidR="00277DF9">
        <w:t>elements</w:t>
      </w:r>
      <w:r>
        <w:t xml:space="preserve">. </w:t>
      </w:r>
      <w:r w:rsidR="00B46E12">
        <w:t>The f</w:t>
      </w:r>
      <w:r w:rsidR="00CF01F0">
        <w:t xml:space="preserve">irst of them </w:t>
      </w:r>
      <w:r w:rsidR="00B46E12">
        <w:t>are</w:t>
      </w:r>
      <w:r w:rsidR="00CF01F0">
        <w:t xml:space="preserve"> liabilities. All external obligations of the organization </w:t>
      </w:r>
      <w:proofErr w:type="gramStart"/>
      <w:r w:rsidR="00CF01F0">
        <w:t>are considered to be</w:t>
      </w:r>
      <w:proofErr w:type="gramEnd"/>
      <w:r w:rsidR="00CF01F0">
        <w:t xml:space="preserve"> </w:t>
      </w:r>
      <w:r w:rsidR="00B46E12">
        <w:t>its</w:t>
      </w:r>
      <w:r w:rsidR="00CF01F0">
        <w:t xml:space="preserve"> liability of it</w:t>
      </w:r>
      <w:r w:rsidR="00B46E12">
        <w:t xml:space="preserve"> </w:t>
      </w:r>
      <w:r w:rsidR="00B46E12">
        <w:rPr>
          <w:shd w:val="clear" w:color="auto" w:fill="FFFFFF"/>
        </w:rPr>
        <w:t>(</w:t>
      </w:r>
      <w:proofErr w:type="spellStart"/>
      <w:r w:rsidR="00B46E12">
        <w:rPr>
          <w:shd w:val="clear" w:color="auto" w:fill="FFFFFF"/>
        </w:rPr>
        <w:t>Inghirami</w:t>
      </w:r>
      <w:proofErr w:type="spellEnd"/>
      <w:r w:rsidR="00B46E12">
        <w:rPr>
          <w:shd w:val="clear" w:color="auto" w:fill="FFFFFF"/>
        </w:rPr>
        <w:t>, 2020)</w:t>
      </w:r>
      <w:r w:rsidR="00CF01F0">
        <w:t xml:space="preserve">. </w:t>
      </w:r>
      <w:r w:rsidR="00C07506">
        <w:t xml:space="preserve">There are mainly two types of liabilities. </w:t>
      </w:r>
      <w:r w:rsidR="00B46E12">
        <w:t>The f</w:t>
      </w:r>
      <w:r w:rsidR="00C07506">
        <w:t>irst of them is current liabilities</w:t>
      </w:r>
      <w:r w:rsidR="005D07C9">
        <w:t xml:space="preserve">. Future obligations </w:t>
      </w:r>
      <w:r w:rsidR="00A51461">
        <w:t>that are due within one</w:t>
      </w:r>
      <w:r w:rsidR="005D07C9">
        <w:t xml:space="preserve"> year </w:t>
      </w:r>
      <w:r w:rsidR="00B46E12">
        <w:t>are</w:t>
      </w:r>
      <w:r w:rsidR="005D07C9">
        <w:t xml:space="preserve"> considered current liabilities. </w:t>
      </w:r>
      <w:r w:rsidR="00FA7224">
        <w:t xml:space="preserve">Accrued expenses, </w:t>
      </w:r>
      <w:r w:rsidR="00A213B5">
        <w:rPr>
          <w:rFonts w:cs="Vrinda"/>
          <w:lang w:bidi="bn-IN"/>
        </w:rPr>
        <w:t xml:space="preserve">accounts payable, trade payable, tax payable, </w:t>
      </w:r>
      <w:r w:rsidR="00550EBD">
        <w:rPr>
          <w:rFonts w:cs="Vrinda"/>
          <w:lang w:bidi="bn-IN"/>
        </w:rPr>
        <w:t xml:space="preserve">unearned </w:t>
      </w:r>
      <w:r w:rsidR="00277DF9">
        <w:rPr>
          <w:rFonts w:cs="Vrinda"/>
          <w:lang w:bidi="bn-IN"/>
        </w:rPr>
        <w:t>revenue</w:t>
      </w:r>
      <w:r w:rsidR="00B46E12">
        <w:rPr>
          <w:rFonts w:cs="Vrinda"/>
          <w:lang w:bidi="bn-IN"/>
        </w:rPr>
        <w:t>,</w:t>
      </w:r>
      <w:r w:rsidR="00550EBD">
        <w:rPr>
          <w:rFonts w:cs="Vrinda"/>
          <w:lang w:bidi="bn-IN"/>
        </w:rPr>
        <w:t xml:space="preserve"> </w:t>
      </w:r>
      <w:r w:rsidR="00277DF9">
        <w:rPr>
          <w:rFonts w:cs="Vrinda"/>
          <w:lang w:bidi="bn-IN"/>
        </w:rPr>
        <w:t>etc.</w:t>
      </w:r>
      <w:r w:rsidR="00550EBD">
        <w:rPr>
          <w:rFonts w:cs="Vrinda"/>
          <w:lang w:bidi="bn-IN"/>
        </w:rPr>
        <w:t xml:space="preserve"> are considered current liabilities</w:t>
      </w:r>
      <w:r w:rsidR="00344F6C">
        <w:rPr>
          <w:rFonts w:cs="Vrinda"/>
          <w:lang w:bidi="bn-IN"/>
        </w:rPr>
        <w:t xml:space="preserve">. On the other </w:t>
      </w:r>
      <w:r w:rsidR="00277DF9">
        <w:rPr>
          <w:rFonts w:cs="Vrinda"/>
          <w:lang w:bidi="bn-IN"/>
        </w:rPr>
        <w:t>hand,</w:t>
      </w:r>
      <w:r w:rsidR="001F0EF9">
        <w:t xml:space="preserve"> long</w:t>
      </w:r>
      <w:r w:rsidR="00B46E12">
        <w:t>-</w:t>
      </w:r>
      <w:r w:rsidR="00277DF9">
        <w:t>term</w:t>
      </w:r>
      <w:r w:rsidR="001F0EF9">
        <w:t xml:space="preserve"> debt, long</w:t>
      </w:r>
      <w:r w:rsidR="00B46E12">
        <w:t>-</w:t>
      </w:r>
      <w:r w:rsidR="001F0EF9">
        <w:t>term bank loan</w:t>
      </w:r>
      <w:r w:rsidR="00B46E12">
        <w:t>s</w:t>
      </w:r>
      <w:r w:rsidR="001F0EF9">
        <w:t xml:space="preserve">, </w:t>
      </w:r>
      <w:r w:rsidR="0019241E">
        <w:t>debenture</w:t>
      </w:r>
      <w:r w:rsidR="00B46E12">
        <w:t>,</w:t>
      </w:r>
      <w:r w:rsidR="0019241E">
        <w:t xml:space="preserve"> </w:t>
      </w:r>
      <w:r w:rsidR="00B46E12">
        <w:t>etc.</w:t>
      </w:r>
      <w:r w:rsidR="0019241E">
        <w:t xml:space="preserve"> are considered long</w:t>
      </w:r>
      <w:r w:rsidR="00B46E12">
        <w:t>-</w:t>
      </w:r>
      <w:r w:rsidR="0019241E">
        <w:t>term or non</w:t>
      </w:r>
      <w:r w:rsidR="00B46E12">
        <w:t>-</w:t>
      </w:r>
      <w:r w:rsidR="0019241E">
        <w:t xml:space="preserve">current liabilities. </w:t>
      </w:r>
    </w:p>
    <w:p w14:paraId="30788C39" w14:textId="3C2B9CAE" w:rsidR="00087C8F" w:rsidRDefault="00277DF9" w:rsidP="00B46E12">
      <w:r w:rsidRPr="00277DF9">
        <w:rPr>
          <w:b/>
          <w:bCs/>
        </w:rPr>
        <w:t>Owners’</w:t>
      </w:r>
      <w:r w:rsidR="00087C8F" w:rsidRPr="00277DF9">
        <w:rPr>
          <w:b/>
          <w:bCs/>
        </w:rPr>
        <w:t xml:space="preserve"> equity:</w:t>
      </w:r>
      <w:r w:rsidR="00087C8F">
        <w:t xml:space="preserve"> In </w:t>
      </w:r>
      <w:r>
        <w:t>the</w:t>
      </w:r>
      <w:r w:rsidR="00087C8F">
        <w:t xml:space="preserve"> second part of a </w:t>
      </w:r>
      <w:r>
        <w:t>balance</w:t>
      </w:r>
      <w:r w:rsidR="00087C8F">
        <w:t xml:space="preserve"> sheet another component presented </w:t>
      </w:r>
      <w:r w:rsidR="00060F90">
        <w:t xml:space="preserve">is </w:t>
      </w:r>
      <w:r>
        <w:t>the</w:t>
      </w:r>
      <w:r w:rsidR="00060F90">
        <w:t xml:space="preserve"> </w:t>
      </w:r>
      <w:r>
        <w:t>owners’</w:t>
      </w:r>
      <w:r w:rsidR="00060F90">
        <w:t xml:space="preserve"> equity. </w:t>
      </w:r>
      <w:r>
        <w:t>Owners’</w:t>
      </w:r>
      <w:r w:rsidR="00AF6663">
        <w:t xml:space="preserve"> equity is the </w:t>
      </w:r>
      <w:r>
        <w:t>portion</w:t>
      </w:r>
      <w:r w:rsidR="00AF6663">
        <w:t xml:space="preserve"> of </w:t>
      </w:r>
      <w:r w:rsidR="00FC7D25">
        <w:t xml:space="preserve">assets of an </w:t>
      </w:r>
      <w:r>
        <w:t>organization</w:t>
      </w:r>
      <w:r w:rsidR="00FC7D25">
        <w:t xml:space="preserve"> that </w:t>
      </w:r>
      <w:r w:rsidR="00C751E5">
        <w:t>is calculated by</w:t>
      </w:r>
      <w:r w:rsidR="00FC7D25">
        <w:t xml:space="preserve"> deducting all liabilities from the net assets</w:t>
      </w:r>
      <w:r w:rsidR="00B46E12">
        <w:t xml:space="preserve"> </w:t>
      </w:r>
      <w:r w:rsidR="00B46E12">
        <w:rPr>
          <w:shd w:val="clear" w:color="auto" w:fill="FFFFFF"/>
        </w:rPr>
        <w:t>(Kahn and Baum, 2020)</w:t>
      </w:r>
      <w:r w:rsidR="00FC7D25">
        <w:t xml:space="preserve">. </w:t>
      </w:r>
      <w:r w:rsidR="006E10C4">
        <w:t xml:space="preserve">Retain earning is a component of the </w:t>
      </w:r>
      <w:r>
        <w:t>owner’s</w:t>
      </w:r>
      <w:r w:rsidR="006E10C4">
        <w:t xml:space="preserve"> equity </w:t>
      </w:r>
      <w:r w:rsidR="00D778FD">
        <w:t xml:space="preserve">which is </w:t>
      </w:r>
      <w:r w:rsidR="00EA007A">
        <w:t xml:space="preserve">a portion of profit held by the organization to invest or to pay </w:t>
      </w:r>
      <w:r w:rsidR="00B46E12">
        <w:t xml:space="preserve">the </w:t>
      </w:r>
      <w:r w:rsidR="00EA007A">
        <w:t xml:space="preserve">debt. Ordinary share capital, </w:t>
      </w:r>
      <w:r>
        <w:t>preference</w:t>
      </w:r>
      <w:r w:rsidR="00EA007A">
        <w:t xml:space="preserve"> share capital</w:t>
      </w:r>
      <w:r w:rsidR="00B46E12">
        <w:t>,</w:t>
      </w:r>
      <w:r w:rsidR="00EA007A">
        <w:t xml:space="preserve"> </w:t>
      </w:r>
      <w:r>
        <w:t>etc.</w:t>
      </w:r>
      <w:r w:rsidR="00EA007A">
        <w:t xml:space="preserve"> are </w:t>
      </w:r>
      <w:r w:rsidR="001465F7">
        <w:t xml:space="preserve">summed up to find </w:t>
      </w:r>
      <w:r>
        <w:t>the</w:t>
      </w:r>
      <w:r w:rsidR="001465F7">
        <w:t xml:space="preserve"> </w:t>
      </w:r>
      <w:r>
        <w:t>owners’</w:t>
      </w:r>
      <w:r w:rsidR="001465F7">
        <w:t xml:space="preserve"> equity. On the other </w:t>
      </w:r>
      <w:r w:rsidR="00C751E5">
        <w:t>hand,</w:t>
      </w:r>
      <w:r w:rsidR="001465F7">
        <w:t xml:space="preserve"> </w:t>
      </w:r>
      <w:r w:rsidR="00B46E12">
        <w:t xml:space="preserve">the </w:t>
      </w:r>
      <w:r w:rsidR="001465F7">
        <w:t xml:space="preserve">dividend paid </w:t>
      </w:r>
      <w:r w:rsidR="00B46E12">
        <w:t>is</w:t>
      </w:r>
      <w:r w:rsidR="001465F7">
        <w:t xml:space="preserve"> deducted from </w:t>
      </w:r>
      <w:r w:rsidR="00B46E12">
        <w:t xml:space="preserve">the </w:t>
      </w:r>
      <w:r w:rsidR="00C751E5">
        <w:t>owner</w:t>
      </w:r>
      <w:r w:rsidR="00B46E12">
        <w:t>'s</w:t>
      </w:r>
      <w:r w:rsidR="001465F7">
        <w:t xml:space="preserve"> equity to find </w:t>
      </w:r>
      <w:r>
        <w:t>the</w:t>
      </w:r>
      <w:r w:rsidR="001465F7">
        <w:t xml:space="preserve"> actual </w:t>
      </w:r>
      <w:r w:rsidR="00C751E5">
        <w:t>owners’</w:t>
      </w:r>
      <w:r w:rsidR="001465F7">
        <w:t xml:space="preserve"> equity.</w:t>
      </w:r>
    </w:p>
    <w:p w14:paraId="7746D639" w14:textId="3EA82D43" w:rsidR="00C751E5" w:rsidRDefault="00EC5422" w:rsidP="00B46E12">
      <w:r>
        <w:lastRenderedPageBreak/>
        <w:t xml:space="preserve">To know </w:t>
      </w:r>
      <w:r w:rsidR="00277DF9">
        <w:t>the</w:t>
      </w:r>
      <w:r>
        <w:t xml:space="preserve"> reason why </w:t>
      </w:r>
      <w:r w:rsidR="00B46E12">
        <w:t xml:space="preserve">the </w:t>
      </w:r>
      <w:r>
        <w:t>balance</w:t>
      </w:r>
      <w:r w:rsidR="00161896">
        <w:t xml:space="preserve"> sheet always </w:t>
      </w:r>
      <w:r w:rsidR="00FB5968">
        <w:t>balances</w:t>
      </w:r>
      <w:r w:rsidR="00ED5DA9">
        <w:t xml:space="preserve">, we need to understand the double entry </w:t>
      </w:r>
      <w:r w:rsidR="00FB5968">
        <w:t xml:space="preserve">system. Because the reason </w:t>
      </w:r>
      <w:r w:rsidR="00B46E12">
        <w:t>for</w:t>
      </w:r>
      <w:r w:rsidR="00FB5968">
        <w:t xml:space="preserve"> balancing </w:t>
      </w:r>
      <w:r w:rsidR="00277DF9">
        <w:t>the</w:t>
      </w:r>
      <w:r w:rsidR="0092144D">
        <w:t xml:space="preserve"> balance sheets all </w:t>
      </w:r>
      <w:r w:rsidR="00277DF9">
        <w:t>the</w:t>
      </w:r>
      <w:r w:rsidR="0092144D">
        <w:t xml:space="preserve"> time is this double entry system.</w:t>
      </w:r>
    </w:p>
    <w:p w14:paraId="35427D83" w14:textId="486C2150" w:rsidR="001A0B1A" w:rsidRPr="00C751E5" w:rsidRDefault="001A0B1A" w:rsidP="00B46E12">
      <w:pPr>
        <w:rPr>
          <w:rStyle w:val="mntl-sc-block-headingtext"/>
          <w:b/>
        </w:rPr>
      </w:pPr>
      <w:r w:rsidRPr="00C751E5">
        <w:rPr>
          <w:rStyle w:val="mntl-sc-block-headingtext"/>
          <w:rFonts w:cs="Times New Roman"/>
          <w:b/>
          <w:color w:val="111111"/>
          <w:spacing w:val="1"/>
        </w:rPr>
        <w:t>The Basics of Double Entry</w:t>
      </w:r>
    </w:p>
    <w:p w14:paraId="58869AF8" w14:textId="617C8E1E" w:rsidR="00181BB2" w:rsidRDefault="00D509F3" w:rsidP="00C751E5">
      <w:pPr>
        <w:spacing w:after="100" w:afterAutospacing="1"/>
        <w:ind w:left="14" w:right="101" w:hanging="14"/>
      </w:pPr>
      <w:r>
        <w:t xml:space="preserve">In </w:t>
      </w:r>
      <w:r w:rsidR="00B46E12">
        <w:t xml:space="preserve">a </w:t>
      </w:r>
      <w:r>
        <w:t>double entry system</w:t>
      </w:r>
      <w:r w:rsidR="004E14D3">
        <w:t>, every transaction is recorded in term</w:t>
      </w:r>
      <w:r w:rsidR="00B46E12">
        <w:t>s</w:t>
      </w:r>
      <w:r w:rsidR="004E14D3">
        <w:t xml:space="preserve"> of two entr</w:t>
      </w:r>
      <w:r w:rsidR="00B46E12">
        <w:t>ies</w:t>
      </w:r>
      <w:r w:rsidR="004E14D3">
        <w:t xml:space="preserve">. One of them is called credit and </w:t>
      </w:r>
      <w:r w:rsidR="00277DF9">
        <w:t>the</w:t>
      </w:r>
      <w:r w:rsidR="004E14D3">
        <w:t xml:space="preserve"> other one is called </w:t>
      </w:r>
      <w:r w:rsidR="00C23275">
        <w:t xml:space="preserve">debit entry. For </w:t>
      </w:r>
      <w:r w:rsidR="00C751E5">
        <w:t>every</w:t>
      </w:r>
      <w:r w:rsidR="00C23275">
        <w:t xml:space="preserve"> entry</w:t>
      </w:r>
      <w:r w:rsidR="00B46E12">
        <w:t>,</w:t>
      </w:r>
      <w:r w:rsidR="00C23275">
        <w:t xml:space="preserve"> the </w:t>
      </w:r>
      <w:r w:rsidR="00C751E5">
        <w:t>amount of</w:t>
      </w:r>
      <w:r w:rsidR="00C23275">
        <w:t xml:space="preserve"> debt </w:t>
      </w:r>
      <w:r w:rsidR="00B46E12">
        <w:t>m</w:t>
      </w:r>
      <w:r w:rsidR="00C23275">
        <w:t xml:space="preserve">ust be </w:t>
      </w:r>
      <w:r w:rsidR="00BB3225">
        <w:t>equal to the amount of credit</w:t>
      </w:r>
      <w:r w:rsidR="00B46E12">
        <w:t xml:space="preserve"> </w:t>
      </w:r>
      <w:r w:rsidR="00B46E12">
        <w:rPr>
          <w:shd w:val="clear" w:color="auto" w:fill="FFFFFF"/>
        </w:rPr>
        <w:t>(Sangster, 2022)</w:t>
      </w:r>
      <w:r w:rsidR="00BB3225">
        <w:t>.</w:t>
      </w:r>
      <w:r w:rsidR="00BF31B9">
        <w:t xml:space="preserve"> </w:t>
      </w:r>
      <w:r w:rsidR="00277DF9">
        <w:t>The</w:t>
      </w:r>
      <w:r w:rsidR="00BF31B9">
        <w:t xml:space="preserve"> double entry system was </w:t>
      </w:r>
      <w:r w:rsidR="00C751E5">
        <w:t>first</w:t>
      </w:r>
      <w:r w:rsidR="00BF31B9">
        <w:t xml:space="preserve"> used in Europe to </w:t>
      </w:r>
      <w:r w:rsidR="00C751E5">
        <w:t>rationalize</w:t>
      </w:r>
      <w:r w:rsidR="00417ADF">
        <w:t xml:space="preserve"> </w:t>
      </w:r>
      <w:r w:rsidR="00B46E12">
        <w:t xml:space="preserve">the </w:t>
      </w:r>
      <w:r w:rsidR="00417ADF">
        <w:t xml:space="preserve">transaction of </w:t>
      </w:r>
      <w:r w:rsidR="00C751E5">
        <w:t>organizations</w:t>
      </w:r>
      <w:r w:rsidR="00417ADF">
        <w:t xml:space="preserve">. </w:t>
      </w:r>
      <w:r w:rsidR="00B33EA7">
        <w:t xml:space="preserve">It </w:t>
      </w:r>
      <w:r w:rsidR="004759B3">
        <w:t xml:space="preserve">helps </w:t>
      </w:r>
      <w:r w:rsidR="00277DF9">
        <w:t>the</w:t>
      </w:r>
      <w:r w:rsidR="004759B3">
        <w:t xml:space="preserve"> business to determine its costs and benefit</w:t>
      </w:r>
      <w:r w:rsidR="00B46E12">
        <w:t>s</w:t>
      </w:r>
      <w:r w:rsidR="004759B3">
        <w:t xml:space="preserve"> all </w:t>
      </w:r>
      <w:r w:rsidR="00277DF9">
        <w:t>the</w:t>
      </w:r>
      <w:r w:rsidR="004759B3">
        <w:t xml:space="preserve"> time.</w:t>
      </w:r>
      <w:r w:rsidR="00B33E37">
        <w:t xml:space="preserve"> </w:t>
      </w:r>
      <w:r w:rsidR="00C25F1D">
        <w:t xml:space="preserve">There is found seven different types of </w:t>
      </w:r>
      <w:r w:rsidR="00936A9A">
        <w:t xml:space="preserve">accounts in a business </w:t>
      </w:r>
      <w:r w:rsidR="00C751E5">
        <w:t>organization</w:t>
      </w:r>
      <w:r w:rsidR="00936A9A">
        <w:t xml:space="preserve"> under which all business transaction </w:t>
      </w:r>
      <w:r w:rsidR="00C40198">
        <w:t xml:space="preserve">is classified. Seven different </w:t>
      </w:r>
      <w:r w:rsidR="00A56EDF">
        <w:t xml:space="preserve">accounts are 1) assets, 2) Liabilities, 3) </w:t>
      </w:r>
      <w:r w:rsidR="00F56314">
        <w:t xml:space="preserve">Equity, 4) revenue, 5) </w:t>
      </w:r>
      <w:r w:rsidR="00C751E5">
        <w:t>expenses</w:t>
      </w:r>
      <w:r w:rsidR="00F56314">
        <w:t xml:space="preserve">, </w:t>
      </w:r>
      <w:r w:rsidR="00DA054B">
        <w:t xml:space="preserve">6) gain, </w:t>
      </w:r>
      <w:r w:rsidR="00DC1603">
        <w:t xml:space="preserve">and </w:t>
      </w:r>
      <w:r w:rsidR="00DA054B">
        <w:t>7) losses.</w:t>
      </w:r>
      <w:r w:rsidR="00DC1603">
        <w:t xml:space="preserve"> By </w:t>
      </w:r>
      <w:r w:rsidR="00F62CAC">
        <w:t>considering all th</w:t>
      </w:r>
      <w:r w:rsidR="00B46E12">
        <w:t>ese</w:t>
      </w:r>
      <w:r w:rsidR="00F62CAC">
        <w:t xml:space="preserve"> accounts an equation was developed and which </w:t>
      </w:r>
      <w:proofErr w:type="gramStart"/>
      <w:r w:rsidR="00F62CAC">
        <w:t xml:space="preserve">is </w:t>
      </w:r>
      <w:r w:rsidR="00C751E5">
        <w:t>considered</w:t>
      </w:r>
      <w:r w:rsidR="00F62CAC">
        <w:t xml:space="preserve"> to be</w:t>
      </w:r>
      <w:proofErr w:type="gramEnd"/>
      <w:r w:rsidR="00F62CAC">
        <w:t xml:space="preserve"> the basic equation of accounting</w:t>
      </w:r>
      <w:r w:rsidR="00B46E12">
        <w:t xml:space="preserve"> </w:t>
      </w:r>
      <w:r w:rsidR="00B46E12">
        <w:rPr>
          <w:shd w:val="clear" w:color="auto" w:fill="FFFFFF"/>
        </w:rPr>
        <w:t>(Christodoulou and McLeay, 2019)</w:t>
      </w:r>
      <w:r w:rsidR="00F62CAC">
        <w:t xml:space="preserve">. The equation is </w:t>
      </w:r>
      <w:r w:rsidR="00666FC2">
        <w:t>assets = liabilities +</w:t>
      </w:r>
      <w:r w:rsidR="00C751E5">
        <w:t>owners’</w:t>
      </w:r>
      <w:r w:rsidR="00666FC2">
        <w:t xml:space="preserve"> equity. </w:t>
      </w:r>
      <w:r w:rsidR="00CB78E8">
        <w:t>As the double entry system record</w:t>
      </w:r>
      <w:r w:rsidR="00B46E12">
        <w:t>,</w:t>
      </w:r>
      <w:r w:rsidR="00CB78E8">
        <w:t xml:space="preserve"> </w:t>
      </w:r>
      <w:r w:rsidR="00B46E12">
        <w:t xml:space="preserve">for </w:t>
      </w:r>
      <w:r w:rsidR="00CB78E8">
        <w:t xml:space="preserve">every transaction </w:t>
      </w:r>
      <w:r w:rsidR="00615FD4">
        <w:t xml:space="preserve">in two accounts for this record the equation must be </w:t>
      </w:r>
      <w:r w:rsidR="007D0BE9">
        <w:t xml:space="preserve">satisfied. For </w:t>
      </w:r>
      <w:r w:rsidR="00C751E5">
        <w:t>example,</w:t>
      </w:r>
      <w:r w:rsidR="007D0BE9">
        <w:t xml:space="preserve"> when an asset is bought by an </w:t>
      </w:r>
      <w:r w:rsidR="00C751E5">
        <w:t>organization</w:t>
      </w:r>
      <w:r w:rsidR="007D0BE9">
        <w:t xml:space="preserve">, </w:t>
      </w:r>
      <w:r w:rsidR="00991B4A">
        <w:t xml:space="preserve">the assets account </w:t>
      </w:r>
      <w:r w:rsidR="00C751E5">
        <w:t>decreases</w:t>
      </w:r>
      <w:r w:rsidR="00B46E12">
        <w:t>,</w:t>
      </w:r>
      <w:r w:rsidR="00991B4A">
        <w:t xml:space="preserve"> and cash decreases which is another assets account. </w:t>
      </w:r>
      <w:r w:rsidR="00C751E5">
        <w:t>So,</w:t>
      </w:r>
      <w:r w:rsidR="00991B4A">
        <w:t xml:space="preserve"> for this transaction the </w:t>
      </w:r>
      <w:r w:rsidR="00570117">
        <w:t xml:space="preserve">equation is satisfied. Like this transaction, every transaction is recorded by following this principle </w:t>
      </w:r>
      <w:r w:rsidR="00236874">
        <w:t>and for this</w:t>
      </w:r>
      <w:r w:rsidR="00B46E12">
        <w:t>,</w:t>
      </w:r>
      <w:r w:rsidR="00236874">
        <w:t xml:space="preserve"> </w:t>
      </w:r>
      <w:r w:rsidR="00181BB2">
        <w:t>the record satisf</w:t>
      </w:r>
      <w:r w:rsidR="00B46E12">
        <w:t>ies</w:t>
      </w:r>
      <w:r w:rsidR="00181BB2">
        <w:t xml:space="preserve"> the equation all the time.</w:t>
      </w:r>
    </w:p>
    <w:p w14:paraId="148C8BB2" w14:textId="164581A8" w:rsidR="00B46E12" w:rsidRDefault="00181BB2" w:rsidP="00B46E12">
      <w:pPr>
        <w:spacing w:after="100" w:afterAutospacing="1"/>
        <w:ind w:left="14" w:right="101" w:hanging="14"/>
        <w:rPr>
          <w:rFonts w:cs="Vrinda"/>
          <w:lang w:bidi="bn-IN"/>
        </w:rPr>
      </w:pPr>
      <w:r>
        <w:t>In the balance sheet or statement of financial position</w:t>
      </w:r>
      <w:r w:rsidR="0081185B">
        <w:t>, we found two side</w:t>
      </w:r>
      <w:r w:rsidR="00B46E12">
        <w:t>s</w:t>
      </w:r>
      <w:r w:rsidR="0081185B">
        <w:t xml:space="preserve">. One is </w:t>
      </w:r>
      <w:r w:rsidR="00B46E12">
        <w:t xml:space="preserve">the </w:t>
      </w:r>
      <w:r w:rsidR="0081185B">
        <w:t xml:space="preserve">assets side where all the assets of the company </w:t>
      </w:r>
      <w:r w:rsidR="00B46E12">
        <w:t>are</w:t>
      </w:r>
      <w:r w:rsidR="0081185B">
        <w:t xml:space="preserve"> accumulated. On the </w:t>
      </w:r>
      <w:r w:rsidR="00C751E5">
        <w:t>other</w:t>
      </w:r>
      <w:r w:rsidR="0081185B">
        <w:t xml:space="preserve"> side</w:t>
      </w:r>
      <w:r w:rsidR="00B46E12">
        <w:t>,</w:t>
      </w:r>
      <w:r w:rsidR="0081185B">
        <w:t xml:space="preserve"> we found owners</w:t>
      </w:r>
      <w:r w:rsidR="00B46E12">
        <w:t>'</w:t>
      </w:r>
      <w:r w:rsidR="0081185B">
        <w:t xml:space="preserve"> equity and liabilities</w:t>
      </w:r>
      <w:r w:rsidR="00D3050E">
        <w:t xml:space="preserve"> </w:t>
      </w:r>
      <w:r w:rsidR="00C751E5">
        <w:t>were</w:t>
      </w:r>
      <w:r w:rsidR="00D3050E">
        <w:t xml:space="preserve"> all the liabilities and </w:t>
      </w:r>
      <w:r w:rsidR="00C751E5">
        <w:t>owners’</w:t>
      </w:r>
      <w:r w:rsidR="00D3050E">
        <w:t xml:space="preserve"> equity </w:t>
      </w:r>
      <w:r w:rsidR="00C751E5">
        <w:t>are</w:t>
      </w:r>
      <w:r w:rsidR="00D3050E">
        <w:t xml:space="preserve"> accumulated</w:t>
      </w:r>
      <w:r w:rsidR="00B46E12">
        <w:t xml:space="preserve"> </w:t>
      </w:r>
      <w:r w:rsidR="00B46E12">
        <w:rPr>
          <w:shd w:val="clear" w:color="auto" w:fill="FFFFFF"/>
        </w:rPr>
        <w:t>(Klymenko et al., 2019)</w:t>
      </w:r>
      <w:r w:rsidR="000E0847">
        <w:t xml:space="preserve">. So here in </w:t>
      </w:r>
      <w:r w:rsidR="00B46E12">
        <w:t xml:space="preserve">the </w:t>
      </w:r>
      <w:r w:rsidR="000E0847">
        <w:t xml:space="preserve">balance sheet, </w:t>
      </w:r>
      <w:r w:rsidR="00D83CF0">
        <w:t>it is found that balance sheet is another form of</w:t>
      </w:r>
      <w:r w:rsidR="000E0847">
        <w:t xml:space="preserve"> </w:t>
      </w:r>
      <w:r w:rsidR="00B46E12">
        <w:t xml:space="preserve">the </w:t>
      </w:r>
      <w:r w:rsidR="000E0847">
        <w:t xml:space="preserve">accounting equation </w:t>
      </w:r>
      <w:r w:rsidR="009C002B">
        <w:t xml:space="preserve">as </w:t>
      </w:r>
      <w:r w:rsidR="00422B65">
        <w:rPr>
          <w:rFonts w:cs="Vrinda"/>
          <w:lang w:bidi="bn-IN"/>
        </w:rPr>
        <w:t>total assets, total liabilities</w:t>
      </w:r>
      <w:r w:rsidR="00B46E12">
        <w:rPr>
          <w:rFonts w:cs="Vrinda"/>
          <w:lang w:bidi="bn-IN"/>
        </w:rPr>
        <w:t>,</w:t>
      </w:r>
      <w:r w:rsidR="00422B65">
        <w:rPr>
          <w:rFonts w:cs="Vrinda"/>
          <w:lang w:bidi="bn-IN"/>
        </w:rPr>
        <w:t xml:space="preserve"> and total </w:t>
      </w:r>
      <w:r w:rsidR="00C751E5">
        <w:rPr>
          <w:rFonts w:cs="Vrinda"/>
          <w:lang w:bidi="bn-IN"/>
        </w:rPr>
        <w:t>owners’</w:t>
      </w:r>
      <w:r w:rsidR="00422B65">
        <w:rPr>
          <w:rFonts w:cs="Vrinda"/>
          <w:lang w:bidi="bn-IN"/>
        </w:rPr>
        <w:t xml:space="preserve"> equity </w:t>
      </w:r>
      <w:r w:rsidR="00203785">
        <w:rPr>
          <w:rFonts w:cs="Vrinda"/>
          <w:lang w:bidi="bn-IN"/>
        </w:rPr>
        <w:t xml:space="preserve">are accumulated here and assets side and </w:t>
      </w:r>
      <w:r w:rsidR="000D14C8">
        <w:rPr>
          <w:rFonts w:cs="Vrinda"/>
          <w:lang w:bidi="bn-IN"/>
        </w:rPr>
        <w:t xml:space="preserve">liabilities and </w:t>
      </w:r>
      <w:r w:rsidR="00C751E5">
        <w:rPr>
          <w:rFonts w:cs="Vrinda"/>
          <w:lang w:bidi="bn-IN"/>
        </w:rPr>
        <w:t>owners’</w:t>
      </w:r>
      <w:r w:rsidR="000D14C8">
        <w:rPr>
          <w:rFonts w:cs="Vrinda"/>
          <w:lang w:bidi="bn-IN"/>
        </w:rPr>
        <w:t xml:space="preserve"> equity side found same in this statement. </w:t>
      </w:r>
      <w:r w:rsidR="00064B41">
        <w:rPr>
          <w:rFonts w:cs="Vrinda"/>
          <w:lang w:bidi="bn-IN"/>
        </w:rPr>
        <w:t xml:space="preserve">As every entity is recorded following </w:t>
      </w:r>
      <w:r w:rsidR="00B46E12">
        <w:rPr>
          <w:rFonts w:cs="Vrinda"/>
          <w:lang w:bidi="bn-IN"/>
        </w:rPr>
        <w:t xml:space="preserve">a </w:t>
      </w:r>
      <w:r w:rsidR="00064B41">
        <w:rPr>
          <w:rFonts w:cs="Vrinda"/>
          <w:lang w:bidi="bn-IN"/>
        </w:rPr>
        <w:t xml:space="preserve">double entry system and using the </w:t>
      </w:r>
      <w:r w:rsidR="00C751E5">
        <w:rPr>
          <w:rFonts w:cs="Vrinda"/>
          <w:lang w:bidi="bn-IN"/>
        </w:rPr>
        <w:t>accounting</w:t>
      </w:r>
      <w:r w:rsidR="00064B41">
        <w:rPr>
          <w:rFonts w:cs="Vrinda"/>
          <w:lang w:bidi="bn-IN"/>
        </w:rPr>
        <w:t xml:space="preserve"> equation</w:t>
      </w:r>
      <w:r w:rsidR="00B46E12">
        <w:rPr>
          <w:rFonts w:cs="Vrinda"/>
          <w:lang w:bidi="bn-IN"/>
        </w:rPr>
        <w:t>.</w:t>
      </w:r>
      <w:r w:rsidR="00064B41">
        <w:rPr>
          <w:rFonts w:cs="Vrinda"/>
          <w:lang w:bidi="bn-IN"/>
        </w:rPr>
        <w:t xml:space="preserve"> </w:t>
      </w:r>
      <w:r w:rsidR="00B46E12">
        <w:rPr>
          <w:rFonts w:cs="Vrinda"/>
          <w:lang w:bidi="bn-IN"/>
        </w:rPr>
        <w:t>W</w:t>
      </w:r>
      <w:r w:rsidR="000408F7">
        <w:rPr>
          <w:rFonts w:cs="Vrinda"/>
          <w:lang w:bidi="bn-IN"/>
        </w:rPr>
        <w:t>hen all the transaction</w:t>
      </w:r>
      <w:r w:rsidR="00B46E12">
        <w:rPr>
          <w:rFonts w:cs="Vrinda"/>
          <w:lang w:bidi="bn-IN"/>
        </w:rPr>
        <w:t>s</w:t>
      </w:r>
      <w:r w:rsidR="000408F7">
        <w:rPr>
          <w:rFonts w:cs="Vrinda"/>
          <w:lang w:bidi="bn-IN"/>
        </w:rPr>
        <w:t xml:space="preserve"> accumulated </w:t>
      </w:r>
      <w:r w:rsidR="00B46E12">
        <w:rPr>
          <w:rFonts w:cs="Vrinda"/>
          <w:lang w:bidi="bn-IN"/>
        </w:rPr>
        <w:t>o</w:t>
      </w:r>
      <w:r w:rsidR="000408F7">
        <w:rPr>
          <w:rFonts w:cs="Vrinda"/>
          <w:lang w:bidi="bn-IN"/>
        </w:rPr>
        <w:t>n the balance sheet</w:t>
      </w:r>
      <w:r w:rsidR="00B46E12">
        <w:rPr>
          <w:rFonts w:cs="Vrinda"/>
          <w:lang w:bidi="bn-IN"/>
        </w:rPr>
        <w:t xml:space="preserve"> it </w:t>
      </w:r>
      <w:r w:rsidR="000408F7">
        <w:rPr>
          <w:rFonts w:cs="Vrinda"/>
          <w:lang w:bidi="bn-IN"/>
        </w:rPr>
        <w:t xml:space="preserve">also </w:t>
      </w:r>
      <w:r w:rsidR="00C751E5">
        <w:rPr>
          <w:rFonts w:cs="Vrinda"/>
          <w:lang w:bidi="bn-IN"/>
        </w:rPr>
        <w:t>balance</w:t>
      </w:r>
      <w:r w:rsidR="00B46E12">
        <w:rPr>
          <w:rFonts w:cs="Vrinda"/>
          <w:lang w:bidi="bn-IN"/>
        </w:rPr>
        <w:t xml:space="preserve">s </w:t>
      </w:r>
      <w:r w:rsidR="000408F7">
        <w:rPr>
          <w:rFonts w:cs="Vrinda"/>
          <w:lang w:bidi="bn-IN"/>
        </w:rPr>
        <w:t>there.</w:t>
      </w:r>
    </w:p>
    <w:p w14:paraId="27347940" w14:textId="77777777" w:rsidR="00B46E12" w:rsidRDefault="00B46E12">
      <w:pPr>
        <w:spacing w:before="0" w:after="160" w:line="259" w:lineRule="auto"/>
        <w:ind w:left="0" w:right="0" w:firstLine="0"/>
        <w:jc w:val="left"/>
        <w:rPr>
          <w:rFonts w:cs="Vrinda"/>
          <w:lang w:bidi="bn-IN"/>
        </w:rPr>
      </w:pPr>
      <w:r>
        <w:rPr>
          <w:rFonts w:cs="Vrinda"/>
          <w:lang w:bidi="bn-IN"/>
        </w:rPr>
        <w:br w:type="page"/>
      </w:r>
    </w:p>
    <w:p w14:paraId="231C5C5A" w14:textId="45AD0FEA" w:rsidR="00B46E12" w:rsidRDefault="00B46E12" w:rsidP="00B46E12">
      <w:pPr>
        <w:pStyle w:val="Heading1"/>
        <w:rPr>
          <w:rFonts w:eastAsia="Arial"/>
        </w:rPr>
      </w:pPr>
      <w:bookmarkStart w:id="4" w:name="_Toc111410364"/>
      <w:r>
        <w:rPr>
          <w:rFonts w:eastAsia="Arial"/>
        </w:rPr>
        <w:lastRenderedPageBreak/>
        <w:t>Q</w:t>
      </w:r>
      <w:r w:rsidR="0022108A">
        <w:rPr>
          <w:rFonts w:eastAsia="Arial"/>
        </w:rPr>
        <w:t>uestion</w:t>
      </w:r>
      <w:r>
        <w:rPr>
          <w:rFonts w:eastAsia="Arial"/>
        </w:rPr>
        <w:t xml:space="preserve"> 2</w:t>
      </w:r>
      <w:bookmarkEnd w:id="4"/>
    </w:p>
    <w:p w14:paraId="48046CE5" w14:textId="617279CF" w:rsidR="0022108A" w:rsidRDefault="0022108A" w:rsidP="0022108A">
      <w:pPr>
        <w:pStyle w:val="Heading2"/>
        <w:rPr>
          <w:shd w:val="clear" w:color="auto" w:fill="FFFFFF"/>
        </w:rPr>
      </w:pPr>
      <w:bookmarkStart w:id="5" w:name="_Toc111410365"/>
      <w:bookmarkStart w:id="6" w:name="_Toc111407408"/>
      <w:r>
        <w:rPr>
          <w:shd w:val="clear" w:color="auto" w:fill="FFFFFF"/>
        </w:rPr>
        <w:t>A) Financial Ratios</w:t>
      </w:r>
      <w:bookmarkEnd w:id="5"/>
      <w:r>
        <w:rPr>
          <w:shd w:val="clear" w:color="auto" w:fill="FFFFFF"/>
        </w:rPr>
        <w:t xml:space="preserve"> </w:t>
      </w:r>
      <w:bookmarkEnd w:id="6"/>
    </w:p>
    <w:p w14:paraId="6CD276FD" w14:textId="77777777" w:rsidR="0022108A" w:rsidRDefault="0022108A" w:rsidP="0022108A">
      <w:pPr>
        <w:rPr>
          <w:b/>
          <w:bCs/>
        </w:rPr>
      </w:pPr>
      <w:r>
        <w:rPr>
          <w:b/>
          <w:bCs/>
        </w:rPr>
        <w:t>1- ROCE</w:t>
      </w:r>
    </w:p>
    <w:tbl>
      <w:tblPr>
        <w:tblStyle w:val="GridTable4-Accent5"/>
        <w:tblW w:w="0" w:type="auto"/>
        <w:tblLook w:val="04A0" w:firstRow="1" w:lastRow="0" w:firstColumn="1" w:lastColumn="0" w:noHBand="0" w:noVBand="1"/>
      </w:tblPr>
      <w:tblGrid>
        <w:gridCol w:w="3823"/>
        <w:gridCol w:w="2693"/>
        <w:gridCol w:w="2834"/>
      </w:tblGrid>
      <w:tr w:rsidR="0022108A" w14:paraId="36A83FB7" w14:textId="77777777" w:rsidTr="00153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12BB408" w14:textId="7EC02C8A" w:rsidR="0022108A" w:rsidRDefault="00880DC5" w:rsidP="009F5A21">
            <w:pPr>
              <w:jc w:val="center"/>
              <w:rPr>
                <w:b w:val="0"/>
                <w:bCs w:val="0"/>
              </w:rPr>
            </w:pPr>
            <w:r>
              <w:rPr>
                <w:rFonts w:eastAsia="Times New Roman" w:cs="Times New Roman"/>
                <w:b w:val="0"/>
                <w:bCs w:val="0"/>
                <w:szCs w:val="24"/>
                <w:lang w:eastAsia="en-GB" w:bidi="bn-BD"/>
              </w:rPr>
              <w:t>Description</w:t>
            </w:r>
          </w:p>
        </w:tc>
        <w:tc>
          <w:tcPr>
            <w:tcW w:w="2693" w:type="dxa"/>
          </w:tcPr>
          <w:p w14:paraId="64A674F0" w14:textId="77777777" w:rsidR="0022108A" w:rsidRDefault="0022108A" w:rsidP="009F5A21">
            <w:pPr>
              <w:jc w:val="center"/>
              <w:cnfStyle w:val="100000000000" w:firstRow="1" w:lastRow="0" w:firstColumn="0" w:lastColumn="0" w:oddVBand="0" w:evenVBand="0" w:oddHBand="0" w:evenHBand="0" w:firstRowFirstColumn="0" w:firstRowLastColumn="0" w:lastRowFirstColumn="0" w:lastRowLastColumn="0"/>
              <w:rPr>
                <w:b w:val="0"/>
                <w:bCs w:val="0"/>
              </w:rPr>
            </w:pPr>
            <w:r>
              <w:t>2021</w:t>
            </w:r>
          </w:p>
        </w:tc>
        <w:tc>
          <w:tcPr>
            <w:tcW w:w="2834" w:type="dxa"/>
          </w:tcPr>
          <w:p w14:paraId="60E119D1" w14:textId="77777777" w:rsidR="0022108A" w:rsidRDefault="0022108A" w:rsidP="009F5A21">
            <w:pPr>
              <w:jc w:val="center"/>
              <w:cnfStyle w:val="100000000000" w:firstRow="1" w:lastRow="0" w:firstColumn="0" w:lastColumn="0" w:oddVBand="0" w:evenVBand="0" w:oddHBand="0" w:evenHBand="0" w:firstRowFirstColumn="0" w:firstRowLastColumn="0" w:lastRowFirstColumn="0" w:lastRowLastColumn="0"/>
              <w:rPr>
                <w:b w:val="0"/>
                <w:bCs w:val="0"/>
              </w:rPr>
            </w:pPr>
            <w:r>
              <w:t>2020</w:t>
            </w:r>
          </w:p>
        </w:tc>
      </w:tr>
      <w:tr w:rsidR="0022108A" w14:paraId="54DE6980" w14:textId="77777777" w:rsidTr="00153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FA132AF" w14:textId="77777777" w:rsidR="0022108A" w:rsidRDefault="0022108A" w:rsidP="009F5A21">
            <w:pPr>
              <w:jc w:val="left"/>
              <w:rPr>
                <w:shd w:val="clear" w:color="auto" w:fill="FFFFFF"/>
              </w:rPr>
            </w:pPr>
            <w:r>
              <w:rPr>
                <w:shd w:val="clear" w:color="auto" w:fill="FFFFFF"/>
              </w:rPr>
              <w:t>ROCE= EBIT/Capital Employed</w:t>
            </w:r>
          </w:p>
        </w:tc>
        <w:tc>
          <w:tcPr>
            <w:tcW w:w="2693" w:type="dxa"/>
          </w:tcPr>
          <w:p w14:paraId="1622504C"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620 / 5599</w:t>
            </w:r>
          </w:p>
          <w:p w14:paraId="3D6F3CAA"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 xml:space="preserve">= 0.11 </w:t>
            </w:r>
          </w:p>
        </w:tc>
        <w:tc>
          <w:tcPr>
            <w:tcW w:w="2834" w:type="dxa"/>
          </w:tcPr>
          <w:p w14:paraId="6F77236A"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539 / 5958</w:t>
            </w:r>
          </w:p>
          <w:p w14:paraId="48969BA8"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 0.09</w:t>
            </w:r>
          </w:p>
        </w:tc>
      </w:tr>
    </w:tbl>
    <w:p w14:paraId="73823BCC" w14:textId="77777777" w:rsidR="0022108A" w:rsidRDefault="0022108A" w:rsidP="0022108A"/>
    <w:p w14:paraId="663CFB51" w14:textId="77777777" w:rsidR="0022108A" w:rsidRDefault="0022108A" w:rsidP="0022108A">
      <w:pPr>
        <w:spacing w:line="259" w:lineRule="auto"/>
        <w:jc w:val="left"/>
        <w:rPr>
          <w:b/>
          <w:bCs/>
        </w:rPr>
      </w:pPr>
      <w:r>
        <w:rPr>
          <w:b/>
          <w:bCs/>
        </w:rPr>
        <w:t>Working 01</w:t>
      </w:r>
    </w:p>
    <w:tbl>
      <w:tblPr>
        <w:tblStyle w:val="GridTable4-Accent5"/>
        <w:tblW w:w="0" w:type="auto"/>
        <w:tblLook w:val="04A0" w:firstRow="1" w:lastRow="0" w:firstColumn="1" w:lastColumn="0" w:noHBand="0" w:noVBand="1"/>
      </w:tblPr>
      <w:tblGrid>
        <w:gridCol w:w="6091"/>
        <w:gridCol w:w="1701"/>
        <w:gridCol w:w="1558"/>
      </w:tblGrid>
      <w:tr w:rsidR="0022108A" w14:paraId="66B293B1" w14:textId="77777777" w:rsidTr="00153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C823628" w14:textId="77777777" w:rsidR="0022108A" w:rsidRDefault="0022108A" w:rsidP="009F5A21">
            <w:pPr>
              <w:jc w:val="center"/>
              <w:rPr>
                <w:b w:val="0"/>
                <w:bCs w:val="0"/>
              </w:rPr>
            </w:pPr>
            <w:r>
              <w:t>Description</w:t>
            </w:r>
          </w:p>
        </w:tc>
        <w:tc>
          <w:tcPr>
            <w:tcW w:w="1701" w:type="dxa"/>
          </w:tcPr>
          <w:p w14:paraId="3A646D4E" w14:textId="77777777" w:rsidR="0022108A" w:rsidRDefault="0022108A" w:rsidP="009F5A21">
            <w:pPr>
              <w:jc w:val="center"/>
              <w:cnfStyle w:val="100000000000" w:firstRow="1" w:lastRow="0" w:firstColumn="0" w:lastColumn="0" w:oddVBand="0" w:evenVBand="0" w:oddHBand="0" w:evenHBand="0" w:firstRowFirstColumn="0" w:firstRowLastColumn="0" w:lastRowFirstColumn="0" w:lastRowLastColumn="0"/>
              <w:rPr>
                <w:b w:val="0"/>
                <w:bCs w:val="0"/>
              </w:rPr>
            </w:pPr>
            <w:r>
              <w:t>2021</w:t>
            </w:r>
          </w:p>
        </w:tc>
        <w:tc>
          <w:tcPr>
            <w:tcW w:w="1558" w:type="dxa"/>
          </w:tcPr>
          <w:p w14:paraId="39C21BD5" w14:textId="77777777" w:rsidR="0022108A" w:rsidRDefault="0022108A" w:rsidP="009F5A21">
            <w:pPr>
              <w:jc w:val="center"/>
              <w:cnfStyle w:val="100000000000" w:firstRow="1" w:lastRow="0" w:firstColumn="0" w:lastColumn="0" w:oddVBand="0" w:evenVBand="0" w:oddHBand="0" w:evenHBand="0" w:firstRowFirstColumn="0" w:firstRowLastColumn="0" w:lastRowFirstColumn="0" w:lastRowLastColumn="0"/>
              <w:rPr>
                <w:b w:val="0"/>
                <w:bCs w:val="0"/>
              </w:rPr>
            </w:pPr>
            <w:r>
              <w:t>2020</w:t>
            </w:r>
          </w:p>
        </w:tc>
      </w:tr>
      <w:tr w:rsidR="0022108A" w14:paraId="0416CAEF" w14:textId="77777777" w:rsidTr="00153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6BD8DAEB" w14:textId="77777777" w:rsidR="0022108A" w:rsidRDefault="0022108A" w:rsidP="009F5A21">
            <w:pPr>
              <w:jc w:val="left"/>
              <w:rPr>
                <w:shd w:val="clear" w:color="auto" w:fill="FFFFFF"/>
              </w:rPr>
            </w:pPr>
            <w:r>
              <w:rPr>
                <w:shd w:val="clear" w:color="auto" w:fill="FFFFFF"/>
              </w:rPr>
              <w:t>Capital Employed = Total Assets – Current Liabilities</w:t>
            </w:r>
          </w:p>
        </w:tc>
        <w:tc>
          <w:tcPr>
            <w:tcW w:w="1701" w:type="dxa"/>
          </w:tcPr>
          <w:p w14:paraId="79535F9B"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9,736- 4,137</w:t>
            </w:r>
          </w:p>
          <w:p w14:paraId="0E87AF6D"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 5599</w:t>
            </w:r>
          </w:p>
        </w:tc>
        <w:tc>
          <w:tcPr>
            <w:tcW w:w="1558" w:type="dxa"/>
          </w:tcPr>
          <w:p w14:paraId="0661B4A7"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10,087-4,129</w:t>
            </w:r>
          </w:p>
          <w:p w14:paraId="6D5C2C27" w14:textId="77777777" w:rsidR="0022108A" w:rsidRDefault="0022108A" w:rsidP="009F5A21">
            <w:pPr>
              <w:cnfStyle w:val="000000100000" w:firstRow="0" w:lastRow="0" w:firstColumn="0" w:lastColumn="0" w:oddVBand="0" w:evenVBand="0" w:oddHBand="1" w:evenHBand="0" w:firstRowFirstColumn="0" w:firstRowLastColumn="0" w:lastRowFirstColumn="0" w:lastRowLastColumn="0"/>
            </w:pPr>
            <w:r>
              <w:t>=5958</w:t>
            </w:r>
          </w:p>
        </w:tc>
      </w:tr>
    </w:tbl>
    <w:p w14:paraId="7973E28D" w14:textId="77777777" w:rsidR="0022108A" w:rsidRDefault="0022108A" w:rsidP="0022108A">
      <w:pPr>
        <w:rPr>
          <w:b/>
          <w:bCs/>
        </w:rPr>
      </w:pPr>
    </w:p>
    <w:p w14:paraId="6DC7301C" w14:textId="77777777" w:rsidR="0022108A" w:rsidRDefault="0022108A" w:rsidP="0022108A">
      <w:pPr>
        <w:rPr>
          <w:b/>
          <w:bCs/>
        </w:rPr>
      </w:pPr>
      <w:r>
        <w:rPr>
          <w:b/>
          <w:bCs/>
        </w:rPr>
        <w:t>2- ROE</w:t>
      </w:r>
    </w:p>
    <w:tbl>
      <w:tblPr>
        <w:tblStyle w:val="GridTable4-Accent5"/>
        <w:tblW w:w="9920" w:type="dxa"/>
        <w:tblLook w:val="04A0" w:firstRow="1" w:lastRow="0" w:firstColumn="1" w:lastColumn="0" w:noHBand="0" w:noVBand="1"/>
      </w:tblPr>
      <w:tblGrid>
        <w:gridCol w:w="4180"/>
        <w:gridCol w:w="2700"/>
        <w:gridCol w:w="3040"/>
      </w:tblGrid>
      <w:tr w:rsidR="0022108A" w14:paraId="4A6C0EDC" w14:textId="77777777" w:rsidTr="00153673">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4180" w:type="dxa"/>
            <w:hideMark/>
          </w:tcPr>
          <w:p w14:paraId="0D8D89CD" w14:textId="16265CAA" w:rsidR="0022108A" w:rsidRDefault="00880DC5" w:rsidP="009F5A21">
            <w:pPr>
              <w:spacing w:line="240" w:lineRule="auto"/>
              <w:jc w:val="center"/>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2700" w:type="dxa"/>
            <w:hideMark/>
          </w:tcPr>
          <w:p w14:paraId="09EC390B"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3040" w:type="dxa"/>
            <w:hideMark/>
          </w:tcPr>
          <w:p w14:paraId="46551DFB"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0AA950D0" w14:textId="77777777" w:rsidTr="0015367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hideMark/>
          </w:tcPr>
          <w:p w14:paraId="2E82DE3F" w14:textId="77777777" w:rsidR="0022108A" w:rsidRDefault="0022108A" w:rsidP="009F5A21">
            <w:pPr>
              <w:spacing w:line="240" w:lineRule="auto"/>
              <w:jc w:val="left"/>
              <w:rPr>
                <w:rFonts w:eastAsia="Times New Roman" w:cs="Times New Roman"/>
                <w:szCs w:val="24"/>
                <w:lang w:eastAsia="en-GB" w:bidi="bn-BD"/>
              </w:rPr>
            </w:pPr>
            <w:r>
              <w:rPr>
                <w:rFonts w:eastAsia="Times New Roman" w:cs="Times New Roman"/>
                <w:szCs w:val="24"/>
                <w:lang w:eastAsia="en-GB" w:bidi="bn-BD"/>
              </w:rPr>
              <w:t>ROE= Net income/ Shareholder's Equity</w:t>
            </w:r>
          </w:p>
        </w:tc>
        <w:tc>
          <w:tcPr>
            <w:tcW w:w="2700" w:type="dxa"/>
            <w:hideMark/>
          </w:tcPr>
          <w:p w14:paraId="6D94E5EF"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431/3088</w:t>
            </w:r>
          </w:p>
        </w:tc>
        <w:tc>
          <w:tcPr>
            <w:tcW w:w="3040" w:type="dxa"/>
            <w:hideMark/>
          </w:tcPr>
          <w:p w14:paraId="0445F3DE"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366/2912</w:t>
            </w:r>
          </w:p>
        </w:tc>
      </w:tr>
      <w:tr w:rsidR="0022108A" w14:paraId="7D2D42E7" w14:textId="77777777" w:rsidTr="00153673">
        <w:trPr>
          <w:trHeight w:val="330"/>
        </w:trPr>
        <w:tc>
          <w:tcPr>
            <w:cnfStyle w:val="001000000000" w:firstRow="0" w:lastRow="0" w:firstColumn="1" w:lastColumn="0" w:oddVBand="0" w:evenVBand="0" w:oddHBand="0" w:evenHBand="0" w:firstRowFirstColumn="0" w:firstRowLastColumn="0" w:lastRowFirstColumn="0" w:lastRowLastColumn="0"/>
            <w:tcW w:w="4180" w:type="dxa"/>
            <w:noWrap/>
            <w:hideMark/>
          </w:tcPr>
          <w:p w14:paraId="1C8DE1C7" w14:textId="77777777" w:rsidR="0022108A" w:rsidRDefault="0022108A" w:rsidP="009F5A21">
            <w:pPr>
              <w:spacing w:line="240" w:lineRule="auto"/>
              <w:rPr>
                <w:rFonts w:eastAsia="Times New Roman" w:cs="Times New Roman"/>
                <w:szCs w:val="24"/>
                <w:lang w:eastAsia="en-GB" w:bidi="bn-BD"/>
              </w:rPr>
            </w:pPr>
          </w:p>
        </w:tc>
        <w:tc>
          <w:tcPr>
            <w:tcW w:w="2700" w:type="dxa"/>
            <w:hideMark/>
          </w:tcPr>
          <w:p w14:paraId="0A1B5B33"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0.139527355</w:t>
            </w:r>
          </w:p>
        </w:tc>
        <w:tc>
          <w:tcPr>
            <w:tcW w:w="3040" w:type="dxa"/>
            <w:hideMark/>
          </w:tcPr>
          <w:p w14:paraId="56866714"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0.125643666</w:t>
            </w:r>
          </w:p>
        </w:tc>
      </w:tr>
    </w:tbl>
    <w:p w14:paraId="4C6C938D" w14:textId="77777777" w:rsidR="0022108A" w:rsidRDefault="0022108A" w:rsidP="0022108A"/>
    <w:p w14:paraId="7C6556F8" w14:textId="77777777" w:rsidR="0022108A" w:rsidRDefault="0022108A" w:rsidP="0022108A">
      <w:pPr>
        <w:rPr>
          <w:b/>
          <w:bCs/>
        </w:rPr>
      </w:pPr>
      <w:r>
        <w:rPr>
          <w:b/>
          <w:bCs/>
        </w:rPr>
        <w:t>3- Earnings per share</w:t>
      </w:r>
    </w:p>
    <w:tbl>
      <w:tblPr>
        <w:tblStyle w:val="GridTable4-Accent5"/>
        <w:tblW w:w="9920" w:type="dxa"/>
        <w:tblLook w:val="04A0" w:firstRow="1" w:lastRow="0" w:firstColumn="1" w:lastColumn="0" w:noHBand="0" w:noVBand="1"/>
      </w:tblPr>
      <w:tblGrid>
        <w:gridCol w:w="4180"/>
        <w:gridCol w:w="2700"/>
        <w:gridCol w:w="3040"/>
      </w:tblGrid>
      <w:tr w:rsidR="0022108A" w14:paraId="4B1E1EEE" w14:textId="77777777" w:rsidTr="00153673">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4180" w:type="dxa"/>
            <w:hideMark/>
          </w:tcPr>
          <w:p w14:paraId="56C664A0" w14:textId="0FDA630A" w:rsidR="0022108A" w:rsidRDefault="00880DC5" w:rsidP="009F5A21">
            <w:pPr>
              <w:spacing w:line="240" w:lineRule="auto"/>
              <w:jc w:val="center"/>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2700" w:type="dxa"/>
            <w:hideMark/>
          </w:tcPr>
          <w:p w14:paraId="140F23C5"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3040" w:type="dxa"/>
            <w:hideMark/>
          </w:tcPr>
          <w:p w14:paraId="23DC07A6"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1C8F96B8" w14:textId="77777777" w:rsidTr="00153673">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4180" w:type="dxa"/>
            <w:hideMark/>
          </w:tcPr>
          <w:p w14:paraId="5D957011" w14:textId="77777777" w:rsidR="0022108A" w:rsidRDefault="0022108A" w:rsidP="009F5A21">
            <w:pPr>
              <w:spacing w:line="240" w:lineRule="auto"/>
              <w:jc w:val="left"/>
              <w:rPr>
                <w:rFonts w:eastAsia="Times New Roman" w:cs="Times New Roman"/>
                <w:szCs w:val="24"/>
                <w:lang w:eastAsia="en-GB" w:bidi="bn-BD"/>
              </w:rPr>
            </w:pPr>
            <w:r>
              <w:rPr>
                <w:rFonts w:eastAsia="Times New Roman" w:cs="Times New Roman"/>
                <w:szCs w:val="24"/>
                <w:lang w:eastAsia="en-GB" w:bidi="bn-BD"/>
              </w:rPr>
              <w:t xml:space="preserve"> Net income/ average Share outstanding</w:t>
            </w:r>
          </w:p>
        </w:tc>
        <w:tc>
          <w:tcPr>
            <w:tcW w:w="2700" w:type="dxa"/>
            <w:hideMark/>
          </w:tcPr>
          <w:p w14:paraId="48F933B0"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431/5.12</w:t>
            </w:r>
          </w:p>
        </w:tc>
        <w:tc>
          <w:tcPr>
            <w:tcW w:w="3040" w:type="dxa"/>
            <w:hideMark/>
          </w:tcPr>
          <w:p w14:paraId="1B40B5EA"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366/4</w:t>
            </w:r>
          </w:p>
        </w:tc>
      </w:tr>
      <w:tr w:rsidR="0022108A" w14:paraId="3236ABCD" w14:textId="77777777" w:rsidTr="00153673">
        <w:trPr>
          <w:trHeight w:val="330"/>
        </w:trPr>
        <w:tc>
          <w:tcPr>
            <w:cnfStyle w:val="001000000000" w:firstRow="0" w:lastRow="0" w:firstColumn="1" w:lastColumn="0" w:oddVBand="0" w:evenVBand="0" w:oddHBand="0" w:evenHBand="0" w:firstRowFirstColumn="0" w:firstRowLastColumn="0" w:lastRowFirstColumn="0" w:lastRowLastColumn="0"/>
            <w:tcW w:w="4180" w:type="dxa"/>
            <w:noWrap/>
            <w:hideMark/>
          </w:tcPr>
          <w:p w14:paraId="4B95D9F9" w14:textId="77777777" w:rsidR="0022108A" w:rsidRDefault="0022108A" w:rsidP="009F5A21">
            <w:pPr>
              <w:spacing w:line="240" w:lineRule="auto"/>
              <w:rPr>
                <w:rFonts w:eastAsia="Times New Roman" w:cs="Times New Roman"/>
                <w:szCs w:val="24"/>
                <w:lang w:eastAsia="en-GB" w:bidi="bn-BD"/>
              </w:rPr>
            </w:pPr>
          </w:p>
        </w:tc>
        <w:tc>
          <w:tcPr>
            <w:tcW w:w="2700" w:type="dxa"/>
            <w:hideMark/>
          </w:tcPr>
          <w:p w14:paraId="4ED80A16"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84.01559454</w:t>
            </w:r>
          </w:p>
        </w:tc>
        <w:tc>
          <w:tcPr>
            <w:tcW w:w="3040" w:type="dxa"/>
            <w:hideMark/>
          </w:tcPr>
          <w:p w14:paraId="5107C5A8"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73.2</w:t>
            </w:r>
          </w:p>
        </w:tc>
      </w:tr>
    </w:tbl>
    <w:p w14:paraId="505C74E1" w14:textId="753CE7C1" w:rsidR="0022108A" w:rsidRDefault="0022108A" w:rsidP="00880DC5">
      <w:pPr>
        <w:spacing w:line="259" w:lineRule="auto"/>
        <w:ind w:left="0" w:firstLine="0"/>
        <w:jc w:val="left"/>
        <w:rPr>
          <w:b/>
          <w:bCs/>
        </w:rPr>
      </w:pPr>
    </w:p>
    <w:p w14:paraId="05FCC0F8" w14:textId="77777777" w:rsidR="0022108A" w:rsidRDefault="0022108A" w:rsidP="0022108A">
      <w:pPr>
        <w:rPr>
          <w:b/>
          <w:bCs/>
        </w:rPr>
      </w:pPr>
      <w:r>
        <w:rPr>
          <w:b/>
          <w:bCs/>
        </w:rPr>
        <w:t>4- Net profit margin</w:t>
      </w:r>
    </w:p>
    <w:tbl>
      <w:tblPr>
        <w:tblStyle w:val="GridTable4-Accent5"/>
        <w:tblW w:w="9920" w:type="dxa"/>
        <w:tblLook w:val="04A0" w:firstRow="1" w:lastRow="0" w:firstColumn="1" w:lastColumn="0" w:noHBand="0" w:noVBand="1"/>
      </w:tblPr>
      <w:tblGrid>
        <w:gridCol w:w="4180"/>
        <w:gridCol w:w="2700"/>
        <w:gridCol w:w="3040"/>
      </w:tblGrid>
      <w:tr w:rsidR="0022108A" w14:paraId="7CB2F89C" w14:textId="77777777" w:rsidTr="00153673">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4180" w:type="dxa"/>
            <w:hideMark/>
          </w:tcPr>
          <w:p w14:paraId="4C83ACC8" w14:textId="10F3D4F1" w:rsidR="0022108A" w:rsidRDefault="00880DC5" w:rsidP="009F5A21">
            <w:pPr>
              <w:spacing w:line="240" w:lineRule="auto"/>
              <w:jc w:val="center"/>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2700" w:type="dxa"/>
            <w:hideMark/>
          </w:tcPr>
          <w:p w14:paraId="72884174"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3040" w:type="dxa"/>
            <w:hideMark/>
          </w:tcPr>
          <w:p w14:paraId="7044064F"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605FE1CF" w14:textId="77777777" w:rsidTr="0015367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hideMark/>
          </w:tcPr>
          <w:p w14:paraId="78F878DF" w14:textId="77777777" w:rsidR="0022108A" w:rsidRDefault="0022108A" w:rsidP="009F5A21">
            <w:pPr>
              <w:spacing w:line="240" w:lineRule="auto"/>
              <w:jc w:val="left"/>
              <w:rPr>
                <w:rFonts w:eastAsia="Times New Roman" w:cs="Times New Roman"/>
                <w:szCs w:val="24"/>
                <w:lang w:eastAsia="en-GB" w:bidi="bn-BD"/>
              </w:rPr>
            </w:pPr>
            <w:r>
              <w:rPr>
                <w:rFonts w:eastAsia="Times New Roman" w:cs="Times New Roman"/>
                <w:szCs w:val="24"/>
                <w:lang w:eastAsia="en-GB" w:bidi="bn-BD"/>
              </w:rPr>
              <w:t>(Net income/ net sales) *100</w:t>
            </w:r>
          </w:p>
        </w:tc>
        <w:tc>
          <w:tcPr>
            <w:tcW w:w="2700" w:type="dxa"/>
            <w:hideMark/>
          </w:tcPr>
          <w:p w14:paraId="6F41FB1F"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(431/6738) *100</w:t>
            </w:r>
          </w:p>
        </w:tc>
        <w:tc>
          <w:tcPr>
            <w:tcW w:w="3040" w:type="dxa"/>
            <w:hideMark/>
          </w:tcPr>
          <w:p w14:paraId="514BB4B2"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(366/6441) *100</w:t>
            </w:r>
          </w:p>
        </w:tc>
      </w:tr>
      <w:tr w:rsidR="0022108A" w14:paraId="0DBB1237" w14:textId="77777777" w:rsidTr="00153673">
        <w:trPr>
          <w:trHeight w:val="330"/>
        </w:trPr>
        <w:tc>
          <w:tcPr>
            <w:cnfStyle w:val="001000000000" w:firstRow="0" w:lastRow="0" w:firstColumn="1" w:lastColumn="0" w:oddVBand="0" w:evenVBand="0" w:oddHBand="0" w:evenHBand="0" w:firstRowFirstColumn="0" w:firstRowLastColumn="0" w:lastRowFirstColumn="0" w:lastRowLastColumn="0"/>
            <w:tcW w:w="4180" w:type="dxa"/>
            <w:noWrap/>
            <w:hideMark/>
          </w:tcPr>
          <w:p w14:paraId="5966B789" w14:textId="77777777" w:rsidR="0022108A" w:rsidRDefault="0022108A" w:rsidP="009F5A21">
            <w:pPr>
              <w:spacing w:line="240" w:lineRule="auto"/>
              <w:rPr>
                <w:rFonts w:eastAsia="Times New Roman" w:cs="Times New Roman"/>
                <w:szCs w:val="24"/>
                <w:lang w:eastAsia="en-GB" w:bidi="bn-BD"/>
              </w:rPr>
            </w:pPr>
          </w:p>
        </w:tc>
        <w:tc>
          <w:tcPr>
            <w:tcW w:w="2700" w:type="dxa"/>
            <w:hideMark/>
          </w:tcPr>
          <w:p w14:paraId="549BEDD7"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6.46052241</w:t>
            </w:r>
          </w:p>
        </w:tc>
        <w:tc>
          <w:tcPr>
            <w:tcW w:w="3040" w:type="dxa"/>
            <w:hideMark/>
          </w:tcPr>
          <w:p w14:paraId="7D004098"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5.739170936</w:t>
            </w:r>
          </w:p>
        </w:tc>
      </w:tr>
    </w:tbl>
    <w:p w14:paraId="5CB6795B" w14:textId="77777777" w:rsidR="0022108A" w:rsidRDefault="0022108A" w:rsidP="0022108A"/>
    <w:p w14:paraId="5F5A8CCC" w14:textId="77777777" w:rsidR="0022108A" w:rsidRDefault="0022108A" w:rsidP="0022108A">
      <w:pPr>
        <w:rPr>
          <w:b/>
          <w:bCs/>
        </w:rPr>
      </w:pPr>
      <w:r>
        <w:rPr>
          <w:b/>
          <w:bCs/>
        </w:rPr>
        <w:t>5- Asset turnover</w:t>
      </w:r>
    </w:p>
    <w:tbl>
      <w:tblPr>
        <w:tblStyle w:val="GridTable4-Accent5"/>
        <w:tblW w:w="9920" w:type="dxa"/>
        <w:tblLook w:val="04A0" w:firstRow="1" w:lastRow="0" w:firstColumn="1" w:lastColumn="0" w:noHBand="0" w:noVBand="1"/>
      </w:tblPr>
      <w:tblGrid>
        <w:gridCol w:w="4180"/>
        <w:gridCol w:w="2700"/>
        <w:gridCol w:w="3040"/>
      </w:tblGrid>
      <w:tr w:rsidR="0022108A" w14:paraId="684CDAF0" w14:textId="77777777" w:rsidTr="0015367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tcPr>
          <w:p w14:paraId="2FD847CD" w14:textId="1F569B9E" w:rsidR="0022108A" w:rsidRDefault="00880DC5" w:rsidP="009F5A21">
            <w:pPr>
              <w:spacing w:line="240" w:lineRule="auto"/>
              <w:jc w:val="center"/>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2700" w:type="dxa"/>
          </w:tcPr>
          <w:p w14:paraId="17474736"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3040" w:type="dxa"/>
          </w:tcPr>
          <w:p w14:paraId="24839DE3"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5342B77E" w14:textId="77777777" w:rsidTr="0015367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hideMark/>
          </w:tcPr>
          <w:p w14:paraId="67782258" w14:textId="77777777" w:rsidR="0022108A" w:rsidRDefault="0022108A" w:rsidP="009F5A21">
            <w:pPr>
              <w:spacing w:line="240" w:lineRule="auto"/>
              <w:jc w:val="left"/>
              <w:rPr>
                <w:rFonts w:eastAsia="Times New Roman" w:cs="Times New Roman"/>
                <w:szCs w:val="24"/>
                <w:lang w:eastAsia="en-GB" w:bidi="bn-BD"/>
              </w:rPr>
            </w:pPr>
            <w:r>
              <w:rPr>
                <w:rFonts w:eastAsia="Times New Roman" w:cs="Times New Roman"/>
                <w:szCs w:val="24"/>
                <w:lang w:eastAsia="en-GB" w:bidi="bn-BD"/>
              </w:rPr>
              <w:t>(Net sales/Average Assets)</w:t>
            </w:r>
          </w:p>
        </w:tc>
        <w:tc>
          <w:tcPr>
            <w:tcW w:w="2700" w:type="dxa"/>
            <w:hideMark/>
          </w:tcPr>
          <w:p w14:paraId="06CA7F29"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(6738/19824)</w:t>
            </w:r>
          </w:p>
        </w:tc>
        <w:tc>
          <w:tcPr>
            <w:tcW w:w="3040" w:type="dxa"/>
            <w:hideMark/>
          </w:tcPr>
          <w:p w14:paraId="217CFEAB"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(6441/19824)</w:t>
            </w:r>
          </w:p>
        </w:tc>
      </w:tr>
      <w:tr w:rsidR="0022108A" w14:paraId="11CFEFD7" w14:textId="77777777" w:rsidTr="00153673">
        <w:trPr>
          <w:trHeight w:val="330"/>
        </w:trPr>
        <w:tc>
          <w:tcPr>
            <w:cnfStyle w:val="001000000000" w:firstRow="0" w:lastRow="0" w:firstColumn="1" w:lastColumn="0" w:oddVBand="0" w:evenVBand="0" w:oddHBand="0" w:evenHBand="0" w:firstRowFirstColumn="0" w:firstRowLastColumn="0" w:lastRowFirstColumn="0" w:lastRowLastColumn="0"/>
            <w:tcW w:w="4180" w:type="dxa"/>
            <w:noWrap/>
            <w:hideMark/>
          </w:tcPr>
          <w:p w14:paraId="418640A7" w14:textId="77777777" w:rsidR="0022108A" w:rsidRDefault="0022108A" w:rsidP="009F5A21">
            <w:pPr>
              <w:spacing w:line="240" w:lineRule="auto"/>
              <w:rPr>
                <w:rFonts w:eastAsia="Times New Roman" w:cs="Times New Roman"/>
                <w:szCs w:val="24"/>
                <w:lang w:eastAsia="en-GB" w:bidi="bn-BD"/>
              </w:rPr>
            </w:pPr>
          </w:p>
        </w:tc>
        <w:tc>
          <w:tcPr>
            <w:tcW w:w="2700" w:type="dxa"/>
            <w:hideMark/>
          </w:tcPr>
          <w:p w14:paraId="566B2560"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0.339891041</w:t>
            </w:r>
          </w:p>
        </w:tc>
        <w:tc>
          <w:tcPr>
            <w:tcW w:w="3040" w:type="dxa"/>
            <w:hideMark/>
          </w:tcPr>
          <w:p w14:paraId="6785C47D"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0.324909201</w:t>
            </w:r>
          </w:p>
        </w:tc>
      </w:tr>
    </w:tbl>
    <w:p w14:paraId="7130CB51" w14:textId="77777777" w:rsidR="0022108A" w:rsidRDefault="0022108A" w:rsidP="0022108A"/>
    <w:p w14:paraId="0D29ACEC" w14:textId="77777777" w:rsidR="0022108A" w:rsidRDefault="0022108A" w:rsidP="0022108A"/>
    <w:p w14:paraId="12DB8F29" w14:textId="77777777" w:rsidR="0022108A" w:rsidRDefault="0022108A" w:rsidP="0022108A">
      <w:pPr>
        <w:spacing w:line="259" w:lineRule="auto"/>
        <w:jc w:val="left"/>
      </w:pPr>
      <w:r>
        <w:br w:type="page"/>
      </w:r>
    </w:p>
    <w:p w14:paraId="0C0FDEEE" w14:textId="77777777" w:rsidR="0022108A" w:rsidRDefault="0022108A" w:rsidP="0022108A">
      <w:pPr>
        <w:rPr>
          <w:b/>
          <w:bCs/>
        </w:rPr>
      </w:pPr>
      <w:r>
        <w:rPr>
          <w:b/>
          <w:bCs/>
        </w:rPr>
        <w:lastRenderedPageBreak/>
        <w:t>6- Stock holding days</w:t>
      </w:r>
    </w:p>
    <w:tbl>
      <w:tblPr>
        <w:tblStyle w:val="GridTable4-Accent5"/>
        <w:tblW w:w="9920" w:type="dxa"/>
        <w:tblLook w:val="04A0" w:firstRow="1" w:lastRow="0" w:firstColumn="1" w:lastColumn="0" w:noHBand="0" w:noVBand="1"/>
      </w:tblPr>
      <w:tblGrid>
        <w:gridCol w:w="4180"/>
        <w:gridCol w:w="2700"/>
        <w:gridCol w:w="3040"/>
      </w:tblGrid>
      <w:tr w:rsidR="0022108A" w14:paraId="196823A4" w14:textId="77777777" w:rsidTr="0015367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tcPr>
          <w:p w14:paraId="57E80B6E" w14:textId="36155028" w:rsidR="0022108A" w:rsidRDefault="00880DC5" w:rsidP="009F5A21">
            <w:pPr>
              <w:spacing w:line="240" w:lineRule="auto"/>
              <w:jc w:val="center"/>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2700" w:type="dxa"/>
          </w:tcPr>
          <w:p w14:paraId="7C0B52EC"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3040" w:type="dxa"/>
          </w:tcPr>
          <w:p w14:paraId="59793160"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351A8D4D" w14:textId="77777777" w:rsidTr="00153673">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180" w:type="dxa"/>
            <w:hideMark/>
          </w:tcPr>
          <w:p w14:paraId="4B2C1668" w14:textId="77777777" w:rsidR="0022108A" w:rsidRDefault="0022108A" w:rsidP="009F5A21">
            <w:r>
              <w:t>Stock holding days = (average inventory / cost of goods sold) x period length</w:t>
            </w:r>
          </w:p>
        </w:tc>
        <w:tc>
          <w:tcPr>
            <w:tcW w:w="2700" w:type="dxa"/>
            <w:hideMark/>
          </w:tcPr>
          <w:p w14:paraId="756466B9"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329.5/3235 x 365</w:t>
            </w:r>
          </w:p>
          <w:p w14:paraId="27C5CA55"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p>
          <w:p w14:paraId="69EFF3EC"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 xml:space="preserve">                                      37</w:t>
            </w:r>
          </w:p>
        </w:tc>
        <w:tc>
          <w:tcPr>
            <w:tcW w:w="3040" w:type="dxa"/>
            <w:hideMark/>
          </w:tcPr>
          <w:p w14:paraId="356D84CB"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 xml:space="preserve">683.5 /3096 x 365 </w:t>
            </w:r>
          </w:p>
          <w:p w14:paraId="458C3457"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p>
          <w:p w14:paraId="2EC0CA38"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 xml:space="preserve">                                              81</w:t>
            </w:r>
          </w:p>
        </w:tc>
      </w:tr>
      <w:tr w:rsidR="0022108A" w14:paraId="308FFD15" w14:textId="77777777" w:rsidTr="00153673">
        <w:trPr>
          <w:trHeight w:val="330"/>
        </w:trPr>
        <w:tc>
          <w:tcPr>
            <w:cnfStyle w:val="001000000000" w:firstRow="0" w:lastRow="0" w:firstColumn="1" w:lastColumn="0" w:oddVBand="0" w:evenVBand="0" w:oddHBand="0" w:evenHBand="0" w:firstRowFirstColumn="0" w:firstRowLastColumn="0" w:lastRowFirstColumn="0" w:lastRowLastColumn="0"/>
            <w:tcW w:w="4180" w:type="dxa"/>
            <w:noWrap/>
            <w:hideMark/>
          </w:tcPr>
          <w:p w14:paraId="56AB9D56" w14:textId="77777777" w:rsidR="0022108A" w:rsidRDefault="0022108A" w:rsidP="009F5A21">
            <w:pPr>
              <w:spacing w:line="240" w:lineRule="auto"/>
              <w:rPr>
                <w:rFonts w:eastAsia="Times New Roman" w:cs="Times New Roman"/>
                <w:szCs w:val="24"/>
                <w:lang w:eastAsia="en-GB" w:bidi="bn-BD"/>
              </w:rPr>
            </w:pPr>
          </w:p>
        </w:tc>
        <w:tc>
          <w:tcPr>
            <w:tcW w:w="2700" w:type="dxa"/>
            <w:hideMark/>
          </w:tcPr>
          <w:p w14:paraId="10BFC855"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p>
        </w:tc>
        <w:tc>
          <w:tcPr>
            <w:tcW w:w="3040" w:type="dxa"/>
            <w:hideMark/>
          </w:tcPr>
          <w:p w14:paraId="2875216C"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bidi="bn-BD"/>
              </w:rPr>
            </w:pPr>
          </w:p>
        </w:tc>
      </w:tr>
    </w:tbl>
    <w:p w14:paraId="1EECE818" w14:textId="77777777" w:rsidR="0022108A" w:rsidRDefault="0022108A" w:rsidP="0022108A"/>
    <w:p w14:paraId="4BFFF969" w14:textId="77777777" w:rsidR="0022108A" w:rsidRDefault="0022108A" w:rsidP="0022108A">
      <w:pPr>
        <w:rPr>
          <w:b/>
          <w:bCs/>
        </w:rPr>
      </w:pPr>
      <w:r>
        <w:rPr>
          <w:b/>
          <w:bCs/>
        </w:rPr>
        <w:t>7- Debtors collection period</w:t>
      </w:r>
    </w:p>
    <w:tbl>
      <w:tblPr>
        <w:tblStyle w:val="GridTable4-Accent5"/>
        <w:tblW w:w="8792" w:type="dxa"/>
        <w:tblLook w:val="04A0" w:firstRow="1" w:lastRow="0" w:firstColumn="1" w:lastColumn="0" w:noHBand="0" w:noVBand="1"/>
      </w:tblPr>
      <w:tblGrid>
        <w:gridCol w:w="1789"/>
        <w:gridCol w:w="3735"/>
        <w:gridCol w:w="1701"/>
        <w:gridCol w:w="1567"/>
      </w:tblGrid>
      <w:tr w:rsidR="0022108A" w14:paraId="651A55E7" w14:textId="77777777" w:rsidTr="00153673">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789" w:type="dxa"/>
            <w:noWrap/>
            <w:hideMark/>
          </w:tcPr>
          <w:p w14:paraId="360FFDC2" w14:textId="77777777" w:rsidR="0022108A" w:rsidRDefault="0022108A" w:rsidP="009F5A21">
            <w:pPr>
              <w:spacing w:line="240" w:lineRule="auto"/>
              <w:jc w:val="left"/>
              <w:rPr>
                <w:rFonts w:eastAsia="Times New Roman" w:cs="Times New Roman"/>
                <w:sz w:val="20"/>
                <w:szCs w:val="24"/>
                <w:lang w:eastAsia="en-GB" w:bidi="bn-BD"/>
              </w:rPr>
            </w:pPr>
          </w:p>
        </w:tc>
        <w:tc>
          <w:tcPr>
            <w:tcW w:w="3735" w:type="dxa"/>
            <w:noWrap/>
            <w:hideMark/>
          </w:tcPr>
          <w:p w14:paraId="1E86DE16" w14:textId="43E41E39" w:rsidR="0022108A" w:rsidRDefault="00880DC5"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1701" w:type="dxa"/>
            <w:noWrap/>
            <w:hideMark/>
          </w:tcPr>
          <w:p w14:paraId="3702A6F8"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1567" w:type="dxa"/>
            <w:noWrap/>
            <w:hideMark/>
          </w:tcPr>
          <w:p w14:paraId="7BCC3BAD"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06122216" w14:textId="77777777" w:rsidTr="0015367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789" w:type="dxa"/>
            <w:noWrap/>
            <w:hideMark/>
          </w:tcPr>
          <w:p w14:paraId="3E5E7B13" w14:textId="77777777" w:rsidR="0022108A" w:rsidRDefault="0022108A" w:rsidP="009F5A21">
            <w:pPr>
              <w:spacing w:line="240" w:lineRule="auto"/>
              <w:rPr>
                <w:rFonts w:eastAsia="Times New Roman" w:cs="Times New Roman"/>
                <w:szCs w:val="24"/>
                <w:lang w:eastAsia="en-GB" w:bidi="bn-BD"/>
              </w:rPr>
            </w:pPr>
            <w:proofErr w:type="gramStart"/>
            <w:r>
              <w:t>Debtors</w:t>
            </w:r>
            <w:proofErr w:type="gramEnd"/>
            <w:r>
              <w:t xml:space="preserve"> collection period ratio</w:t>
            </w:r>
          </w:p>
        </w:tc>
        <w:tc>
          <w:tcPr>
            <w:tcW w:w="3735" w:type="dxa"/>
            <w:noWrap/>
            <w:hideMark/>
          </w:tcPr>
          <w:p w14:paraId="49A460EB"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 xml:space="preserve">Debtors (amount of money owned) / sales </w:t>
            </w:r>
            <w:r>
              <w:t>x period length</w:t>
            </w:r>
          </w:p>
        </w:tc>
        <w:tc>
          <w:tcPr>
            <w:tcW w:w="1701" w:type="dxa"/>
            <w:noWrap/>
            <w:hideMark/>
          </w:tcPr>
          <w:p w14:paraId="4226E91E"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 xml:space="preserve">1249/ 6738 </w:t>
            </w:r>
            <w:r>
              <w:t>x 365</w:t>
            </w:r>
          </w:p>
        </w:tc>
        <w:tc>
          <w:tcPr>
            <w:tcW w:w="1567" w:type="dxa"/>
            <w:noWrap/>
            <w:hideMark/>
          </w:tcPr>
          <w:p w14:paraId="69CA0441"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2355/ 6441</w:t>
            </w:r>
            <w:r>
              <w:t xml:space="preserve"> x 365</w:t>
            </w:r>
          </w:p>
        </w:tc>
      </w:tr>
      <w:tr w:rsidR="0022108A" w14:paraId="31E9714E" w14:textId="77777777" w:rsidTr="00153673">
        <w:trPr>
          <w:trHeight w:val="280"/>
        </w:trPr>
        <w:tc>
          <w:tcPr>
            <w:cnfStyle w:val="001000000000" w:firstRow="0" w:lastRow="0" w:firstColumn="1" w:lastColumn="0" w:oddVBand="0" w:evenVBand="0" w:oddHBand="0" w:evenHBand="0" w:firstRowFirstColumn="0" w:firstRowLastColumn="0" w:lastRowFirstColumn="0" w:lastRowLastColumn="0"/>
            <w:tcW w:w="5524" w:type="dxa"/>
            <w:gridSpan w:val="2"/>
            <w:noWrap/>
            <w:hideMark/>
          </w:tcPr>
          <w:p w14:paraId="00B24BC3" w14:textId="77777777" w:rsidR="0022108A" w:rsidRDefault="0022108A" w:rsidP="009F5A21">
            <w:pPr>
              <w:spacing w:line="240" w:lineRule="auto"/>
              <w:rPr>
                <w:rFonts w:eastAsia="Times New Roman" w:cs="Times New Roman"/>
                <w:sz w:val="20"/>
                <w:szCs w:val="20"/>
                <w:lang w:eastAsia="en-GB" w:bidi="bn-BD"/>
              </w:rPr>
            </w:pPr>
          </w:p>
        </w:tc>
        <w:tc>
          <w:tcPr>
            <w:tcW w:w="1701" w:type="dxa"/>
            <w:noWrap/>
            <w:hideMark/>
          </w:tcPr>
          <w:p w14:paraId="531119EE" w14:textId="77777777" w:rsidR="0022108A" w:rsidRDefault="0022108A" w:rsidP="009F5A21">
            <w:pPr>
              <w:tabs>
                <w:tab w:val="left" w:pos="1358"/>
                <w:tab w:val="right" w:pos="1485"/>
              </w:tabs>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 xml:space="preserve">                      66</w:t>
            </w:r>
          </w:p>
        </w:tc>
        <w:tc>
          <w:tcPr>
            <w:tcW w:w="1567" w:type="dxa"/>
            <w:noWrap/>
            <w:hideMark/>
          </w:tcPr>
          <w:p w14:paraId="521CB21A"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 xml:space="preserve">                 133</w:t>
            </w:r>
          </w:p>
        </w:tc>
      </w:tr>
    </w:tbl>
    <w:p w14:paraId="63AC795A" w14:textId="77777777" w:rsidR="0022108A" w:rsidRDefault="0022108A" w:rsidP="0022108A"/>
    <w:p w14:paraId="6AB85E7D" w14:textId="77777777" w:rsidR="0022108A" w:rsidRDefault="0022108A" w:rsidP="0022108A">
      <w:pPr>
        <w:rPr>
          <w:b/>
          <w:bCs/>
        </w:rPr>
      </w:pPr>
      <w:r>
        <w:rPr>
          <w:b/>
          <w:bCs/>
        </w:rPr>
        <w:t>8- Current ratio</w:t>
      </w:r>
    </w:p>
    <w:tbl>
      <w:tblPr>
        <w:tblStyle w:val="GridTable4-Accent5"/>
        <w:tblW w:w="8792" w:type="dxa"/>
        <w:tblLook w:val="04A0" w:firstRow="1" w:lastRow="0" w:firstColumn="1" w:lastColumn="0" w:noHBand="0" w:noVBand="1"/>
      </w:tblPr>
      <w:tblGrid>
        <w:gridCol w:w="1789"/>
        <w:gridCol w:w="3735"/>
        <w:gridCol w:w="1701"/>
        <w:gridCol w:w="1567"/>
      </w:tblGrid>
      <w:tr w:rsidR="0022108A" w14:paraId="2EA09E2B" w14:textId="77777777" w:rsidTr="00153673">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789" w:type="dxa"/>
            <w:noWrap/>
            <w:hideMark/>
          </w:tcPr>
          <w:p w14:paraId="3E0DD7B9" w14:textId="77777777" w:rsidR="0022108A" w:rsidRDefault="0022108A" w:rsidP="009F5A21">
            <w:pPr>
              <w:spacing w:line="240" w:lineRule="auto"/>
              <w:jc w:val="left"/>
              <w:rPr>
                <w:rFonts w:eastAsia="Times New Roman" w:cs="Times New Roman"/>
                <w:sz w:val="20"/>
                <w:szCs w:val="24"/>
                <w:lang w:eastAsia="en-GB" w:bidi="bn-BD"/>
              </w:rPr>
            </w:pPr>
          </w:p>
        </w:tc>
        <w:tc>
          <w:tcPr>
            <w:tcW w:w="3735" w:type="dxa"/>
            <w:noWrap/>
            <w:hideMark/>
          </w:tcPr>
          <w:p w14:paraId="3419A6C7" w14:textId="382B2C1C" w:rsidR="0022108A" w:rsidRDefault="00880DC5"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1701" w:type="dxa"/>
            <w:noWrap/>
            <w:hideMark/>
          </w:tcPr>
          <w:p w14:paraId="57200093"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1567" w:type="dxa"/>
            <w:noWrap/>
            <w:hideMark/>
          </w:tcPr>
          <w:p w14:paraId="01C2F0E8"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0C8875FC" w14:textId="77777777" w:rsidTr="00153673">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789" w:type="dxa"/>
            <w:noWrap/>
            <w:hideMark/>
          </w:tcPr>
          <w:p w14:paraId="62E09FB4" w14:textId="77777777" w:rsidR="0022108A" w:rsidRDefault="0022108A" w:rsidP="009F5A21">
            <w:pPr>
              <w:spacing w:line="240" w:lineRule="auto"/>
              <w:rPr>
                <w:rFonts w:eastAsia="Times New Roman" w:cs="Times New Roman"/>
                <w:szCs w:val="24"/>
                <w:lang w:eastAsia="en-GB" w:bidi="bn-BD"/>
              </w:rPr>
            </w:pPr>
            <w:r>
              <w:rPr>
                <w:rFonts w:eastAsia="Times New Roman" w:cs="Times New Roman"/>
                <w:szCs w:val="24"/>
                <w:lang w:eastAsia="en-GB" w:bidi="bn-BD"/>
              </w:rPr>
              <w:t>Current ratio</w:t>
            </w:r>
          </w:p>
        </w:tc>
        <w:tc>
          <w:tcPr>
            <w:tcW w:w="3735" w:type="dxa"/>
            <w:noWrap/>
            <w:hideMark/>
          </w:tcPr>
          <w:p w14:paraId="5E5BA331" w14:textId="77777777" w:rsidR="0022108A" w:rsidRDefault="0022108A" w:rsidP="009F5A2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bidi="bn-BD"/>
              </w:rPr>
            </w:pPr>
            <w:r>
              <w:rPr>
                <w:rFonts w:eastAsia="Times New Roman" w:cs="Times New Roman"/>
                <w:szCs w:val="24"/>
                <w:lang w:eastAsia="en-GB" w:bidi="bn-BD"/>
              </w:rPr>
              <w:t>Current assets/Current Liabilities</w:t>
            </w:r>
          </w:p>
        </w:tc>
        <w:tc>
          <w:tcPr>
            <w:tcW w:w="1701" w:type="dxa"/>
            <w:noWrap/>
            <w:hideMark/>
          </w:tcPr>
          <w:p w14:paraId="7C9070BB"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2303/ 2511</w:t>
            </w:r>
          </w:p>
        </w:tc>
        <w:tc>
          <w:tcPr>
            <w:tcW w:w="1567" w:type="dxa"/>
            <w:noWrap/>
            <w:hideMark/>
          </w:tcPr>
          <w:p w14:paraId="4C419F48"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2355/ 3046</w:t>
            </w:r>
          </w:p>
        </w:tc>
      </w:tr>
      <w:tr w:rsidR="0022108A" w14:paraId="32293FAF" w14:textId="77777777" w:rsidTr="00153673">
        <w:trPr>
          <w:trHeight w:val="280"/>
        </w:trPr>
        <w:tc>
          <w:tcPr>
            <w:cnfStyle w:val="001000000000" w:firstRow="0" w:lastRow="0" w:firstColumn="1" w:lastColumn="0" w:oddVBand="0" w:evenVBand="0" w:oddHBand="0" w:evenHBand="0" w:firstRowFirstColumn="0" w:firstRowLastColumn="0" w:lastRowFirstColumn="0" w:lastRowLastColumn="0"/>
            <w:tcW w:w="5524" w:type="dxa"/>
            <w:gridSpan w:val="2"/>
            <w:noWrap/>
            <w:hideMark/>
          </w:tcPr>
          <w:p w14:paraId="6A22FC71" w14:textId="77777777" w:rsidR="0022108A" w:rsidRDefault="0022108A" w:rsidP="009F5A21">
            <w:pPr>
              <w:spacing w:line="240" w:lineRule="auto"/>
              <w:rPr>
                <w:rFonts w:eastAsia="Times New Roman" w:cs="Times New Roman"/>
                <w:sz w:val="20"/>
                <w:szCs w:val="20"/>
                <w:lang w:eastAsia="en-GB" w:bidi="bn-BD"/>
              </w:rPr>
            </w:pPr>
          </w:p>
        </w:tc>
        <w:tc>
          <w:tcPr>
            <w:tcW w:w="1701" w:type="dxa"/>
            <w:noWrap/>
            <w:hideMark/>
          </w:tcPr>
          <w:p w14:paraId="5B3B6838"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1</w:t>
            </w:r>
          </w:p>
        </w:tc>
        <w:tc>
          <w:tcPr>
            <w:tcW w:w="1567" w:type="dxa"/>
            <w:noWrap/>
            <w:hideMark/>
          </w:tcPr>
          <w:p w14:paraId="111A1F23"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1</w:t>
            </w:r>
          </w:p>
        </w:tc>
      </w:tr>
    </w:tbl>
    <w:p w14:paraId="737CD85D" w14:textId="77777777" w:rsidR="0022108A" w:rsidRDefault="0022108A" w:rsidP="0022108A">
      <w:pPr>
        <w:spacing w:line="259" w:lineRule="auto"/>
        <w:jc w:val="left"/>
        <w:rPr>
          <w:b/>
          <w:bCs/>
        </w:rPr>
      </w:pPr>
      <w:r>
        <w:rPr>
          <w:b/>
          <w:bCs/>
        </w:rPr>
        <w:br w:type="page"/>
      </w:r>
    </w:p>
    <w:p w14:paraId="1785660B" w14:textId="77777777" w:rsidR="0022108A" w:rsidRDefault="0022108A" w:rsidP="0022108A">
      <w:pPr>
        <w:rPr>
          <w:b/>
          <w:bCs/>
        </w:rPr>
      </w:pPr>
      <w:r>
        <w:rPr>
          <w:b/>
          <w:bCs/>
        </w:rPr>
        <w:lastRenderedPageBreak/>
        <w:t>9- Gearing ratio</w:t>
      </w:r>
    </w:p>
    <w:tbl>
      <w:tblPr>
        <w:tblStyle w:val="GridTable4-Accent5"/>
        <w:tblW w:w="8040" w:type="dxa"/>
        <w:tblLook w:val="04A0" w:firstRow="1" w:lastRow="0" w:firstColumn="1" w:lastColumn="0" w:noHBand="0" w:noVBand="1"/>
      </w:tblPr>
      <w:tblGrid>
        <w:gridCol w:w="2800"/>
        <w:gridCol w:w="3080"/>
        <w:gridCol w:w="1350"/>
        <w:gridCol w:w="1350"/>
      </w:tblGrid>
      <w:tr w:rsidR="0022108A" w14:paraId="336F1208" w14:textId="77777777" w:rsidTr="0015367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00" w:type="dxa"/>
            <w:noWrap/>
            <w:hideMark/>
          </w:tcPr>
          <w:p w14:paraId="73A86A04" w14:textId="77777777" w:rsidR="0022108A" w:rsidRDefault="0022108A" w:rsidP="009F5A21">
            <w:pPr>
              <w:spacing w:line="240" w:lineRule="auto"/>
              <w:jc w:val="center"/>
              <w:rPr>
                <w:rFonts w:eastAsia="Times New Roman" w:cs="Times New Roman"/>
                <w:b w:val="0"/>
                <w:bCs w:val="0"/>
                <w:szCs w:val="24"/>
                <w:lang w:eastAsia="en-GB" w:bidi="bn-BD"/>
              </w:rPr>
            </w:pPr>
          </w:p>
        </w:tc>
        <w:tc>
          <w:tcPr>
            <w:tcW w:w="3080" w:type="dxa"/>
            <w:noWrap/>
            <w:hideMark/>
          </w:tcPr>
          <w:p w14:paraId="1EF81A3C" w14:textId="2FBB4641" w:rsidR="0022108A" w:rsidRDefault="00880DC5"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b w:val="0"/>
                <w:bCs w:val="0"/>
                <w:szCs w:val="24"/>
                <w:lang w:eastAsia="en-GB" w:bidi="bn-BD"/>
              </w:rPr>
              <w:t>Description</w:t>
            </w:r>
          </w:p>
        </w:tc>
        <w:tc>
          <w:tcPr>
            <w:tcW w:w="1080" w:type="dxa"/>
            <w:noWrap/>
            <w:hideMark/>
          </w:tcPr>
          <w:p w14:paraId="2F133029"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2021</w:t>
            </w:r>
          </w:p>
        </w:tc>
        <w:tc>
          <w:tcPr>
            <w:tcW w:w="1080" w:type="dxa"/>
            <w:noWrap/>
            <w:hideMark/>
          </w:tcPr>
          <w:p w14:paraId="0E2B6FDC"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Cs w:val="24"/>
                <w:lang w:eastAsia="en-GB" w:bidi="bn-BD"/>
              </w:rPr>
            </w:pPr>
            <w:r>
              <w:rPr>
                <w:rFonts w:eastAsia="Times New Roman" w:cs="Times New Roman"/>
                <w:szCs w:val="24"/>
                <w:lang w:eastAsia="en-GB" w:bidi="bn-BD"/>
              </w:rPr>
              <w:t>2020</w:t>
            </w:r>
          </w:p>
        </w:tc>
      </w:tr>
      <w:tr w:rsidR="0022108A" w14:paraId="65ECDAEB" w14:textId="77777777" w:rsidTr="0015367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00" w:type="dxa"/>
            <w:noWrap/>
            <w:hideMark/>
          </w:tcPr>
          <w:p w14:paraId="47137ED8" w14:textId="77777777" w:rsidR="0022108A" w:rsidRDefault="0022108A" w:rsidP="009F5A21">
            <w:pPr>
              <w:spacing w:line="240" w:lineRule="auto"/>
              <w:rPr>
                <w:rFonts w:eastAsia="Times New Roman" w:cs="Times New Roman"/>
                <w:szCs w:val="24"/>
                <w:lang w:eastAsia="en-GB" w:bidi="bn-BD"/>
              </w:rPr>
            </w:pPr>
            <w:r>
              <w:rPr>
                <w:rFonts w:eastAsia="Times New Roman" w:cs="Times New Roman"/>
                <w:szCs w:val="24"/>
                <w:lang w:eastAsia="en-GB" w:bidi="bn-BD"/>
              </w:rPr>
              <w:t>Gearing ratio</w:t>
            </w:r>
          </w:p>
        </w:tc>
        <w:tc>
          <w:tcPr>
            <w:tcW w:w="3080" w:type="dxa"/>
            <w:noWrap/>
            <w:hideMark/>
          </w:tcPr>
          <w:p w14:paraId="51F5F850"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Total debt/ Total Equity</w:t>
            </w:r>
          </w:p>
        </w:tc>
        <w:tc>
          <w:tcPr>
            <w:tcW w:w="1080" w:type="dxa"/>
            <w:noWrap/>
            <w:hideMark/>
          </w:tcPr>
          <w:p w14:paraId="6443F8B7"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6648/3088</w:t>
            </w:r>
          </w:p>
        </w:tc>
        <w:tc>
          <w:tcPr>
            <w:tcW w:w="1080" w:type="dxa"/>
            <w:noWrap/>
            <w:hideMark/>
          </w:tcPr>
          <w:p w14:paraId="1EA974A7"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7175/2912</w:t>
            </w:r>
          </w:p>
        </w:tc>
      </w:tr>
      <w:tr w:rsidR="0022108A" w14:paraId="65C18C48" w14:textId="77777777" w:rsidTr="00153673">
        <w:trPr>
          <w:trHeight w:val="315"/>
        </w:trPr>
        <w:tc>
          <w:tcPr>
            <w:cnfStyle w:val="001000000000" w:firstRow="0" w:lastRow="0" w:firstColumn="1" w:lastColumn="0" w:oddVBand="0" w:evenVBand="0" w:oddHBand="0" w:evenHBand="0" w:firstRowFirstColumn="0" w:firstRowLastColumn="0" w:lastRowFirstColumn="0" w:lastRowLastColumn="0"/>
            <w:tcW w:w="2800" w:type="dxa"/>
            <w:noWrap/>
            <w:hideMark/>
          </w:tcPr>
          <w:p w14:paraId="4A9768AD" w14:textId="77777777" w:rsidR="0022108A" w:rsidRDefault="0022108A" w:rsidP="009F5A21">
            <w:pPr>
              <w:spacing w:line="240" w:lineRule="auto"/>
              <w:jc w:val="left"/>
              <w:rPr>
                <w:rFonts w:eastAsia="Times New Roman" w:cs="Times New Roman"/>
                <w:lang w:eastAsia="en-GB" w:bidi="bn-BD"/>
              </w:rPr>
            </w:pPr>
          </w:p>
        </w:tc>
        <w:tc>
          <w:tcPr>
            <w:tcW w:w="3080" w:type="dxa"/>
            <w:noWrap/>
            <w:hideMark/>
          </w:tcPr>
          <w:p w14:paraId="2D977FA1" w14:textId="77777777" w:rsidR="0022108A" w:rsidRDefault="0022108A" w:rsidP="009F5A2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GB" w:bidi="bn-BD"/>
              </w:rPr>
            </w:pPr>
          </w:p>
        </w:tc>
        <w:tc>
          <w:tcPr>
            <w:tcW w:w="1080" w:type="dxa"/>
            <w:noWrap/>
            <w:hideMark/>
          </w:tcPr>
          <w:p w14:paraId="2808019B"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2.1521528</w:t>
            </w:r>
          </w:p>
        </w:tc>
        <w:tc>
          <w:tcPr>
            <w:tcW w:w="1080" w:type="dxa"/>
            <w:noWrap/>
            <w:hideMark/>
          </w:tcPr>
          <w:p w14:paraId="56326109"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2.4630965</w:t>
            </w:r>
          </w:p>
        </w:tc>
      </w:tr>
    </w:tbl>
    <w:p w14:paraId="4D2F8337" w14:textId="77777777" w:rsidR="0022108A" w:rsidRDefault="0022108A" w:rsidP="0022108A"/>
    <w:p w14:paraId="32C9C5C0" w14:textId="77777777" w:rsidR="0022108A" w:rsidRDefault="0022108A" w:rsidP="0022108A">
      <w:pPr>
        <w:rPr>
          <w:b/>
          <w:bCs/>
        </w:rPr>
      </w:pPr>
      <w:r>
        <w:rPr>
          <w:b/>
          <w:bCs/>
        </w:rPr>
        <w:t>10- Interest cover</w:t>
      </w:r>
    </w:p>
    <w:tbl>
      <w:tblPr>
        <w:tblStyle w:val="GridTable4-Accent5"/>
        <w:tblW w:w="8040" w:type="dxa"/>
        <w:tblLook w:val="04A0" w:firstRow="1" w:lastRow="0" w:firstColumn="1" w:lastColumn="0" w:noHBand="0" w:noVBand="1"/>
      </w:tblPr>
      <w:tblGrid>
        <w:gridCol w:w="2800"/>
        <w:gridCol w:w="3080"/>
        <w:gridCol w:w="1344"/>
        <w:gridCol w:w="1224"/>
      </w:tblGrid>
      <w:tr w:rsidR="0022108A" w14:paraId="30E256F5" w14:textId="77777777" w:rsidTr="00880DC5">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00" w:type="dxa"/>
            <w:noWrap/>
            <w:hideMark/>
          </w:tcPr>
          <w:p w14:paraId="01B41864" w14:textId="77777777" w:rsidR="0022108A" w:rsidRDefault="0022108A" w:rsidP="009F5A21">
            <w:pPr>
              <w:spacing w:line="240" w:lineRule="auto"/>
              <w:jc w:val="left"/>
              <w:rPr>
                <w:rFonts w:eastAsia="Times New Roman" w:cs="Times New Roman"/>
                <w:sz w:val="20"/>
                <w:szCs w:val="24"/>
                <w:lang w:eastAsia="en-GB" w:bidi="bn-BD"/>
              </w:rPr>
            </w:pPr>
          </w:p>
        </w:tc>
        <w:tc>
          <w:tcPr>
            <w:tcW w:w="3080" w:type="dxa"/>
            <w:noWrap/>
            <w:hideMark/>
          </w:tcPr>
          <w:p w14:paraId="75186C4C" w14:textId="0D9BA099" w:rsidR="0022108A" w:rsidRDefault="00880DC5" w:rsidP="009F5A2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eastAsia="en-GB" w:bidi="bn-BD"/>
              </w:rPr>
            </w:pPr>
            <w:r>
              <w:rPr>
                <w:rFonts w:eastAsia="Times New Roman" w:cs="Times New Roman"/>
                <w:b w:val="0"/>
                <w:bCs w:val="0"/>
                <w:szCs w:val="24"/>
                <w:lang w:eastAsia="en-GB" w:bidi="bn-BD"/>
              </w:rPr>
              <w:t>Description</w:t>
            </w:r>
          </w:p>
        </w:tc>
        <w:tc>
          <w:tcPr>
            <w:tcW w:w="1080" w:type="dxa"/>
            <w:noWrap/>
            <w:hideMark/>
          </w:tcPr>
          <w:p w14:paraId="44FF93C0"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2021</w:t>
            </w:r>
          </w:p>
        </w:tc>
        <w:tc>
          <w:tcPr>
            <w:tcW w:w="1080" w:type="dxa"/>
            <w:noWrap/>
            <w:hideMark/>
          </w:tcPr>
          <w:p w14:paraId="1BD40C23" w14:textId="77777777" w:rsidR="0022108A" w:rsidRDefault="0022108A" w:rsidP="009F5A21">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2020</w:t>
            </w:r>
          </w:p>
        </w:tc>
      </w:tr>
      <w:tr w:rsidR="0022108A" w14:paraId="59E49C12" w14:textId="77777777" w:rsidTr="00880DC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00" w:type="dxa"/>
            <w:noWrap/>
            <w:hideMark/>
          </w:tcPr>
          <w:p w14:paraId="762ED057" w14:textId="77777777" w:rsidR="0022108A" w:rsidRDefault="0022108A" w:rsidP="009F5A21">
            <w:pPr>
              <w:spacing w:line="240" w:lineRule="auto"/>
              <w:rPr>
                <w:rFonts w:eastAsia="Times New Roman" w:cs="Times New Roman"/>
                <w:szCs w:val="24"/>
                <w:lang w:eastAsia="en-GB" w:bidi="bn-BD"/>
              </w:rPr>
            </w:pPr>
            <w:r>
              <w:rPr>
                <w:rFonts w:eastAsia="Times New Roman" w:cs="Times New Roman"/>
                <w:szCs w:val="24"/>
                <w:lang w:eastAsia="en-GB" w:bidi="bn-BD"/>
              </w:rPr>
              <w:t>Interest cover</w:t>
            </w:r>
          </w:p>
        </w:tc>
        <w:tc>
          <w:tcPr>
            <w:tcW w:w="3080" w:type="dxa"/>
            <w:noWrap/>
            <w:hideMark/>
          </w:tcPr>
          <w:p w14:paraId="7CFB838D"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EBIT/Interest expense</w:t>
            </w:r>
          </w:p>
        </w:tc>
        <w:tc>
          <w:tcPr>
            <w:tcW w:w="1080" w:type="dxa"/>
            <w:noWrap/>
            <w:hideMark/>
          </w:tcPr>
          <w:p w14:paraId="57F2B26E"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394/226</w:t>
            </w:r>
          </w:p>
        </w:tc>
        <w:tc>
          <w:tcPr>
            <w:tcW w:w="1080" w:type="dxa"/>
            <w:noWrap/>
            <w:hideMark/>
          </w:tcPr>
          <w:p w14:paraId="14B409B2" w14:textId="77777777" w:rsidR="0022108A" w:rsidRDefault="0022108A" w:rsidP="009F5A21">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366/181</w:t>
            </w:r>
          </w:p>
        </w:tc>
      </w:tr>
      <w:tr w:rsidR="0022108A" w14:paraId="2971BEBC" w14:textId="77777777" w:rsidTr="00880DC5">
        <w:trPr>
          <w:trHeight w:val="300"/>
        </w:trPr>
        <w:tc>
          <w:tcPr>
            <w:cnfStyle w:val="001000000000" w:firstRow="0" w:lastRow="0" w:firstColumn="1" w:lastColumn="0" w:oddVBand="0" w:evenVBand="0" w:oddHBand="0" w:evenHBand="0" w:firstRowFirstColumn="0" w:firstRowLastColumn="0" w:lastRowFirstColumn="0" w:lastRowLastColumn="0"/>
            <w:tcW w:w="2800" w:type="dxa"/>
            <w:noWrap/>
            <w:hideMark/>
          </w:tcPr>
          <w:p w14:paraId="32445766" w14:textId="77777777" w:rsidR="0022108A" w:rsidRDefault="0022108A" w:rsidP="009F5A21">
            <w:pPr>
              <w:spacing w:line="240" w:lineRule="auto"/>
              <w:jc w:val="left"/>
              <w:rPr>
                <w:rFonts w:eastAsia="Times New Roman" w:cs="Times New Roman"/>
                <w:lang w:eastAsia="en-GB" w:bidi="bn-BD"/>
              </w:rPr>
            </w:pPr>
          </w:p>
        </w:tc>
        <w:tc>
          <w:tcPr>
            <w:tcW w:w="3080" w:type="dxa"/>
            <w:noWrap/>
            <w:hideMark/>
          </w:tcPr>
          <w:p w14:paraId="02D9BD60" w14:textId="77777777" w:rsidR="0022108A" w:rsidRDefault="0022108A" w:rsidP="009F5A21">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GB" w:bidi="bn-BD"/>
              </w:rPr>
            </w:pPr>
          </w:p>
        </w:tc>
        <w:tc>
          <w:tcPr>
            <w:tcW w:w="1080" w:type="dxa"/>
            <w:noWrap/>
            <w:hideMark/>
          </w:tcPr>
          <w:p w14:paraId="7642ACC4"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1.7356828</w:t>
            </w:r>
          </w:p>
        </w:tc>
        <w:tc>
          <w:tcPr>
            <w:tcW w:w="1080" w:type="dxa"/>
            <w:noWrap/>
            <w:hideMark/>
          </w:tcPr>
          <w:p w14:paraId="76EAD170" w14:textId="77777777" w:rsidR="0022108A" w:rsidRDefault="0022108A" w:rsidP="009F5A21">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BD"/>
              </w:rPr>
            </w:pPr>
            <w:r>
              <w:rPr>
                <w:rFonts w:eastAsia="Times New Roman" w:cs="Times New Roman"/>
                <w:lang w:eastAsia="en-GB" w:bidi="bn-BD"/>
              </w:rPr>
              <w:t>2.010989</w:t>
            </w:r>
          </w:p>
        </w:tc>
      </w:tr>
    </w:tbl>
    <w:p w14:paraId="0BAEEE51" w14:textId="77777777" w:rsidR="0022108A" w:rsidRDefault="0022108A" w:rsidP="0022108A"/>
    <w:p w14:paraId="158E572A" w14:textId="066C361E" w:rsidR="00DA61DF" w:rsidRDefault="00DA61DF" w:rsidP="00DA61DF">
      <w:pPr>
        <w:pStyle w:val="Heading1"/>
        <w:rPr>
          <w:lang w:bidi="bn-IN"/>
        </w:rPr>
      </w:pPr>
      <w:bookmarkStart w:id="7" w:name="_Toc111410366"/>
      <w:r>
        <w:rPr>
          <w:lang w:bidi="bn-IN"/>
        </w:rPr>
        <w:t>B) Analysis of the ratios</w:t>
      </w:r>
      <w:bookmarkEnd w:id="7"/>
    </w:p>
    <w:p w14:paraId="4851D8EF" w14:textId="77777777" w:rsidR="004B7EEC" w:rsidRDefault="004B7EEC" w:rsidP="004B7EEC">
      <w:pPr>
        <w:rPr>
          <w:b/>
          <w:bCs/>
        </w:rPr>
      </w:pPr>
      <w:r>
        <w:rPr>
          <w:b/>
          <w:bCs/>
        </w:rPr>
        <w:t>01. ROCE</w:t>
      </w:r>
    </w:p>
    <w:p w14:paraId="6CA9E23A" w14:textId="5E80CC26" w:rsidR="00FE46C3" w:rsidRPr="00911FA5" w:rsidRDefault="00FE46C3" w:rsidP="004B7EEC">
      <w:r w:rsidRPr="00911FA5">
        <w:t xml:space="preserve">The ratio of operating profit to capital employed is displayed here. When we break down the first part of the equation, we find that the industry's operating income or EBIT was </w:t>
      </w:r>
      <m:oMath>
        <m:r>
          <w:rPr>
            <w:rFonts w:ascii="Cambria Math" w:hAnsi="Cambria Math"/>
          </w:rPr>
          <m:t>£</m:t>
        </m:r>
      </m:oMath>
      <w:r w:rsidRPr="00911FA5">
        <w:t xml:space="preserve">620 and </w:t>
      </w:r>
      <m:oMath>
        <m:r>
          <w:rPr>
            <w:rFonts w:ascii="Cambria Math" w:hAnsi="Cambria Math"/>
          </w:rPr>
          <m:t>£</m:t>
        </m:r>
      </m:oMath>
      <w:r w:rsidRPr="00911FA5">
        <w:t>539, respectively. Within a year, they managed to improve their operational profit. After that,</w:t>
      </w:r>
      <w:r w:rsidR="009F02C4" w:rsidRPr="00911FA5">
        <w:t xml:space="preserve"> </w:t>
      </w:r>
      <w:r w:rsidRPr="00911FA5">
        <w:t>the ratio of capital utilized dropped to 559</w:t>
      </w:r>
      <w:r w:rsidR="00A50AAF" w:rsidRPr="00911FA5">
        <w:t>9</w:t>
      </w:r>
      <w:r w:rsidRPr="00911FA5">
        <w:t xml:space="preserve"> to 595</w:t>
      </w:r>
      <w:r w:rsidR="00A50AAF" w:rsidRPr="00911FA5">
        <w:t>8</w:t>
      </w:r>
      <w:r w:rsidRPr="00911FA5">
        <w:t>, indicating a proportional reduction. Finally, the company's return on capital employed (ROCE) in 2020 was 0.09 and its ROCE in 2021 was 0.11. Clearly, their ROCE has improved over time. For a corporation to be in a favorable position over two years, a ratio of 10% is considered typical. When compared to the prior year, this ratio is lower. Rising asset values are a primary factor in this shift.</w:t>
      </w:r>
    </w:p>
    <w:p w14:paraId="11B96635" w14:textId="71E0FB29" w:rsidR="004B7EEC" w:rsidRDefault="004B7EEC" w:rsidP="004B7EEC">
      <w:pPr>
        <w:rPr>
          <w:b/>
          <w:bCs/>
        </w:rPr>
      </w:pPr>
      <w:r>
        <w:rPr>
          <w:b/>
          <w:bCs/>
        </w:rPr>
        <w:t>2. ROE</w:t>
      </w:r>
    </w:p>
    <w:p w14:paraId="5F10548B" w14:textId="74E6EA9D" w:rsidR="009F02C4" w:rsidRPr="00911FA5" w:rsidRDefault="009F02C4" w:rsidP="004B7EEC">
      <w:r w:rsidRPr="00911FA5">
        <w:t xml:space="preserve">Simply said, return on equity measures the profitability of an organization as a percentage of the profits retained by the shareholders. The company earned </w:t>
      </w:r>
      <w:r w:rsidR="009821DB" w:rsidRPr="00911FA5">
        <w:t>£</w:t>
      </w:r>
      <w:r w:rsidRPr="00911FA5">
        <w:t xml:space="preserve">431 million in 2021, up from </w:t>
      </w:r>
      <w:r w:rsidR="009821DB" w:rsidRPr="00911FA5">
        <w:t>£</w:t>
      </w:r>
      <w:r w:rsidRPr="00911FA5">
        <w:t xml:space="preserve">366 million in 2020. That is, 2021 has seen an improvement in net income. It is also certain that the quantity of equity in the company's shares will grow in 2021. The return on equity was 13% in 2021, up from 12% the year before. Here, 15% To 20% is the norm. Comparing 2021 and 2020's </w:t>
      </w:r>
      <w:r w:rsidRPr="00911FA5">
        <w:lastRenderedPageBreak/>
        <w:t>ratio analysis results to the average value reveals that they are significantly lower. This means that the return on investment for stockholders is minimal.</w:t>
      </w:r>
    </w:p>
    <w:p w14:paraId="6A82D7B4" w14:textId="04B357EA" w:rsidR="004B7EEC" w:rsidRDefault="004B7EEC" w:rsidP="004B7EEC">
      <w:pPr>
        <w:rPr>
          <w:b/>
        </w:rPr>
      </w:pPr>
      <w:r>
        <w:rPr>
          <w:b/>
        </w:rPr>
        <w:t>3. Earnings per share</w:t>
      </w:r>
    </w:p>
    <w:p w14:paraId="6F405ECE" w14:textId="16887541" w:rsidR="001510A1" w:rsidRPr="00911FA5" w:rsidRDefault="001510A1" w:rsidP="004B7EEC">
      <w:pPr>
        <w:rPr>
          <w:bCs/>
        </w:rPr>
      </w:pPr>
      <w:r w:rsidRPr="00911FA5">
        <w:rPr>
          <w:bCs/>
        </w:rPr>
        <w:t>Divide the company's fixed dividend by the number of shares to get the profit attributable to each share. Earnings per share, or EPS, is a common method of expressing this figure. Earnings per share is a common measure of a company's profitability. An increase in the number of shares purchased by investors is common if the company has a high earnings per share. In this table, we can see that in 2020, EPS was 73, and in 2021, it was 84.01. The company's per-share earnings rose.</w:t>
      </w:r>
    </w:p>
    <w:p w14:paraId="4E7209EB" w14:textId="5F86A42F" w:rsidR="004B7EEC" w:rsidRDefault="004B7EEC" w:rsidP="004B7EEC">
      <w:pPr>
        <w:rPr>
          <w:b/>
        </w:rPr>
      </w:pPr>
      <w:r>
        <w:rPr>
          <w:b/>
        </w:rPr>
        <w:t>4. Net profit margin</w:t>
      </w:r>
    </w:p>
    <w:p w14:paraId="4B559024" w14:textId="166EE9CE" w:rsidR="00007966" w:rsidRPr="00911FA5" w:rsidRDefault="00007966" w:rsidP="004B7EEC">
      <w:pPr>
        <w:rPr>
          <w:bCs/>
        </w:rPr>
      </w:pPr>
      <w:r w:rsidRPr="00911FA5">
        <w:rPr>
          <w:bCs/>
        </w:rPr>
        <w:t xml:space="preserve">Here we see it represented as a percentage of net income to total revenue. Income after tax was </w:t>
      </w:r>
      <w:r w:rsidR="009821DB" w:rsidRPr="00911FA5">
        <w:rPr>
          <w:bCs/>
        </w:rPr>
        <w:t>£</w:t>
      </w:r>
      <w:r w:rsidRPr="00911FA5">
        <w:rPr>
          <w:bCs/>
        </w:rPr>
        <w:t xml:space="preserve">431 million in 2021, up from </w:t>
      </w:r>
      <w:r w:rsidR="009821DB" w:rsidRPr="00911FA5">
        <w:rPr>
          <w:bCs/>
        </w:rPr>
        <w:t>£</w:t>
      </w:r>
      <w:r w:rsidRPr="00911FA5">
        <w:rPr>
          <w:bCs/>
        </w:rPr>
        <w:t>366 million in 2020. That is to say, the level of net profit has grown. Sales on the bottom line for 2021 were also up from the previous year. It is also expected that net profit margin will be greater in 2021 than it was in 2020. Typically, a result of 10% is accepted as satisfactory. However, there are also places in both years that are lower than this mean. Specifically, its net revenue margin is not healthy in any given year.</w:t>
      </w:r>
    </w:p>
    <w:p w14:paraId="20C89E8E" w14:textId="356B5CEB" w:rsidR="004B7EEC" w:rsidRDefault="004B7EEC" w:rsidP="004B7EEC">
      <w:pPr>
        <w:rPr>
          <w:b/>
        </w:rPr>
      </w:pPr>
      <w:r>
        <w:rPr>
          <w:b/>
        </w:rPr>
        <w:t>5. Asset turnover</w:t>
      </w:r>
    </w:p>
    <w:p w14:paraId="72D884A0" w14:textId="1B129D37" w:rsidR="002115CA" w:rsidRPr="00911FA5" w:rsidRDefault="002115CA" w:rsidP="004B7EEC">
      <w:pPr>
        <w:rPr>
          <w:bCs/>
        </w:rPr>
      </w:pPr>
      <w:r w:rsidRPr="00911FA5">
        <w:rPr>
          <w:bCs/>
        </w:rPr>
        <w:t>This graph displays monthly net sales and monthly average assets. The proportion's value shifts when net sales fall or average assets rise</w:t>
      </w:r>
      <w:r w:rsidR="007464A3">
        <w:rPr>
          <w:bCs/>
        </w:rPr>
        <w:t xml:space="preserve"> (</w:t>
      </w:r>
      <w:proofErr w:type="spellStart"/>
      <w:r w:rsidR="007464A3" w:rsidRPr="00494D5B">
        <w:rPr>
          <w:rFonts w:cs="Times New Roman"/>
          <w:color w:val="222222"/>
          <w:szCs w:val="24"/>
          <w:shd w:val="clear" w:color="auto" w:fill="FFFFFF"/>
        </w:rPr>
        <w:t>Jurakulovna</w:t>
      </w:r>
      <w:proofErr w:type="spellEnd"/>
      <w:r w:rsidR="007464A3">
        <w:rPr>
          <w:rFonts w:cs="Times New Roman"/>
          <w:color w:val="222222"/>
          <w:szCs w:val="24"/>
          <w:shd w:val="clear" w:color="auto" w:fill="FFFFFF"/>
        </w:rPr>
        <w:t>, 2021)</w:t>
      </w:r>
      <w:r w:rsidRPr="00911FA5">
        <w:rPr>
          <w:bCs/>
        </w:rPr>
        <w:t>. Based on the analysis from 2021, the asset turnover was 34%, whereas the data from 2020 put it at 32%. From 2020 to 2021, the proportion has grown. An asset turnover ratio in the 25-50 percent range is acceptable. Two years as a ratio is a solid choice there.</w:t>
      </w:r>
    </w:p>
    <w:p w14:paraId="3EB0CA87" w14:textId="6EFB0345" w:rsidR="004B7EEC" w:rsidRDefault="004B7EEC" w:rsidP="004B7EEC">
      <w:pPr>
        <w:rPr>
          <w:b/>
        </w:rPr>
      </w:pPr>
      <w:r>
        <w:rPr>
          <w:b/>
        </w:rPr>
        <w:t>6. Stock holding day</w:t>
      </w:r>
    </w:p>
    <w:p w14:paraId="2EB966C7" w14:textId="27D5E1E2" w:rsidR="002115CA" w:rsidRPr="00B66FB2" w:rsidRDefault="002115CA" w:rsidP="004B7EEC">
      <w:pPr>
        <w:rPr>
          <w:bCs/>
        </w:rPr>
      </w:pPr>
      <w:r w:rsidRPr="00B66FB2">
        <w:rPr>
          <w:bCs/>
        </w:rPr>
        <w:t>The number of days a company keeps its stock in storage before selling it is an indication of how long it takes to turn over its inventory</w:t>
      </w:r>
      <w:r w:rsidR="00044A0E">
        <w:rPr>
          <w:bCs/>
        </w:rPr>
        <w:t xml:space="preserve"> (</w:t>
      </w:r>
      <w:r w:rsidR="00044A0E" w:rsidRPr="00494D5B">
        <w:rPr>
          <w:rFonts w:cs="Times New Roman"/>
          <w:color w:val="222222"/>
          <w:szCs w:val="24"/>
          <w:shd w:val="clear" w:color="auto" w:fill="FFFFFF"/>
        </w:rPr>
        <w:t>Husna</w:t>
      </w:r>
      <w:r w:rsidR="00044A0E">
        <w:rPr>
          <w:rFonts w:cs="Times New Roman"/>
          <w:color w:val="222222"/>
          <w:szCs w:val="24"/>
          <w:shd w:val="clear" w:color="auto" w:fill="FFFFFF"/>
        </w:rPr>
        <w:t xml:space="preserve"> </w:t>
      </w:r>
      <w:r w:rsidR="00044A0E" w:rsidRPr="00494D5B">
        <w:rPr>
          <w:rFonts w:cs="Times New Roman"/>
          <w:color w:val="222222"/>
          <w:szCs w:val="24"/>
          <w:shd w:val="clear" w:color="auto" w:fill="FFFFFF"/>
        </w:rPr>
        <w:t>and Satria</w:t>
      </w:r>
      <w:r w:rsidR="00044A0E">
        <w:rPr>
          <w:rFonts w:cs="Times New Roman"/>
          <w:color w:val="222222"/>
          <w:szCs w:val="24"/>
          <w:shd w:val="clear" w:color="auto" w:fill="FFFFFF"/>
        </w:rPr>
        <w:t>, 2019)</w:t>
      </w:r>
      <w:r w:rsidRPr="00B66FB2">
        <w:rPr>
          <w:bCs/>
        </w:rPr>
        <w:t>. The report reveals the typical turnover time for a company's stock. In 2020, they were able to sell out of their whole stock in just 37 days, which is fantastic; in 2021, however, they took 81 days.</w:t>
      </w:r>
    </w:p>
    <w:p w14:paraId="517AC086" w14:textId="77777777" w:rsidR="004B7EEC" w:rsidRDefault="004B7EEC" w:rsidP="004B7EEC">
      <w:pPr>
        <w:rPr>
          <w:b/>
          <w:bCs/>
        </w:rPr>
      </w:pPr>
      <w:r>
        <w:rPr>
          <w:b/>
        </w:rPr>
        <w:t xml:space="preserve">7. </w:t>
      </w:r>
      <w:r>
        <w:rPr>
          <w:b/>
          <w:bCs/>
        </w:rPr>
        <w:t>Debtors collection period</w:t>
      </w:r>
    </w:p>
    <w:p w14:paraId="6DF82FD0" w14:textId="77777777" w:rsidR="00B66FB2" w:rsidRDefault="002115CA" w:rsidP="00B66FB2">
      <w:pPr>
        <w:rPr>
          <w:bCs/>
        </w:rPr>
      </w:pPr>
      <w:r w:rsidRPr="00B66FB2">
        <w:rPr>
          <w:bCs/>
        </w:rPr>
        <w:lastRenderedPageBreak/>
        <w:t>If a company's collection period is less than 30 days, it's in a good position. The debtor's collection term here in 2020 was 66 days, and in 2021 this was 133 days. It's significantly longer than the barest requirement for a collection. The debtor collection period ratio does not bode well for the organization.</w:t>
      </w:r>
    </w:p>
    <w:p w14:paraId="3BE64EC7" w14:textId="5CEF9371" w:rsidR="004B7EEC" w:rsidRPr="00B66FB2" w:rsidRDefault="004B7EEC" w:rsidP="00B66FB2">
      <w:pPr>
        <w:rPr>
          <w:bCs/>
        </w:rPr>
      </w:pPr>
      <w:r>
        <w:rPr>
          <w:b/>
        </w:rPr>
        <w:t>8. Current Ratio</w:t>
      </w:r>
    </w:p>
    <w:p w14:paraId="0BC24F6F" w14:textId="383F651B" w:rsidR="002115CA" w:rsidRPr="00B66FB2" w:rsidRDefault="002115CA" w:rsidP="004B7EEC">
      <w:pPr>
        <w:rPr>
          <w:bCs/>
        </w:rPr>
      </w:pPr>
      <w:r w:rsidRPr="00B66FB2">
        <w:rPr>
          <w:bCs/>
        </w:rPr>
        <w:t xml:space="preserve">This ratio is a proxy for an organization's financial health. </w:t>
      </w:r>
      <w:proofErr w:type="gramStart"/>
      <w:r w:rsidRPr="00B66FB2">
        <w:rPr>
          <w:bCs/>
        </w:rPr>
        <w:t>Generally speaking, it's</w:t>
      </w:r>
      <w:proofErr w:type="gramEnd"/>
      <w:r w:rsidRPr="00B66FB2">
        <w:rPr>
          <w:bCs/>
        </w:rPr>
        <w:t xml:space="preserve"> best to strike a balance between setting the bar too high and setting the bar too low when establishing organizational ideals</w:t>
      </w:r>
      <w:r w:rsidR="00A25F2C">
        <w:rPr>
          <w:bCs/>
        </w:rPr>
        <w:t xml:space="preserve"> (</w:t>
      </w:r>
      <w:r w:rsidR="00A25F2C" w:rsidRPr="00147835">
        <w:rPr>
          <w:rFonts w:cs="Times New Roman"/>
          <w:color w:val="222222"/>
          <w:szCs w:val="24"/>
          <w:shd w:val="clear" w:color="auto" w:fill="FFFFFF"/>
        </w:rPr>
        <w:t>McCosker</w:t>
      </w:r>
      <w:r w:rsidR="00A25F2C">
        <w:rPr>
          <w:rFonts w:cs="Times New Roman"/>
          <w:color w:val="222222"/>
          <w:szCs w:val="24"/>
          <w:shd w:val="clear" w:color="auto" w:fill="FFFFFF"/>
        </w:rPr>
        <w:t>, 2021)</w:t>
      </w:r>
      <w:r w:rsidRPr="00B66FB2">
        <w:rPr>
          <w:bCs/>
        </w:rPr>
        <w:t>. This ratio plays an extremely important part in keeping the business functioning smoothly. 2020:2021 is a 1:1 ratio. The proportion was unchanged in this situation. The range of 1.2 to 2 is typically accepted as optimal. The company is reasonably well-positioned despite its lower-than-average market valuation.</w:t>
      </w:r>
    </w:p>
    <w:p w14:paraId="0ECBD7D0" w14:textId="7D25B0B2" w:rsidR="004B7EEC" w:rsidRDefault="004B7EEC" w:rsidP="004B7EEC">
      <w:pPr>
        <w:rPr>
          <w:b/>
          <w:bCs/>
        </w:rPr>
      </w:pPr>
      <w:r>
        <w:rPr>
          <w:b/>
        </w:rPr>
        <w:t xml:space="preserve">9. </w:t>
      </w:r>
      <w:r>
        <w:rPr>
          <w:b/>
          <w:bCs/>
        </w:rPr>
        <w:t>Gearing ratio</w:t>
      </w:r>
    </w:p>
    <w:p w14:paraId="29F88A70" w14:textId="1BB5D131" w:rsidR="002115CA" w:rsidRPr="00911FA5" w:rsidRDefault="00C452FF" w:rsidP="004B7EEC">
      <w:r w:rsidRPr="00911FA5">
        <w:t>In order to assess the financial and leverage stability of a company's debt, the gearing ratio reflects shareholder equity to debt in several different ways</w:t>
      </w:r>
      <w:r w:rsidR="00A25F2C">
        <w:t xml:space="preserve"> (</w:t>
      </w:r>
      <w:r w:rsidR="00A25F2C" w:rsidRPr="00147835">
        <w:rPr>
          <w:rFonts w:cs="Times New Roman"/>
          <w:color w:val="222222"/>
          <w:szCs w:val="24"/>
          <w:shd w:val="clear" w:color="auto" w:fill="FFFFFF"/>
        </w:rPr>
        <w:t>Easton</w:t>
      </w:r>
      <w:r w:rsidR="00A25F2C">
        <w:rPr>
          <w:rFonts w:cs="Times New Roman"/>
          <w:color w:val="222222"/>
          <w:szCs w:val="24"/>
          <w:shd w:val="clear" w:color="auto" w:fill="FFFFFF"/>
        </w:rPr>
        <w:t>, 2018)</w:t>
      </w:r>
      <w:r w:rsidRPr="00911FA5">
        <w:t>. A ratio of no more than 2 or 2.5 debt to equity is regarded as optimal. For the business, a 2020 ratio of 2.15 and a 2021 ratio of 2.46 is very encouraging. Gearing-wise, the corporation appears to be in fine shape.</w:t>
      </w:r>
    </w:p>
    <w:p w14:paraId="044EE73F" w14:textId="6B1B5E78" w:rsidR="004B7EEC" w:rsidRDefault="004B7EEC" w:rsidP="004B7EEC">
      <w:pPr>
        <w:rPr>
          <w:b/>
          <w:bCs/>
        </w:rPr>
      </w:pPr>
      <w:r>
        <w:rPr>
          <w:b/>
        </w:rPr>
        <w:t xml:space="preserve">10. </w:t>
      </w:r>
      <w:r>
        <w:rPr>
          <w:b/>
          <w:bCs/>
        </w:rPr>
        <w:t>Interest cover</w:t>
      </w:r>
    </w:p>
    <w:p w14:paraId="140404BA" w14:textId="315E4252" w:rsidR="00C452FF" w:rsidRPr="00911FA5" w:rsidRDefault="00C452FF" w:rsidP="004B7EEC">
      <w:pPr>
        <w:rPr>
          <w:bCs/>
        </w:rPr>
      </w:pPr>
      <w:r w:rsidRPr="00911FA5">
        <w:rPr>
          <w:bCs/>
        </w:rPr>
        <w:t>The interest cover ratio is a useful metric for gauging a firm's ability to meet interest payments on its obligations</w:t>
      </w:r>
      <w:r w:rsidR="00A25F2C">
        <w:rPr>
          <w:bCs/>
        </w:rPr>
        <w:t xml:space="preserve"> (</w:t>
      </w:r>
      <w:r w:rsidR="00A25F2C" w:rsidRPr="00147835">
        <w:rPr>
          <w:rFonts w:cs="Times New Roman"/>
          <w:color w:val="222222"/>
          <w:szCs w:val="24"/>
          <w:shd w:val="clear" w:color="auto" w:fill="FFFFFF"/>
        </w:rPr>
        <w:t>Welc</w:t>
      </w:r>
      <w:r w:rsidR="00A25F2C">
        <w:rPr>
          <w:rFonts w:cs="Times New Roman"/>
          <w:color w:val="222222"/>
          <w:szCs w:val="24"/>
          <w:shd w:val="clear" w:color="auto" w:fill="FFFFFF"/>
        </w:rPr>
        <w:t>, 2012)</w:t>
      </w:r>
      <w:r w:rsidRPr="00911FA5">
        <w:rPr>
          <w:bCs/>
        </w:rPr>
        <w:t>. The lowest permissible interest coverage ratio for a business is 2. It was 1.73 in 2020, which is excellent, and 2.010 in 2021, which is excellent for the firm.</w:t>
      </w:r>
    </w:p>
    <w:p w14:paraId="316F9410" w14:textId="77777777" w:rsidR="00DA61DF" w:rsidRDefault="00DA61DF" w:rsidP="00B46E12">
      <w:pPr>
        <w:pStyle w:val="Heading1"/>
      </w:pPr>
    </w:p>
    <w:p w14:paraId="208FE95B" w14:textId="77777777" w:rsidR="00DA61DF" w:rsidRDefault="00DA61DF" w:rsidP="00B46E12">
      <w:pPr>
        <w:pStyle w:val="Heading1"/>
        <w:sectPr w:rsidR="00DA61DF">
          <w:footerReference w:type="default" r:id="rId8"/>
          <w:pgSz w:w="12240" w:h="15840"/>
          <w:pgMar w:top="1440" w:right="1440" w:bottom="1440" w:left="1440" w:header="720" w:footer="720" w:gutter="0"/>
          <w:cols w:space="720"/>
          <w:docGrid w:linePitch="360"/>
        </w:sectPr>
      </w:pPr>
    </w:p>
    <w:p w14:paraId="5C198F54" w14:textId="10B2ABA5" w:rsidR="00B14DAA" w:rsidRPr="00B46E12" w:rsidRDefault="00B14DAA" w:rsidP="00B46E12">
      <w:pPr>
        <w:pStyle w:val="Heading1"/>
        <w:rPr>
          <w:rFonts w:cs="Vrinda"/>
          <w:lang w:bidi="bn-IN"/>
        </w:rPr>
      </w:pPr>
      <w:bookmarkStart w:id="8" w:name="_Toc111410367"/>
      <w:r>
        <w:lastRenderedPageBreak/>
        <w:t>Conclusion</w:t>
      </w:r>
      <w:bookmarkEnd w:id="8"/>
    </w:p>
    <w:p w14:paraId="3FA6418A" w14:textId="044293F5" w:rsidR="00B46E12" w:rsidRDefault="00B46E12" w:rsidP="00B46E12">
      <w:pPr>
        <w:spacing w:after="100" w:afterAutospacing="1"/>
        <w:ind w:left="14" w:right="101" w:hanging="14"/>
        <w:rPr>
          <w:rFonts w:cs="Vrinda"/>
          <w:lang w:bidi="bn-IN"/>
        </w:rPr>
      </w:pPr>
      <w:r>
        <w:t xml:space="preserve">A balance sheet or statement of financial position of a company shows the total assets, liabilities, and owner's equity of a company. The balance sheets have mainly two sides. On one side all assets of an organization are shown. On the other side, all liabilities and owners’ equity are shown. The reason for balancing the balance sheets all the time is this double entry system. </w:t>
      </w:r>
      <w:r>
        <w:rPr>
          <w:rFonts w:cs="Vrinda"/>
          <w:lang w:bidi="bn-IN"/>
        </w:rPr>
        <w:t xml:space="preserve">As every entity is recorded following a double entry system and using the accounting equation. When all the transactions accumulated on the balance sheet it also balances there. Besides, </w:t>
      </w:r>
      <w:proofErr w:type="gramStart"/>
      <w:r>
        <w:rPr>
          <w:rFonts w:cs="Vrinda"/>
          <w:lang w:bidi="bn-IN"/>
        </w:rPr>
        <w:t>the most</w:t>
      </w:r>
      <w:proofErr w:type="gramEnd"/>
      <w:r>
        <w:rPr>
          <w:rFonts w:cs="Vrinda"/>
          <w:lang w:bidi="bn-IN"/>
        </w:rPr>
        <w:t xml:space="preserve"> of the financial </w:t>
      </w:r>
      <w:r w:rsidRPr="00B46E12">
        <w:t>ratios of Sweets plc company</w:t>
      </w:r>
      <w:r>
        <w:rPr>
          <w:rFonts w:cs="Vrinda"/>
          <w:lang w:bidi="bn-IN"/>
        </w:rPr>
        <w:t xml:space="preserve"> seems to be in a good position.</w:t>
      </w:r>
    </w:p>
    <w:p w14:paraId="6212A209" w14:textId="682D16CF" w:rsidR="00B14DAA" w:rsidRDefault="00B14DAA">
      <w:pPr>
        <w:spacing w:after="160" w:line="259" w:lineRule="auto"/>
        <w:ind w:left="0" w:right="0" w:firstLine="0"/>
        <w:jc w:val="left"/>
        <w:rPr>
          <w:rFonts w:eastAsiaTheme="majorEastAsia" w:cstheme="majorBidi"/>
          <w:b/>
          <w:color w:val="2F5496" w:themeColor="accent1" w:themeShade="BF"/>
          <w:sz w:val="32"/>
          <w:szCs w:val="32"/>
        </w:rPr>
      </w:pPr>
      <w:r>
        <w:br w:type="page"/>
      </w:r>
    </w:p>
    <w:p w14:paraId="48D360D1" w14:textId="74AA28A7" w:rsidR="00005835" w:rsidRDefault="00B14DAA" w:rsidP="00B14DAA">
      <w:pPr>
        <w:pStyle w:val="Heading1"/>
      </w:pPr>
      <w:bookmarkStart w:id="9" w:name="_Toc111410368"/>
      <w:r>
        <w:lastRenderedPageBreak/>
        <w:t>References</w:t>
      </w:r>
      <w:bookmarkEnd w:id="9"/>
    </w:p>
    <w:p w14:paraId="59FAFB88" w14:textId="77777777" w:rsidR="00764B06" w:rsidRDefault="00764B06" w:rsidP="00B46E12">
      <w:pPr>
        <w:ind w:left="576" w:right="101" w:hanging="576"/>
        <w:rPr>
          <w:shd w:val="clear" w:color="auto" w:fill="FFFFFF"/>
        </w:rPr>
      </w:pPr>
      <w:r>
        <w:rPr>
          <w:shd w:val="clear" w:color="auto" w:fill="FFFFFF"/>
        </w:rPr>
        <w:t>Christodoulou, D. and McLeay, S., 2019. The double entry structural constraint on the econometric estimation of accounting variables. </w:t>
      </w:r>
      <w:r>
        <w:rPr>
          <w:i/>
          <w:iCs/>
          <w:shd w:val="clear" w:color="auto" w:fill="FFFFFF"/>
        </w:rPr>
        <w:t>The European Journal of Finance</w:t>
      </w:r>
      <w:r>
        <w:rPr>
          <w:shd w:val="clear" w:color="auto" w:fill="FFFFFF"/>
        </w:rPr>
        <w:t>, </w:t>
      </w:r>
      <w:r>
        <w:rPr>
          <w:i/>
          <w:iCs/>
          <w:shd w:val="clear" w:color="auto" w:fill="FFFFFF"/>
        </w:rPr>
        <w:t>25</w:t>
      </w:r>
      <w:r>
        <w:rPr>
          <w:shd w:val="clear" w:color="auto" w:fill="FFFFFF"/>
        </w:rPr>
        <w:t>(18), pp.1919-1935.</w:t>
      </w:r>
    </w:p>
    <w:p w14:paraId="0C906767" w14:textId="77777777" w:rsidR="00764B06" w:rsidRPr="00147835" w:rsidRDefault="00764B06" w:rsidP="00B46E12">
      <w:pPr>
        <w:ind w:left="576" w:right="101" w:hanging="576"/>
        <w:rPr>
          <w:rFonts w:cs="Times New Roman"/>
          <w:color w:val="222222"/>
          <w:szCs w:val="24"/>
          <w:shd w:val="clear" w:color="auto" w:fill="FFFFFF"/>
        </w:rPr>
      </w:pPr>
      <w:r w:rsidRPr="00147835">
        <w:rPr>
          <w:rFonts w:cs="Times New Roman"/>
          <w:color w:val="222222"/>
          <w:szCs w:val="24"/>
          <w:shd w:val="clear" w:color="auto" w:fill="FFFFFF"/>
        </w:rPr>
        <w:t>Easton, P.D., McAnally, M.L., Sommers, G.A. and Zhang, X.J., 2018. </w:t>
      </w:r>
      <w:r w:rsidRPr="00147835">
        <w:rPr>
          <w:rFonts w:cs="Times New Roman"/>
          <w:i/>
          <w:iCs/>
          <w:color w:val="222222"/>
          <w:szCs w:val="24"/>
          <w:shd w:val="clear" w:color="auto" w:fill="FFFFFF"/>
        </w:rPr>
        <w:t>Financial statement analysis &amp; valuation</w:t>
      </w:r>
      <w:r w:rsidRPr="00147835">
        <w:rPr>
          <w:rFonts w:cs="Times New Roman"/>
          <w:color w:val="222222"/>
          <w:szCs w:val="24"/>
          <w:shd w:val="clear" w:color="auto" w:fill="FFFFFF"/>
        </w:rPr>
        <w:t>. Boston, MA: Cambridge Business Publishers.</w:t>
      </w:r>
    </w:p>
    <w:p w14:paraId="1ADB897A" w14:textId="77777777" w:rsidR="00764B06" w:rsidRDefault="00764B06" w:rsidP="00B46E12">
      <w:pPr>
        <w:ind w:left="576" w:right="101" w:hanging="576"/>
        <w:rPr>
          <w:shd w:val="clear" w:color="auto" w:fill="FFFFFF"/>
        </w:rPr>
      </w:pPr>
      <w:proofErr w:type="spellStart"/>
      <w:r>
        <w:rPr>
          <w:shd w:val="clear" w:color="auto" w:fill="FFFFFF"/>
        </w:rPr>
        <w:t>Faccia</w:t>
      </w:r>
      <w:proofErr w:type="spellEnd"/>
      <w:r>
        <w:rPr>
          <w:shd w:val="clear" w:color="auto" w:fill="FFFFFF"/>
        </w:rPr>
        <w:t xml:space="preserve">, A. and </w:t>
      </w:r>
      <w:proofErr w:type="spellStart"/>
      <w:r>
        <w:rPr>
          <w:shd w:val="clear" w:color="auto" w:fill="FFFFFF"/>
        </w:rPr>
        <w:t>Mosteanu</w:t>
      </w:r>
      <w:proofErr w:type="spellEnd"/>
      <w:r>
        <w:rPr>
          <w:shd w:val="clear" w:color="auto" w:fill="FFFFFF"/>
        </w:rPr>
        <w:t>, N.R., 2019. Accounting and blockchain technology: from double-entry to triple-entry. </w:t>
      </w:r>
      <w:r>
        <w:rPr>
          <w:i/>
          <w:iCs/>
          <w:shd w:val="clear" w:color="auto" w:fill="FFFFFF"/>
        </w:rPr>
        <w:t>The Business &amp; Management Review</w:t>
      </w:r>
      <w:r>
        <w:rPr>
          <w:shd w:val="clear" w:color="auto" w:fill="FFFFFF"/>
        </w:rPr>
        <w:t>, </w:t>
      </w:r>
      <w:r>
        <w:rPr>
          <w:i/>
          <w:iCs/>
          <w:shd w:val="clear" w:color="auto" w:fill="FFFFFF"/>
        </w:rPr>
        <w:t>10</w:t>
      </w:r>
      <w:r>
        <w:rPr>
          <w:shd w:val="clear" w:color="auto" w:fill="FFFFFF"/>
        </w:rPr>
        <w:t>(2), pp.108-116.</w:t>
      </w:r>
    </w:p>
    <w:p w14:paraId="7335C37E" w14:textId="77777777" w:rsidR="00764B06" w:rsidRPr="00494D5B" w:rsidRDefault="00764B06" w:rsidP="00B46E12">
      <w:pPr>
        <w:ind w:left="576" w:right="101" w:hanging="576"/>
        <w:rPr>
          <w:rFonts w:cs="Times New Roman"/>
          <w:color w:val="222222"/>
          <w:szCs w:val="24"/>
          <w:shd w:val="clear" w:color="auto" w:fill="FFFFFF"/>
        </w:rPr>
      </w:pPr>
      <w:r w:rsidRPr="00494D5B">
        <w:rPr>
          <w:rFonts w:cs="Times New Roman"/>
          <w:color w:val="222222"/>
          <w:szCs w:val="24"/>
          <w:shd w:val="clear" w:color="auto" w:fill="FFFFFF"/>
        </w:rPr>
        <w:t>Husna, A. and Satria, I., 2019. Effects of return on asset, debt to asset ratio, current ratio, firm size, and dividend payout ratio on firm value. </w:t>
      </w:r>
      <w:r w:rsidRPr="00494D5B">
        <w:rPr>
          <w:rFonts w:cs="Times New Roman"/>
          <w:i/>
          <w:iCs/>
          <w:color w:val="222222"/>
          <w:szCs w:val="24"/>
          <w:shd w:val="clear" w:color="auto" w:fill="FFFFFF"/>
        </w:rPr>
        <w:t>International Journal of Economics and Financial Issues</w:t>
      </w:r>
      <w:r w:rsidRPr="00494D5B">
        <w:rPr>
          <w:rFonts w:cs="Times New Roman"/>
          <w:color w:val="222222"/>
          <w:szCs w:val="24"/>
          <w:shd w:val="clear" w:color="auto" w:fill="FFFFFF"/>
        </w:rPr>
        <w:t>, </w:t>
      </w:r>
      <w:r w:rsidRPr="00494D5B">
        <w:rPr>
          <w:rFonts w:cs="Times New Roman"/>
          <w:i/>
          <w:iCs/>
          <w:color w:val="222222"/>
          <w:szCs w:val="24"/>
          <w:shd w:val="clear" w:color="auto" w:fill="FFFFFF"/>
        </w:rPr>
        <w:t>9</w:t>
      </w:r>
      <w:r w:rsidRPr="00494D5B">
        <w:rPr>
          <w:rFonts w:cs="Times New Roman"/>
          <w:color w:val="222222"/>
          <w:szCs w:val="24"/>
          <w:shd w:val="clear" w:color="auto" w:fill="FFFFFF"/>
        </w:rPr>
        <w:t>(5), p.50.</w:t>
      </w:r>
    </w:p>
    <w:p w14:paraId="70999F1F" w14:textId="77777777" w:rsidR="00764B06" w:rsidRDefault="00764B06" w:rsidP="00B46E12">
      <w:pPr>
        <w:ind w:left="576" w:right="101" w:hanging="576"/>
        <w:rPr>
          <w:shd w:val="clear" w:color="auto" w:fill="FFFFFF"/>
        </w:rPr>
      </w:pPr>
      <w:proofErr w:type="spellStart"/>
      <w:r>
        <w:rPr>
          <w:shd w:val="clear" w:color="auto" w:fill="FFFFFF"/>
        </w:rPr>
        <w:t>Inghirami</w:t>
      </w:r>
      <w:proofErr w:type="spellEnd"/>
      <w:r>
        <w:rPr>
          <w:shd w:val="clear" w:color="auto" w:fill="FFFFFF"/>
        </w:rPr>
        <w:t>, I.E., 2020. Accounting information systems: the scope of blockchain accounting. In </w:t>
      </w:r>
      <w:r>
        <w:rPr>
          <w:i/>
          <w:iCs/>
          <w:shd w:val="clear" w:color="auto" w:fill="FFFFFF"/>
        </w:rPr>
        <w:t>Digital Business Transformation</w:t>
      </w:r>
      <w:r>
        <w:rPr>
          <w:shd w:val="clear" w:color="auto" w:fill="FFFFFF"/>
        </w:rPr>
        <w:t> (pp. 107-120). Springer, Cham.</w:t>
      </w:r>
    </w:p>
    <w:p w14:paraId="507A6D42" w14:textId="77777777" w:rsidR="00764B06" w:rsidRPr="00494D5B" w:rsidRDefault="00764B06" w:rsidP="00B46E12">
      <w:pPr>
        <w:ind w:left="576" w:right="101" w:hanging="576"/>
        <w:rPr>
          <w:rFonts w:cs="Times New Roman"/>
          <w:sz w:val="40"/>
          <w:szCs w:val="36"/>
          <w:shd w:val="clear" w:color="auto" w:fill="FFFFFF"/>
        </w:rPr>
      </w:pPr>
      <w:proofErr w:type="spellStart"/>
      <w:r w:rsidRPr="00494D5B">
        <w:rPr>
          <w:rFonts w:cs="Times New Roman"/>
          <w:color w:val="222222"/>
          <w:szCs w:val="24"/>
          <w:shd w:val="clear" w:color="auto" w:fill="FFFFFF"/>
        </w:rPr>
        <w:t>Jurakulovna</w:t>
      </w:r>
      <w:proofErr w:type="spellEnd"/>
      <w:r w:rsidRPr="00494D5B">
        <w:rPr>
          <w:rFonts w:cs="Times New Roman"/>
          <w:color w:val="222222"/>
          <w:szCs w:val="24"/>
          <w:shd w:val="clear" w:color="auto" w:fill="FFFFFF"/>
        </w:rPr>
        <w:t>, J.G., 2021. The Necessity and Theoretical Basis of Financial Statement Analysis in Modern Management. </w:t>
      </w:r>
      <w:r w:rsidRPr="00494D5B">
        <w:rPr>
          <w:rFonts w:cs="Times New Roman"/>
          <w:i/>
          <w:iCs/>
          <w:color w:val="222222"/>
          <w:szCs w:val="24"/>
          <w:shd w:val="clear" w:color="auto" w:fill="FFFFFF"/>
        </w:rPr>
        <w:t>Academic Journal of Digital Economics and Stability</w:t>
      </w:r>
      <w:r w:rsidRPr="00494D5B">
        <w:rPr>
          <w:rFonts w:cs="Times New Roman"/>
          <w:color w:val="222222"/>
          <w:szCs w:val="24"/>
          <w:shd w:val="clear" w:color="auto" w:fill="FFFFFF"/>
        </w:rPr>
        <w:t>, </w:t>
      </w:r>
      <w:r w:rsidRPr="00494D5B">
        <w:rPr>
          <w:rFonts w:cs="Times New Roman"/>
          <w:i/>
          <w:iCs/>
          <w:color w:val="222222"/>
          <w:szCs w:val="24"/>
          <w:shd w:val="clear" w:color="auto" w:fill="FFFFFF"/>
        </w:rPr>
        <w:t>7</w:t>
      </w:r>
      <w:r w:rsidRPr="00494D5B">
        <w:rPr>
          <w:rFonts w:cs="Times New Roman"/>
          <w:color w:val="222222"/>
          <w:szCs w:val="24"/>
          <w:shd w:val="clear" w:color="auto" w:fill="FFFFFF"/>
        </w:rPr>
        <w:t>, pp.89-95.</w:t>
      </w:r>
    </w:p>
    <w:p w14:paraId="03BE66B4" w14:textId="77777777" w:rsidR="00764B06" w:rsidRDefault="00764B06" w:rsidP="00B46E12">
      <w:pPr>
        <w:ind w:left="576" w:right="101" w:hanging="576"/>
        <w:rPr>
          <w:shd w:val="clear" w:color="auto" w:fill="FFFFFF"/>
        </w:rPr>
      </w:pPr>
      <w:r>
        <w:rPr>
          <w:shd w:val="clear" w:color="auto" w:fill="FFFFFF"/>
        </w:rPr>
        <w:t>Kahn, M.J. and Baum, N., 2020. Basic accounting and interpretation of financial statements. In </w:t>
      </w:r>
      <w:r>
        <w:rPr>
          <w:i/>
          <w:iCs/>
          <w:shd w:val="clear" w:color="auto" w:fill="FFFFFF"/>
        </w:rPr>
        <w:t>The Business Basics of Building and Managing a Healthcare Practice</w:t>
      </w:r>
      <w:r>
        <w:rPr>
          <w:shd w:val="clear" w:color="auto" w:fill="FFFFFF"/>
        </w:rPr>
        <w:t> (pp. 13-18). Springer, Cham.</w:t>
      </w:r>
    </w:p>
    <w:p w14:paraId="3A76C62E" w14:textId="77777777" w:rsidR="00764B06" w:rsidRDefault="00764B06" w:rsidP="00B46E12">
      <w:pPr>
        <w:ind w:left="576" w:right="101" w:hanging="576"/>
        <w:rPr>
          <w:shd w:val="clear" w:color="auto" w:fill="FFFFFF"/>
        </w:rPr>
      </w:pPr>
      <w:r>
        <w:rPr>
          <w:shd w:val="clear" w:color="auto" w:fill="FFFFFF"/>
        </w:rPr>
        <w:t xml:space="preserve">Klymenko, N., </w:t>
      </w:r>
      <w:proofErr w:type="spellStart"/>
      <w:r>
        <w:rPr>
          <w:shd w:val="clear" w:color="auto" w:fill="FFFFFF"/>
        </w:rPr>
        <w:t>Nosovets</w:t>
      </w:r>
      <w:proofErr w:type="spellEnd"/>
      <w:r>
        <w:rPr>
          <w:shd w:val="clear" w:color="auto" w:fill="FFFFFF"/>
        </w:rPr>
        <w:t xml:space="preserve">, O., </w:t>
      </w:r>
      <w:proofErr w:type="spellStart"/>
      <w:r>
        <w:rPr>
          <w:shd w:val="clear" w:color="auto" w:fill="FFFFFF"/>
        </w:rPr>
        <w:t>Sokolenko</w:t>
      </w:r>
      <w:proofErr w:type="spellEnd"/>
      <w:r>
        <w:rPr>
          <w:shd w:val="clear" w:color="auto" w:fill="FFFFFF"/>
        </w:rPr>
        <w:t xml:space="preserve">, L., </w:t>
      </w:r>
      <w:proofErr w:type="spellStart"/>
      <w:r>
        <w:rPr>
          <w:shd w:val="clear" w:color="auto" w:fill="FFFFFF"/>
        </w:rPr>
        <w:t>Hryshchenko</w:t>
      </w:r>
      <w:proofErr w:type="spellEnd"/>
      <w:r>
        <w:rPr>
          <w:shd w:val="clear" w:color="auto" w:fill="FFFFFF"/>
        </w:rPr>
        <w:t xml:space="preserve">, O. and </w:t>
      </w:r>
      <w:proofErr w:type="spellStart"/>
      <w:r>
        <w:rPr>
          <w:shd w:val="clear" w:color="auto" w:fill="FFFFFF"/>
        </w:rPr>
        <w:t>Pisochenko</w:t>
      </w:r>
      <w:proofErr w:type="spellEnd"/>
      <w:r>
        <w:rPr>
          <w:shd w:val="clear" w:color="auto" w:fill="FFFFFF"/>
        </w:rPr>
        <w:t>, T., 2019. Off-balance accounting in the modern information system of an enterprise.</w:t>
      </w:r>
    </w:p>
    <w:p w14:paraId="799DB4CA" w14:textId="77777777" w:rsidR="00764B06" w:rsidRDefault="00764B06" w:rsidP="00B46E12">
      <w:pPr>
        <w:ind w:left="576" w:right="101" w:hanging="576"/>
        <w:rPr>
          <w:rFonts w:cs="Times New Roman"/>
          <w:color w:val="222222"/>
          <w:szCs w:val="24"/>
          <w:shd w:val="clear" w:color="auto" w:fill="FFFFFF"/>
        </w:rPr>
      </w:pPr>
      <w:r w:rsidRPr="00147835">
        <w:rPr>
          <w:rFonts w:cs="Times New Roman"/>
          <w:color w:val="222222"/>
          <w:szCs w:val="24"/>
          <w:shd w:val="clear" w:color="auto" w:fill="FFFFFF"/>
        </w:rPr>
        <w:t>McCosker, P., 2021. Interpretation of Financial Statements. In </w:t>
      </w:r>
      <w:r w:rsidRPr="00147835">
        <w:rPr>
          <w:rFonts w:cs="Times New Roman"/>
          <w:i/>
          <w:iCs/>
          <w:color w:val="222222"/>
          <w:szCs w:val="24"/>
          <w:shd w:val="clear" w:color="auto" w:fill="FFFFFF"/>
        </w:rPr>
        <w:t>Financial and Managerial Aspects in Human Resource Management: A Practical Guide</w:t>
      </w:r>
      <w:r w:rsidRPr="00147835">
        <w:rPr>
          <w:rFonts w:cs="Times New Roman"/>
          <w:color w:val="222222"/>
          <w:szCs w:val="24"/>
          <w:shd w:val="clear" w:color="auto" w:fill="FFFFFF"/>
        </w:rPr>
        <w:t>. Emerald Publishing Limited.</w:t>
      </w:r>
    </w:p>
    <w:p w14:paraId="322DA0AB" w14:textId="77777777" w:rsidR="00764B06" w:rsidRDefault="00764B06" w:rsidP="00B46E12">
      <w:pPr>
        <w:ind w:left="576" w:right="101" w:hanging="576"/>
        <w:rPr>
          <w:shd w:val="clear" w:color="auto" w:fill="FFFFFF"/>
        </w:rPr>
      </w:pPr>
      <w:proofErr w:type="spellStart"/>
      <w:r>
        <w:rPr>
          <w:shd w:val="clear" w:color="auto" w:fill="FFFFFF"/>
        </w:rPr>
        <w:t>Ogneva</w:t>
      </w:r>
      <w:proofErr w:type="spellEnd"/>
      <w:r>
        <w:rPr>
          <w:shd w:val="clear" w:color="auto" w:fill="FFFFFF"/>
        </w:rPr>
        <w:t xml:space="preserve">, M., </w:t>
      </w:r>
      <w:proofErr w:type="spellStart"/>
      <w:r>
        <w:rPr>
          <w:shd w:val="clear" w:color="auto" w:fill="FFFFFF"/>
        </w:rPr>
        <w:t>Piotroski</w:t>
      </w:r>
      <w:proofErr w:type="spellEnd"/>
      <w:r>
        <w:rPr>
          <w:shd w:val="clear" w:color="auto" w:fill="FFFFFF"/>
        </w:rPr>
        <w:t xml:space="preserve">, J.D. and </w:t>
      </w:r>
      <w:proofErr w:type="spellStart"/>
      <w:r>
        <w:rPr>
          <w:shd w:val="clear" w:color="auto" w:fill="FFFFFF"/>
        </w:rPr>
        <w:t>Zakolyukina</w:t>
      </w:r>
      <w:proofErr w:type="spellEnd"/>
      <w:r>
        <w:rPr>
          <w:shd w:val="clear" w:color="auto" w:fill="FFFFFF"/>
        </w:rPr>
        <w:t>, A.A., 2020. Accounting fundamentals and systematic risk: Corporate failure over the business cycle. </w:t>
      </w:r>
      <w:r>
        <w:rPr>
          <w:i/>
          <w:iCs/>
          <w:shd w:val="clear" w:color="auto" w:fill="FFFFFF"/>
        </w:rPr>
        <w:t>The Accounting Review</w:t>
      </w:r>
      <w:r>
        <w:rPr>
          <w:shd w:val="clear" w:color="auto" w:fill="FFFFFF"/>
        </w:rPr>
        <w:t>, </w:t>
      </w:r>
      <w:r>
        <w:rPr>
          <w:i/>
          <w:iCs/>
          <w:shd w:val="clear" w:color="auto" w:fill="FFFFFF"/>
        </w:rPr>
        <w:t>95</w:t>
      </w:r>
      <w:r>
        <w:rPr>
          <w:shd w:val="clear" w:color="auto" w:fill="FFFFFF"/>
        </w:rPr>
        <w:t>(5), pp.321-350.</w:t>
      </w:r>
    </w:p>
    <w:p w14:paraId="1B79A08E" w14:textId="77777777" w:rsidR="00764B06" w:rsidRDefault="00764B06" w:rsidP="00B46E12">
      <w:pPr>
        <w:ind w:left="576" w:right="101" w:hanging="576"/>
        <w:rPr>
          <w:shd w:val="clear" w:color="auto" w:fill="FFFFFF"/>
        </w:rPr>
      </w:pPr>
      <w:r>
        <w:rPr>
          <w:shd w:val="clear" w:color="auto" w:fill="FFFFFF"/>
        </w:rPr>
        <w:t xml:space="preserve">Sangster, A., 2022. The business needs that drove the emergence of double entry: In defense of </w:t>
      </w:r>
      <w:proofErr w:type="spellStart"/>
      <w:r>
        <w:rPr>
          <w:shd w:val="clear" w:color="auto" w:fill="FFFFFF"/>
        </w:rPr>
        <w:t>Pacioli</w:t>
      </w:r>
      <w:proofErr w:type="spellEnd"/>
      <w:r>
        <w:rPr>
          <w:shd w:val="clear" w:color="auto" w:fill="FFFFFF"/>
        </w:rPr>
        <w:t>, again… it is time to remove those dark glasses. </w:t>
      </w:r>
      <w:r>
        <w:rPr>
          <w:i/>
          <w:iCs/>
          <w:shd w:val="clear" w:color="auto" w:fill="FFFFFF"/>
        </w:rPr>
        <w:t>Accounting Historians Journal</w:t>
      </w:r>
      <w:r>
        <w:rPr>
          <w:shd w:val="clear" w:color="auto" w:fill="FFFFFF"/>
        </w:rPr>
        <w:t>, </w:t>
      </w:r>
      <w:r>
        <w:rPr>
          <w:i/>
          <w:iCs/>
          <w:shd w:val="clear" w:color="auto" w:fill="FFFFFF"/>
        </w:rPr>
        <w:t>49</w:t>
      </w:r>
      <w:r>
        <w:rPr>
          <w:shd w:val="clear" w:color="auto" w:fill="FFFFFF"/>
        </w:rPr>
        <w:t>(1), pp.93-109.</w:t>
      </w:r>
    </w:p>
    <w:p w14:paraId="241138A9" w14:textId="77777777" w:rsidR="00764B06" w:rsidRPr="00147835" w:rsidRDefault="00764B06" w:rsidP="00B46E12">
      <w:pPr>
        <w:ind w:left="576" w:right="101" w:hanging="576"/>
        <w:rPr>
          <w:rFonts w:cs="Times New Roman"/>
          <w:color w:val="222222"/>
          <w:szCs w:val="24"/>
          <w:shd w:val="clear" w:color="auto" w:fill="FFFFFF"/>
        </w:rPr>
      </w:pPr>
      <w:r w:rsidRPr="00147835">
        <w:rPr>
          <w:rFonts w:cs="Times New Roman"/>
          <w:color w:val="222222"/>
          <w:szCs w:val="24"/>
          <w:shd w:val="clear" w:color="auto" w:fill="FFFFFF"/>
        </w:rPr>
        <w:lastRenderedPageBreak/>
        <w:t>Welc, J., 2022. Financial statement analysis. In </w:t>
      </w:r>
      <w:r w:rsidRPr="00147835">
        <w:rPr>
          <w:rFonts w:cs="Times New Roman"/>
          <w:i/>
          <w:iCs/>
          <w:color w:val="222222"/>
          <w:szCs w:val="24"/>
          <w:shd w:val="clear" w:color="auto" w:fill="FFFFFF"/>
        </w:rPr>
        <w:t>Evaluating Corporate Financial Performance</w:t>
      </w:r>
      <w:r w:rsidRPr="00147835">
        <w:rPr>
          <w:rFonts w:cs="Times New Roman"/>
          <w:color w:val="222222"/>
          <w:szCs w:val="24"/>
          <w:shd w:val="clear" w:color="auto" w:fill="FFFFFF"/>
        </w:rPr>
        <w:t> (pp. 131-212). Palgrave Macmillan, Cham.</w:t>
      </w:r>
    </w:p>
    <w:p w14:paraId="22B36D06" w14:textId="4B377857" w:rsidR="00B46E12" w:rsidRPr="00B46E12" w:rsidRDefault="00B46E12" w:rsidP="00B46E12">
      <w:r>
        <w:rPr>
          <w:shd w:val="clear" w:color="auto" w:fill="FFFFFF"/>
        </w:rPr>
        <w:t xml:space="preserve">        </w:t>
      </w:r>
    </w:p>
    <w:sectPr w:rsidR="00B46E12" w:rsidRPr="00B46E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4AA6" w14:textId="77777777" w:rsidR="004E6331" w:rsidRDefault="004E6331" w:rsidP="00B46E12">
      <w:pPr>
        <w:spacing w:before="0" w:after="0" w:line="240" w:lineRule="auto"/>
      </w:pPr>
      <w:r>
        <w:separator/>
      </w:r>
    </w:p>
  </w:endnote>
  <w:endnote w:type="continuationSeparator" w:id="0">
    <w:p w14:paraId="3DFAD528" w14:textId="77777777" w:rsidR="004E6331" w:rsidRDefault="004E6331" w:rsidP="00B46E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188280"/>
      <w:docPartObj>
        <w:docPartGallery w:val="Page Numbers (Bottom of Page)"/>
        <w:docPartUnique/>
      </w:docPartObj>
    </w:sdtPr>
    <w:sdtEndPr>
      <w:rPr>
        <w:color w:val="7F7F7F" w:themeColor="background1" w:themeShade="7F"/>
        <w:spacing w:val="60"/>
      </w:rPr>
    </w:sdtEndPr>
    <w:sdtContent>
      <w:p w14:paraId="13176800" w14:textId="563FD96A" w:rsidR="00B46E12" w:rsidRDefault="00B46E1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7DC9A11" w14:textId="77777777" w:rsidR="00B46E12" w:rsidRDefault="00B46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6001B" w14:textId="77777777" w:rsidR="004E6331" w:rsidRDefault="004E6331" w:rsidP="00B46E12">
      <w:pPr>
        <w:spacing w:before="0" w:after="0" w:line="240" w:lineRule="auto"/>
      </w:pPr>
      <w:r>
        <w:separator/>
      </w:r>
    </w:p>
  </w:footnote>
  <w:footnote w:type="continuationSeparator" w:id="0">
    <w:p w14:paraId="5DCEF599" w14:textId="77777777" w:rsidR="004E6331" w:rsidRDefault="004E6331" w:rsidP="00B46E1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2C03"/>
    <w:multiLevelType w:val="multilevel"/>
    <w:tmpl w:val="53B6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E60F4"/>
    <w:multiLevelType w:val="multilevel"/>
    <w:tmpl w:val="648A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827BBB"/>
    <w:multiLevelType w:val="multilevel"/>
    <w:tmpl w:val="099A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644C3A"/>
    <w:multiLevelType w:val="multilevel"/>
    <w:tmpl w:val="352A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4141A5"/>
    <w:multiLevelType w:val="hybridMultilevel"/>
    <w:tmpl w:val="17464A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6870E4"/>
    <w:multiLevelType w:val="hybridMultilevel"/>
    <w:tmpl w:val="4F34D9A4"/>
    <w:lvl w:ilvl="0" w:tplc="F0E63916">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FED594">
      <w:start w:val="1"/>
      <w:numFmt w:val="decimal"/>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5AEB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A425C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2EE01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F7AB9C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E98DF3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F6E82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EBEAF4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4372B50"/>
    <w:multiLevelType w:val="multilevel"/>
    <w:tmpl w:val="8DC4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4391283">
    <w:abstractNumId w:val="1"/>
  </w:num>
  <w:num w:numId="2" w16cid:durableId="403113962">
    <w:abstractNumId w:val="6"/>
  </w:num>
  <w:num w:numId="3" w16cid:durableId="1024600854">
    <w:abstractNumId w:val="2"/>
  </w:num>
  <w:num w:numId="4" w16cid:durableId="950285336">
    <w:abstractNumId w:val="0"/>
  </w:num>
  <w:num w:numId="5" w16cid:durableId="91316963">
    <w:abstractNumId w:val="3"/>
  </w:num>
  <w:num w:numId="6" w16cid:durableId="1057363559">
    <w:abstractNumId w:val="5"/>
  </w:num>
  <w:num w:numId="7" w16cid:durableId="539124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EwNbcwMjcxM7e0MLRQ0lEKTi0uzszPAykwqgUAqSEejCwAAAA="/>
  </w:docVars>
  <w:rsids>
    <w:rsidRoot w:val="00005835"/>
    <w:rsid w:val="00005835"/>
    <w:rsid w:val="00007966"/>
    <w:rsid w:val="000408F7"/>
    <w:rsid w:val="00044A0E"/>
    <w:rsid w:val="00045C46"/>
    <w:rsid w:val="00060F90"/>
    <w:rsid w:val="00064B41"/>
    <w:rsid w:val="00072260"/>
    <w:rsid w:val="00081D6E"/>
    <w:rsid w:val="00087C4A"/>
    <w:rsid w:val="00087C8F"/>
    <w:rsid w:val="000C19F8"/>
    <w:rsid w:val="000C7B1E"/>
    <w:rsid w:val="000D14C8"/>
    <w:rsid w:val="000E0847"/>
    <w:rsid w:val="001465F7"/>
    <w:rsid w:val="00147835"/>
    <w:rsid w:val="001510A1"/>
    <w:rsid w:val="00153673"/>
    <w:rsid w:val="00161896"/>
    <w:rsid w:val="00181BB2"/>
    <w:rsid w:val="00182951"/>
    <w:rsid w:val="0019241E"/>
    <w:rsid w:val="001A0B1A"/>
    <w:rsid w:val="001C4079"/>
    <w:rsid w:val="001F0EF9"/>
    <w:rsid w:val="001F5EB1"/>
    <w:rsid w:val="00203785"/>
    <w:rsid w:val="002115CA"/>
    <w:rsid w:val="0022108A"/>
    <w:rsid w:val="00223A60"/>
    <w:rsid w:val="00236293"/>
    <w:rsid w:val="00236874"/>
    <w:rsid w:val="00277DF9"/>
    <w:rsid w:val="0028307B"/>
    <w:rsid w:val="002A329D"/>
    <w:rsid w:val="002A67FB"/>
    <w:rsid w:val="002B2FE9"/>
    <w:rsid w:val="00344F6C"/>
    <w:rsid w:val="00347C75"/>
    <w:rsid w:val="00350481"/>
    <w:rsid w:val="003A676A"/>
    <w:rsid w:val="00417ADF"/>
    <w:rsid w:val="00422B65"/>
    <w:rsid w:val="00437AC0"/>
    <w:rsid w:val="004759B3"/>
    <w:rsid w:val="00494D5B"/>
    <w:rsid w:val="004A362E"/>
    <w:rsid w:val="004B7EEC"/>
    <w:rsid w:val="004C3504"/>
    <w:rsid w:val="004E14D3"/>
    <w:rsid w:val="004E2423"/>
    <w:rsid w:val="004E6331"/>
    <w:rsid w:val="004E7FD1"/>
    <w:rsid w:val="00527F7E"/>
    <w:rsid w:val="00550EBD"/>
    <w:rsid w:val="00556229"/>
    <w:rsid w:val="0056633D"/>
    <w:rsid w:val="00570117"/>
    <w:rsid w:val="005A2AB5"/>
    <w:rsid w:val="005B06F3"/>
    <w:rsid w:val="005D07C9"/>
    <w:rsid w:val="005D2F0A"/>
    <w:rsid w:val="005F5DA7"/>
    <w:rsid w:val="00615FD4"/>
    <w:rsid w:val="00617D61"/>
    <w:rsid w:val="00622E76"/>
    <w:rsid w:val="00666FC2"/>
    <w:rsid w:val="006B4644"/>
    <w:rsid w:val="006E10C4"/>
    <w:rsid w:val="006E544E"/>
    <w:rsid w:val="00737539"/>
    <w:rsid w:val="007464A3"/>
    <w:rsid w:val="00764B06"/>
    <w:rsid w:val="00777328"/>
    <w:rsid w:val="007930CD"/>
    <w:rsid w:val="007C788E"/>
    <w:rsid w:val="007D0BE9"/>
    <w:rsid w:val="0081185B"/>
    <w:rsid w:val="00817B5C"/>
    <w:rsid w:val="0082560D"/>
    <w:rsid w:val="00831169"/>
    <w:rsid w:val="00880DC5"/>
    <w:rsid w:val="008C3E7C"/>
    <w:rsid w:val="008C7D22"/>
    <w:rsid w:val="00911FA5"/>
    <w:rsid w:val="00912E9E"/>
    <w:rsid w:val="00914869"/>
    <w:rsid w:val="0092144D"/>
    <w:rsid w:val="00923B05"/>
    <w:rsid w:val="00936A9A"/>
    <w:rsid w:val="00971A47"/>
    <w:rsid w:val="00980387"/>
    <w:rsid w:val="009821DB"/>
    <w:rsid w:val="00991B4A"/>
    <w:rsid w:val="009921B5"/>
    <w:rsid w:val="009C002B"/>
    <w:rsid w:val="009C523F"/>
    <w:rsid w:val="009D3BEA"/>
    <w:rsid w:val="009F02C4"/>
    <w:rsid w:val="00A213B5"/>
    <w:rsid w:val="00A25F2C"/>
    <w:rsid w:val="00A43DFD"/>
    <w:rsid w:val="00A50AAF"/>
    <w:rsid w:val="00A51461"/>
    <w:rsid w:val="00A56EDF"/>
    <w:rsid w:val="00A70B74"/>
    <w:rsid w:val="00A868CA"/>
    <w:rsid w:val="00AC6627"/>
    <w:rsid w:val="00AD17A7"/>
    <w:rsid w:val="00AD7AF9"/>
    <w:rsid w:val="00AF6663"/>
    <w:rsid w:val="00B07AF8"/>
    <w:rsid w:val="00B14411"/>
    <w:rsid w:val="00B14DAA"/>
    <w:rsid w:val="00B177E5"/>
    <w:rsid w:val="00B33E37"/>
    <w:rsid w:val="00B33EA7"/>
    <w:rsid w:val="00B35587"/>
    <w:rsid w:val="00B46E12"/>
    <w:rsid w:val="00B473D3"/>
    <w:rsid w:val="00B66FB2"/>
    <w:rsid w:val="00B9323D"/>
    <w:rsid w:val="00BB3225"/>
    <w:rsid w:val="00BD6535"/>
    <w:rsid w:val="00BF31B9"/>
    <w:rsid w:val="00C07506"/>
    <w:rsid w:val="00C23275"/>
    <w:rsid w:val="00C24A35"/>
    <w:rsid w:val="00C25F1D"/>
    <w:rsid w:val="00C40198"/>
    <w:rsid w:val="00C452FF"/>
    <w:rsid w:val="00C751E5"/>
    <w:rsid w:val="00C75A55"/>
    <w:rsid w:val="00C93B03"/>
    <w:rsid w:val="00CB5E56"/>
    <w:rsid w:val="00CB78E8"/>
    <w:rsid w:val="00CF01F0"/>
    <w:rsid w:val="00D15BC9"/>
    <w:rsid w:val="00D3050E"/>
    <w:rsid w:val="00D509F3"/>
    <w:rsid w:val="00D778FD"/>
    <w:rsid w:val="00D83CF0"/>
    <w:rsid w:val="00DA054B"/>
    <w:rsid w:val="00DA3234"/>
    <w:rsid w:val="00DA41D3"/>
    <w:rsid w:val="00DA61DF"/>
    <w:rsid w:val="00DC1603"/>
    <w:rsid w:val="00DE4824"/>
    <w:rsid w:val="00DF3FC1"/>
    <w:rsid w:val="00DF4E93"/>
    <w:rsid w:val="00E12629"/>
    <w:rsid w:val="00E60465"/>
    <w:rsid w:val="00E84660"/>
    <w:rsid w:val="00EA007A"/>
    <w:rsid w:val="00EC5422"/>
    <w:rsid w:val="00ED5DA9"/>
    <w:rsid w:val="00EE5981"/>
    <w:rsid w:val="00F03489"/>
    <w:rsid w:val="00F050CE"/>
    <w:rsid w:val="00F51047"/>
    <w:rsid w:val="00F56314"/>
    <w:rsid w:val="00F62CAC"/>
    <w:rsid w:val="00F93E91"/>
    <w:rsid w:val="00FA7224"/>
    <w:rsid w:val="00FB5968"/>
    <w:rsid w:val="00FC7D25"/>
    <w:rsid w:val="00FE46C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A53A0"/>
  <w15:chartTrackingRefBased/>
  <w15:docId w15:val="{C0D8921F-B3FC-42D8-BF7C-288FA9250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E12"/>
    <w:pPr>
      <w:spacing w:before="120" w:after="121" w:line="360" w:lineRule="auto"/>
      <w:ind w:left="10" w:right="107" w:hanging="10"/>
      <w:jc w:val="both"/>
    </w:pPr>
    <w:rPr>
      <w:rFonts w:ascii="Times New Roman" w:eastAsia="Arial" w:hAnsi="Times New Roman" w:cs="Arial"/>
      <w:color w:val="000000"/>
      <w:sz w:val="24"/>
    </w:rPr>
  </w:style>
  <w:style w:type="paragraph" w:styleId="Heading1">
    <w:name w:val="heading 1"/>
    <w:basedOn w:val="Normal"/>
    <w:next w:val="Normal"/>
    <w:link w:val="Heading1Char"/>
    <w:uiPriority w:val="9"/>
    <w:qFormat/>
    <w:rsid w:val="008C3E7C"/>
    <w:pPr>
      <w:keepNext/>
      <w:keepLines/>
      <w:spacing w:before="36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C3E7C"/>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8C3E7C"/>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E7C"/>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8C3E7C"/>
    <w:rPr>
      <w:rFonts w:ascii="Times New Roman" w:eastAsiaTheme="majorEastAsia" w:hAnsi="Times New Roman" w:cstheme="majorBidi"/>
      <w:b/>
      <w:color w:val="4472C4" w:themeColor="accent1"/>
      <w:sz w:val="26"/>
      <w:szCs w:val="26"/>
    </w:rPr>
  </w:style>
  <w:style w:type="character" w:customStyle="1" w:styleId="Heading3Char">
    <w:name w:val="Heading 3 Char"/>
    <w:basedOn w:val="DefaultParagraphFont"/>
    <w:link w:val="Heading3"/>
    <w:uiPriority w:val="9"/>
    <w:rsid w:val="008C3E7C"/>
    <w:rPr>
      <w:rFonts w:ascii="Times New Roman" w:eastAsiaTheme="majorEastAsia" w:hAnsi="Times New Roman" w:cstheme="majorBidi"/>
      <w:b/>
      <w:color w:val="000000" w:themeColor="text1"/>
      <w:sz w:val="24"/>
      <w:szCs w:val="24"/>
    </w:rPr>
  </w:style>
  <w:style w:type="character" w:customStyle="1" w:styleId="mntl-sc-block-headingtext">
    <w:name w:val="mntl-sc-block-heading__text"/>
    <w:basedOn w:val="DefaultParagraphFont"/>
    <w:rsid w:val="001A0B1A"/>
  </w:style>
  <w:style w:type="paragraph" w:customStyle="1" w:styleId="comp">
    <w:name w:val="comp"/>
    <w:basedOn w:val="Normal"/>
    <w:rsid w:val="001A0B1A"/>
    <w:pPr>
      <w:spacing w:before="100" w:beforeAutospacing="1" w:after="100" w:afterAutospacing="1" w:line="240" w:lineRule="auto"/>
      <w:ind w:left="0" w:right="0" w:firstLine="0"/>
      <w:jc w:val="left"/>
    </w:pPr>
    <w:rPr>
      <w:rFonts w:eastAsia="Times New Roman" w:cs="Times New Roman"/>
      <w:color w:val="auto"/>
      <w:szCs w:val="24"/>
    </w:rPr>
  </w:style>
  <w:style w:type="character" w:styleId="Hyperlink">
    <w:name w:val="Hyperlink"/>
    <w:basedOn w:val="DefaultParagraphFont"/>
    <w:uiPriority w:val="99"/>
    <w:unhideWhenUsed/>
    <w:rsid w:val="001A0B1A"/>
    <w:rPr>
      <w:color w:val="0000FF"/>
      <w:u w:val="single"/>
    </w:rPr>
  </w:style>
  <w:style w:type="character" w:styleId="Strong">
    <w:name w:val="Strong"/>
    <w:basedOn w:val="DefaultParagraphFont"/>
    <w:uiPriority w:val="22"/>
    <w:qFormat/>
    <w:rsid w:val="001A0B1A"/>
    <w:rPr>
      <w:b/>
      <w:bCs/>
    </w:rPr>
  </w:style>
  <w:style w:type="character" w:customStyle="1" w:styleId="mntl-sc-block-subheadingtext">
    <w:name w:val="mntl-sc-block-subheading__text"/>
    <w:basedOn w:val="DefaultParagraphFont"/>
    <w:rsid w:val="001A0B1A"/>
  </w:style>
  <w:style w:type="paragraph" w:styleId="ListParagraph">
    <w:name w:val="List Paragraph"/>
    <w:basedOn w:val="Normal"/>
    <w:uiPriority w:val="34"/>
    <w:qFormat/>
    <w:rsid w:val="00277DF9"/>
    <w:pPr>
      <w:ind w:left="720"/>
      <w:contextualSpacing/>
    </w:pPr>
  </w:style>
  <w:style w:type="paragraph" w:styleId="Header">
    <w:name w:val="header"/>
    <w:basedOn w:val="Normal"/>
    <w:link w:val="HeaderChar"/>
    <w:uiPriority w:val="99"/>
    <w:unhideWhenUsed/>
    <w:rsid w:val="00B46E1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46E12"/>
    <w:rPr>
      <w:rFonts w:ascii="Times New Roman" w:eastAsia="Arial" w:hAnsi="Times New Roman" w:cs="Arial"/>
      <w:color w:val="000000"/>
      <w:sz w:val="24"/>
    </w:rPr>
  </w:style>
  <w:style w:type="paragraph" w:styleId="Footer">
    <w:name w:val="footer"/>
    <w:basedOn w:val="Normal"/>
    <w:link w:val="FooterChar"/>
    <w:uiPriority w:val="99"/>
    <w:unhideWhenUsed/>
    <w:rsid w:val="00B46E1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46E12"/>
    <w:rPr>
      <w:rFonts w:ascii="Times New Roman" w:eastAsia="Arial" w:hAnsi="Times New Roman" w:cs="Arial"/>
      <w:color w:val="000000"/>
      <w:sz w:val="24"/>
    </w:rPr>
  </w:style>
  <w:style w:type="paragraph" w:styleId="TOCHeading">
    <w:name w:val="TOC Heading"/>
    <w:basedOn w:val="Heading1"/>
    <w:next w:val="Normal"/>
    <w:uiPriority w:val="39"/>
    <w:unhideWhenUsed/>
    <w:qFormat/>
    <w:rsid w:val="00B46E12"/>
    <w:pPr>
      <w:spacing w:before="240" w:after="0" w:line="259" w:lineRule="auto"/>
      <w:ind w:left="0" w:right="0" w:firstLine="0"/>
      <w:jc w:val="left"/>
      <w:outlineLvl w:val="9"/>
    </w:pPr>
    <w:rPr>
      <w:rFonts w:asciiTheme="majorHAnsi" w:hAnsiTheme="majorHAnsi"/>
      <w:b w:val="0"/>
    </w:rPr>
  </w:style>
  <w:style w:type="paragraph" w:styleId="TOC1">
    <w:name w:val="toc 1"/>
    <w:basedOn w:val="Normal"/>
    <w:next w:val="Normal"/>
    <w:autoRedefine/>
    <w:uiPriority w:val="39"/>
    <w:unhideWhenUsed/>
    <w:rsid w:val="00B46E12"/>
    <w:pPr>
      <w:spacing w:after="100"/>
      <w:ind w:left="0"/>
    </w:pPr>
  </w:style>
  <w:style w:type="paragraph" w:styleId="TOC2">
    <w:name w:val="toc 2"/>
    <w:basedOn w:val="Normal"/>
    <w:next w:val="Normal"/>
    <w:autoRedefine/>
    <w:uiPriority w:val="39"/>
    <w:unhideWhenUsed/>
    <w:rsid w:val="00B46E12"/>
    <w:pPr>
      <w:spacing w:after="100"/>
      <w:ind w:left="240"/>
    </w:pPr>
  </w:style>
  <w:style w:type="table" w:styleId="TableGrid">
    <w:name w:val="Table Grid"/>
    <w:basedOn w:val="TableNormal"/>
    <w:uiPriority w:val="39"/>
    <w:rsid w:val="0022108A"/>
    <w:pPr>
      <w:spacing w:after="0" w:line="240" w:lineRule="auto"/>
    </w:pPr>
    <w:rPr>
      <w:rFonts w:ascii="Calibri" w:eastAsia="Calibri" w:hAnsi="Calibri" w:cs="Vrind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880DC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5">
    <w:name w:val="Grid Table 4 Accent 5"/>
    <w:basedOn w:val="TableNormal"/>
    <w:uiPriority w:val="49"/>
    <w:rsid w:val="00880DC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0758">
      <w:bodyDiv w:val="1"/>
      <w:marLeft w:val="0"/>
      <w:marRight w:val="0"/>
      <w:marTop w:val="0"/>
      <w:marBottom w:val="0"/>
      <w:divBdr>
        <w:top w:val="none" w:sz="0" w:space="0" w:color="auto"/>
        <w:left w:val="none" w:sz="0" w:space="0" w:color="auto"/>
        <w:bottom w:val="none" w:sz="0" w:space="0" w:color="auto"/>
        <w:right w:val="none" w:sz="0" w:space="0" w:color="auto"/>
      </w:divBdr>
    </w:div>
    <w:div w:id="551498760">
      <w:bodyDiv w:val="1"/>
      <w:marLeft w:val="0"/>
      <w:marRight w:val="0"/>
      <w:marTop w:val="0"/>
      <w:marBottom w:val="0"/>
      <w:divBdr>
        <w:top w:val="none" w:sz="0" w:space="0" w:color="auto"/>
        <w:left w:val="none" w:sz="0" w:space="0" w:color="auto"/>
        <w:bottom w:val="none" w:sz="0" w:space="0" w:color="auto"/>
        <w:right w:val="none" w:sz="0" w:space="0" w:color="auto"/>
      </w:divBdr>
    </w:div>
    <w:div w:id="595985353">
      <w:bodyDiv w:val="1"/>
      <w:marLeft w:val="0"/>
      <w:marRight w:val="0"/>
      <w:marTop w:val="0"/>
      <w:marBottom w:val="0"/>
      <w:divBdr>
        <w:top w:val="none" w:sz="0" w:space="0" w:color="auto"/>
        <w:left w:val="none" w:sz="0" w:space="0" w:color="auto"/>
        <w:bottom w:val="none" w:sz="0" w:space="0" w:color="auto"/>
        <w:right w:val="none" w:sz="0" w:space="0" w:color="auto"/>
      </w:divBdr>
    </w:div>
    <w:div w:id="1244486322">
      <w:bodyDiv w:val="1"/>
      <w:marLeft w:val="0"/>
      <w:marRight w:val="0"/>
      <w:marTop w:val="0"/>
      <w:marBottom w:val="0"/>
      <w:divBdr>
        <w:top w:val="none" w:sz="0" w:space="0" w:color="auto"/>
        <w:left w:val="none" w:sz="0" w:space="0" w:color="auto"/>
        <w:bottom w:val="none" w:sz="0" w:space="0" w:color="auto"/>
        <w:right w:val="none" w:sz="0" w:space="0" w:color="auto"/>
      </w:divBdr>
    </w:div>
    <w:div w:id="1521314728">
      <w:bodyDiv w:val="1"/>
      <w:marLeft w:val="0"/>
      <w:marRight w:val="0"/>
      <w:marTop w:val="0"/>
      <w:marBottom w:val="0"/>
      <w:divBdr>
        <w:top w:val="none" w:sz="0" w:space="0" w:color="auto"/>
        <w:left w:val="none" w:sz="0" w:space="0" w:color="auto"/>
        <w:bottom w:val="none" w:sz="0" w:space="0" w:color="auto"/>
        <w:right w:val="none" w:sz="0" w:space="0" w:color="auto"/>
      </w:divBdr>
    </w:div>
    <w:div w:id="199105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6EC56-09D8-440F-8032-A51B39CE6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Roussev</dc:creator>
  <cp:keywords/>
  <dc:description/>
  <cp:lastModifiedBy>Mihail Roussev</cp:lastModifiedBy>
  <cp:revision>2</cp:revision>
  <dcterms:created xsi:type="dcterms:W3CDTF">2022-08-26T12:44:00Z</dcterms:created>
  <dcterms:modified xsi:type="dcterms:W3CDTF">2022-08-26T12:44:00Z</dcterms:modified>
</cp:coreProperties>
</file>