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B858B9" w14:textId="78FA092B" w:rsidR="006D5BAD" w:rsidRDefault="00093523">
      <w:pPr>
        <w:rPr>
          <w:rFonts w:ascii="Arial" w:hAnsi="Arial" w:cs="Arial"/>
          <w:sz w:val="40"/>
          <w:szCs w:val="40"/>
        </w:rPr>
      </w:pPr>
      <w:r w:rsidRPr="00093523">
        <w:rPr>
          <w:rFonts w:ascii="Arial" w:hAnsi="Arial" w:cs="Arial"/>
          <w:b/>
          <w:bCs/>
          <w:sz w:val="40"/>
          <w:szCs w:val="40"/>
        </w:rPr>
        <w:t>UNIVERSITY OF WALES TRINITY SAINT DAVID</w:t>
      </w:r>
    </w:p>
    <w:p w14:paraId="2B3EA18C" w14:textId="1CC83321" w:rsidR="00093523" w:rsidRDefault="00093523">
      <w:pPr>
        <w:rPr>
          <w:rFonts w:ascii="Arial" w:hAnsi="Arial" w:cs="Arial"/>
          <w:sz w:val="40"/>
          <w:szCs w:val="40"/>
        </w:rPr>
      </w:pPr>
    </w:p>
    <w:p w14:paraId="475E4677" w14:textId="06C21608" w:rsidR="00093523" w:rsidRDefault="00093523">
      <w:pPr>
        <w:rPr>
          <w:rFonts w:ascii="Arial" w:hAnsi="Arial" w:cs="Arial"/>
          <w:sz w:val="40"/>
          <w:szCs w:val="40"/>
        </w:rPr>
      </w:pPr>
    </w:p>
    <w:p w14:paraId="5ED3D95E" w14:textId="078F3F83" w:rsidR="00093523" w:rsidRDefault="00093523">
      <w:pPr>
        <w:rPr>
          <w:rFonts w:ascii="Arial" w:hAnsi="Arial" w:cs="Arial"/>
          <w:sz w:val="40"/>
          <w:szCs w:val="40"/>
        </w:rPr>
      </w:pPr>
    </w:p>
    <w:p w14:paraId="1D84445B" w14:textId="77777777" w:rsidR="00C5153A" w:rsidRDefault="00C5153A">
      <w:pPr>
        <w:rPr>
          <w:rFonts w:ascii="Arial" w:hAnsi="Arial" w:cs="Arial"/>
          <w:sz w:val="40"/>
          <w:szCs w:val="40"/>
        </w:rPr>
      </w:pPr>
    </w:p>
    <w:p w14:paraId="367E69E4" w14:textId="44A6EF56" w:rsidR="00093523" w:rsidRDefault="00093523">
      <w:pPr>
        <w:rPr>
          <w:rFonts w:ascii="Arial" w:hAnsi="Arial" w:cs="Arial"/>
          <w:sz w:val="36"/>
          <w:szCs w:val="36"/>
        </w:rPr>
      </w:pPr>
      <w:r w:rsidRPr="00093523">
        <w:rPr>
          <w:rFonts w:ascii="Arial" w:hAnsi="Arial" w:cs="Arial"/>
          <w:sz w:val="36"/>
          <w:szCs w:val="36"/>
        </w:rPr>
        <w:t>STUDENT NAME: VASILICA GEORGIANA ANDREI</w:t>
      </w:r>
    </w:p>
    <w:p w14:paraId="53388404" w14:textId="3FB0AB36" w:rsidR="00093523" w:rsidRDefault="00093523">
      <w:pPr>
        <w:rPr>
          <w:rFonts w:ascii="Arial" w:hAnsi="Arial" w:cs="Arial"/>
          <w:sz w:val="36"/>
          <w:szCs w:val="36"/>
        </w:rPr>
      </w:pPr>
      <w:r>
        <w:rPr>
          <w:rFonts w:ascii="Arial" w:hAnsi="Arial" w:cs="Arial"/>
          <w:sz w:val="36"/>
          <w:szCs w:val="36"/>
        </w:rPr>
        <w:t>STUDENT NUMBER: 1815340</w:t>
      </w:r>
    </w:p>
    <w:p w14:paraId="77A50DAE" w14:textId="763F20A3" w:rsidR="00093523" w:rsidRDefault="00093523">
      <w:pPr>
        <w:rPr>
          <w:rFonts w:ascii="Arial" w:hAnsi="Arial" w:cs="Arial"/>
          <w:sz w:val="36"/>
          <w:szCs w:val="36"/>
        </w:rPr>
      </w:pPr>
    </w:p>
    <w:p w14:paraId="6ED3F54A" w14:textId="7DA3583B" w:rsidR="00C5153A" w:rsidRDefault="00C5153A">
      <w:pPr>
        <w:rPr>
          <w:rFonts w:ascii="Arial" w:hAnsi="Arial" w:cs="Arial"/>
          <w:sz w:val="36"/>
          <w:szCs w:val="36"/>
        </w:rPr>
      </w:pPr>
      <w:r>
        <w:rPr>
          <w:rFonts w:ascii="Arial" w:hAnsi="Arial" w:cs="Arial"/>
          <w:sz w:val="36"/>
          <w:szCs w:val="36"/>
        </w:rPr>
        <w:t>ASSIGNMENT TITLE: GATSBY GRANGE</w:t>
      </w:r>
    </w:p>
    <w:p w14:paraId="43B28BDC" w14:textId="33AC3E41" w:rsidR="00093523" w:rsidRDefault="00093523">
      <w:pPr>
        <w:rPr>
          <w:rFonts w:ascii="Arial" w:hAnsi="Arial" w:cs="Arial"/>
          <w:sz w:val="36"/>
          <w:szCs w:val="36"/>
        </w:rPr>
      </w:pPr>
    </w:p>
    <w:p w14:paraId="71DD1A74" w14:textId="7E7CC897" w:rsidR="00093523" w:rsidRDefault="00093523">
      <w:pPr>
        <w:rPr>
          <w:rFonts w:ascii="Arial" w:hAnsi="Arial" w:cs="Arial"/>
          <w:sz w:val="36"/>
          <w:szCs w:val="36"/>
        </w:rPr>
      </w:pPr>
      <w:r>
        <w:rPr>
          <w:rFonts w:ascii="Arial" w:hAnsi="Arial" w:cs="Arial"/>
          <w:sz w:val="36"/>
          <w:szCs w:val="36"/>
        </w:rPr>
        <w:t>LECTURER NAME: DAVID JENKINS</w:t>
      </w:r>
    </w:p>
    <w:p w14:paraId="14283E1F" w14:textId="66E3E913" w:rsidR="00C5153A" w:rsidRDefault="00C5153A">
      <w:pPr>
        <w:rPr>
          <w:rFonts w:ascii="Arial" w:hAnsi="Arial" w:cs="Arial"/>
          <w:sz w:val="36"/>
          <w:szCs w:val="36"/>
        </w:rPr>
      </w:pPr>
    </w:p>
    <w:p w14:paraId="5071787C" w14:textId="2C280D2E" w:rsidR="00C5153A" w:rsidRDefault="00C5153A">
      <w:pPr>
        <w:rPr>
          <w:rFonts w:ascii="Arial" w:hAnsi="Arial" w:cs="Arial"/>
          <w:sz w:val="36"/>
          <w:szCs w:val="36"/>
        </w:rPr>
      </w:pPr>
    </w:p>
    <w:p w14:paraId="178E7947" w14:textId="4FCF4AEB" w:rsidR="00C5153A" w:rsidRDefault="00C5153A">
      <w:pPr>
        <w:rPr>
          <w:rFonts w:ascii="Arial" w:hAnsi="Arial" w:cs="Arial"/>
          <w:sz w:val="36"/>
          <w:szCs w:val="36"/>
        </w:rPr>
      </w:pPr>
    </w:p>
    <w:p w14:paraId="5E7A0711" w14:textId="0A6DEE05" w:rsidR="00C5153A" w:rsidRDefault="00C5153A">
      <w:pPr>
        <w:rPr>
          <w:rFonts w:ascii="Arial" w:hAnsi="Arial" w:cs="Arial"/>
          <w:sz w:val="36"/>
          <w:szCs w:val="36"/>
        </w:rPr>
      </w:pPr>
    </w:p>
    <w:p w14:paraId="3650FD4D" w14:textId="5C123163" w:rsidR="00C5153A" w:rsidRDefault="00C5153A">
      <w:pPr>
        <w:rPr>
          <w:rFonts w:ascii="Arial" w:hAnsi="Arial" w:cs="Arial"/>
          <w:sz w:val="36"/>
          <w:szCs w:val="36"/>
        </w:rPr>
      </w:pPr>
    </w:p>
    <w:p w14:paraId="40FD8891" w14:textId="596D0834" w:rsidR="00C5153A" w:rsidRDefault="00C5153A">
      <w:pPr>
        <w:rPr>
          <w:rFonts w:ascii="Arial" w:hAnsi="Arial" w:cs="Arial"/>
          <w:sz w:val="36"/>
          <w:szCs w:val="36"/>
        </w:rPr>
      </w:pPr>
    </w:p>
    <w:p w14:paraId="46E09173" w14:textId="3038CB76" w:rsidR="00C5153A" w:rsidRDefault="00C5153A">
      <w:pPr>
        <w:rPr>
          <w:rFonts w:ascii="Arial" w:hAnsi="Arial" w:cs="Arial"/>
          <w:sz w:val="36"/>
          <w:szCs w:val="36"/>
        </w:rPr>
      </w:pPr>
    </w:p>
    <w:p w14:paraId="0DE229D0" w14:textId="386AD007" w:rsidR="00C5153A" w:rsidRDefault="00C5153A">
      <w:pPr>
        <w:rPr>
          <w:rFonts w:ascii="Arial" w:hAnsi="Arial" w:cs="Arial"/>
          <w:sz w:val="36"/>
          <w:szCs w:val="36"/>
        </w:rPr>
      </w:pPr>
    </w:p>
    <w:p w14:paraId="74BB709C" w14:textId="55DC093B" w:rsidR="00C5153A" w:rsidRDefault="00C5153A">
      <w:pPr>
        <w:rPr>
          <w:rFonts w:ascii="Arial" w:hAnsi="Arial" w:cs="Arial"/>
          <w:sz w:val="36"/>
          <w:szCs w:val="36"/>
        </w:rPr>
      </w:pPr>
    </w:p>
    <w:p w14:paraId="755B004F" w14:textId="3734E783" w:rsidR="00C5153A" w:rsidRDefault="00C5153A">
      <w:pPr>
        <w:rPr>
          <w:rFonts w:ascii="Arial" w:hAnsi="Arial" w:cs="Arial"/>
          <w:sz w:val="36"/>
          <w:szCs w:val="36"/>
        </w:rPr>
      </w:pPr>
    </w:p>
    <w:p w14:paraId="3F4F5D1F" w14:textId="62B456B6" w:rsidR="002C1DE7" w:rsidRDefault="002C1DE7">
      <w:pPr>
        <w:rPr>
          <w:rFonts w:ascii="Arial" w:hAnsi="Arial" w:cs="Arial"/>
          <w:sz w:val="36"/>
          <w:szCs w:val="36"/>
        </w:rPr>
      </w:pPr>
    </w:p>
    <w:p w14:paraId="7B7087C0" w14:textId="318C42E7" w:rsidR="002C1DE7" w:rsidRDefault="00622DC5" w:rsidP="008D61C6">
      <w:pPr>
        <w:jc w:val="center"/>
        <w:rPr>
          <w:rFonts w:ascii="Arial" w:hAnsi="Arial" w:cs="Arial"/>
          <w:sz w:val="36"/>
          <w:szCs w:val="36"/>
        </w:rPr>
      </w:pPr>
      <w:r>
        <w:rPr>
          <w:rFonts w:ascii="Arial" w:hAnsi="Arial" w:cs="Arial"/>
          <w:sz w:val="36"/>
          <w:szCs w:val="36"/>
        </w:rPr>
        <w:lastRenderedPageBreak/>
        <w:t>Table of c</w:t>
      </w:r>
      <w:r w:rsidR="002C1DE7" w:rsidRPr="002C1DE7">
        <w:rPr>
          <w:rFonts w:ascii="Arial" w:hAnsi="Arial" w:cs="Arial"/>
          <w:sz w:val="36"/>
          <w:szCs w:val="36"/>
        </w:rPr>
        <w:t>ontents</w:t>
      </w:r>
    </w:p>
    <w:p w14:paraId="12504007" w14:textId="421CF768" w:rsidR="008D61C6" w:rsidRDefault="008D61C6" w:rsidP="008D61C6">
      <w:pPr>
        <w:jc w:val="center"/>
        <w:rPr>
          <w:rFonts w:ascii="Arial" w:hAnsi="Arial" w:cs="Arial"/>
          <w:sz w:val="36"/>
          <w:szCs w:val="36"/>
        </w:rPr>
      </w:pPr>
    </w:p>
    <w:p w14:paraId="6C4C2898" w14:textId="40BE4AED" w:rsidR="000E2436" w:rsidRDefault="000E2436" w:rsidP="008D61C6">
      <w:pPr>
        <w:jc w:val="center"/>
        <w:rPr>
          <w:rFonts w:ascii="Arial" w:hAnsi="Arial" w:cs="Arial"/>
          <w:sz w:val="36"/>
          <w:szCs w:val="36"/>
        </w:rPr>
      </w:pPr>
    </w:p>
    <w:p w14:paraId="5F4D3BBD" w14:textId="77777777" w:rsidR="000E2436" w:rsidRPr="002C1DE7" w:rsidRDefault="000E2436" w:rsidP="008D61C6">
      <w:pPr>
        <w:jc w:val="center"/>
        <w:rPr>
          <w:rFonts w:ascii="Arial" w:hAnsi="Arial" w:cs="Arial"/>
          <w:sz w:val="36"/>
          <w:szCs w:val="36"/>
        </w:rPr>
      </w:pPr>
    </w:p>
    <w:p w14:paraId="2714B89A" w14:textId="2DA53CD0" w:rsidR="002C1DE7" w:rsidRPr="002C1DE7" w:rsidRDefault="002C1DE7" w:rsidP="002C1DE7">
      <w:pPr>
        <w:rPr>
          <w:rFonts w:ascii="Arial" w:hAnsi="Arial" w:cs="Arial"/>
          <w:sz w:val="36"/>
          <w:szCs w:val="36"/>
        </w:rPr>
      </w:pPr>
      <w:r w:rsidRPr="002C1DE7">
        <w:rPr>
          <w:rFonts w:ascii="Arial" w:hAnsi="Arial" w:cs="Arial"/>
          <w:sz w:val="36"/>
          <w:szCs w:val="36"/>
        </w:rPr>
        <w:t>E</w:t>
      </w:r>
      <w:r w:rsidR="009748CA">
        <w:rPr>
          <w:rFonts w:ascii="Arial" w:hAnsi="Arial" w:cs="Arial"/>
          <w:sz w:val="36"/>
          <w:szCs w:val="36"/>
        </w:rPr>
        <w:t xml:space="preserve">xecutive </w:t>
      </w:r>
      <w:proofErr w:type="gramStart"/>
      <w:r w:rsidR="009748CA">
        <w:rPr>
          <w:rFonts w:ascii="Arial" w:hAnsi="Arial" w:cs="Arial"/>
          <w:sz w:val="36"/>
          <w:szCs w:val="36"/>
        </w:rPr>
        <w:t>summary..</w:t>
      </w:r>
      <w:proofErr w:type="gramEnd"/>
      <w:r w:rsidR="008D61C6">
        <w:rPr>
          <w:rFonts w:ascii="Arial" w:hAnsi="Arial" w:cs="Arial"/>
          <w:sz w:val="36"/>
          <w:szCs w:val="36"/>
        </w:rPr>
        <w:t>………………………………...</w:t>
      </w:r>
      <w:r w:rsidR="009748CA">
        <w:rPr>
          <w:rFonts w:ascii="Arial" w:hAnsi="Arial" w:cs="Arial"/>
          <w:sz w:val="36"/>
          <w:szCs w:val="36"/>
        </w:rPr>
        <w:t>.....</w:t>
      </w:r>
      <w:r w:rsidRPr="002C1DE7">
        <w:rPr>
          <w:rFonts w:ascii="Arial" w:hAnsi="Arial" w:cs="Arial"/>
          <w:sz w:val="36"/>
          <w:szCs w:val="36"/>
        </w:rPr>
        <w:tab/>
      </w:r>
      <w:r w:rsidR="009748CA">
        <w:rPr>
          <w:rFonts w:ascii="Arial" w:hAnsi="Arial" w:cs="Arial"/>
          <w:sz w:val="36"/>
          <w:szCs w:val="36"/>
        </w:rPr>
        <w:t>3</w:t>
      </w:r>
    </w:p>
    <w:p w14:paraId="60FABC7E" w14:textId="748AC4A5" w:rsidR="002C1DE7" w:rsidRPr="002C1DE7" w:rsidRDefault="002C1DE7" w:rsidP="002C1DE7">
      <w:pPr>
        <w:rPr>
          <w:rFonts w:ascii="Arial" w:hAnsi="Arial" w:cs="Arial"/>
          <w:sz w:val="36"/>
          <w:szCs w:val="36"/>
        </w:rPr>
      </w:pPr>
      <w:r w:rsidRPr="002C1DE7">
        <w:rPr>
          <w:rFonts w:ascii="Arial" w:hAnsi="Arial" w:cs="Arial"/>
          <w:sz w:val="36"/>
          <w:szCs w:val="36"/>
        </w:rPr>
        <w:t>I</w:t>
      </w:r>
      <w:r w:rsidR="009748CA">
        <w:rPr>
          <w:rFonts w:ascii="Arial" w:hAnsi="Arial" w:cs="Arial"/>
          <w:sz w:val="36"/>
          <w:szCs w:val="36"/>
        </w:rPr>
        <w:t>ntroduction…</w:t>
      </w:r>
      <w:proofErr w:type="gramStart"/>
      <w:r w:rsidR="009748CA">
        <w:rPr>
          <w:rFonts w:ascii="Arial" w:hAnsi="Arial" w:cs="Arial"/>
          <w:sz w:val="36"/>
          <w:szCs w:val="36"/>
        </w:rPr>
        <w:t>…..</w:t>
      </w:r>
      <w:proofErr w:type="gramEnd"/>
      <w:r w:rsidR="008D61C6">
        <w:rPr>
          <w:rFonts w:ascii="Arial" w:hAnsi="Arial" w:cs="Arial"/>
          <w:sz w:val="36"/>
          <w:szCs w:val="36"/>
        </w:rPr>
        <w:t>…………………………………………</w:t>
      </w:r>
      <w:r w:rsidR="009748CA">
        <w:rPr>
          <w:rFonts w:ascii="Arial" w:hAnsi="Arial" w:cs="Arial"/>
          <w:sz w:val="36"/>
          <w:szCs w:val="36"/>
        </w:rPr>
        <w:t>3</w:t>
      </w:r>
    </w:p>
    <w:p w14:paraId="0E1E11BB" w14:textId="798B35CC" w:rsidR="002C1DE7" w:rsidRDefault="002C1DE7" w:rsidP="002C1DE7">
      <w:pPr>
        <w:rPr>
          <w:rFonts w:ascii="Arial" w:hAnsi="Arial" w:cs="Arial"/>
          <w:sz w:val="36"/>
          <w:szCs w:val="36"/>
        </w:rPr>
      </w:pPr>
      <w:r w:rsidRPr="002C1DE7">
        <w:rPr>
          <w:rFonts w:ascii="Arial" w:hAnsi="Arial" w:cs="Arial"/>
          <w:sz w:val="36"/>
          <w:szCs w:val="36"/>
        </w:rPr>
        <w:t>M</w:t>
      </w:r>
      <w:r w:rsidR="009748CA">
        <w:rPr>
          <w:rFonts w:ascii="Arial" w:hAnsi="Arial" w:cs="Arial"/>
          <w:sz w:val="36"/>
          <w:szCs w:val="36"/>
        </w:rPr>
        <w:t>ain body</w:t>
      </w:r>
      <w:r w:rsidR="008D61C6">
        <w:rPr>
          <w:rFonts w:ascii="Arial" w:hAnsi="Arial" w:cs="Arial"/>
          <w:sz w:val="36"/>
          <w:szCs w:val="36"/>
        </w:rPr>
        <w:t>……………………………………………….</w:t>
      </w:r>
      <w:r w:rsidRPr="002C1DE7">
        <w:rPr>
          <w:rFonts w:ascii="Arial" w:hAnsi="Arial" w:cs="Arial"/>
          <w:sz w:val="36"/>
          <w:szCs w:val="36"/>
        </w:rPr>
        <w:tab/>
      </w:r>
      <w:r w:rsidR="009748CA">
        <w:rPr>
          <w:rFonts w:ascii="Arial" w:hAnsi="Arial" w:cs="Arial"/>
          <w:sz w:val="36"/>
          <w:szCs w:val="36"/>
        </w:rPr>
        <w:t>3</w:t>
      </w:r>
    </w:p>
    <w:p w14:paraId="2AFF8B0D" w14:textId="681D5C16" w:rsidR="008D61C6" w:rsidRDefault="008D61C6" w:rsidP="008D61C6">
      <w:pPr>
        <w:pStyle w:val="ListParagraph"/>
        <w:numPr>
          <w:ilvl w:val="0"/>
          <w:numId w:val="1"/>
        </w:numPr>
        <w:rPr>
          <w:rFonts w:ascii="Arial" w:hAnsi="Arial" w:cs="Arial"/>
          <w:sz w:val="36"/>
          <w:szCs w:val="36"/>
        </w:rPr>
      </w:pPr>
      <w:r w:rsidRPr="008D61C6">
        <w:rPr>
          <w:rFonts w:ascii="Arial" w:hAnsi="Arial" w:cs="Arial"/>
          <w:sz w:val="36"/>
          <w:szCs w:val="36"/>
        </w:rPr>
        <w:t>Calculation and analysis of financial information on the basis of ratio analysis</w:t>
      </w:r>
      <w:r w:rsidR="009748CA">
        <w:rPr>
          <w:rFonts w:ascii="Arial" w:hAnsi="Arial" w:cs="Arial"/>
          <w:sz w:val="36"/>
          <w:szCs w:val="36"/>
        </w:rPr>
        <w:t>………………………</w:t>
      </w:r>
      <w:proofErr w:type="gramStart"/>
      <w:r w:rsidR="009748CA">
        <w:rPr>
          <w:rFonts w:ascii="Arial" w:hAnsi="Arial" w:cs="Arial"/>
          <w:sz w:val="36"/>
          <w:szCs w:val="36"/>
        </w:rPr>
        <w:t>…..</w:t>
      </w:r>
      <w:proofErr w:type="gramEnd"/>
      <w:r w:rsidR="009748CA">
        <w:rPr>
          <w:rFonts w:ascii="Arial" w:hAnsi="Arial" w:cs="Arial"/>
          <w:sz w:val="36"/>
          <w:szCs w:val="36"/>
        </w:rPr>
        <w:t>3</w:t>
      </w:r>
    </w:p>
    <w:p w14:paraId="6993571E" w14:textId="6A940DF6" w:rsidR="008D61C6" w:rsidRDefault="008D61C6" w:rsidP="008D61C6">
      <w:pPr>
        <w:pStyle w:val="ListParagraph"/>
        <w:numPr>
          <w:ilvl w:val="0"/>
          <w:numId w:val="1"/>
        </w:numPr>
        <w:rPr>
          <w:rFonts w:ascii="Arial" w:hAnsi="Arial" w:cs="Arial"/>
          <w:sz w:val="36"/>
          <w:szCs w:val="36"/>
        </w:rPr>
      </w:pPr>
      <w:r w:rsidRPr="008D61C6">
        <w:rPr>
          <w:rFonts w:ascii="Arial" w:hAnsi="Arial" w:cs="Arial"/>
          <w:sz w:val="36"/>
          <w:szCs w:val="36"/>
        </w:rPr>
        <w:t>Why understanding of ratio analysis is important</w:t>
      </w:r>
      <w:r w:rsidR="000E2436">
        <w:rPr>
          <w:rFonts w:ascii="Arial" w:hAnsi="Arial" w:cs="Arial"/>
          <w:sz w:val="36"/>
          <w:szCs w:val="36"/>
        </w:rPr>
        <w:t>…</w:t>
      </w:r>
      <w:r w:rsidR="00530775">
        <w:rPr>
          <w:rFonts w:ascii="Arial" w:hAnsi="Arial" w:cs="Arial"/>
          <w:sz w:val="36"/>
          <w:szCs w:val="36"/>
        </w:rPr>
        <w:t>……………………………………………</w:t>
      </w:r>
      <w:proofErr w:type="gramStart"/>
      <w:r w:rsidR="00530775">
        <w:rPr>
          <w:rFonts w:ascii="Arial" w:hAnsi="Arial" w:cs="Arial"/>
          <w:sz w:val="36"/>
          <w:szCs w:val="36"/>
        </w:rPr>
        <w:t>8</w:t>
      </w:r>
      <w:proofErr w:type="gramEnd"/>
    </w:p>
    <w:p w14:paraId="1AA412E5" w14:textId="054202D6" w:rsidR="008D61C6" w:rsidRDefault="000E2436" w:rsidP="008D61C6">
      <w:pPr>
        <w:pStyle w:val="ListParagraph"/>
        <w:numPr>
          <w:ilvl w:val="0"/>
          <w:numId w:val="1"/>
        </w:numPr>
        <w:rPr>
          <w:rFonts w:ascii="Arial" w:hAnsi="Arial" w:cs="Arial"/>
          <w:sz w:val="36"/>
          <w:szCs w:val="36"/>
        </w:rPr>
      </w:pPr>
      <w:r w:rsidRPr="000E2436">
        <w:rPr>
          <w:rFonts w:ascii="Arial" w:hAnsi="Arial" w:cs="Arial"/>
          <w:sz w:val="36"/>
          <w:szCs w:val="36"/>
        </w:rPr>
        <w:t>Benefits and limitations related to application of ratios analysis to support or help in decision making within tourism or hotel Industry</w:t>
      </w:r>
      <w:r w:rsidR="00530775">
        <w:rPr>
          <w:rFonts w:ascii="Arial" w:hAnsi="Arial" w:cs="Arial"/>
          <w:sz w:val="36"/>
          <w:szCs w:val="36"/>
        </w:rPr>
        <w:t>…………………</w:t>
      </w:r>
      <w:proofErr w:type="gramStart"/>
      <w:r w:rsidR="00530775">
        <w:rPr>
          <w:rFonts w:ascii="Arial" w:hAnsi="Arial" w:cs="Arial"/>
          <w:sz w:val="36"/>
          <w:szCs w:val="36"/>
        </w:rPr>
        <w:t>…..</w:t>
      </w:r>
      <w:proofErr w:type="gramEnd"/>
      <w:r w:rsidR="00530775">
        <w:rPr>
          <w:rFonts w:ascii="Arial" w:hAnsi="Arial" w:cs="Arial"/>
          <w:sz w:val="36"/>
          <w:szCs w:val="36"/>
        </w:rPr>
        <w:t>8</w:t>
      </w:r>
    </w:p>
    <w:p w14:paraId="2BC3DEE8" w14:textId="4D542EC4" w:rsidR="000E2436" w:rsidRDefault="000E2436" w:rsidP="000E2436">
      <w:pPr>
        <w:rPr>
          <w:rFonts w:ascii="Arial" w:hAnsi="Arial" w:cs="Arial"/>
          <w:sz w:val="36"/>
          <w:szCs w:val="36"/>
        </w:rPr>
      </w:pPr>
      <w:r w:rsidRPr="000E2436">
        <w:rPr>
          <w:rFonts w:ascii="Arial" w:hAnsi="Arial" w:cs="Arial"/>
          <w:sz w:val="36"/>
          <w:szCs w:val="36"/>
        </w:rPr>
        <w:t>Limitations of Ratio Analysis</w:t>
      </w:r>
      <w:r w:rsidR="00530775">
        <w:rPr>
          <w:rFonts w:ascii="Arial" w:hAnsi="Arial" w:cs="Arial"/>
          <w:sz w:val="36"/>
          <w:szCs w:val="36"/>
        </w:rPr>
        <w:t>…………………………</w:t>
      </w:r>
      <w:proofErr w:type="gramStart"/>
      <w:r w:rsidR="00530775">
        <w:rPr>
          <w:rFonts w:ascii="Arial" w:hAnsi="Arial" w:cs="Arial"/>
          <w:sz w:val="36"/>
          <w:szCs w:val="36"/>
        </w:rPr>
        <w:t>…..</w:t>
      </w:r>
      <w:proofErr w:type="gramEnd"/>
      <w:r w:rsidR="00530775">
        <w:rPr>
          <w:rFonts w:ascii="Arial" w:hAnsi="Arial" w:cs="Arial"/>
          <w:sz w:val="36"/>
          <w:szCs w:val="36"/>
        </w:rPr>
        <w:t>9</w:t>
      </w:r>
    </w:p>
    <w:p w14:paraId="47A7E6E8" w14:textId="5053E22F" w:rsidR="009748CA" w:rsidRPr="000E2436" w:rsidRDefault="009748CA" w:rsidP="000E2436">
      <w:pPr>
        <w:rPr>
          <w:rFonts w:ascii="Arial" w:hAnsi="Arial" w:cs="Arial"/>
          <w:sz w:val="36"/>
          <w:szCs w:val="36"/>
        </w:rPr>
      </w:pPr>
      <w:r>
        <w:rPr>
          <w:rFonts w:ascii="Arial" w:hAnsi="Arial" w:cs="Arial"/>
          <w:sz w:val="36"/>
          <w:szCs w:val="36"/>
        </w:rPr>
        <w:t>Conclusion……………………………………………….10</w:t>
      </w:r>
    </w:p>
    <w:p w14:paraId="725B550A" w14:textId="6B59BCA4" w:rsidR="002C1DE7" w:rsidRPr="002C1DE7" w:rsidRDefault="002C1DE7" w:rsidP="002C1DE7">
      <w:pPr>
        <w:rPr>
          <w:rFonts w:ascii="Arial" w:hAnsi="Arial" w:cs="Arial"/>
          <w:sz w:val="36"/>
          <w:szCs w:val="36"/>
        </w:rPr>
      </w:pPr>
      <w:r w:rsidRPr="002C1DE7">
        <w:rPr>
          <w:rFonts w:ascii="Arial" w:hAnsi="Arial" w:cs="Arial"/>
          <w:sz w:val="36"/>
          <w:szCs w:val="36"/>
        </w:rPr>
        <w:t>R</w:t>
      </w:r>
      <w:r w:rsidR="009748CA">
        <w:rPr>
          <w:rFonts w:ascii="Arial" w:hAnsi="Arial" w:cs="Arial"/>
          <w:sz w:val="36"/>
          <w:szCs w:val="36"/>
        </w:rPr>
        <w:t>eferences</w:t>
      </w:r>
      <w:proofErr w:type="gramStart"/>
      <w:r w:rsidR="009748CA">
        <w:rPr>
          <w:rFonts w:ascii="Arial" w:hAnsi="Arial" w:cs="Arial"/>
          <w:sz w:val="36"/>
          <w:szCs w:val="36"/>
        </w:rPr>
        <w:t xml:space="preserve"> ..</w:t>
      </w:r>
      <w:proofErr w:type="gramEnd"/>
      <w:r w:rsidR="000E2436">
        <w:rPr>
          <w:rFonts w:ascii="Arial" w:hAnsi="Arial" w:cs="Arial"/>
          <w:sz w:val="36"/>
          <w:szCs w:val="36"/>
        </w:rPr>
        <w:t>………………………………………</w:t>
      </w:r>
      <w:r w:rsidR="009748CA">
        <w:rPr>
          <w:rFonts w:ascii="Arial" w:hAnsi="Arial" w:cs="Arial"/>
          <w:sz w:val="36"/>
          <w:szCs w:val="36"/>
        </w:rPr>
        <w:t>…</w:t>
      </w:r>
      <w:r w:rsidRPr="002C1DE7">
        <w:rPr>
          <w:rFonts w:ascii="Arial" w:hAnsi="Arial" w:cs="Arial"/>
          <w:sz w:val="36"/>
          <w:szCs w:val="36"/>
        </w:rPr>
        <w:tab/>
      </w:r>
      <w:r w:rsidR="009748CA">
        <w:rPr>
          <w:rFonts w:ascii="Arial" w:hAnsi="Arial" w:cs="Arial"/>
          <w:sz w:val="36"/>
          <w:szCs w:val="36"/>
        </w:rPr>
        <w:t>11</w:t>
      </w:r>
    </w:p>
    <w:p w14:paraId="34DA43C4" w14:textId="25AAB991" w:rsidR="002C1DE7" w:rsidRDefault="002C1DE7" w:rsidP="002C1DE7">
      <w:pPr>
        <w:rPr>
          <w:rFonts w:ascii="Arial" w:hAnsi="Arial" w:cs="Arial"/>
          <w:sz w:val="36"/>
          <w:szCs w:val="36"/>
        </w:rPr>
      </w:pPr>
    </w:p>
    <w:p w14:paraId="219DB177" w14:textId="39ADE824" w:rsidR="002C1DE7" w:rsidRDefault="002C1DE7" w:rsidP="002C1DE7">
      <w:pPr>
        <w:rPr>
          <w:rFonts w:ascii="Arial" w:hAnsi="Arial" w:cs="Arial"/>
          <w:sz w:val="36"/>
          <w:szCs w:val="36"/>
        </w:rPr>
      </w:pPr>
    </w:p>
    <w:p w14:paraId="5FAF729C" w14:textId="68CCBA17" w:rsidR="002C1DE7" w:rsidRDefault="002C1DE7" w:rsidP="002C1DE7">
      <w:pPr>
        <w:rPr>
          <w:rFonts w:ascii="Arial" w:hAnsi="Arial" w:cs="Arial"/>
          <w:sz w:val="36"/>
          <w:szCs w:val="36"/>
        </w:rPr>
      </w:pPr>
    </w:p>
    <w:p w14:paraId="110BE205" w14:textId="0FEA8F3E" w:rsidR="002C1DE7" w:rsidRDefault="002C1DE7" w:rsidP="002C1DE7">
      <w:pPr>
        <w:rPr>
          <w:rFonts w:ascii="Arial" w:hAnsi="Arial" w:cs="Arial"/>
          <w:sz w:val="36"/>
          <w:szCs w:val="36"/>
        </w:rPr>
      </w:pPr>
    </w:p>
    <w:p w14:paraId="3486048E" w14:textId="14699CEC" w:rsidR="002C1DE7" w:rsidRDefault="002C1DE7" w:rsidP="002C1DE7">
      <w:pPr>
        <w:rPr>
          <w:rFonts w:ascii="Arial" w:hAnsi="Arial" w:cs="Arial"/>
          <w:sz w:val="36"/>
          <w:szCs w:val="36"/>
        </w:rPr>
      </w:pPr>
    </w:p>
    <w:p w14:paraId="5C227F63" w14:textId="327DDEA5" w:rsidR="002C1DE7" w:rsidRDefault="002C1DE7" w:rsidP="002C1DE7">
      <w:pPr>
        <w:rPr>
          <w:rFonts w:ascii="Arial" w:hAnsi="Arial" w:cs="Arial"/>
          <w:sz w:val="36"/>
          <w:szCs w:val="36"/>
        </w:rPr>
      </w:pPr>
    </w:p>
    <w:p w14:paraId="21D32614" w14:textId="77777777" w:rsidR="002C1DE7" w:rsidRPr="002C1DE7" w:rsidRDefault="002C1DE7" w:rsidP="002C1DE7">
      <w:pPr>
        <w:rPr>
          <w:rFonts w:ascii="Arial" w:hAnsi="Arial" w:cs="Arial"/>
          <w:sz w:val="36"/>
          <w:szCs w:val="36"/>
        </w:rPr>
      </w:pPr>
    </w:p>
    <w:p w14:paraId="346675AB" w14:textId="3C688157" w:rsidR="002C1DE7" w:rsidRPr="002C1DE7" w:rsidRDefault="002C1DE7" w:rsidP="002C1DE7">
      <w:pPr>
        <w:jc w:val="center"/>
        <w:rPr>
          <w:rFonts w:ascii="Arial" w:hAnsi="Arial" w:cs="Arial"/>
          <w:sz w:val="32"/>
          <w:szCs w:val="32"/>
        </w:rPr>
      </w:pPr>
      <w:r w:rsidRPr="002C1DE7">
        <w:rPr>
          <w:rFonts w:ascii="Arial" w:hAnsi="Arial" w:cs="Arial"/>
          <w:sz w:val="32"/>
          <w:szCs w:val="32"/>
        </w:rPr>
        <w:lastRenderedPageBreak/>
        <w:t>INTRODUCTION</w:t>
      </w:r>
    </w:p>
    <w:p w14:paraId="1036C9AA" w14:textId="20E3372E" w:rsidR="002C1DE7" w:rsidRDefault="002C1DE7" w:rsidP="002C1DE7">
      <w:pPr>
        <w:jc w:val="center"/>
        <w:rPr>
          <w:rFonts w:ascii="Arial" w:hAnsi="Arial" w:cs="Arial"/>
          <w:sz w:val="36"/>
          <w:szCs w:val="36"/>
        </w:rPr>
      </w:pPr>
    </w:p>
    <w:p w14:paraId="47C8B0EF" w14:textId="77777777" w:rsidR="002C1DE7" w:rsidRPr="002C1DE7" w:rsidRDefault="002C1DE7" w:rsidP="002C1DE7">
      <w:pPr>
        <w:jc w:val="center"/>
        <w:rPr>
          <w:rFonts w:ascii="Arial" w:hAnsi="Arial" w:cs="Arial"/>
          <w:sz w:val="36"/>
          <w:szCs w:val="36"/>
        </w:rPr>
      </w:pPr>
    </w:p>
    <w:p w14:paraId="59BCF530" w14:textId="77777777" w:rsidR="002C1DE7" w:rsidRPr="002C1DE7" w:rsidRDefault="002C1DE7" w:rsidP="002C1DE7">
      <w:pPr>
        <w:rPr>
          <w:rFonts w:ascii="Arial" w:hAnsi="Arial" w:cs="Arial"/>
        </w:rPr>
      </w:pPr>
      <w:r w:rsidRPr="002C1DE7">
        <w:rPr>
          <w:rFonts w:ascii="Arial" w:hAnsi="Arial" w:cs="Arial"/>
          <w:sz w:val="36"/>
          <w:szCs w:val="36"/>
        </w:rPr>
        <w:tab/>
      </w:r>
      <w:r w:rsidRPr="002C1DE7">
        <w:rPr>
          <w:rFonts w:ascii="Arial" w:hAnsi="Arial" w:cs="Arial"/>
        </w:rPr>
        <w:t>It is essential for business entities to do proper analysis of financial statement so that managers can take suitable action for different types of decisions (</w:t>
      </w:r>
      <w:proofErr w:type="spellStart"/>
      <w:r w:rsidRPr="002C1DE7">
        <w:rPr>
          <w:rFonts w:ascii="Arial" w:hAnsi="Arial" w:cs="Arial"/>
        </w:rPr>
        <w:t>Kopanja</w:t>
      </w:r>
      <w:proofErr w:type="spellEnd"/>
      <w:r w:rsidRPr="002C1DE7">
        <w:rPr>
          <w:rFonts w:ascii="Arial" w:hAnsi="Arial" w:cs="Arial"/>
        </w:rPr>
        <w:t xml:space="preserve">, </w:t>
      </w:r>
      <w:proofErr w:type="spellStart"/>
      <w:r w:rsidRPr="002C1DE7">
        <w:rPr>
          <w:rFonts w:ascii="Arial" w:hAnsi="Arial" w:cs="Arial"/>
        </w:rPr>
        <w:t>Tadić</w:t>
      </w:r>
      <w:proofErr w:type="spellEnd"/>
      <w:r w:rsidRPr="002C1DE7">
        <w:rPr>
          <w:rFonts w:ascii="Arial" w:hAnsi="Arial" w:cs="Arial"/>
        </w:rPr>
        <w:t xml:space="preserve"> and Žunić,2018). The analysis of financial statements can be done by help of range of techniques such as ratio analysis. The project report is based on financial analysis of Gatsby Grange company which is a part of small chain of Boutique in UK. The report covers detailed information about different kinds of ratios, role of this technique for business entities. </w:t>
      </w:r>
    </w:p>
    <w:p w14:paraId="41172AFF" w14:textId="77777777" w:rsidR="002C1DE7" w:rsidRPr="002C1DE7" w:rsidRDefault="002C1DE7" w:rsidP="002C1DE7">
      <w:pPr>
        <w:rPr>
          <w:rFonts w:ascii="Arial" w:hAnsi="Arial" w:cs="Arial"/>
        </w:rPr>
      </w:pPr>
    </w:p>
    <w:p w14:paraId="57F5641F" w14:textId="0D98A7E6" w:rsidR="002C1DE7" w:rsidRPr="002C1DE7" w:rsidRDefault="002C1DE7" w:rsidP="002C1DE7">
      <w:pPr>
        <w:rPr>
          <w:rFonts w:ascii="Arial" w:hAnsi="Arial" w:cs="Arial"/>
        </w:rPr>
      </w:pPr>
      <w:r w:rsidRPr="002C1DE7">
        <w:rPr>
          <w:rFonts w:ascii="Arial" w:hAnsi="Arial" w:cs="Arial"/>
        </w:rPr>
        <w:t>MAIN BODY</w:t>
      </w:r>
    </w:p>
    <w:p w14:paraId="7C0ED2F3" w14:textId="77777777" w:rsidR="002C1DE7" w:rsidRPr="002C1DE7" w:rsidRDefault="002C1DE7" w:rsidP="002C1DE7">
      <w:pPr>
        <w:rPr>
          <w:rFonts w:ascii="Arial" w:hAnsi="Arial" w:cs="Arial"/>
        </w:rPr>
      </w:pPr>
      <w:r w:rsidRPr="002C1DE7">
        <w:rPr>
          <w:rFonts w:ascii="Arial" w:hAnsi="Arial" w:cs="Arial"/>
        </w:rPr>
        <w:t>(a)</w:t>
      </w:r>
      <w:r w:rsidRPr="002C1DE7">
        <w:rPr>
          <w:rFonts w:ascii="Arial" w:hAnsi="Arial" w:cs="Arial"/>
        </w:rPr>
        <w:tab/>
      </w:r>
      <w:bookmarkStart w:id="0" w:name="_Hlk44675450"/>
      <w:r w:rsidRPr="002C1DE7">
        <w:rPr>
          <w:rFonts w:ascii="Arial" w:hAnsi="Arial" w:cs="Arial"/>
        </w:rPr>
        <w:t xml:space="preserve">Calculation and analysis of financial information on the basis of ratio analysis. </w:t>
      </w:r>
      <w:bookmarkEnd w:id="0"/>
    </w:p>
    <w:p w14:paraId="5FBF9E60" w14:textId="77777777" w:rsidR="002C1DE7" w:rsidRPr="002C1DE7" w:rsidRDefault="002C1DE7" w:rsidP="002C1DE7">
      <w:pPr>
        <w:rPr>
          <w:rFonts w:ascii="Arial" w:hAnsi="Arial" w:cs="Arial"/>
        </w:rPr>
      </w:pPr>
      <w:r w:rsidRPr="002C1DE7">
        <w:rPr>
          <w:rFonts w:ascii="Arial" w:hAnsi="Arial" w:cs="Arial"/>
        </w:rPr>
        <w:t>Profitability ratio- It is defined as a form of ratio which is being used by companies in order to measure level of profitability of different kinds of operations and activities. Under this, a range of ratios are included and some of them are calculated in such manner:</w:t>
      </w:r>
    </w:p>
    <w:p w14:paraId="552BAA81" w14:textId="77777777"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Gross profit ratio- Gross profit / net sales * 100</w:t>
      </w:r>
    </w:p>
    <w:p w14:paraId="3B2D2AB1" w14:textId="47C5BD89" w:rsidR="002C1DE7" w:rsidRDefault="002C1DE7" w:rsidP="002C1DE7">
      <w:pPr>
        <w:rPr>
          <w:rFonts w:ascii="Arial" w:hAnsi="Arial" w:cs="Arial"/>
        </w:rPr>
      </w:pPr>
      <w:r w:rsidRPr="002C1DE7">
        <w:rPr>
          <w:noProof/>
        </w:rPr>
        <w:drawing>
          <wp:inline distT="0" distB="0" distL="0" distR="0" wp14:anchorId="06A00CBC" wp14:editId="7B3F55A6">
            <wp:extent cx="5731510" cy="11868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186815"/>
                    </a:xfrm>
                    <a:prstGeom prst="rect">
                      <a:avLst/>
                    </a:prstGeom>
                    <a:noFill/>
                    <a:ln>
                      <a:noFill/>
                    </a:ln>
                  </pic:spPr>
                </pic:pic>
              </a:graphicData>
            </a:graphic>
          </wp:inline>
        </w:drawing>
      </w:r>
    </w:p>
    <w:p w14:paraId="76993F6B" w14:textId="10764F20" w:rsidR="002C1DE7" w:rsidRPr="002C1DE7" w:rsidRDefault="002C1DE7" w:rsidP="002C1DE7">
      <w:pPr>
        <w:rPr>
          <w:rFonts w:ascii="Arial" w:hAnsi="Arial" w:cs="Arial"/>
        </w:rPr>
      </w:pPr>
      <w:r w:rsidRPr="00405D9B">
        <w:rPr>
          <w:noProof/>
          <w:lang w:val="en-US"/>
        </w:rPr>
        <w:drawing>
          <wp:inline distT="0" distB="0" distL="0" distR="0" wp14:anchorId="7C8A6D6A" wp14:editId="659478B6">
            <wp:extent cx="4568190" cy="1764030"/>
            <wp:effectExtent l="0" t="0" r="3810" b="7620"/>
            <wp:docPr id="11"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022DC7C" w14:textId="25C629B6" w:rsidR="002C1DE7" w:rsidRPr="002C1DE7" w:rsidRDefault="002C1DE7" w:rsidP="002C1DE7">
      <w:pPr>
        <w:rPr>
          <w:rFonts w:ascii="Arial" w:hAnsi="Arial" w:cs="Arial"/>
        </w:rPr>
      </w:pPr>
      <w:r w:rsidRPr="002C1DE7">
        <w:rPr>
          <w:rFonts w:ascii="Arial" w:hAnsi="Arial" w:cs="Arial"/>
        </w:rPr>
        <w:t>Analysis- The above-mentioned chart is indicating that company’s gross margin has been dro</w:t>
      </w:r>
      <w:r>
        <w:rPr>
          <w:rFonts w:ascii="Arial" w:hAnsi="Arial" w:cs="Arial"/>
        </w:rPr>
        <w:t>p</w:t>
      </w:r>
      <w:r w:rsidRPr="002C1DE7">
        <w:rPr>
          <w:rFonts w:ascii="Arial" w:hAnsi="Arial" w:cs="Arial"/>
        </w:rPr>
        <w:t xml:space="preserve">ped in year 2019 as compared to year 2018. This is so because of lower increase in gross profit. Hence, company should focus on reduction of cost of sales. </w:t>
      </w:r>
    </w:p>
    <w:p w14:paraId="7606C188" w14:textId="7C3B6F65" w:rsidR="002C1DE7" w:rsidRDefault="002C1DE7" w:rsidP="002C1DE7">
      <w:pPr>
        <w:rPr>
          <w:rFonts w:ascii="Arial" w:hAnsi="Arial" w:cs="Arial"/>
        </w:rPr>
      </w:pPr>
    </w:p>
    <w:p w14:paraId="0F2D729A" w14:textId="77777777" w:rsidR="002C1DE7" w:rsidRPr="002C1DE7" w:rsidRDefault="002C1DE7" w:rsidP="002C1DE7">
      <w:pPr>
        <w:rPr>
          <w:rFonts w:ascii="Arial" w:hAnsi="Arial" w:cs="Arial"/>
        </w:rPr>
      </w:pPr>
    </w:p>
    <w:p w14:paraId="1183C57C" w14:textId="77777777"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Net profit ratio- Net profit/net sales*100</w:t>
      </w:r>
    </w:p>
    <w:p w14:paraId="2EE5EB05" w14:textId="155435AA" w:rsidR="002C1DE7" w:rsidRDefault="002C1DE7" w:rsidP="002C1DE7">
      <w:pPr>
        <w:rPr>
          <w:rFonts w:ascii="Arial" w:hAnsi="Arial" w:cs="Arial"/>
        </w:rPr>
      </w:pPr>
      <w:r w:rsidRPr="002C1DE7">
        <w:rPr>
          <w:noProof/>
        </w:rPr>
        <w:lastRenderedPageBreak/>
        <w:drawing>
          <wp:inline distT="0" distB="0" distL="0" distR="0" wp14:anchorId="142694D7" wp14:editId="3D1CCF94">
            <wp:extent cx="5731510" cy="11868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1186815"/>
                    </a:xfrm>
                    <a:prstGeom prst="rect">
                      <a:avLst/>
                    </a:prstGeom>
                    <a:noFill/>
                    <a:ln>
                      <a:noFill/>
                    </a:ln>
                  </pic:spPr>
                </pic:pic>
              </a:graphicData>
            </a:graphic>
          </wp:inline>
        </w:drawing>
      </w:r>
    </w:p>
    <w:p w14:paraId="5A3E51CA" w14:textId="318BEA42" w:rsidR="002C1DE7" w:rsidRPr="002C1DE7" w:rsidRDefault="002C1DE7" w:rsidP="002C1DE7">
      <w:pPr>
        <w:rPr>
          <w:rFonts w:ascii="Arial" w:hAnsi="Arial" w:cs="Arial"/>
        </w:rPr>
      </w:pPr>
      <w:r w:rsidRPr="00405D9B">
        <w:rPr>
          <w:noProof/>
          <w:lang w:val="en-US"/>
        </w:rPr>
        <w:drawing>
          <wp:inline distT="0" distB="0" distL="0" distR="0" wp14:anchorId="557B5471" wp14:editId="7763543B">
            <wp:extent cx="4568190" cy="1991995"/>
            <wp:effectExtent l="0" t="0" r="3810" b="8255"/>
            <wp:docPr id="10"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18FDFE0" w14:textId="1947DB8D" w:rsidR="002C1DE7" w:rsidRDefault="002C1DE7" w:rsidP="002C1DE7">
      <w:pPr>
        <w:rPr>
          <w:rFonts w:ascii="Arial" w:hAnsi="Arial" w:cs="Arial"/>
        </w:rPr>
      </w:pPr>
      <w:r w:rsidRPr="002C1DE7">
        <w:rPr>
          <w:rFonts w:ascii="Arial" w:hAnsi="Arial" w:cs="Arial"/>
        </w:rPr>
        <w:t xml:space="preserve">Analysis- Similar as gross margin, the net margin also reduced in year 2019 compared to year 2018. Such as in year 2018, this was of 72.87% that became of 67.88%. It is so because of lower net profit in year 2019 due to higher amount of expenses. </w:t>
      </w:r>
    </w:p>
    <w:p w14:paraId="74BE72AE" w14:textId="77777777" w:rsidR="002C1DE7" w:rsidRPr="002C1DE7" w:rsidRDefault="002C1DE7" w:rsidP="002C1DE7">
      <w:pPr>
        <w:rPr>
          <w:rFonts w:ascii="Arial" w:hAnsi="Arial" w:cs="Arial"/>
        </w:rPr>
      </w:pPr>
    </w:p>
    <w:p w14:paraId="378C76FB" w14:textId="77777777"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 xml:space="preserve">Return on assets ratio- Net income / Total assets </w:t>
      </w:r>
    </w:p>
    <w:p w14:paraId="703046DB" w14:textId="77777777" w:rsidR="002C1DE7" w:rsidRDefault="002C1DE7" w:rsidP="002C1DE7">
      <w:pPr>
        <w:rPr>
          <w:rFonts w:ascii="Arial" w:hAnsi="Arial" w:cs="Arial"/>
        </w:rPr>
      </w:pPr>
      <w:r w:rsidRPr="00405D9B">
        <w:rPr>
          <w:noProof/>
          <w:lang w:val="en-US"/>
        </w:rPr>
        <w:drawing>
          <wp:inline distT="0" distB="0" distL="0" distR="0" wp14:anchorId="73217494" wp14:editId="6582441B">
            <wp:extent cx="4568190" cy="1451610"/>
            <wp:effectExtent l="0" t="0" r="3810" b="0"/>
            <wp:docPr id="9"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961907B" w14:textId="77777777" w:rsidR="002C1DE7" w:rsidRDefault="002C1DE7" w:rsidP="002C1DE7"/>
    <w:p w14:paraId="772238EB" w14:textId="0E3B05FE" w:rsidR="002C1DE7" w:rsidRPr="002C1DE7" w:rsidRDefault="002C1DE7" w:rsidP="002C1DE7">
      <w:pPr>
        <w:rPr>
          <w:rFonts w:ascii="Arial" w:hAnsi="Arial" w:cs="Arial"/>
        </w:rPr>
      </w:pPr>
      <w:r w:rsidRPr="002C1DE7">
        <w:rPr>
          <w:noProof/>
        </w:rPr>
        <w:drawing>
          <wp:inline distT="0" distB="0" distL="0" distR="0" wp14:anchorId="30B6F06B" wp14:editId="62422EF0">
            <wp:extent cx="5731510" cy="11868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1186815"/>
                    </a:xfrm>
                    <a:prstGeom prst="rect">
                      <a:avLst/>
                    </a:prstGeom>
                    <a:noFill/>
                    <a:ln>
                      <a:noFill/>
                    </a:ln>
                  </pic:spPr>
                </pic:pic>
              </a:graphicData>
            </a:graphic>
          </wp:inline>
        </w:drawing>
      </w:r>
      <w:r w:rsidRPr="002C1DE7">
        <w:rPr>
          <w:rFonts w:ascii="Arial" w:hAnsi="Arial" w:cs="Arial"/>
        </w:rPr>
        <w:t>Analysis- The efficiency of generating return on assets of above company is similar in both years. Their return on assets ratio was of 0.53 and 0.52 for year 2018, 2019 respectively. Though, it is not in the ideal form and company should focus on better management of their ass</w:t>
      </w:r>
      <w:r>
        <w:rPr>
          <w:rFonts w:ascii="Arial" w:hAnsi="Arial" w:cs="Arial"/>
        </w:rPr>
        <w:t>e</w:t>
      </w:r>
      <w:r w:rsidRPr="002C1DE7">
        <w:rPr>
          <w:rFonts w:ascii="Arial" w:hAnsi="Arial" w:cs="Arial"/>
        </w:rPr>
        <w:t xml:space="preserve">ts. </w:t>
      </w:r>
    </w:p>
    <w:p w14:paraId="76EE835B" w14:textId="77777777" w:rsidR="002C1DE7" w:rsidRPr="002C1DE7" w:rsidRDefault="002C1DE7" w:rsidP="002C1DE7">
      <w:pPr>
        <w:rPr>
          <w:rFonts w:ascii="Arial" w:hAnsi="Arial" w:cs="Arial"/>
        </w:rPr>
      </w:pPr>
    </w:p>
    <w:p w14:paraId="37324128" w14:textId="77777777" w:rsidR="002C1DE7" w:rsidRPr="002C1DE7" w:rsidRDefault="002C1DE7" w:rsidP="002C1DE7">
      <w:pPr>
        <w:rPr>
          <w:rFonts w:ascii="Arial" w:hAnsi="Arial" w:cs="Arial"/>
        </w:rPr>
      </w:pPr>
      <w:r w:rsidRPr="002C1DE7">
        <w:rPr>
          <w:rFonts w:ascii="Arial" w:hAnsi="Arial" w:cs="Arial"/>
        </w:rPr>
        <w:lastRenderedPageBreak/>
        <w:t>•</w:t>
      </w:r>
      <w:r w:rsidRPr="002C1DE7">
        <w:rPr>
          <w:rFonts w:ascii="Arial" w:hAnsi="Arial" w:cs="Arial"/>
        </w:rPr>
        <w:tab/>
        <w:t>Return on capital employed- Profit before interest and tax / capital employed</w:t>
      </w:r>
    </w:p>
    <w:p w14:paraId="2CAAC493" w14:textId="7BEE6F3D" w:rsidR="002C1DE7" w:rsidRDefault="002C1DE7" w:rsidP="002C1DE7">
      <w:pPr>
        <w:rPr>
          <w:rFonts w:ascii="Arial" w:hAnsi="Arial" w:cs="Arial"/>
        </w:rPr>
      </w:pPr>
      <w:r w:rsidRPr="002C1DE7">
        <w:rPr>
          <w:noProof/>
        </w:rPr>
        <w:drawing>
          <wp:inline distT="0" distB="0" distL="0" distR="0" wp14:anchorId="3A87107B" wp14:editId="160EBDCF">
            <wp:extent cx="5731510" cy="134556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1345565"/>
                    </a:xfrm>
                    <a:prstGeom prst="rect">
                      <a:avLst/>
                    </a:prstGeom>
                    <a:noFill/>
                    <a:ln>
                      <a:noFill/>
                    </a:ln>
                  </pic:spPr>
                </pic:pic>
              </a:graphicData>
            </a:graphic>
          </wp:inline>
        </w:drawing>
      </w:r>
    </w:p>
    <w:p w14:paraId="5AE1AE68" w14:textId="03F089FE" w:rsidR="002C1DE7" w:rsidRPr="002C1DE7" w:rsidRDefault="002C1DE7" w:rsidP="002C1DE7">
      <w:pPr>
        <w:rPr>
          <w:rFonts w:ascii="Arial" w:hAnsi="Arial" w:cs="Arial"/>
        </w:rPr>
      </w:pPr>
      <w:r w:rsidRPr="00405D9B">
        <w:rPr>
          <w:noProof/>
          <w:lang w:val="en-US"/>
        </w:rPr>
        <w:drawing>
          <wp:inline distT="0" distB="0" distL="0" distR="0" wp14:anchorId="3DEA7618" wp14:editId="32F27B0D">
            <wp:extent cx="4568190" cy="1856740"/>
            <wp:effectExtent l="0" t="0" r="3810" b="10160"/>
            <wp:docPr id="6"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24366DB" w14:textId="6C21734D" w:rsidR="002C1DE7" w:rsidRPr="002C1DE7" w:rsidRDefault="002C1DE7" w:rsidP="002C1DE7">
      <w:pPr>
        <w:rPr>
          <w:rFonts w:ascii="Arial" w:hAnsi="Arial" w:cs="Arial"/>
        </w:rPr>
      </w:pPr>
      <w:r w:rsidRPr="002C1DE7">
        <w:rPr>
          <w:rFonts w:ascii="Arial" w:hAnsi="Arial" w:cs="Arial"/>
        </w:rPr>
        <w:t xml:space="preserve"> </w:t>
      </w:r>
    </w:p>
    <w:p w14:paraId="4E7C8453" w14:textId="46660DA3" w:rsidR="002C1DE7" w:rsidRDefault="002C1DE7" w:rsidP="002C1DE7">
      <w:pPr>
        <w:rPr>
          <w:rFonts w:ascii="Arial" w:hAnsi="Arial" w:cs="Arial"/>
        </w:rPr>
      </w:pPr>
      <w:r w:rsidRPr="002C1DE7">
        <w:rPr>
          <w:rFonts w:ascii="Arial" w:hAnsi="Arial" w:cs="Arial"/>
        </w:rPr>
        <w:t xml:space="preserve">Analysis- The return on capital employed ratio of this company has been raised by a little margin. As in year 2018, it was of 0.81 which became of 0.82 for year 2019. It is indicating that company is generating good return from their capital in year 2019 compared to year 2018. But their ratio is below (&gt;1) which needs to be enhanced. </w:t>
      </w:r>
    </w:p>
    <w:p w14:paraId="54260C31" w14:textId="77777777" w:rsidR="008D61C6" w:rsidRPr="002C1DE7" w:rsidRDefault="008D61C6" w:rsidP="002C1DE7">
      <w:pPr>
        <w:rPr>
          <w:rFonts w:ascii="Arial" w:hAnsi="Arial" w:cs="Arial"/>
        </w:rPr>
      </w:pPr>
    </w:p>
    <w:p w14:paraId="73DAF0B0" w14:textId="7D31D612" w:rsidR="002C1DE7" w:rsidRPr="002C1DE7" w:rsidRDefault="002C1DE7" w:rsidP="002C1DE7">
      <w:pPr>
        <w:rPr>
          <w:rFonts w:ascii="Arial" w:hAnsi="Arial" w:cs="Arial"/>
        </w:rPr>
      </w:pPr>
      <w:r w:rsidRPr="002C1DE7">
        <w:rPr>
          <w:rFonts w:ascii="Arial" w:hAnsi="Arial" w:cs="Arial"/>
        </w:rPr>
        <w:t>Liquidity ratio- This can be understood as a form of ratio which is measured by companies in order to know about liquidity condition for a particular time frame (</w:t>
      </w:r>
      <w:proofErr w:type="spellStart"/>
      <w:r w:rsidRPr="002C1DE7">
        <w:rPr>
          <w:rFonts w:ascii="Arial" w:hAnsi="Arial" w:cs="Arial"/>
        </w:rPr>
        <w:t>Behkami</w:t>
      </w:r>
      <w:proofErr w:type="spellEnd"/>
      <w:r w:rsidRPr="002C1DE7">
        <w:rPr>
          <w:rFonts w:ascii="Arial" w:hAnsi="Arial" w:cs="Arial"/>
        </w:rPr>
        <w:t xml:space="preserve">, </w:t>
      </w:r>
      <w:proofErr w:type="spellStart"/>
      <w:r w:rsidRPr="002C1DE7">
        <w:rPr>
          <w:rFonts w:ascii="Arial" w:hAnsi="Arial" w:cs="Arial"/>
        </w:rPr>
        <w:t>Gholami</w:t>
      </w:r>
      <w:proofErr w:type="spellEnd"/>
      <w:r w:rsidRPr="002C1DE7">
        <w:rPr>
          <w:rFonts w:ascii="Arial" w:hAnsi="Arial" w:cs="Arial"/>
        </w:rPr>
        <w:t xml:space="preserve"> and </w:t>
      </w:r>
      <w:proofErr w:type="spellStart"/>
      <w:r w:rsidRPr="002C1DE7">
        <w:rPr>
          <w:rFonts w:ascii="Arial" w:hAnsi="Arial" w:cs="Arial"/>
        </w:rPr>
        <w:t>Bakirdere</w:t>
      </w:r>
      <w:proofErr w:type="spellEnd"/>
      <w:r w:rsidRPr="002C1DE7">
        <w:rPr>
          <w:rFonts w:ascii="Arial" w:hAnsi="Arial" w:cs="Arial"/>
        </w:rPr>
        <w:t>, 2017). By help of this ratio, it becomes easier for financial managers to know about value of their current assets in order to make payment of liabilities. Under it, different types of ratios are included and some of them are as follows:</w:t>
      </w:r>
    </w:p>
    <w:p w14:paraId="31509264" w14:textId="77777777"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Current ratio- Current assets / current liabilities</w:t>
      </w:r>
    </w:p>
    <w:p w14:paraId="7B0CC2F1" w14:textId="2D792250" w:rsidR="002C1DE7" w:rsidRDefault="008D61C6" w:rsidP="002C1DE7">
      <w:pPr>
        <w:rPr>
          <w:rFonts w:ascii="Arial" w:hAnsi="Arial" w:cs="Arial"/>
        </w:rPr>
      </w:pPr>
      <w:r w:rsidRPr="008D61C6">
        <w:rPr>
          <w:noProof/>
        </w:rPr>
        <w:drawing>
          <wp:inline distT="0" distB="0" distL="0" distR="0" wp14:anchorId="62302477" wp14:editId="44C0A4A5">
            <wp:extent cx="5731510" cy="13201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1320165"/>
                    </a:xfrm>
                    <a:prstGeom prst="rect">
                      <a:avLst/>
                    </a:prstGeom>
                    <a:noFill/>
                    <a:ln>
                      <a:noFill/>
                    </a:ln>
                  </pic:spPr>
                </pic:pic>
              </a:graphicData>
            </a:graphic>
          </wp:inline>
        </w:drawing>
      </w:r>
    </w:p>
    <w:p w14:paraId="1B261EC5" w14:textId="3861D70B" w:rsidR="008D61C6" w:rsidRDefault="008D61C6" w:rsidP="002C1DE7">
      <w:pPr>
        <w:rPr>
          <w:rFonts w:ascii="Arial" w:hAnsi="Arial" w:cs="Arial"/>
        </w:rPr>
      </w:pPr>
    </w:p>
    <w:p w14:paraId="09CA65ED" w14:textId="4E7097F1" w:rsidR="002C1DE7" w:rsidRPr="002C1DE7" w:rsidRDefault="008D61C6" w:rsidP="002C1DE7">
      <w:pPr>
        <w:rPr>
          <w:rFonts w:ascii="Arial" w:hAnsi="Arial" w:cs="Arial"/>
        </w:rPr>
      </w:pPr>
      <w:r w:rsidRPr="00405D9B">
        <w:rPr>
          <w:noProof/>
          <w:lang w:val="en-US"/>
        </w:rPr>
        <w:lastRenderedPageBreak/>
        <w:drawing>
          <wp:inline distT="0" distB="0" distL="0" distR="0" wp14:anchorId="0284B527" wp14:editId="38263D36">
            <wp:extent cx="4568190" cy="1856740"/>
            <wp:effectExtent l="0" t="0" r="3810" b="0"/>
            <wp:docPr id="8"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C027514" w14:textId="2CA5DB21" w:rsidR="002C1DE7" w:rsidRPr="002C1DE7" w:rsidRDefault="002C1DE7" w:rsidP="002C1DE7">
      <w:pPr>
        <w:rPr>
          <w:rFonts w:ascii="Arial" w:hAnsi="Arial" w:cs="Arial"/>
        </w:rPr>
      </w:pPr>
      <w:r w:rsidRPr="002C1DE7">
        <w:rPr>
          <w:rFonts w:ascii="Arial" w:hAnsi="Arial" w:cs="Arial"/>
        </w:rPr>
        <w:t xml:space="preserve">Analysis- In both years, company failed to keep their current ratio at ideal form of ratio which is 2:1. It is so because in year 2018 and 2019 their ratio was of 1.29 times, 1 time respectively. This is indicating that company does not have enough amount of current assets to make payment of </w:t>
      </w:r>
      <w:r w:rsidR="008D61C6" w:rsidRPr="002C1DE7">
        <w:rPr>
          <w:rFonts w:ascii="Arial" w:hAnsi="Arial" w:cs="Arial"/>
        </w:rPr>
        <w:t>short-term</w:t>
      </w:r>
      <w:r w:rsidRPr="002C1DE7">
        <w:rPr>
          <w:rFonts w:ascii="Arial" w:hAnsi="Arial" w:cs="Arial"/>
        </w:rPr>
        <w:t xml:space="preserve"> debts. </w:t>
      </w:r>
    </w:p>
    <w:p w14:paraId="755258D4" w14:textId="77777777"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Quick ratio- Quick assets / current liabilities</w:t>
      </w:r>
    </w:p>
    <w:p w14:paraId="2D3937F1" w14:textId="3975F481" w:rsidR="008D61C6" w:rsidRDefault="008D61C6" w:rsidP="002C1DE7">
      <w:pPr>
        <w:rPr>
          <w:rFonts w:ascii="Arial" w:hAnsi="Arial" w:cs="Arial"/>
        </w:rPr>
      </w:pPr>
      <w:r w:rsidRPr="008D61C6">
        <w:rPr>
          <w:noProof/>
        </w:rPr>
        <w:drawing>
          <wp:inline distT="0" distB="0" distL="0" distR="0" wp14:anchorId="52F6F5FB" wp14:editId="649EA774">
            <wp:extent cx="5731510" cy="118681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1186815"/>
                    </a:xfrm>
                    <a:prstGeom prst="rect">
                      <a:avLst/>
                    </a:prstGeom>
                    <a:noFill/>
                    <a:ln>
                      <a:noFill/>
                    </a:ln>
                  </pic:spPr>
                </pic:pic>
              </a:graphicData>
            </a:graphic>
          </wp:inline>
        </w:drawing>
      </w:r>
    </w:p>
    <w:p w14:paraId="3BA729D4" w14:textId="18268BD3" w:rsidR="002C1DE7" w:rsidRPr="002C1DE7" w:rsidRDefault="008D61C6" w:rsidP="002C1DE7">
      <w:pPr>
        <w:rPr>
          <w:rFonts w:ascii="Arial" w:hAnsi="Arial" w:cs="Arial"/>
        </w:rPr>
      </w:pPr>
      <w:r w:rsidRPr="00405D9B">
        <w:rPr>
          <w:noProof/>
          <w:lang w:val="en-US"/>
        </w:rPr>
        <w:drawing>
          <wp:inline distT="0" distB="0" distL="0" distR="0" wp14:anchorId="0F01D31F" wp14:editId="540CF565">
            <wp:extent cx="4568190" cy="1581785"/>
            <wp:effectExtent l="0" t="0" r="3810" b="0"/>
            <wp:docPr id="13"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7C934DB" w14:textId="0B403676" w:rsidR="002C1DE7" w:rsidRPr="002C1DE7" w:rsidRDefault="002C1DE7" w:rsidP="002C1DE7">
      <w:pPr>
        <w:rPr>
          <w:rFonts w:ascii="Arial" w:hAnsi="Arial" w:cs="Arial"/>
        </w:rPr>
      </w:pPr>
      <w:r w:rsidRPr="002C1DE7">
        <w:rPr>
          <w:rFonts w:ascii="Arial" w:hAnsi="Arial" w:cs="Arial"/>
        </w:rPr>
        <w:t xml:space="preserve">Analysis- The quick ratio of company is also lower than ideal ratio which is of 1.5:1 </w:t>
      </w:r>
      <w:proofErr w:type="gramStart"/>
      <w:r w:rsidRPr="002C1DE7">
        <w:rPr>
          <w:rFonts w:ascii="Arial" w:hAnsi="Arial" w:cs="Arial"/>
        </w:rPr>
        <w:t>times</w:t>
      </w:r>
      <w:proofErr w:type="gramEnd"/>
      <w:r w:rsidRPr="002C1DE7">
        <w:rPr>
          <w:rFonts w:ascii="Arial" w:hAnsi="Arial" w:cs="Arial"/>
        </w:rPr>
        <w:t xml:space="preserve">. In year 2018, their ratio was of 0.21 times which reduced and became of 0.13 times for year 2019. So above company should focus on improving their liquidity position so that their quick ratio can be increased. </w:t>
      </w:r>
    </w:p>
    <w:p w14:paraId="65BB1600" w14:textId="052E7D5C" w:rsidR="002C1DE7" w:rsidRPr="002C1DE7" w:rsidRDefault="002C1DE7" w:rsidP="002C1DE7">
      <w:pPr>
        <w:rPr>
          <w:rFonts w:ascii="Arial" w:hAnsi="Arial" w:cs="Arial"/>
        </w:rPr>
      </w:pPr>
      <w:r w:rsidRPr="002C1DE7">
        <w:rPr>
          <w:rFonts w:ascii="Arial" w:hAnsi="Arial" w:cs="Arial"/>
        </w:rPr>
        <w:t>Gear</w:t>
      </w:r>
      <w:r w:rsidR="008D61C6">
        <w:rPr>
          <w:rFonts w:ascii="Arial" w:hAnsi="Arial" w:cs="Arial"/>
        </w:rPr>
        <w:t>in</w:t>
      </w:r>
      <w:r w:rsidRPr="002C1DE7">
        <w:rPr>
          <w:rFonts w:ascii="Arial" w:hAnsi="Arial" w:cs="Arial"/>
        </w:rPr>
        <w:t>g ratio- This is defined as a type of ratio which is used by companies in order to make comparison between debt and equities. Below calculation of these ratios is done in such manner:</w:t>
      </w:r>
    </w:p>
    <w:p w14:paraId="5547F8F5" w14:textId="77777777"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Debt to equity ratio- Equity / debt</w:t>
      </w:r>
    </w:p>
    <w:p w14:paraId="5F17EF6F" w14:textId="065A3E07" w:rsidR="002C1DE7" w:rsidRDefault="008D61C6" w:rsidP="002C1DE7">
      <w:pPr>
        <w:rPr>
          <w:rFonts w:ascii="Arial" w:hAnsi="Arial" w:cs="Arial"/>
        </w:rPr>
      </w:pPr>
      <w:r w:rsidRPr="008D61C6">
        <w:rPr>
          <w:noProof/>
        </w:rPr>
        <w:lastRenderedPageBreak/>
        <w:drawing>
          <wp:inline distT="0" distB="0" distL="0" distR="0" wp14:anchorId="0ACB9467" wp14:editId="0060383D">
            <wp:extent cx="5731510" cy="118681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1186815"/>
                    </a:xfrm>
                    <a:prstGeom prst="rect">
                      <a:avLst/>
                    </a:prstGeom>
                    <a:noFill/>
                    <a:ln>
                      <a:noFill/>
                    </a:ln>
                  </pic:spPr>
                </pic:pic>
              </a:graphicData>
            </a:graphic>
          </wp:inline>
        </w:drawing>
      </w:r>
    </w:p>
    <w:p w14:paraId="7E996B75" w14:textId="3F5FCAB1" w:rsidR="002C1DE7" w:rsidRPr="002C1DE7" w:rsidRDefault="008D61C6" w:rsidP="002C1DE7">
      <w:pPr>
        <w:rPr>
          <w:rFonts w:ascii="Arial" w:hAnsi="Arial" w:cs="Arial"/>
        </w:rPr>
      </w:pPr>
      <w:r w:rsidRPr="00405D9B">
        <w:rPr>
          <w:noProof/>
          <w:lang w:val="en-US"/>
        </w:rPr>
        <w:drawing>
          <wp:inline distT="0" distB="0" distL="0" distR="0" wp14:anchorId="49B67AD7" wp14:editId="789363F1">
            <wp:extent cx="4568190" cy="1961515"/>
            <wp:effectExtent l="0" t="0" r="3810" b="635"/>
            <wp:docPr id="15"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677F3EB" w14:textId="0862095F" w:rsidR="002C1DE7" w:rsidRPr="002C1DE7" w:rsidRDefault="002C1DE7" w:rsidP="002C1DE7">
      <w:pPr>
        <w:rPr>
          <w:rFonts w:ascii="Arial" w:hAnsi="Arial" w:cs="Arial"/>
        </w:rPr>
      </w:pPr>
      <w:r w:rsidRPr="002C1DE7">
        <w:rPr>
          <w:rFonts w:ascii="Arial" w:hAnsi="Arial" w:cs="Arial"/>
        </w:rPr>
        <w:t xml:space="preserve">Analysis- The debt to equity ratio of company is similar for both years which is of 0.34. Though, this ratio is lower </w:t>
      </w:r>
      <w:r w:rsidR="008D61C6" w:rsidRPr="002C1DE7">
        <w:rPr>
          <w:rFonts w:ascii="Arial" w:hAnsi="Arial" w:cs="Arial"/>
        </w:rPr>
        <w:t>than</w:t>
      </w:r>
      <w:r w:rsidRPr="002C1DE7">
        <w:rPr>
          <w:rFonts w:ascii="Arial" w:hAnsi="Arial" w:cs="Arial"/>
        </w:rPr>
        <w:t xml:space="preserve"> 1 which shows negative performance of company to make payment of debts because they do not have enough equities for payment. </w:t>
      </w:r>
    </w:p>
    <w:p w14:paraId="42D5348B" w14:textId="77777777"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Debt ratio- Total assets / Total debt</w:t>
      </w:r>
    </w:p>
    <w:p w14:paraId="7635DF9A" w14:textId="743D20AC" w:rsidR="002C1DE7" w:rsidRDefault="008D61C6" w:rsidP="002C1DE7">
      <w:pPr>
        <w:rPr>
          <w:rFonts w:ascii="Arial" w:hAnsi="Arial" w:cs="Arial"/>
        </w:rPr>
      </w:pPr>
      <w:r w:rsidRPr="008D61C6">
        <w:rPr>
          <w:noProof/>
        </w:rPr>
        <w:drawing>
          <wp:inline distT="0" distB="0" distL="0" distR="0" wp14:anchorId="749C244B" wp14:editId="1E566A6A">
            <wp:extent cx="5731510" cy="118681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1186815"/>
                    </a:xfrm>
                    <a:prstGeom prst="rect">
                      <a:avLst/>
                    </a:prstGeom>
                    <a:noFill/>
                    <a:ln>
                      <a:noFill/>
                    </a:ln>
                  </pic:spPr>
                </pic:pic>
              </a:graphicData>
            </a:graphic>
          </wp:inline>
        </w:drawing>
      </w:r>
    </w:p>
    <w:p w14:paraId="681B6137" w14:textId="15C9B22B" w:rsidR="008D61C6" w:rsidRDefault="008D61C6" w:rsidP="002C1DE7">
      <w:pPr>
        <w:rPr>
          <w:rFonts w:ascii="Arial" w:hAnsi="Arial" w:cs="Arial"/>
        </w:rPr>
      </w:pPr>
    </w:p>
    <w:p w14:paraId="49C9F67B" w14:textId="777657CB" w:rsidR="002C1DE7" w:rsidRPr="002C1DE7" w:rsidRDefault="008D61C6" w:rsidP="002C1DE7">
      <w:pPr>
        <w:rPr>
          <w:rFonts w:ascii="Arial" w:hAnsi="Arial" w:cs="Arial"/>
        </w:rPr>
      </w:pPr>
      <w:r w:rsidRPr="00405D9B">
        <w:rPr>
          <w:noProof/>
          <w:lang w:val="en-US"/>
        </w:rPr>
        <w:drawing>
          <wp:inline distT="0" distB="0" distL="0" distR="0" wp14:anchorId="0952CCE8" wp14:editId="488B904F">
            <wp:extent cx="4572635" cy="2743835"/>
            <wp:effectExtent l="0" t="0" r="0" b="0"/>
            <wp:docPr id="17"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4019690" w14:textId="77777777" w:rsidR="002C1DE7" w:rsidRPr="002C1DE7" w:rsidRDefault="002C1DE7" w:rsidP="002C1DE7">
      <w:pPr>
        <w:rPr>
          <w:rFonts w:ascii="Arial" w:hAnsi="Arial" w:cs="Arial"/>
        </w:rPr>
      </w:pPr>
      <w:r w:rsidRPr="002C1DE7">
        <w:rPr>
          <w:rFonts w:ascii="Arial" w:hAnsi="Arial" w:cs="Arial"/>
        </w:rPr>
        <w:lastRenderedPageBreak/>
        <w:t>Analysis- The debt ratio of company is in good condition because they have more amount of assets in order to make payment of their debts. Like in year 2018, their ratio was of 1.24 which raised and became of 1.29 in year 2019. This is showing that company has good financial situation to pay their debts in both financial years.</w:t>
      </w:r>
    </w:p>
    <w:p w14:paraId="2BF9EFE6" w14:textId="77777777" w:rsidR="002C1DE7" w:rsidRPr="002C1DE7" w:rsidRDefault="002C1DE7" w:rsidP="002C1DE7">
      <w:pPr>
        <w:rPr>
          <w:rFonts w:ascii="Arial" w:hAnsi="Arial" w:cs="Arial"/>
        </w:rPr>
      </w:pPr>
    </w:p>
    <w:p w14:paraId="2E751F60" w14:textId="77777777" w:rsidR="002C1DE7" w:rsidRPr="002C1DE7" w:rsidRDefault="002C1DE7" w:rsidP="002C1DE7">
      <w:pPr>
        <w:rPr>
          <w:rFonts w:ascii="Arial" w:hAnsi="Arial" w:cs="Arial"/>
        </w:rPr>
      </w:pPr>
      <w:r w:rsidRPr="002C1DE7">
        <w:rPr>
          <w:rFonts w:ascii="Arial" w:hAnsi="Arial" w:cs="Arial"/>
        </w:rPr>
        <w:t xml:space="preserve">(b) </w:t>
      </w:r>
      <w:bookmarkStart w:id="1" w:name="_Hlk44675480"/>
      <w:r w:rsidRPr="002C1DE7">
        <w:rPr>
          <w:rFonts w:ascii="Arial" w:hAnsi="Arial" w:cs="Arial"/>
        </w:rPr>
        <w:t>Why understanding of ratio analysis is important.</w:t>
      </w:r>
    </w:p>
    <w:bookmarkEnd w:id="1"/>
    <w:p w14:paraId="5E417107" w14:textId="4C66DD88" w:rsidR="002C1DE7" w:rsidRPr="002C1DE7" w:rsidRDefault="002C1DE7" w:rsidP="002C1DE7">
      <w:pPr>
        <w:rPr>
          <w:rFonts w:ascii="Arial" w:hAnsi="Arial" w:cs="Arial"/>
        </w:rPr>
      </w:pPr>
      <w:r w:rsidRPr="002C1DE7">
        <w:rPr>
          <w:rFonts w:ascii="Arial" w:hAnsi="Arial" w:cs="Arial"/>
        </w:rPr>
        <w:tab/>
        <w:t>Under ratio analysis, different types of ratios are included and each of them plays a key role for understanding trends in financial position of a company. In the above part of report, three types of ratios have been calculated and analy</w:t>
      </w:r>
      <w:r w:rsidR="008D61C6">
        <w:rPr>
          <w:rFonts w:ascii="Arial" w:hAnsi="Arial" w:cs="Arial"/>
        </w:rPr>
        <w:t>s</w:t>
      </w:r>
      <w:r w:rsidRPr="002C1DE7">
        <w:rPr>
          <w:rFonts w:ascii="Arial" w:hAnsi="Arial" w:cs="Arial"/>
        </w:rPr>
        <w:t>ed which are profitability, liquidity and gearing ratio. Herein, below importance of these ratios in regards with above compa</w:t>
      </w:r>
      <w:r w:rsidR="008D61C6">
        <w:rPr>
          <w:rFonts w:ascii="Arial" w:hAnsi="Arial" w:cs="Arial"/>
        </w:rPr>
        <w:t>n</w:t>
      </w:r>
      <w:r w:rsidRPr="002C1DE7">
        <w:rPr>
          <w:rFonts w:ascii="Arial" w:hAnsi="Arial" w:cs="Arial"/>
        </w:rPr>
        <w:t>y is mentioned in such manner-</w:t>
      </w:r>
    </w:p>
    <w:p w14:paraId="0F99FA81" w14:textId="77777777"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 xml:space="preserve">The analysis of ratios and their fluctuation play a key role for hotel management industries. It is so because if a company becomes able to identify variation in financial performance during two years and then they can apply effective strategies accordingly (Helmy and Arslan, 2018). Like in above Gatsby Grange company, different types of ratios are calculated by help of prepared financial statements. By help of these ratios, they can assess those areas in which their performance is weak. As well as for next year they can implement effective strategies and policies to overcome from weaknesses. </w:t>
      </w:r>
    </w:p>
    <w:p w14:paraId="212BDBFD" w14:textId="2BD0F6E8"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In addition, the ratio analysis also plays a key role to companies to make proper evaluation of financial performance in less time. It is so b</w:t>
      </w:r>
      <w:r w:rsidR="008D61C6">
        <w:rPr>
          <w:rFonts w:ascii="Arial" w:hAnsi="Arial" w:cs="Arial"/>
        </w:rPr>
        <w:t>e</w:t>
      </w:r>
      <w:r w:rsidRPr="002C1DE7">
        <w:rPr>
          <w:rFonts w:ascii="Arial" w:hAnsi="Arial" w:cs="Arial"/>
        </w:rPr>
        <w:t xml:space="preserve">cause this can become difficult for companies to understand </w:t>
      </w:r>
      <w:r w:rsidR="008D61C6" w:rsidRPr="002C1DE7">
        <w:rPr>
          <w:rFonts w:ascii="Arial" w:hAnsi="Arial" w:cs="Arial"/>
        </w:rPr>
        <w:t>each</w:t>
      </w:r>
      <w:r w:rsidRPr="002C1DE7">
        <w:rPr>
          <w:rFonts w:ascii="Arial" w:hAnsi="Arial" w:cs="Arial"/>
        </w:rPr>
        <w:t xml:space="preserve"> financial statement and making analysis accordingly. The ratio analysis gives a proper overview of each aspect including profitability, gearing efficiency etc. Such as in the above Gatsby Grange company, they have computed different types of ratios and each of them provide a detailed overview of various kinds of aspects. While in the absence of ratio analysis, company may face different types of obstacles such consumption of time in order to evaluation financial performance by help of financial statements. </w:t>
      </w:r>
    </w:p>
    <w:p w14:paraId="2AA34A6F" w14:textId="2501EBA2"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 xml:space="preserve">One of the key </w:t>
      </w:r>
      <w:r w:rsidR="008D61C6" w:rsidRPr="002C1DE7">
        <w:rPr>
          <w:rFonts w:ascii="Arial" w:hAnsi="Arial" w:cs="Arial"/>
        </w:rPr>
        <w:t>features</w:t>
      </w:r>
      <w:r w:rsidRPr="002C1DE7">
        <w:rPr>
          <w:rFonts w:ascii="Arial" w:hAnsi="Arial" w:cs="Arial"/>
        </w:rPr>
        <w:t xml:space="preserve"> of ratio analysis is that under this technique financial performance of two different types of years is computed (Li, Chang and Yang, 2017). By help of this, it becomes easier to managers to find out variation in performance. As in the above company, they computed different kinds of ratios regards to a range of aspects. Due to which, it became helpful for them to understand trends in financial performance of year 2018 and 2019. </w:t>
      </w:r>
    </w:p>
    <w:p w14:paraId="556B4FC7" w14:textId="77777777" w:rsidR="002C1DE7" w:rsidRPr="002C1DE7" w:rsidRDefault="002C1DE7" w:rsidP="002C1DE7">
      <w:pPr>
        <w:rPr>
          <w:rFonts w:ascii="Arial" w:hAnsi="Arial" w:cs="Arial"/>
        </w:rPr>
      </w:pPr>
    </w:p>
    <w:p w14:paraId="10E05BC3" w14:textId="77777777" w:rsidR="002C1DE7" w:rsidRPr="002C1DE7" w:rsidRDefault="002C1DE7" w:rsidP="002C1DE7">
      <w:pPr>
        <w:rPr>
          <w:rFonts w:ascii="Arial" w:hAnsi="Arial" w:cs="Arial"/>
        </w:rPr>
      </w:pPr>
      <w:r w:rsidRPr="002C1DE7">
        <w:rPr>
          <w:rFonts w:ascii="Arial" w:hAnsi="Arial" w:cs="Arial"/>
        </w:rPr>
        <w:t xml:space="preserve">(c) </w:t>
      </w:r>
      <w:bookmarkStart w:id="2" w:name="_Hlk44675518"/>
      <w:r w:rsidRPr="002C1DE7">
        <w:rPr>
          <w:rFonts w:ascii="Arial" w:hAnsi="Arial" w:cs="Arial"/>
        </w:rPr>
        <w:t>Benefits and limitations related to application of ratios analysis to support or help in decision making within tourism or hotel Industry:</w:t>
      </w:r>
    </w:p>
    <w:bookmarkEnd w:id="2"/>
    <w:p w14:paraId="0A2D12D9" w14:textId="77777777" w:rsidR="002C1DE7" w:rsidRPr="002C1DE7" w:rsidRDefault="002C1DE7" w:rsidP="002C1DE7">
      <w:pPr>
        <w:rPr>
          <w:rFonts w:ascii="Arial" w:hAnsi="Arial" w:cs="Arial"/>
        </w:rPr>
      </w:pPr>
      <w:r w:rsidRPr="002C1DE7">
        <w:rPr>
          <w:rFonts w:ascii="Arial" w:hAnsi="Arial" w:cs="Arial"/>
        </w:rPr>
        <w:tab/>
        <w:t>When properly applied, the ratio analysis sheds light on many of company's challenges and even identifies some promising ones. In fact, ratios are informants, they attract the attention of management to problems that need attention. Here are several key advantages of evaluating the ratios in context of Tourism and Hotel industry, as discussed below:</w:t>
      </w:r>
    </w:p>
    <w:p w14:paraId="7E38BB7C" w14:textId="77777777"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Analysis of financial ratios can aid to justify or disprove the company's funding, expenditure and operational decisions (Mo, Du and Yang, 2017). They translate the financial reports into comparative statistics, thus allowing management to effectively compare and measure the company’s financial situation and impact of certain decisions.</w:t>
      </w:r>
    </w:p>
    <w:p w14:paraId="617D8E23" w14:textId="77777777" w:rsidR="002C1DE7" w:rsidRPr="002C1DE7" w:rsidRDefault="002C1DE7" w:rsidP="002C1DE7">
      <w:pPr>
        <w:rPr>
          <w:rFonts w:ascii="Arial" w:hAnsi="Arial" w:cs="Arial"/>
        </w:rPr>
      </w:pPr>
      <w:r w:rsidRPr="002C1DE7">
        <w:rPr>
          <w:rFonts w:ascii="Arial" w:hAnsi="Arial" w:cs="Arial"/>
        </w:rPr>
        <w:lastRenderedPageBreak/>
        <w:t>•</w:t>
      </w:r>
      <w:r w:rsidRPr="002C1DE7">
        <w:rPr>
          <w:rFonts w:ascii="Arial" w:hAnsi="Arial" w:cs="Arial"/>
        </w:rPr>
        <w:tab/>
        <w:t>This simplifies complicated financial accounts and financial details into normal operating ratios, business results, liquidity, long-term financial positions etc.</w:t>
      </w:r>
    </w:p>
    <w:p w14:paraId="28C2CBED" w14:textId="77777777"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The management also has an interest in the aggregate profitability level or degree of the business. They would like to recognize if the company has the capabilities to fulfil both its shorter-term and longer-term obligations towards its lenders, to ensure a satisfactory return to its stockholders and to achieve optimal use of the company's assets. This is conceivable when considering all of the ratios together.</w:t>
      </w:r>
    </w:p>
    <w:p w14:paraId="54161C90" w14:textId="77777777"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Evaluation of ratio helps define weak points and gives management focus to those areas. Many of the details in the complicated financial reports are missing, and averages can help define those issues.</w:t>
      </w:r>
    </w:p>
    <w:p w14:paraId="6F529581" w14:textId="77777777"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Enables the organization to make comparative analysis with other companies, industry norms, intra-firm comparisons etc. That will allow the company better grasp its economic fiscal status.</w:t>
      </w:r>
    </w:p>
    <w:p w14:paraId="4E3E63DC" w14:textId="77777777"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Analysis of financial ratios show the extent of productivity of its assets handling or management and use. The operating efficiency is demonstrated by different operational ratios. In fact, a company's solvency relies on revenues generated through the usage of its assets.</w:t>
      </w:r>
    </w:p>
    <w:p w14:paraId="4A89BB46" w14:textId="77777777"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Further, ratio analysis being used to evaluate a company's long-term debts-paying capability. Any borrower’s longer-term solvency status is a primary concern for long-term investors, security analysts and business' present and future owners (</w:t>
      </w:r>
      <w:proofErr w:type="spellStart"/>
      <w:r w:rsidRPr="002C1DE7">
        <w:rPr>
          <w:rFonts w:ascii="Arial" w:hAnsi="Arial" w:cs="Arial"/>
        </w:rPr>
        <w:t>Jeong</w:t>
      </w:r>
      <w:proofErr w:type="spellEnd"/>
      <w:r w:rsidRPr="002C1DE7">
        <w:rPr>
          <w:rFonts w:ascii="Arial" w:hAnsi="Arial" w:cs="Arial"/>
        </w:rPr>
        <w:t>, Kang and Lee, 2018). This is evaluated by leverage / capital framework and profit margin ratios indicating earning power and effectiveness of its operations. Ratio analysis depicts key strengths as well as weakness of corporation in this regard.</w:t>
      </w:r>
    </w:p>
    <w:p w14:paraId="20E249CB" w14:textId="77777777" w:rsidR="002C1DE7" w:rsidRPr="002C1DE7" w:rsidRDefault="002C1DE7" w:rsidP="002C1DE7">
      <w:pPr>
        <w:rPr>
          <w:rFonts w:ascii="Arial" w:hAnsi="Arial" w:cs="Arial"/>
        </w:rPr>
      </w:pPr>
    </w:p>
    <w:p w14:paraId="2435B0A9" w14:textId="77777777" w:rsidR="002C1DE7" w:rsidRPr="002C1DE7" w:rsidRDefault="002C1DE7" w:rsidP="002C1DE7">
      <w:pPr>
        <w:rPr>
          <w:rFonts w:ascii="Arial" w:hAnsi="Arial" w:cs="Arial"/>
        </w:rPr>
      </w:pPr>
      <w:bookmarkStart w:id="3" w:name="_Hlk44675556"/>
      <w:r w:rsidRPr="002C1DE7">
        <w:rPr>
          <w:rFonts w:ascii="Arial" w:hAnsi="Arial" w:cs="Arial"/>
        </w:rPr>
        <w:t>Limitations of Ratio Analysis</w:t>
      </w:r>
      <w:bookmarkEnd w:id="3"/>
      <w:r w:rsidRPr="002C1DE7">
        <w:rPr>
          <w:rFonts w:ascii="Arial" w:hAnsi="Arial" w:cs="Arial"/>
        </w:rPr>
        <w:t>:</w:t>
      </w:r>
    </w:p>
    <w:p w14:paraId="3AC71AE9" w14:textId="77777777" w:rsidR="002C1DE7" w:rsidRPr="002C1DE7" w:rsidRDefault="002C1DE7" w:rsidP="002C1DE7">
      <w:pPr>
        <w:rPr>
          <w:rFonts w:ascii="Arial" w:hAnsi="Arial" w:cs="Arial"/>
        </w:rPr>
      </w:pPr>
      <w:r w:rsidRPr="002C1DE7">
        <w:rPr>
          <w:rFonts w:ascii="Arial" w:hAnsi="Arial" w:cs="Arial"/>
        </w:rPr>
        <w:t>Although ratios are quite vital aspects in financial analysis, these have certain drawbacks in context of Tourism and Hotel industry, such as:</w:t>
      </w:r>
    </w:p>
    <w:p w14:paraId="03603C7B" w14:textId="77777777"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To enhance their ratios, a company may make certain year-end adjustments to its financial statements. Instead the ratios will eventually wind up and is nothing more than window dressing.</w:t>
      </w:r>
    </w:p>
    <w:p w14:paraId="1DFCFA60" w14:textId="77777777"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Ratios neglect adjustments in price levels due to inflation. Many calculations are measured using historical prices, and the shifts in price levels between years are ignored. That does not represent financial situation correctly.</w:t>
      </w:r>
    </w:p>
    <w:p w14:paraId="0D1DF77D" w14:textId="77777777"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Financial ratios disregard the company's qualitative aspects altogether. They just take into account the money - related (quantitative) elements.</w:t>
      </w:r>
    </w:p>
    <w:p w14:paraId="51AC3C3E" w14:textId="6DEBF6BE"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 xml:space="preserve">The ratios do not have standard definitions. </w:t>
      </w:r>
      <w:r w:rsidR="008D61C6" w:rsidRPr="002C1DE7">
        <w:rPr>
          <w:rFonts w:ascii="Arial" w:hAnsi="Arial" w:cs="Arial"/>
        </w:rPr>
        <w:t>Thus,</w:t>
      </w:r>
      <w:r w:rsidRPr="002C1DE7">
        <w:rPr>
          <w:rFonts w:ascii="Arial" w:hAnsi="Arial" w:cs="Arial"/>
        </w:rPr>
        <w:t xml:space="preserve"> businesses may use different equations for different ratios (</w:t>
      </w:r>
      <w:proofErr w:type="spellStart"/>
      <w:r w:rsidRPr="002C1DE7">
        <w:rPr>
          <w:rFonts w:ascii="Arial" w:hAnsi="Arial" w:cs="Arial"/>
        </w:rPr>
        <w:t>Hondro</w:t>
      </w:r>
      <w:proofErr w:type="spellEnd"/>
      <w:r w:rsidRPr="002C1DE7">
        <w:rPr>
          <w:rFonts w:ascii="Arial" w:hAnsi="Arial" w:cs="Arial"/>
        </w:rPr>
        <w:t>, 2018). One such instance is Current Ratio, wherein some companies consider all current obligations into account, while others neglect banking overdrafts from current obligations when determining company's current ratio.</w:t>
      </w:r>
    </w:p>
    <w:p w14:paraId="578FFB73" w14:textId="77777777"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Adequate care should be exercised when evaluating measured financial ratio for hotel industry seasonal business. A Hotel in specific, for instance, attain higher sales in specific season and its sales is 35 percent of seasonal sales for remaining year. Gross margin and net profits are thus giving a biased image.</w:t>
      </w:r>
    </w:p>
    <w:p w14:paraId="49AE5E51" w14:textId="77777777" w:rsidR="002C1DE7" w:rsidRPr="002C1DE7" w:rsidRDefault="002C1DE7" w:rsidP="002C1DE7">
      <w:pPr>
        <w:rPr>
          <w:rFonts w:ascii="Arial" w:hAnsi="Arial" w:cs="Arial"/>
        </w:rPr>
      </w:pPr>
      <w:r w:rsidRPr="002C1DE7">
        <w:rPr>
          <w:rFonts w:ascii="Arial" w:hAnsi="Arial" w:cs="Arial"/>
        </w:rPr>
        <w:lastRenderedPageBreak/>
        <w:t>•</w:t>
      </w:r>
      <w:r w:rsidRPr="002C1DE7">
        <w:rPr>
          <w:rFonts w:ascii="Arial" w:hAnsi="Arial" w:cs="Arial"/>
        </w:rPr>
        <w:tab/>
        <w:t>Because ratios reflect only one factor, these do not always provide the true image, as many other factors such as governmental policies, economic circumstances, available resources, etc. must be held in mind when analysing ratios.</w:t>
      </w:r>
    </w:p>
    <w:p w14:paraId="416526B6" w14:textId="77777777" w:rsidR="002C1DE7" w:rsidRPr="002C1DE7" w:rsidRDefault="002C1DE7" w:rsidP="002C1DE7">
      <w:pPr>
        <w:rPr>
          <w:rFonts w:ascii="Arial" w:hAnsi="Arial" w:cs="Arial"/>
        </w:rPr>
      </w:pPr>
      <w:r w:rsidRPr="002C1DE7">
        <w:rPr>
          <w:rFonts w:ascii="Arial" w:hAnsi="Arial" w:cs="Arial"/>
        </w:rPr>
        <w:t>•</w:t>
      </w:r>
      <w:r w:rsidRPr="002C1DE7">
        <w:rPr>
          <w:rFonts w:ascii="Arial" w:hAnsi="Arial" w:cs="Arial"/>
        </w:rPr>
        <w:tab/>
        <w:t>Various accounting policies concerning inventory valuation, depreciation etc. render accounting statistics and financial ratios of 2 companies incomparable (</w:t>
      </w:r>
      <w:proofErr w:type="spellStart"/>
      <w:r w:rsidRPr="002C1DE7">
        <w:rPr>
          <w:rFonts w:ascii="Arial" w:hAnsi="Arial" w:cs="Arial"/>
        </w:rPr>
        <w:t>Sahu</w:t>
      </w:r>
      <w:proofErr w:type="spellEnd"/>
      <w:r w:rsidRPr="002C1DE7">
        <w:rPr>
          <w:rFonts w:ascii="Arial" w:hAnsi="Arial" w:cs="Arial"/>
        </w:rPr>
        <w:t xml:space="preserve">, </w:t>
      </w:r>
      <w:proofErr w:type="spellStart"/>
      <w:r w:rsidRPr="002C1DE7">
        <w:rPr>
          <w:rFonts w:ascii="Arial" w:hAnsi="Arial" w:cs="Arial"/>
        </w:rPr>
        <w:t>Dolai</w:t>
      </w:r>
      <w:proofErr w:type="spellEnd"/>
      <w:r w:rsidRPr="002C1DE7">
        <w:rPr>
          <w:rFonts w:ascii="Arial" w:hAnsi="Arial" w:cs="Arial"/>
        </w:rPr>
        <w:t xml:space="preserve"> and </w:t>
      </w:r>
      <w:proofErr w:type="spellStart"/>
      <w:r w:rsidRPr="002C1DE7">
        <w:rPr>
          <w:rFonts w:ascii="Arial" w:hAnsi="Arial" w:cs="Arial"/>
        </w:rPr>
        <w:t>Bera</w:t>
      </w:r>
      <w:proofErr w:type="spellEnd"/>
      <w:r w:rsidRPr="002C1DE7">
        <w:rPr>
          <w:rFonts w:ascii="Arial" w:hAnsi="Arial" w:cs="Arial"/>
        </w:rPr>
        <w:t>, 2018).</w:t>
      </w:r>
    </w:p>
    <w:p w14:paraId="608AF36D" w14:textId="478A04CD" w:rsidR="002C1DE7" w:rsidRDefault="002C1DE7" w:rsidP="002C1DE7">
      <w:pPr>
        <w:rPr>
          <w:rFonts w:ascii="Arial" w:hAnsi="Arial" w:cs="Arial"/>
        </w:rPr>
      </w:pPr>
    </w:p>
    <w:p w14:paraId="14E70C29" w14:textId="7ECA32A5" w:rsidR="008D61C6" w:rsidRDefault="008D61C6" w:rsidP="002C1DE7">
      <w:pPr>
        <w:rPr>
          <w:rFonts w:ascii="Arial" w:hAnsi="Arial" w:cs="Arial"/>
        </w:rPr>
      </w:pPr>
    </w:p>
    <w:p w14:paraId="2E05D529" w14:textId="30CF4B0E" w:rsidR="008D61C6" w:rsidRDefault="008D61C6" w:rsidP="002C1DE7">
      <w:pPr>
        <w:rPr>
          <w:rFonts w:ascii="Arial" w:hAnsi="Arial" w:cs="Arial"/>
        </w:rPr>
      </w:pPr>
    </w:p>
    <w:p w14:paraId="1B7F24AA" w14:textId="402567A0" w:rsidR="008D61C6" w:rsidRDefault="009748CA" w:rsidP="002C1DE7">
      <w:pPr>
        <w:rPr>
          <w:rFonts w:ascii="Arial" w:hAnsi="Arial" w:cs="Arial"/>
        </w:rPr>
      </w:pPr>
      <w:r>
        <w:rPr>
          <w:rFonts w:ascii="Arial" w:hAnsi="Arial" w:cs="Arial"/>
        </w:rPr>
        <w:t>CONCLUSION</w:t>
      </w:r>
    </w:p>
    <w:p w14:paraId="4A9E5EB8" w14:textId="77777777" w:rsidR="009748CA" w:rsidRPr="009748CA" w:rsidRDefault="009748CA" w:rsidP="009748CA">
      <w:pPr>
        <w:rPr>
          <w:rFonts w:ascii="Arial" w:hAnsi="Arial" w:cs="Arial"/>
        </w:rPr>
      </w:pPr>
    </w:p>
    <w:p w14:paraId="38B49C27" w14:textId="679D815A" w:rsidR="009748CA" w:rsidRDefault="009748CA" w:rsidP="009748CA">
      <w:pPr>
        <w:rPr>
          <w:rFonts w:ascii="Arial" w:hAnsi="Arial" w:cs="Arial"/>
        </w:rPr>
      </w:pPr>
      <w:r w:rsidRPr="009748CA">
        <w:rPr>
          <w:rFonts w:ascii="Arial" w:hAnsi="Arial" w:cs="Arial"/>
        </w:rPr>
        <w:t>In this report, each ratio family is shown whether this is a small business, and they play an important role in the proper functioning of this institution.</w:t>
      </w:r>
      <w:r>
        <w:rPr>
          <w:rFonts w:ascii="Arial" w:hAnsi="Arial" w:cs="Arial"/>
        </w:rPr>
        <w:t xml:space="preserve"> </w:t>
      </w:r>
      <w:r w:rsidRPr="009748CA">
        <w:rPr>
          <w:rFonts w:ascii="Arial" w:hAnsi="Arial" w:cs="Arial"/>
        </w:rPr>
        <w:t>The capital employed consists in investing funds intended for the expansion of the company, as well as the total value of assets for the business and is calculated only by subtracting current liabilities from total assets or simply adding working capital to fixed assets.</w:t>
      </w:r>
      <w:r>
        <w:rPr>
          <w:rFonts w:ascii="Arial" w:hAnsi="Arial" w:cs="Arial"/>
        </w:rPr>
        <w:t xml:space="preserve"> </w:t>
      </w:r>
    </w:p>
    <w:p w14:paraId="76B2824E" w14:textId="393DE957" w:rsidR="008D61C6" w:rsidRDefault="008D61C6" w:rsidP="002C1DE7">
      <w:pPr>
        <w:rPr>
          <w:rFonts w:ascii="Arial" w:hAnsi="Arial" w:cs="Arial"/>
        </w:rPr>
      </w:pPr>
    </w:p>
    <w:p w14:paraId="172D83F4" w14:textId="482BD6D8" w:rsidR="008D61C6" w:rsidRDefault="008D61C6" w:rsidP="002C1DE7">
      <w:pPr>
        <w:rPr>
          <w:rFonts w:ascii="Arial" w:hAnsi="Arial" w:cs="Arial"/>
        </w:rPr>
      </w:pPr>
    </w:p>
    <w:p w14:paraId="54DE06F1" w14:textId="64BD29A9" w:rsidR="008D61C6" w:rsidRDefault="008D61C6" w:rsidP="002C1DE7">
      <w:pPr>
        <w:rPr>
          <w:rFonts w:ascii="Arial" w:hAnsi="Arial" w:cs="Arial"/>
        </w:rPr>
      </w:pPr>
    </w:p>
    <w:p w14:paraId="47F417A1" w14:textId="7A3B5027" w:rsidR="008D61C6" w:rsidRDefault="008D61C6" w:rsidP="002C1DE7">
      <w:pPr>
        <w:rPr>
          <w:rFonts w:ascii="Arial" w:hAnsi="Arial" w:cs="Arial"/>
        </w:rPr>
      </w:pPr>
    </w:p>
    <w:p w14:paraId="507EF21C" w14:textId="311B0573" w:rsidR="008D61C6" w:rsidRDefault="008D61C6" w:rsidP="002C1DE7">
      <w:pPr>
        <w:rPr>
          <w:rFonts w:ascii="Arial" w:hAnsi="Arial" w:cs="Arial"/>
        </w:rPr>
      </w:pPr>
    </w:p>
    <w:p w14:paraId="74ACC81E" w14:textId="238621B5" w:rsidR="008D61C6" w:rsidRDefault="008D61C6" w:rsidP="002C1DE7">
      <w:pPr>
        <w:rPr>
          <w:rFonts w:ascii="Arial" w:hAnsi="Arial" w:cs="Arial"/>
        </w:rPr>
      </w:pPr>
    </w:p>
    <w:p w14:paraId="6BC7EB80" w14:textId="6FA28A07" w:rsidR="008D61C6" w:rsidRDefault="008D61C6" w:rsidP="002C1DE7">
      <w:pPr>
        <w:rPr>
          <w:rFonts w:ascii="Arial" w:hAnsi="Arial" w:cs="Arial"/>
        </w:rPr>
      </w:pPr>
    </w:p>
    <w:p w14:paraId="49962A8D" w14:textId="20EB2E61" w:rsidR="008D61C6" w:rsidRDefault="008D61C6" w:rsidP="002C1DE7">
      <w:pPr>
        <w:rPr>
          <w:rFonts w:ascii="Arial" w:hAnsi="Arial" w:cs="Arial"/>
        </w:rPr>
      </w:pPr>
    </w:p>
    <w:p w14:paraId="795EF9D4" w14:textId="4BA33BDE" w:rsidR="008D61C6" w:rsidRDefault="008D61C6" w:rsidP="002C1DE7">
      <w:pPr>
        <w:rPr>
          <w:rFonts w:ascii="Arial" w:hAnsi="Arial" w:cs="Arial"/>
        </w:rPr>
      </w:pPr>
    </w:p>
    <w:p w14:paraId="503C853F" w14:textId="3CD0944F" w:rsidR="008D61C6" w:rsidRDefault="008D61C6" w:rsidP="002C1DE7">
      <w:pPr>
        <w:rPr>
          <w:rFonts w:ascii="Arial" w:hAnsi="Arial" w:cs="Arial"/>
        </w:rPr>
      </w:pPr>
    </w:p>
    <w:p w14:paraId="28D66D0C" w14:textId="452230BD" w:rsidR="008D61C6" w:rsidRDefault="008D61C6" w:rsidP="002C1DE7">
      <w:pPr>
        <w:rPr>
          <w:rFonts w:ascii="Arial" w:hAnsi="Arial" w:cs="Arial"/>
        </w:rPr>
      </w:pPr>
    </w:p>
    <w:p w14:paraId="4BB49229" w14:textId="6957FE04" w:rsidR="008D61C6" w:rsidRDefault="008D61C6" w:rsidP="002C1DE7">
      <w:pPr>
        <w:rPr>
          <w:rFonts w:ascii="Arial" w:hAnsi="Arial" w:cs="Arial"/>
        </w:rPr>
      </w:pPr>
    </w:p>
    <w:p w14:paraId="570B7A6D" w14:textId="6E648628" w:rsidR="008D61C6" w:rsidRDefault="008D61C6" w:rsidP="002C1DE7">
      <w:pPr>
        <w:rPr>
          <w:rFonts w:ascii="Arial" w:hAnsi="Arial" w:cs="Arial"/>
        </w:rPr>
      </w:pPr>
    </w:p>
    <w:p w14:paraId="217B8F37" w14:textId="1C31ED00" w:rsidR="008D61C6" w:rsidRDefault="008D61C6" w:rsidP="002C1DE7">
      <w:pPr>
        <w:rPr>
          <w:rFonts w:ascii="Arial" w:hAnsi="Arial" w:cs="Arial"/>
        </w:rPr>
      </w:pPr>
    </w:p>
    <w:p w14:paraId="425DDF6F" w14:textId="26517546" w:rsidR="008D61C6" w:rsidRDefault="008D61C6" w:rsidP="002C1DE7">
      <w:pPr>
        <w:rPr>
          <w:rFonts w:ascii="Arial" w:hAnsi="Arial" w:cs="Arial"/>
        </w:rPr>
      </w:pPr>
    </w:p>
    <w:p w14:paraId="1E0CD101" w14:textId="6CBACD48" w:rsidR="008D61C6" w:rsidRDefault="008D61C6" w:rsidP="002C1DE7">
      <w:pPr>
        <w:rPr>
          <w:rFonts w:ascii="Arial" w:hAnsi="Arial" w:cs="Arial"/>
        </w:rPr>
      </w:pPr>
    </w:p>
    <w:p w14:paraId="55622CA8" w14:textId="3257F948" w:rsidR="008D61C6" w:rsidRDefault="008D61C6" w:rsidP="002C1DE7">
      <w:pPr>
        <w:rPr>
          <w:rFonts w:ascii="Arial" w:hAnsi="Arial" w:cs="Arial"/>
        </w:rPr>
      </w:pPr>
    </w:p>
    <w:p w14:paraId="7403073C" w14:textId="33397EF6" w:rsidR="008D61C6" w:rsidRDefault="008D61C6" w:rsidP="002C1DE7">
      <w:pPr>
        <w:rPr>
          <w:rFonts w:ascii="Arial" w:hAnsi="Arial" w:cs="Arial"/>
        </w:rPr>
      </w:pPr>
    </w:p>
    <w:p w14:paraId="50E0F7B7" w14:textId="77777777" w:rsidR="008D61C6" w:rsidRPr="002C1DE7" w:rsidRDefault="008D61C6" w:rsidP="002C1DE7">
      <w:pPr>
        <w:rPr>
          <w:rFonts w:ascii="Arial" w:hAnsi="Arial" w:cs="Arial"/>
        </w:rPr>
      </w:pPr>
    </w:p>
    <w:p w14:paraId="6C7B90BA" w14:textId="55B979FF" w:rsidR="002C1DE7" w:rsidRPr="002C1DE7" w:rsidRDefault="002C1DE7" w:rsidP="002C1DE7">
      <w:pPr>
        <w:rPr>
          <w:rFonts w:ascii="Arial" w:hAnsi="Arial" w:cs="Arial"/>
        </w:rPr>
      </w:pPr>
    </w:p>
    <w:p w14:paraId="5B6C20DC" w14:textId="77777777" w:rsidR="002C1DE7" w:rsidRPr="002C1DE7" w:rsidRDefault="002C1DE7" w:rsidP="002C1DE7">
      <w:pPr>
        <w:rPr>
          <w:rFonts w:ascii="Arial" w:hAnsi="Arial" w:cs="Arial"/>
        </w:rPr>
      </w:pPr>
      <w:r w:rsidRPr="002C1DE7">
        <w:rPr>
          <w:rFonts w:ascii="Arial" w:hAnsi="Arial" w:cs="Arial"/>
        </w:rPr>
        <w:t>REFERENCES</w:t>
      </w:r>
    </w:p>
    <w:p w14:paraId="5E358A56" w14:textId="77777777" w:rsidR="002C1DE7" w:rsidRPr="002C1DE7" w:rsidRDefault="002C1DE7" w:rsidP="002C1DE7">
      <w:pPr>
        <w:rPr>
          <w:rFonts w:ascii="Arial" w:hAnsi="Arial" w:cs="Arial"/>
        </w:rPr>
      </w:pPr>
      <w:r w:rsidRPr="002C1DE7">
        <w:rPr>
          <w:rFonts w:ascii="Arial" w:hAnsi="Arial" w:cs="Arial"/>
        </w:rPr>
        <w:t>Books and journal:</w:t>
      </w:r>
    </w:p>
    <w:p w14:paraId="326D1A87" w14:textId="77777777" w:rsidR="008D61C6" w:rsidRPr="002C1DE7" w:rsidRDefault="008D61C6" w:rsidP="002C1DE7">
      <w:pPr>
        <w:rPr>
          <w:rFonts w:ascii="Arial" w:hAnsi="Arial" w:cs="Arial"/>
        </w:rPr>
      </w:pPr>
    </w:p>
    <w:p w14:paraId="1E9F7115" w14:textId="77777777" w:rsidR="008D61C6" w:rsidRPr="002C1DE7" w:rsidRDefault="008D61C6" w:rsidP="002C1DE7">
      <w:pPr>
        <w:rPr>
          <w:rFonts w:ascii="Arial" w:hAnsi="Arial" w:cs="Arial"/>
        </w:rPr>
      </w:pPr>
      <w:proofErr w:type="spellStart"/>
      <w:r w:rsidRPr="002C1DE7">
        <w:rPr>
          <w:rFonts w:ascii="Arial" w:hAnsi="Arial" w:cs="Arial"/>
        </w:rPr>
        <w:t>Behkami</w:t>
      </w:r>
      <w:proofErr w:type="spellEnd"/>
      <w:r w:rsidRPr="002C1DE7">
        <w:rPr>
          <w:rFonts w:ascii="Arial" w:hAnsi="Arial" w:cs="Arial"/>
        </w:rPr>
        <w:t xml:space="preserve">, S., Zain, S.M., </w:t>
      </w:r>
      <w:proofErr w:type="spellStart"/>
      <w:r w:rsidRPr="002C1DE7">
        <w:rPr>
          <w:rFonts w:ascii="Arial" w:hAnsi="Arial" w:cs="Arial"/>
        </w:rPr>
        <w:t>Gholami</w:t>
      </w:r>
      <w:proofErr w:type="spellEnd"/>
      <w:r w:rsidRPr="002C1DE7">
        <w:rPr>
          <w:rFonts w:ascii="Arial" w:hAnsi="Arial" w:cs="Arial"/>
        </w:rPr>
        <w:t xml:space="preserve">, M. and </w:t>
      </w:r>
      <w:proofErr w:type="spellStart"/>
      <w:r w:rsidRPr="002C1DE7">
        <w:rPr>
          <w:rFonts w:ascii="Arial" w:hAnsi="Arial" w:cs="Arial"/>
        </w:rPr>
        <w:t>Bakirdere</w:t>
      </w:r>
      <w:proofErr w:type="spellEnd"/>
      <w:r w:rsidRPr="002C1DE7">
        <w:rPr>
          <w:rFonts w:ascii="Arial" w:hAnsi="Arial" w:cs="Arial"/>
        </w:rPr>
        <w:t>, S., 2017. Isotopic ratio analysis of cattle tail hair: A potential tool in building the database for cow milk geographical traceability. Food chemistry, 217, pp.438-444.</w:t>
      </w:r>
    </w:p>
    <w:p w14:paraId="65C1E368" w14:textId="77777777" w:rsidR="008D61C6" w:rsidRPr="002C1DE7" w:rsidRDefault="008D61C6" w:rsidP="002C1DE7">
      <w:pPr>
        <w:rPr>
          <w:rFonts w:ascii="Arial" w:hAnsi="Arial" w:cs="Arial"/>
        </w:rPr>
      </w:pPr>
      <w:r w:rsidRPr="002C1DE7">
        <w:rPr>
          <w:rFonts w:ascii="Arial" w:hAnsi="Arial" w:cs="Arial"/>
        </w:rPr>
        <w:t>Helmy, M. and Arslan, H., 2018. Utilization of aerial heterogeneous cellular networks: Signal-to-interference ratio analysis. Journal of Communications and Networks, 20(5), pp.484-495.</w:t>
      </w:r>
    </w:p>
    <w:p w14:paraId="5A3DF023" w14:textId="77777777" w:rsidR="008D61C6" w:rsidRPr="002C1DE7" w:rsidRDefault="008D61C6" w:rsidP="002C1DE7">
      <w:pPr>
        <w:rPr>
          <w:rFonts w:ascii="Arial" w:hAnsi="Arial" w:cs="Arial"/>
        </w:rPr>
      </w:pPr>
      <w:proofErr w:type="spellStart"/>
      <w:r w:rsidRPr="002C1DE7">
        <w:rPr>
          <w:rFonts w:ascii="Arial" w:hAnsi="Arial" w:cs="Arial"/>
        </w:rPr>
        <w:t>Hondro</w:t>
      </w:r>
      <w:proofErr w:type="spellEnd"/>
      <w:r w:rsidRPr="002C1DE7">
        <w:rPr>
          <w:rFonts w:ascii="Arial" w:hAnsi="Arial" w:cs="Arial"/>
        </w:rPr>
        <w:t>, R.K., 2018. Multi-Objective Optimization on the basis of Ratio Analysis (MOORA) Method.</w:t>
      </w:r>
    </w:p>
    <w:p w14:paraId="15324303" w14:textId="77777777" w:rsidR="008D61C6" w:rsidRPr="002C1DE7" w:rsidRDefault="008D61C6" w:rsidP="002C1DE7">
      <w:pPr>
        <w:rPr>
          <w:rFonts w:ascii="Arial" w:hAnsi="Arial" w:cs="Arial"/>
        </w:rPr>
      </w:pPr>
      <w:proofErr w:type="spellStart"/>
      <w:r w:rsidRPr="002C1DE7">
        <w:rPr>
          <w:rFonts w:ascii="Arial" w:hAnsi="Arial" w:cs="Arial"/>
        </w:rPr>
        <w:t>Jeong</w:t>
      </w:r>
      <w:proofErr w:type="spellEnd"/>
      <w:r w:rsidRPr="002C1DE7">
        <w:rPr>
          <w:rFonts w:ascii="Arial" w:hAnsi="Arial" w:cs="Arial"/>
        </w:rPr>
        <w:t xml:space="preserve">, J.Y., Kim, J.C., Kang, D.H. and Lee, J.Y., 2018. Digital </w:t>
      </w:r>
      <w:proofErr w:type="spellStart"/>
      <w:r w:rsidRPr="002C1DE7">
        <w:rPr>
          <w:rFonts w:ascii="Arial" w:hAnsi="Arial" w:cs="Arial"/>
        </w:rPr>
        <w:t>videoscopic</w:t>
      </w:r>
      <w:proofErr w:type="spellEnd"/>
      <w:r w:rsidRPr="002C1DE7">
        <w:rPr>
          <w:rFonts w:ascii="Arial" w:hAnsi="Arial" w:cs="Arial"/>
        </w:rPr>
        <w:t xml:space="preserve"> retrograde intrarenal surgeries for renal stones: time-to-maximal stone length ratio analysis. Yonsei medical journal, 59(2), pp.303-309.</w:t>
      </w:r>
    </w:p>
    <w:p w14:paraId="44418AD4" w14:textId="77777777" w:rsidR="008D61C6" w:rsidRPr="002C1DE7" w:rsidRDefault="008D61C6" w:rsidP="002C1DE7">
      <w:pPr>
        <w:rPr>
          <w:rFonts w:ascii="Arial" w:hAnsi="Arial" w:cs="Arial"/>
        </w:rPr>
      </w:pPr>
      <w:proofErr w:type="spellStart"/>
      <w:r w:rsidRPr="002C1DE7">
        <w:rPr>
          <w:rFonts w:ascii="Arial" w:hAnsi="Arial" w:cs="Arial"/>
        </w:rPr>
        <w:t>Kopanja</w:t>
      </w:r>
      <w:proofErr w:type="spellEnd"/>
      <w:r w:rsidRPr="002C1DE7">
        <w:rPr>
          <w:rFonts w:ascii="Arial" w:hAnsi="Arial" w:cs="Arial"/>
        </w:rPr>
        <w:t xml:space="preserve">, L., </w:t>
      </w:r>
      <w:proofErr w:type="spellStart"/>
      <w:r w:rsidRPr="002C1DE7">
        <w:rPr>
          <w:rFonts w:ascii="Arial" w:hAnsi="Arial" w:cs="Arial"/>
        </w:rPr>
        <w:t>Tadić</w:t>
      </w:r>
      <w:proofErr w:type="spellEnd"/>
      <w:r w:rsidRPr="002C1DE7">
        <w:rPr>
          <w:rFonts w:ascii="Arial" w:hAnsi="Arial" w:cs="Arial"/>
        </w:rPr>
        <w:t xml:space="preserve">, M., </w:t>
      </w:r>
      <w:proofErr w:type="spellStart"/>
      <w:r w:rsidRPr="002C1DE7">
        <w:rPr>
          <w:rFonts w:ascii="Arial" w:hAnsi="Arial" w:cs="Arial"/>
        </w:rPr>
        <w:t>Kralj</w:t>
      </w:r>
      <w:proofErr w:type="spellEnd"/>
      <w:r w:rsidRPr="002C1DE7">
        <w:rPr>
          <w:rFonts w:ascii="Arial" w:hAnsi="Arial" w:cs="Arial"/>
        </w:rPr>
        <w:t xml:space="preserve">, S. and </w:t>
      </w:r>
      <w:proofErr w:type="spellStart"/>
      <w:r w:rsidRPr="002C1DE7">
        <w:rPr>
          <w:rFonts w:ascii="Arial" w:hAnsi="Arial" w:cs="Arial"/>
        </w:rPr>
        <w:t>Žunić</w:t>
      </w:r>
      <w:proofErr w:type="spellEnd"/>
      <w:r w:rsidRPr="002C1DE7">
        <w:rPr>
          <w:rFonts w:ascii="Arial" w:hAnsi="Arial" w:cs="Arial"/>
        </w:rPr>
        <w:t>, J., 2018. Shape and aspect ratio analysis of anisotropic magnetic nanochains based on TEM micrographs. Ceramics International, 44(11), pp.12340-12351.</w:t>
      </w:r>
    </w:p>
    <w:p w14:paraId="2177BE76" w14:textId="77777777" w:rsidR="008D61C6" w:rsidRPr="002C1DE7" w:rsidRDefault="008D61C6" w:rsidP="002C1DE7">
      <w:pPr>
        <w:rPr>
          <w:rFonts w:ascii="Arial" w:hAnsi="Arial" w:cs="Arial"/>
        </w:rPr>
      </w:pPr>
      <w:r w:rsidRPr="002C1DE7">
        <w:rPr>
          <w:rFonts w:ascii="Arial" w:hAnsi="Arial" w:cs="Arial"/>
        </w:rPr>
        <w:t xml:space="preserve">Li, Z., </w:t>
      </w:r>
      <w:proofErr w:type="spellStart"/>
      <w:r w:rsidRPr="002C1DE7">
        <w:rPr>
          <w:rFonts w:ascii="Arial" w:hAnsi="Arial" w:cs="Arial"/>
        </w:rPr>
        <w:t>Nie</w:t>
      </w:r>
      <w:proofErr w:type="spellEnd"/>
      <w:r w:rsidRPr="002C1DE7">
        <w:rPr>
          <w:rFonts w:ascii="Arial" w:hAnsi="Arial" w:cs="Arial"/>
        </w:rPr>
        <w:t xml:space="preserve">, F., Chang, X. and Yang, Y., 2017. Beyond trace ratio: weighted harmonic </w:t>
      </w:r>
      <w:proofErr w:type="gramStart"/>
      <w:r w:rsidRPr="002C1DE7">
        <w:rPr>
          <w:rFonts w:ascii="Arial" w:hAnsi="Arial" w:cs="Arial"/>
        </w:rPr>
        <w:t>mean</w:t>
      </w:r>
      <w:proofErr w:type="gramEnd"/>
      <w:r w:rsidRPr="002C1DE7">
        <w:rPr>
          <w:rFonts w:ascii="Arial" w:hAnsi="Arial" w:cs="Arial"/>
        </w:rPr>
        <w:t xml:space="preserve"> of trace ratios for multiclass discriminant analysis. IEEE Transactions on Knowledge and Data Engineering, 29(10), pp.2100-2110.</w:t>
      </w:r>
    </w:p>
    <w:p w14:paraId="09D2675F" w14:textId="77777777" w:rsidR="008D61C6" w:rsidRPr="002C1DE7" w:rsidRDefault="008D61C6" w:rsidP="002C1DE7">
      <w:pPr>
        <w:rPr>
          <w:rFonts w:ascii="Arial" w:hAnsi="Arial" w:cs="Arial"/>
        </w:rPr>
      </w:pPr>
      <w:r w:rsidRPr="002C1DE7">
        <w:rPr>
          <w:rFonts w:ascii="Arial" w:hAnsi="Arial" w:cs="Arial"/>
        </w:rPr>
        <w:t>Mo, Y., Du, L., Qu, B., Peng, B. and Yang, J., 2017. Damping ratio analysis of a silicon capacitive micromechanical accelerometer. Wireless Sensor Network, 9(5), pp.178-188.</w:t>
      </w:r>
    </w:p>
    <w:p w14:paraId="67D46B52" w14:textId="77777777" w:rsidR="008D61C6" w:rsidRPr="002C1DE7" w:rsidRDefault="008D61C6" w:rsidP="002C1DE7">
      <w:pPr>
        <w:rPr>
          <w:rFonts w:ascii="Arial" w:hAnsi="Arial" w:cs="Arial"/>
        </w:rPr>
      </w:pPr>
      <w:proofErr w:type="spellStart"/>
      <w:r w:rsidRPr="002C1DE7">
        <w:rPr>
          <w:rFonts w:ascii="Arial" w:hAnsi="Arial" w:cs="Arial"/>
        </w:rPr>
        <w:t>Sahu</w:t>
      </w:r>
      <w:proofErr w:type="spellEnd"/>
      <w:r w:rsidRPr="002C1DE7">
        <w:rPr>
          <w:rFonts w:ascii="Arial" w:hAnsi="Arial" w:cs="Arial"/>
        </w:rPr>
        <w:t xml:space="preserve">, K., Nandi, N., </w:t>
      </w:r>
      <w:proofErr w:type="spellStart"/>
      <w:r w:rsidRPr="002C1DE7">
        <w:rPr>
          <w:rFonts w:ascii="Arial" w:hAnsi="Arial" w:cs="Arial"/>
        </w:rPr>
        <w:t>Dolai</w:t>
      </w:r>
      <w:proofErr w:type="spellEnd"/>
      <w:r w:rsidRPr="002C1DE7">
        <w:rPr>
          <w:rFonts w:ascii="Arial" w:hAnsi="Arial" w:cs="Arial"/>
        </w:rPr>
        <w:t xml:space="preserve">, S. and </w:t>
      </w:r>
      <w:proofErr w:type="spellStart"/>
      <w:r w:rsidRPr="002C1DE7">
        <w:rPr>
          <w:rFonts w:ascii="Arial" w:hAnsi="Arial" w:cs="Arial"/>
        </w:rPr>
        <w:t>Bera</w:t>
      </w:r>
      <w:proofErr w:type="spellEnd"/>
      <w:r w:rsidRPr="002C1DE7">
        <w:rPr>
          <w:rFonts w:ascii="Arial" w:hAnsi="Arial" w:cs="Arial"/>
        </w:rPr>
        <w:t xml:space="preserve">, A., 2018. A Ratio-Analysis Method for the Dynamics of Excited State Proton Transfer: </w:t>
      </w:r>
      <w:proofErr w:type="spellStart"/>
      <w:r w:rsidRPr="002C1DE7">
        <w:rPr>
          <w:rFonts w:ascii="Arial" w:hAnsi="Arial" w:cs="Arial"/>
        </w:rPr>
        <w:t>Pyranine</w:t>
      </w:r>
      <w:proofErr w:type="spellEnd"/>
      <w:r w:rsidRPr="002C1DE7">
        <w:rPr>
          <w:rFonts w:ascii="Arial" w:hAnsi="Arial" w:cs="Arial"/>
        </w:rPr>
        <w:t xml:space="preserve"> in Water and Micelles. The Journal of Physical Chemistry B, 122(25), pp.6610-6615.</w:t>
      </w:r>
    </w:p>
    <w:p w14:paraId="7C9E4370" w14:textId="57AFD0EC" w:rsidR="00C5153A" w:rsidRPr="002C1DE7" w:rsidRDefault="00C5153A" w:rsidP="002C1DE7">
      <w:pPr>
        <w:rPr>
          <w:rFonts w:ascii="Arial" w:hAnsi="Arial" w:cs="Arial"/>
        </w:rPr>
      </w:pPr>
    </w:p>
    <w:p w14:paraId="0EEEE52C" w14:textId="77777777" w:rsidR="002C1DE7" w:rsidRPr="002C1DE7" w:rsidRDefault="002C1DE7" w:rsidP="002C1DE7">
      <w:pPr>
        <w:rPr>
          <w:rFonts w:ascii="Arial" w:hAnsi="Arial" w:cs="Arial"/>
        </w:rPr>
      </w:pPr>
    </w:p>
    <w:sectPr w:rsidR="002C1DE7" w:rsidRPr="002C1DE7" w:rsidSect="009748CA">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85BF9C" w14:textId="77777777" w:rsidR="007C730C" w:rsidRDefault="007C730C" w:rsidP="008D61C6">
      <w:pPr>
        <w:spacing w:after="0" w:line="240" w:lineRule="auto"/>
      </w:pPr>
      <w:r>
        <w:separator/>
      </w:r>
    </w:p>
  </w:endnote>
  <w:endnote w:type="continuationSeparator" w:id="0">
    <w:p w14:paraId="1E565A02" w14:textId="77777777" w:rsidR="007C730C" w:rsidRDefault="007C730C" w:rsidP="008D61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3050227"/>
      <w:docPartObj>
        <w:docPartGallery w:val="Page Numbers (Bottom of Page)"/>
        <w:docPartUnique/>
      </w:docPartObj>
    </w:sdtPr>
    <w:sdtEndPr>
      <w:rPr>
        <w:noProof/>
      </w:rPr>
    </w:sdtEndPr>
    <w:sdtContent>
      <w:p w14:paraId="36B71FC8" w14:textId="1AC43A7F" w:rsidR="009748CA" w:rsidRDefault="009748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A9FBEC" w14:textId="77777777" w:rsidR="009748CA" w:rsidRDefault="009748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AA185E" w14:textId="77777777" w:rsidR="007C730C" w:rsidRDefault="007C730C" w:rsidP="008D61C6">
      <w:pPr>
        <w:spacing w:after="0" w:line="240" w:lineRule="auto"/>
      </w:pPr>
      <w:r>
        <w:separator/>
      </w:r>
    </w:p>
  </w:footnote>
  <w:footnote w:type="continuationSeparator" w:id="0">
    <w:p w14:paraId="67104BC1" w14:textId="77777777" w:rsidR="007C730C" w:rsidRDefault="007C730C" w:rsidP="008D61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6308F4"/>
    <w:multiLevelType w:val="hybridMultilevel"/>
    <w:tmpl w:val="396C531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E66"/>
    <w:rsid w:val="00093523"/>
    <w:rsid w:val="000E2436"/>
    <w:rsid w:val="002C1DE7"/>
    <w:rsid w:val="00307E66"/>
    <w:rsid w:val="00530775"/>
    <w:rsid w:val="00622DC5"/>
    <w:rsid w:val="006D5BAD"/>
    <w:rsid w:val="007C730C"/>
    <w:rsid w:val="00893C4E"/>
    <w:rsid w:val="008D61C6"/>
    <w:rsid w:val="009748CA"/>
    <w:rsid w:val="00AB46D7"/>
    <w:rsid w:val="00B65A4C"/>
    <w:rsid w:val="00C515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FF5BB"/>
  <w15:chartTrackingRefBased/>
  <w15:docId w15:val="{5488CFA9-C9A3-4B60-89B8-78371852B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61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61C6"/>
  </w:style>
  <w:style w:type="paragraph" w:styleId="Footer">
    <w:name w:val="footer"/>
    <w:basedOn w:val="Normal"/>
    <w:link w:val="FooterChar"/>
    <w:uiPriority w:val="99"/>
    <w:unhideWhenUsed/>
    <w:rsid w:val="008D61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61C6"/>
  </w:style>
  <w:style w:type="paragraph" w:styleId="ListParagraph">
    <w:name w:val="List Paragraph"/>
    <w:basedOn w:val="Normal"/>
    <w:uiPriority w:val="34"/>
    <w:qFormat/>
    <w:rsid w:val="008D61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3.emf"/><Relationship Id="rId18" Type="http://schemas.openxmlformats.org/officeDocument/2006/relationships/image" Target="media/image6.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hart" Target="charts/chart7.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5.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chart" Target="charts/chart8.xml"/><Relationship Id="rId10" Type="http://schemas.openxmlformats.org/officeDocument/2006/relationships/image" Target="media/image2.emf"/><Relationship Id="rId19" Type="http://schemas.openxmlformats.org/officeDocument/2006/relationships/chart" Target="charts/chart6.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4.emf"/><Relationship Id="rId22" Type="http://schemas.openxmlformats.org/officeDocument/2006/relationships/image" Target="media/image8.emf"/></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user\Desktop\sanju\2%20July\ratios.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file:///C:\Users\user\Desktop\sanju\2%20July\ratios.xlsx"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file:///C:\Users\user\Desktop\sanju\2%20July\ratios.xlsx"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file:///C:\Users\user\Desktop\sanju\2%20July\ratios.xlsx"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file:///C:\Users\user\Desktop\sanju\2%20July\ratios.xlsx"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file:///C:\Users\user\Desktop\sanju\2%20July\ratios.xlsx" TargetMode="Externa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file:///C:\Users\user\Desktop\sanju\2%20July\ratios.xlsx" TargetMode="Externa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file:///C:\Users\user\Desktop\sanju\2%20July\ratio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Sheet2!$A$3</c:f>
              <c:strCache>
                <c:ptCount val="1"/>
                <c:pt idx="0">
                  <c:v>Gross margin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Sheet2!$B$2:$C$2</c:f>
              <c:numCache>
                <c:formatCode>General</c:formatCode>
                <c:ptCount val="2"/>
                <c:pt idx="0">
                  <c:v>2018</c:v>
                </c:pt>
                <c:pt idx="1">
                  <c:v>2019</c:v>
                </c:pt>
              </c:numCache>
            </c:numRef>
          </c:cat>
          <c:val>
            <c:numRef>
              <c:f>Sheet2!$B$3:$C$3</c:f>
              <c:numCache>
                <c:formatCode>General</c:formatCode>
                <c:ptCount val="2"/>
                <c:pt idx="0">
                  <c:v>91.82</c:v>
                </c:pt>
                <c:pt idx="1">
                  <c:v>85.83</c:v>
                </c:pt>
              </c:numCache>
            </c:numRef>
          </c:val>
          <c:extLst>
            <c:ext xmlns:c16="http://schemas.microsoft.com/office/drawing/2014/chart" uri="{C3380CC4-5D6E-409C-BE32-E72D297353CC}">
              <c16:uniqueId val="{00000000-97CA-4AB6-89FA-EA44112CDDF5}"/>
            </c:ext>
          </c:extLst>
        </c:ser>
        <c:dLbls>
          <c:showLegendKey val="0"/>
          <c:showVal val="0"/>
          <c:showCatName val="0"/>
          <c:showSerName val="0"/>
          <c:showPercent val="0"/>
          <c:showBubbleSize val="0"/>
        </c:dLbls>
        <c:gapWidth val="219"/>
        <c:overlap val="-27"/>
        <c:axId val="327290352"/>
        <c:axId val="508174288"/>
      </c:barChart>
      <c:catAx>
        <c:axId val="327290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174288"/>
        <c:crosses val="autoZero"/>
        <c:auto val="1"/>
        <c:lblAlgn val="ctr"/>
        <c:lblOffset val="100"/>
        <c:noMultiLvlLbl val="0"/>
      </c:catAx>
      <c:valAx>
        <c:axId val="5081742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72903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Sheet3!$A$3</c:f>
              <c:strCache>
                <c:ptCount val="1"/>
                <c:pt idx="0">
                  <c:v>Net margin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Sheet3!$B$2:$C$2</c:f>
              <c:numCache>
                <c:formatCode>General</c:formatCode>
                <c:ptCount val="2"/>
                <c:pt idx="0">
                  <c:v>2018</c:v>
                </c:pt>
                <c:pt idx="1">
                  <c:v>2019</c:v>
                </c:pt>
              </c:numCache>
            </c:numRef>
          </c:cat>
          <c:val>
            <c:numRef>
              <c:f>Sheet3!$B$3:$C$3</c:f>
              <c:numCache>
                <c:formatCode>General</c:formatCode>
                <c:ptCount val="2"/>
                <c:pt idx="0">
                  <c:v>72.87</c:v>
                </c:pt>
                <c:pt idx="1">
                  <c:v>67.88</c:v>
                </c:pt>
              </c:numCache>
            </c:numRef>
          </c:val>
          <c:extLst>
            <c:ext xmlns:c16="http://schemas.microsoft.com/office/drawing/2014/chart" uri="{C3380CC4-5D6E-409C-BE32-E72D297353CC}">
              <c16:uniqueId val="{00000000-5047-4299-A154-145F7A088B92}"/>
            </c:ext>
          </c:extLst>
        </c:ser>
        <c:dLbls>
          <c:showLegendKey val="0"/>
          <c:showVal val="0"/>
          <c:showCatName val="0"/>
          <c:showSerName val="0"/>
          <c:showPercent val="0"/>
          <c:showBubbleSize val="0"/>
        </c:dLbls>
        <c:gapWidth val="219"/>
        <c:overlap val="-27"/>
        <c:axId val="509883376"/>
        <c:axId val="509877136"/>
      </c:barChart>
      <c:catAx>
        <c:axId val="509883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9877136"/>
        <c:crosses val="autoZero"/>
        <c:auto val="1"/>
        <c:lblAlgn val="ctr"/>
        <c:lblOffset val="100"/>
        <c:noMultiLvlLbl val="0"/>
      </c:catAx>
      <c:valAx>
        <c:axId val="5098771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98833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Sheet4!$A$2</c:f>
              <c:strCache>
                <c:ptCount val="1"/>
                <c:pt idx="0">
                  <c:v>Return on assets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Sheet4!$B$1:$C$1</c:f>
              <c:numCache>
                <c:formatCode>General</c:formatCode>
                <c:ptCount val="2"/>
                <c:pt idx="0">
                  <c:v>2018</c:v>
                </c:pt>
                <c:pt idx="1">
                  <c:v>2019</c:v>
                </c:pt>
              </c:numCache>
            </c:numRef>
          </c:cat>
          <c:val>
            <c:numRef>
              <c:f>Sheet4!$B$2:$C$2</c:f>
              <c:numCache>
                <c:formatCode>General</c:formatCode>
                <c:ptCount val="2"/>
                <c:pt idx="0">
                  <c:v>0.53</c:v>
                </c:pt>
                <c:pt idx="1">
                  <c:v>0.52</c:v>
                </c:pt>
              </c:numCache>
            </c:numRef>
          </c:val>
          <c:extLst>
            <c:ext xmlns:c16="http://schemas.microsoft.com/office/drawing/2014/chart" uri="{C3380CC4-5D6E-409C-BE32-E72D297353CC}">
              <c16:uniqueId val="{00000000-EA44-4A6D-A6FC-23DED2D0419C}"/>
            </c:ext>
          </c:extLst>
        </c:ser>
        <c:dLbls>
          <c:showLegendKey val="0"/>
          <c:showVal val="0"/>
          <c:showCatName val="0"/>
          <c:showSerName val="0"/>
          <c:showPercent val="0"/>
          <c:showBubbleSize val="0"/>
        </c:dLbls>
        <c:gapWidth val="219"/>
        <c:overlap val="-27"/>
        <c:axId val="515831920"/>
        <c:axId val="515828592"/>
      </c:barChart>
      <c:catAx>
        <c:axId val="515831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5828592"/>
        <c:crosses val="autoZero"/>
        <c:auto val="1"/>
        <c:lblAlgn val="ctr"/>
        <c:lblOffset val="100"/>
        <c:noMultiLvlLbl val="0"/>
      </c:catAx>
      <c:valAx>
        <c:axId val="5158285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5831920"/>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ROCE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Sheet5!$A$2</c:f>
              <c:strCache>
                <c:ptCount val="1"/>
                <c:pt idx="0">
                  <c:v>ROE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Sheet5!$B$1:$C$1</c:f>
              <c:numCache>
                <c:formatCode>General</c:formatCode>
                <c:ptCount val="2"/>
                <c:pt idx="0">
                  <c:v>2018</c:v>
                </c:pt>
                <c:pt idx="1">
                  <c:v>2019</c:v>
                </c:pt>
              </c:numCache>
            </c:numRef>
          </c:cat>
          <c:val>
            <c:numRef>
              <c:f>Sheet5!$B$2:$C$2</c:f>
              <c:numCache>
                <c:formatCode>General</c:formatCode>
                <c:ptCount val="2"/>
                <c:pt idx="0">
                  <c:v>0.81</c:v>
                </c:pt>
                <c:pt idx="1">
                  <c:v>0.82</c:v>
                </c:pt>
              </c:numCache>
            </c:numRef>
          </c:val>
          <c:extLst>
            <c:ext xmlns:c16="http://schemas.microsoft.com/office/drawing/2014/chart" uri="{C3380CC4-5D6E-409C-BE32-E72D297353CC}">
              <c16:uniqueId val="{00000000-68EC-4164-845B-657A974C6669}"/>
            </c:ext>
          </c:extLst>
        </c:ser>
        <c:dLbls>
          <c:showLegendKey val="0"/>
          <c:showVal val="0"/>
          <c:showCatName val="0"/>
          <c:showSerName val="0"/>
          <c:showPercent val="0"/>
          <c:showBubbleSize val="0"/>
        </c:dLbls>
        <c:gapWidth val="219"/>
        <c:overlap val="-27"/>
        <c:axId val="515832752"/>
        <c:axId val="515833168"/>
      </c:barChart>
      <c:catAx>
        <c:axId val="5158327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5833168"/>
        <c:crosses val="autoZero"/>
        <c:auto val="1"/>
        <c:lblAlgn val="ctr"/>
        <c:lblOffset val="100"/>
        <c:noMultiLvlLbl val="0"/>
      </c:catAx>
      <c:valAx>
        <c:axId val="515833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58327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Sheet6!$A$3</c:f>
              <c:strCache>
                <c:ptCount val="1"/>
                <c:pt idx="0">
                  <c:v>Current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Sheet6!$B$2:$C$2</c:f>
              <c:numCache>
                <c:formatCode>General</c:formatCode>
                <c:ptCount val="2"/>
                <c:pt idx="0">
                  <c:v>2018</c:v>
                </c:pt>
                <c:pt idx="1">
                  <c:v>2019</c:v>
                </c:pt>
              </c:numCache>
            </c:numRef>
          </c:cat>
          <c:val>
            <c:numRef>
              <c:f>Sheet6!$B$3:$C$3</c:f>
              <c:numCache>
                <c:formatCode>General</c:formatCode>
                <c:ptCount val="2"/>
                <c:pt idx="0">
                  <c:v>1.29</c:v>
                </c:pt>
                <c:pt idx="1">
                  <c:v>1</c:v>
                </c:pt>
              </c:numCache>
            </c:numRef>
          </c:val>
          <c:extLst>
            <c:ext xmlns:c16="http://schemas.microsoft.com/office/drawing/2014/chart" uri="{C3380CC4-5D6E-409C-BE32-E72D297353CC}">
              <c16:uniqueId val="{00000000-3E1B-495D-8DBB-7349833F5954}"/>
            </c:ext>
          </c:extLst>
        </c:ser>
        <c:dLbls>
          <c:showLegendKey val="0"/>
          <c:showVal val="0"/>
          <c:showCatName val="0"/>
          <c:showSerName val="0"/>
          <c:showPercent val="0"/>
          <c:showBubbleSize val="0"/>
        </c:dLbls>
        <c:gapWidth val="219"/>
        <c:overlap val="-27"/>
        <c:axId val="515830672"/>
        <c:axId val="515826096"/>
      </c:barChart>
      <c:catAx>
        <c:axId val="5158306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5826096"/>
        <c:crosses val="autoZero"/>
        <c:auto val="1"/>
        <c:lblAlgn val="ctr"/>
        <c:lblOffset val="100"/>
        <c:noMultiLvlLbl val="0"/>
      </c:catAx>
      <c:valAx>
        <c:axId val="515826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58306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Sheet7!$A$2</c:f>
              <c:strCache>
                <c:ptCount val="1"/>
                <c:pt idx="0">
                  <c:v>Quick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Sheet7!$B$1:$C$1</c:f>
              <c:numCache>
                <c:formatCode>General</c:formatCode>
                <c:ptCount val="2"/>
                <c:pt idx="0">
                  <c:v>2018</c:v>
                </c:pt>
                <c:pt idx="1">
                  <c:v>2019</c:v>
                </c:pt>
              </c:numCache>
            </c:numRef>
          </c:cat>
          <c:val>
            <c:numRef>
              <c:f>Sheet7!$B$2:$C$2</c:f>
              <c:numCache>
                <c:formatCode>General</c:formatCode>
                <c:ptCount val="2"/>
                <c:pt idx="0">
                  <c:v>0.21</c:v>
                </c:pt>
                <c:pt idx="1">
                  <c:v>0.13</c:v>
                </c:pt>
              </c:numCache>
            </c:numRef>
          </c:val>
          <c:extLst>
            <c:ext xmlns:c16="http://schemas.microsoft.com/office/drawing/2014/chart" uri="{C3380CC4-5D6E-409C-BE32-E72D297353CC}">
              <c16:uniqueId val="{00000000-2FC0-4F99-B935-CA3C039A168F}"/>
            </c:ext>
          </c:extLst>
        </c:ser>
        <c:dLbls>
          <c:showLegendKey val="0"/>
          <c:showVal val="0"/>
          <c:showCatName val="0"/>
          <c:showSerName val="0"/>
          <c:showPercent val="0"/>
          <c:showBubbleSize val="0"/>
        </c:dLbls>
        <c:gapWidth val="219"/>
        <c:overlap val="-27"/>
        <c:axId val="519416144"/>
        <c:axId val="519419472"/>
      </c:barChart>
      <c:catAx>
        <c:axId val="519416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419472"/>
        <c:crosses val="autoZero"/>
        <c:auto val="1"/>
        <c:lblAlgn val="ctr"/>
        <c:lblOffset val="100"/>
        <c:noMultiLvlLbl val="0"/>
      </c:catAx>
      <c:valAx>
        <c:axId val="519419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416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Sheet8!$A$3</c:f>
              <c:strCache>
                <c:ptCount val="1"/>
                <c:pt idx="0">
                  <c:v>Debt to equity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Sheet8!$B$2:$C$2</c:f>
              <c:numCache>
                <c:formatCode>General</c:formatCode>
                <c:ptCount val="2"/>
                <c:pt idx="0">
                  <c:v>2018</c:v>
                </c:pt>
                <c:pt idx="1">
                  <c:v>2019</c:v>
                </c:pt>
              </c:numCache>
            </c:numRef>
          </c:cat>
          <c:val>
            <c:numRef>
              <c:f>Sheet8!$B$3:$C$3</c:f>
              <c:numCache>
                <c:formatCode>General</c:formatCode>
                <c:ptCount val="2"/>
                <c:pt idx="0">
                  <c:v>0.34</c:v>
                </c:pt>
                <c:pt idx="1">
                  <c:v>0.34</c:v>
                </c:pt>
              </c:numCache>
            </c:numRef>
          </c:val>
          <c:extLst>
            <c:ext xmlns:c16="http://schemas.microsoft.com/office/drawing/2014/chart" uri="{C3380CC4-5D6E-409C-BE32-E72D297353CC}">
              <c16:uniqueId val="{00000000-D8FE-46C3-9E95-B1A686A06C06}"/>
            </c:ext>
          </c:extLst>
        </c:ser>
        <c:dLbls>
          <c:showLegendKey val="0"/>
          <c:showVal val="0"/>
          <c:showCatName val="0"/>
          <c:showSerName val="0"/>
          <c:showPercent val="0"/>
          <c:showBubbleSize val="0"/>
        </c:dLbls>
        <c:gapWidth val="219"/>
        <c:overlap val="-27"/>
        <c:axId val="325039408"/>
        <c:axId val="325037744"/>
      </c:barChart>
      <c:catAx>
        <c:axId val="325039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5037744"/>
        <c:crosses val="autoZero"/>
        <c:auto val="1"/>
        <c:lblAlgn val="ctr"/>
        <c:lblOffset val="100"/>
        <c:noMultiLvlLbl val="0"/>
      </c:catAx>
      <c:valAx>
        <c:axId val="325037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50394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Sheet10!$A$3</c:f>
              <c:strCache>
                <c:ptCount val="1"/>
                <c:pt idx="0">
                  <c:v>Debt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Sheet10!$B$2:$C$2</c:f>
              <c:numCache>
                <c:formatCode>General</c:formatCode>
                <c:ptCount val="2"/>
                <c:pt idx="0">
                  <c:v>2018</c:v>
                </c:pt>
                <c:pt idx="1">
                  <c:v>2019</c:v>
                </c:pt>
              </c:numCache>
            </c:numRef>
          </c:cat>
          <c:val>
            <c:numRef>
              <c:f>Sheet10!$B$3:$C$3</c:f>
              <c:numCache>
                <c:formatCode>General</c:formatCode>
                <c:ptCount val="2"/>
                <c:pt idx="0">
                  <c:v>1.24</c:v>
                </c:pt>
                <c:pt idx="1">
                  <c:v>1.29</c:v>
                </c:pt>
              </c:numCache>
            </c:numRef>
          </c:val>
          <c:extLst>
            <c:ext xmlns:c16="http://schemas.microsoft.com/office/drawing/2014/chart" uri="{C3380CC4-5D6E-409C-BE32-E72D297353CC}">
              <c16:uniqueId val="{00000000-CE28-464D-BAB2-6A06AAD7E521}"/>
            </c:ext>
          </c:extLst>
        </c:ser>
        <c:dLbls>
          <c:showLegendKey val="0"/>
          <c:showVal val="0"/>
          <c:showCatName val="0"/>
          <c:showSerName val="0"/>
          <c:showPercent val="0"/>
          <c:showBubbleSize val="0"/>
        </c:dLbls>
        <c:gapWidth val="219"/>
        <c:overlap val="-27"/>
        <c:axId val="576986160"/>
        <c:axId val="576982416"/>
      </c:barChart>
      <c:catAx>
        <c:axId val="5769861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982416"/>
        <c:crosses val="autoZero"/>
        <c:auto val="1"/>
        <c:lblAlgn val="ctr"/>
        <c:lblOffset val="100"/>
        <c:noMultiLvlLbl val="0"/>
      </c:catAx>
      <c:valAx>
        <c:axId val="5769824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9861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4F89E3-AA98-4F54-9D72-29612AF331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954</TotalTime>
  <Pages>1</Pages>
  <Words>2046</Words>
  <Characters>11666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9</cp:revision>
  <dcterms:created xsi:type="dcterms:W3CDTF">2020-06-30T16:28:00Z</dcterms:created>
  <dcterms:modified xsi:type="dcterms:W3CDTF">2020-07-03T12:51:00Z</dcterms:modified>
</cp:coreProperties>
</file>