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C2A57" w14:textId="2C7A28E8" w:rsidR="00063B4C" w:rsidRPr="00FF5B5D" w:rsidRDefault="00063B4C" w:rsidP="4C72D9C6">
      <w:pPr>
        <w:jc w:val="left"/>
        <w:rPr>
          <w:rFonts w:ascii="Arial" w:eastAsia="Arial" w:hAnsi="Arial" w:cs="Arial"/>
          <w:color w:val="000000" w:themeColor="text1"/>
        </w:rPr>
      </w:pPr>
      <w:r w:rsidRPr="00FF5B5D">
        <w:rPr>
          <w:rFonts w:ascii="Arial" w:hAnsi="Arial" w:cs="Arial"/>
          <w:noProof/>
          <w:color w:val="000000" w:themeColor="text1"/>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B396377" w14:textId="74AF5F5A" w:rsidR="00063B4C" w:rsidRPr="00FF5B5D" w:rsidRDefault="00063B4C" w:rsidP="4C72D9C6">
      <w:pPr>
        <w:jc w:val="left"/>
        <w:rPr>
          <w:rFonts w:ascii="Arial" w:eastAsia="Arial" w:hAnsi="Arial" w:cs="Arial"/>
          <w:color w:val="000000" w:themeColor="text1"/>
        </w:rPr>
      </w:pPr>
    </w:p>
    <w:p w14:paraId="00DE7510" w14:textId="684CC594" w:rsidR="00063B4C" w:rsidRPr="00FF5B5D" w:rsidRDefault="00063B4C" w:rsidP="4C72D9C6">
      <w:pPr>
        <w:jc w:val="left"/>
        <w:rPr>
          <w:rFonts w:ascii="Arial" w:eastAsia="Arial" w:hAnsi="Arial" w:cs="Arial"/>
          <w:color w:val="000000" w:themeColor="text1"/>
        </w:rPr>
      </w:pPr>
    </w:p>
    <w:p w14:paraId="62B6C1AB" w14:textId="77777777" w:rsidR="00063B4C" w:rsidRPr="00FF5B5D" w:rsidRDefault="00063B4C" w:rsidP="4C72D9C6">
      <w:pPr>
        <w:jc w:val="left"/>
        <w:rPr>
          <w:rFonts w:ascii="Arial" w:eastAsia="Arial" w:hAnsi="Arial" w:cs="Arial"/>
          <w:color w:val="000000" w:themeColor="text1"/>
        </w:rPr>
      </w:pPr>
    </w:p>
    <w:p w14:paraId="19C1447B" w14:textId="77777777" w:rsidR="00063B4C" w:rsidRPr="00FF5B5D" w:rsidRDefault="00063B4C" w:rsidP="4C72D9C6">
      <w:pPr>
        <w:jc w:val="left"/>
        <w:rPr>
          <w:rFonts w:ascii="Arial" w:eastAsia="Arial" w:hAnsi="Arial" w:cs="Arial"/>
          <w:color w:val="000000" w:themeColor="text1"/>
        </w:rPr>
      </w:pPr>
    </w:p>
    <w:p w14:paraId="4BD32C57" w14:textId="00FB9D38" w:rsidR="00063B4C" w:rsidRPr="00FF5B5D" w:rsidRDefault="00063B4C" w:rsidP="4C72D9C6">
      <w:pPr>
        <w:jc w:val="left"/>
        <w:rPr>
          <w:rFonts w:ascii="Arial" w:eastAsia="Arial" w:hAnsi="Arial" w:cs="Arial"/>
          <w:color w:val="000000" w:themeColor="text1"/>
        </w:rPr>
      </w:pPr>
      <w:r w:rsidRPr="4C72D9C6">
        <w:rPr>
          <w:rFonts w:ascii="Arial" w:eastAsia="Arial" w:hAnsi="Arial" w:cs="Arial"/>
          <w:color w:val="000000" w:themeColor="text1"/>
        </w:rPr>
        <w:t>Institute of Inner-City Learning Birmingham Campu</w:t>
      </w:r>
      <w:r w:rsidR="00DA260E" w:rsidRPr="4C72D9C6">
        <w:rPr>
          <w:rFonts w:ascii="Arial" w:eastAsia="Arial" w:hAnsi="Arial" w:cs="Arial"/>
          <w:color w:val="000000" w:themeColor="text1"/>
        </w:rPr>
        <w:t>s</w:t>
      </w:r>
    </w:p>
    <w:p w14:paraId="7F58ECA1" w14:textId="77777777" w:rsidR="00063B4C" w:rsidRPr="00FF5B5D" w:rsidRDefault="00063B4C" w:rsidP="4C72D9C6">
      <w:pPr>
        <w:pStyle w:val="BodyText"/>
        <w:spacing w:line="360" w:lineRule="auto"/>
        <w:rPr>
          <w:rFonts w:eastAsia="Arial" w:cs="Arial"/>
          <w:color w:val="000000" w:themeColor="text1"/>
        </w:rPr>
      </w:pPr>
    </w:p>
    <w:p w14:paraId="3009F44A" w14:textId="2F598781" w:rsidR="00063B4C" w:rsidRPr="00FF5B5D" w:rsidRDefault="00063B4C" w:rsidP="4C72D9C6">
      <w:pPr>
        <w:jc w:val="left"/>
        <w:rPr>
          <w:rFonts w:ascii="Arial" w:eastAsia="Arial" w:hAnsi="Arial" w:cs="Arial"/>
          <w:color w:val="000000" w:themeColor="text1"/>
        </w:rPr>
      </w:pPr>
      <w:r w:rsidRPr="4C72D9C6">
        <w:rPr>
          <w:rFonts w:ascii="Arial" w:eastAsia="Arial" w:hAnsi="Arial" w:cs="Arial"/>
          <w:color w:val="000000" w:themeColor="text1"/>
        </w:rPr>
        <w:t>BSc (Hons) Health and Social Care</w:t>
      </w:r>
      <w:r>
        <w:br/>
      </w:r>
    </w:p>
    <w:p w14:paraId="08ED8C42" w14:textId="1934837C" w:rsidR="00063B4C" w:rsidRPr="00FF5B5D" w:rsidRDefault="00063B4C" w:rsidP="4C72D9C6">
      <w:pPr>
        <w:jc w:val="left"/>
        <w:rPr>
          <w:rFonts w:ascii="Arial" w:eastAsia="Arial" w:hAnsi="Arial" w:cs="Arial"/>
          <w:color w:val="000000" w:themeColor="text1"/>
        </w:rPr>
      </w:pPr>
      <w:r w:rsidRPr="4C72D9C6">
        <w:rPr>
          <w:rFonts w:ascii="Arial" w:eastAsia="Arial" w:hAnsi="Arial" w:cs="Arial"/>
          <w:color w:val="000000" w:themeColor="text1"/>
        </w:rPr>
        <w:t>DISSERTATION</w:t>
      </w:r>
    </w:p>
    <w:p w14:paraId="5B270734" w14:textId="55782988" w:rsidR="00063B4C" w:rsidRPr="00FF5B5D" w:rsidRDefault="00063B4C" w:rsidP="4C72D9C6">
      <w:pPr>
        <w:jc w:val="left"/>
        <w:rPr>
          <w:rFonts w:ascii="Arial" w:eastAsia="Arial" w:hAnsi="Arial" w:cs="Arial"/>
          <w:color w:val="000000" w:themeColor="text1"/>
        </w:rPr>
      </w:pPr>
    </w:p>
    <w:p w14:paraId="2C0F81B3" w14:textId="77777777" w:rsidR="00995444" w:rsidRPr="00FF5B5D" w:rsidRDefault="00995444" w:rsidP="4C72D9C6">
      <w:pPr>
        <w:pStyle w:val="Heading1"/>
        <w:spacing w:line="360" w:lineRule="auto"/>
        <w:ind w:left="0"/>
        <w:rPr>
          <w:rFonts w:eastAsia="Arial" w:cs="Arial"/>
          <w:color w:val="000000" w:themeColor="text1"/>
          <w:sz w:val="22"/>
          <w:szCs w:val="22"/>
        </w:rPr>
      </w:pPr>
    </w:p>
    <w:p w14:paraId="6D29CD44" w14:textId="75C545B1" w:rsidR="00063B4C" w:rsidRPr="00FF5B5D" w:rsidRDefault="00063B4C" w:rsidP="4C72D9C6">
      <w:pPr>
        <w:pStyle w:val="Heading1"/>
        <w:spacing w:line="360" w:lineRule="auto"/>
        <w:ind w:left="0"/>
        <w:rPr>
          <w:rFonts w:eastAsia="Arial" w:cs="Arial"/>
          <w:color w:val="000000" w:themeColor="text1"/>
          <w:sz w:val="22"/>
          <w:szCs w:val="22"/>
        </w:rPr>
      </w:pPr>
      <w:r w:rsidRPr="4C72D9C6">
        <w:rPr>
          <w:rFonts w:eastAsia="Arial" w:cs="Arial"/>
          <w:color w:val="000000" w:themeColor="text1"/>
          <w:sz w:val="22"/>
          <w:szCs w:val="22"/>
        </w:rPr>
        <w:t>Disclaimer</w:t>
      </w:r>
    </w:p>
    <w:p w14:paraId="2E1C9484" w14:textId="7DAEAC6C" w:rsidR="00604A87" w:rsidRPr="00FF5B5D" w:rsidRDefault="00063B4C" w:rsidP="4C72D9C6">
      <w:pPr>
        <w:spacing w:before="62"/>
        <w:jc w:val="left"/>
        <w:rPr>
          <w:rFonts w:ascii="Arial" w:eastAsia="Arial" w:hAnsi="Arial" w:cs="Arial"/>
          <w:color w:val="000000" w:themeColor="text1"/>
        </w:rPr>
      </w:pPr>
      <w:r w:rsidRPr="4C72D9C6">
        <w:rPr>
          <w:rFonts w:ascii="Arial" w:eastAsia="Arial" w:hAnsi="Arial" w:cs="Arial"/>
          <w:color w:val="000000" w:themeColor="text1"/>
        </w:rPr>
        <w:t xml:space="preserve">This document was correct at the time of publication. </w:t>
      </w:r>
      <w:bookmarkStart w:id="0" w:name="_Int_01qCXvJn"/>
      <w:r w:rsidRPr="4C72D9C6">
        <w:rPr>
          <w:rFonts w:ascii="Arial" w:eastAsia="Arial" w:hAnsi="Arial" w:cs="Arial"/>
          <w:color w:val="000000" w:themeColor="text1"/>
        </w:rPr>
        <w:t xml:space="preserve">The Module Coordinator reserves the right to </w:t>
      </w:r>
      <w:bookmarkStart w:id="1" w:name="_Int_uyrR7P48"/>
      <w:r w:rsidRPr="4C72D9C6">
        <w:rPr>
          <w:rFonts w:ascii="Arial" w:eastAsia="Arial" w:hAnsi="Arial" w:cs="Arial"/>
          <w:color w:val="000000" w:themeColor="text1"/>
        </w:rPr>
        <w:t>modify</w:t>
      </w:r>
      <w:bookmarkEnd w:id="1"/>
      <w:r w:rsidRPr="4C72D9C6">
        <w:rPr>
          <w:rFonts w:ascii="Arial" w:eastAsia="Arial" w:hAnsi="Arial" w:cs="Arial"/>
          <w:color w:val="000000" w:themeColor="text1"/>
        </w:rPr>
        <w:t xml:space="preserve"> any </w:t>
      </w:r>
      <w:r w:rsidR="00394162" w:rsidRPr="4C72D9C6">
        <w:rPr>
          <w:rFonts w:ascii="Arial" w:eastAsia="Arial" w:hAnsi="Arial" w:cs="Arial"/>
          <w:color w:val="000000" w:themeColor="text1"/>
        </w:rPr>
        <w:t>statement,</w:t>
      </w:r>
      <w:r w:rsidRPr="4C72D9C6">
        <w:rPr>
          <w:rFonts w:ascii="Arial" w:eastAsia="Arial" w:hAnsi="Arial" w:cs="Arial"/>
          <w:color w:val="000000" w:themeColor="text1"/>
        </w:rPr>
        <w:t xml:space="preserve"> if necessary, make variations to the content or methods of delivery of programmes of study, to </w:t>
      </w:r>
      <w:bookmarkStart w:id="2" w:name="_Int_HZJqkX8l"/>
      <w:r w:rsidRPr="4C72D9C6">
        <w:rPr>
          <w:rFonts w:ascii="Arial" w:eastAsia="Arial" w:hAnsi="Arial" w:cs="Arial"/>
          <w:color w:val="000000" w:themeColor="text1"/>
        </w:rPr>
        <w:t>discontinue</w:t>
      </w:r>
      <w:bookmarkEnd w:id="2"/>
      <w:r w:rsidRPr="4C72D9C6">
        <w:rPr>
          <w:rFonts w:ascii="Arial" w:eastAsia="Arial" w:hAnsi="Arial" w:cs="Arial"/>
          <w:color w:val="000000" w:themeColor="text1"/>
        </w:rPr>
        <w:t xml:space="preserve"> programmes, or merge or combine programmes if such actions </w:t>
      </w:r>
      <w:bookmarkStart w:id="3" w:name="_Int_NfH383ca"/>
      <w:r w:rsidRPr="4C72D9C6">
        <w:rPr>
          <w:rFonts w:ascii="Arial" w:eastAsia="Arial" w:hAnsi="Arial" w:cs="Arial"/>
          <w:color w:val="000000" w:themeColor="text1"/>
        </w:rPr>
        <w:t xml:space="preserve">are </w:t>
      </w:r>
      <w:bookmarkStart w:id="4" w:name="_Int_kq4MKPBp"/>
      <w:r w:rsidRPr="4C72D9C6">
        <w:rPr>
          <w:rFonts w:ascii="Arial" w:eastAsia="Arial" w:hAnsi="Arial" w:cs="Arial"/>
          <w:color w:val="000000" w:themeColor="text1"/>
        </w:rPr>
        <w:t>reasonably considered</w:t>
      </w:r>
      <w:bookmarkEnd w:id="3"/>
      <w:bookmarkEnd w:id="4"/>
      <w:r w:rsidRPr="4C72D9C6">
        <w:rPr>
          <w:rFonts w:ascii="Arial" w:eastAsia="Arial" w:hAnsi="Arial" w:cs="Arial"/>
          <w:color w:val="000000" w:themeColor="text1"/>
        </w:rPr>
        <w:t xml:space="preserve"> to be necessary by UWTSD.</w:t>
      </w:r>
      <w:bookmarkEnd w:id="0"/>
      <w:r w:rsidRPr="4C72D9C6">
        <w:rPr>
          <w:rFonts w:ascii="Arial" w:eastAsia="Arial" w:hAnsi="Arial" w:cs="Arial"/>
          <w:color w:val="000000" w:themeColor="text1"/>
        </w:rPr>
        <w:t xml:space="preserve"> Every effort will </w:t>
      </w:r>
      <w:bookmarkStart w:id="5" w:name="_Int_kFbsgteO"/>
      <w:r w:rsidRPr="4C72D9C6">
        <w:rPr>
          <w:rFonts w:ascii="Arial" w:eastAsia="Arial" w:hAnsi="Arial" w:cs="Arial"/>
          <w:color w:val="000000" w:themeColor="text1"/>
        </w:rPr>
        <w:t>be made</w:t>
      </w:r>
      <w:bookmarkEnd w:id="5"/>
      <w:r w:rsidRPr="4C72D9C6">
        <w:rPr>
          <w:rFonts w:ascii="Arial" w:eastAsia="Arial" w:hAnsi="Arial" w:cs="Arial"/>
          <w:color w:val="000000" w:themeColor="text1"/>
        </w:rPr>
        <w:t xml:space="preserve"> to keep disruption to a minimum, and to give as much notice as possible. An electronic copy of this handbook can </w:t>
      </w:r>
      <w:bookmarkStart w:id="6" w:name="_Int_c0gcGYQX"/>
      <w:r w:rsidRPr="4C72D9C6">
        <w:rPr>
          <w:rFonts w:ascii="Arial" w:eastAsia="Arial" w:hAnsi="Arial" w:cs="Arial"/>
          <w:color w:val="000000" w:themeColor="text1"/>
        </w:rPr>
        <w:t>be found</w:t>
      </w:r>
      <w:bookmarkEnd w:id="6"/>
      <w:r w:rsidRPr="4C72D9C6">
        <w:rPr>
          <w:rFonts w:ascii="Arial" w:eastAsia="Arial" w:hAnsi="Arial" w:cs="Arial"/>
          <w:color w:val="000000" w:themeColor="text1"/>
        </w:rPr>
        <w:t xml:space="preserve"> on the Moodle page for the module.</w:t>
      </w:r>
    </w:p>
    <w:p w14:paraId="265E2262" w14:textId="77777777" w:rsidR="00730C3C" w:rsidRPr="00FF5B5D" w:rsidRDefault="00730C3C" w:rsidP="4C72D9C6">
      <w:pPr>
        <w:jc w:val="left"/>
        <w:rPr>
          <w:rFonts w:ascii="Arial" w:eastAsia="Arial" w:hAnsi="Arial" w:cs="Arial"/>
          <w:b/>
          <w:bCs/>
          <w:color w:val="000000" w:themeColor="text1"/>
        </w:rPr>
      </w:pPr>
    </w:p>
    <w:p w14:paraId="3492E4C4" w14:textId="45AA03BC" w:rsidR="00604A87" w:rsidRPr="00FF5B5D" w:rsidRDefault="00604A87" w:rsidP="4C72D9C6">
      <w:pPr>
        <w:jc w:val="left"/>
        <w:rPr>
          <w:rFonts w:ascii="Arial" w:eastAsia="Arial" w:hAnsi="Arial" w:cs="Arial"/>
          <w:b/>
          <w:bCs/>
          <w:color w:val="000000" w:themeColor="text1"/>
        </w:rPr>
      </w:pPr>
      <w:r w:rsidRPr="4C72D9C6">
        <w:rPr>
          <w:rFonts w:ascii="Arial" w:eastAsia="Arial" w:hAnsi="Arial" w:cs="Arial"/>
          <w:b/>
          <w:bCs/>
          <w:color w:val="000000" w:themeColor="text1"/>
        </w:rPr>
        <w:t>DECLARATION</w:t>
      </w:r>
    </w:p>
    <w:p w14:paraId="113CAAED" w14:textId="2CC33593" w:rsidR="00604A87" w:rsidRPr="00FF5B5D" w:rsidRDefault="00604A87" w:rsidP="4C72D9C6">
      <w:pPr>
        <w:jc w:val="left"/>
        <w:rPr>
          <w:rFonts w:ascii="Arial" w:eastAsia="Arial" w:hAnsi="Arial" w:cs="Arial"/>
          <w:color w:val="000000" w:themeColor="text1"/>
        </w:rPr>
      </w:pPr>
      <w:r w:rsidRPr="4C72D9C6">
        <w:rPr>
          <w:rFonts w:ascii="Arial" w:eastAsia="Arial" w:hAnsi="Arial" w:cs="Arial"/>
          <w:color w:val="000000" w:themeColor="text1"/>
        </w:rPr>
        <w:t xml:space="preserve">This work has not previously </w:t>
      </w:r>
      <w:bookmarkStart w:id="7" w:name="_Int_6KoNDJIm"/>
      <w:r w:rsidRPr="4C72D9C6">
        <w:rPr>
          <w:rFonts w:ascii="Arial" w:eastAsia="Arial" w:hAnsi="Arial" w:cs="Arial"/>
          <w:color w:val="000000" w:themeColor="text1"/>
        </w:rPr>
        <w:t>been accepted</w:t>
      </w:r>
      <w:bookmarkEnd w:id="7"/>
      <w:r w:rsidRPr="4C72D9C6">
        <w:rPr>
          <w:rFonts w:ascii="Arial" w:eastAsia="Arial" w:hAnsi="Arial" w:cs="Arial"/>
          <w:color w:val="000000" w:themeColor="text1"/>
        </w:rPr>
        <w:t xml:space="preserve"> in substance for any degree and is not being concurrently </w:t>
      </w:r>
      <w:bookmarkStart w:id="8" w:name="_Int_PoOpe9qR"/>
      <w:r w:rsidRPr="4C72D9C6">
        <w:rPr>
          <w:rFonts w:ascii="Arial" w:eastAsia="Arial" w:hAnsi="Arial" w:cs="Arial"/>
          <w:color w:val="000000" w:themeColor="text1"/>
        </w:rPr>
        <w:t>submitted</w:t>
      </w:r>
      <w:bookmarkEnd w:id="8"/>
      <w:r w:rsidRPr="4C72D9C6">
        <w:rPr>
          <w:rFonts w:ascii="Arial" w:eastAsia="Arial" w:hAnsi="Arial" w:cs="Arial"/>
          <w:color w:val="000000" w:themeColor="text1"/>
        </w:rPr>
        <w:t xml:space="preserve"> in candidature for any degree</w:t>
      </w:r>
    </w:p>
    <w:p w14:paraId="3EF51212" w14:textId="23E9F4B8" w:rsidR="00604A87" w:rsidRPr="00FF5B5D" w:rsidRDefault="00604A87" w:rsidP="4C72D9C6">
      <w:pPr>
        <w:jc w:val="left"/>
        <w:rPr>
          <w:rFonts w:ascii="Arial" w:eastAsia="Arial" w:hAnsi="Arial" w:cs="Arial"/>
          <w:color w:val="000000" w:themeColor="text1"/>
        </w:rPr>
      </w:pPr>
      <w:bookmarkStart w:id="9" w:name="_Int_9wwEUNzP"/>
      <w:r w:rsidRPr="4C72D9C6">
        <w:rPr>
          <w:rFonts w:ascii="Arial" w:eastAsia="Arial" w:hAnsi="Arial" w:cs="Arial"/>
          <w:color w:val="000000" w:themeColor="text1"/>
        </w:rPr>
        <w:t>Signe</w:t>
      </w:r>
      <w:r w:rsidR="00500012" w:rsidRPr="4C72D9C6">
        <w:rPr>
          <w:rFonts w:ascii="Arial" w:eastAsia="Arial" w:hAnsi="Arial" w:cs="Arial"/>
          <w:color w:val="000000" w:themeColor="text1"/>
        </w:rPr>
        <w:t>d :</w:t>
      </w:r>
      <w:bookmarkEnd w:id="9"/>
      <w:r w:rsidR="00500012" w:rsidRPr="4C72D9C6">
        <w:rPr>
          <w:rFonts w:ascii="Arial" w:eastAsia="Arial" w:hAnsi="Arial" w:cs="Arial"/>
          <w:color w:val="000000" w:themeColor="text1"/>
        </w:rPr>
        <w:t xml:space="preserve"> Nazish Shazady</w:t>
      </w:r>
    </w:p>
    <w:p w14:paraId="16B6CB34" w14:textId="2EC15602" w:rsidR="00604A87" w:rsidRPr="00FF5B5D" w:rsidRDefault="00604A87" w:rsidP="4C72D9C6">
      <w:pPr>
        <w:jc w:val="left"/>
        <w:rPr>
          <w:rFonts w:ascii="Arial" w:eastAsia="Arial" w:hAnsi="Arial" w:cs="Arial"/>
          <w:color w:val="000000" w:themeColor="text1"/>
        </w:rPr>
      </w:pPr>
      <w:bookmarkStart w:id="10" w:name="_Int_NX1AwDfC"/>
      <w:r w:rsidRPr="4C72D9C6">
        <w:rPr>
          <w:rFonts w:ascii="Arial" w:eastAsia="Arial" w:hAnsi="Arial" w:cs="Arial"/>
          <w:color w:val="000000" w:themeColor="text1"/>
        </w:rPr>
        <w:t>Date</w:t>
      </w:r>
      <w:r w:rsidR="00500012" w:rsidRPr="4C72D9C6">
        <w:rPr>
          <w:rFonts w:ascii="Arial" w:eastAsia="Arial" w:hAnsi="Arial" w:cs="Arial"/>
          <w:color w:val="000000" w:themeColor="text1"/>
        </w:rPr>
        <w:t xml:space="preserve"> :</w:t>
      </w:r>
      <w:bookmarkEnd w:id="10"/>
      <w:r w:rsidR="00500012" w:rsidRPr="4C72D9C6">
        <w:rPr>
          <w:rFonts w:ascii="Arial" w:eastAsia="Arial" w:hAnsi="Arial" w:cs="Arial"/>
          <w:color w:val="000000" w:themeColor="text1"/>
        </w:rPr>
        <w:t xml:space="preserve"> </w:t>
      </w:r>
      <w:r w:rsidR="00FA33F6" w:rsidRPr="4C72D9C6">
        <w:rPr>
          <w:rFonts w:ascii="Arial" w:eastAsia="Arial" w:hAnsi="Arial" w:cs="Arial"/>
          <w:color w:val="000000" w:themeColor="text1"/>
        </w:rPr>
        <w:t>22/11/2025</w:t>
      </w:r>
    </w:p>
    <w:p w14:paraId="7D9E43A8" w14:textId="77777777" w:rsidR="00604A87" w:rsidRPr="00FF5B5D" w:rsidRDefault="00604A87" w:rsidP="4C72D9C6">
      <w:pPr>
        <w:jc w:val="left"/>
        <w:rPr>
          <w:rFonts w:ascii="Arial" w:eastAsia="Arial" w:hAnsi="Arial" w:cs="Arial"/>
          <w:color w:val="000000" w:themeColor="text1"/>
          <w:kern w:val="32"/>
        </w:rPr>
      </w:pPr>
      <w:r w:rsidRPr="4C72D9C6">
        <w:rPr>
          <w:rFonts w:ascii="Arial" w:eastAsia="Arial" w:hAnsi="Arial" w:cs="Arial"/>
          <w:b/>
          <w:bCs/>
          <w:color w:val="000000" w:themeColor="text1"/>
        </w:rPr>
        <w:t xml:space="preserve">STATEMENT 1 </w:t>
      </w:r>
    </w:p>
    <w:p w14:paraId="189DE0A6" w14:textId="710F2765" w:rsidR="00604A87" w:rsidRPr="00FF5B5D" w:rsidRDefault="00604A87" w:rsidP="4C72D9C6">
      <w:pPr>
        <w:jc w:val="left"/>
        <w:rPr>
          <w:rFonts w:ascii="Arial" w:eastAsia="Arial" w:hAnsi="Arial" w:cs="Arial"/>
          <w:color w:val="000000" w:themeColor="text1"/>
        </w:rPr>
      </w:pPr>
      <w:r w:rsidRPr="4C72D9C6">
        <w:rPr>
          <w:rFonts w:ascii="Arial" w:eastAsia="Arial" w:hAnsi="Arial" w:cs="Arial"/>
          <w:color w:val="000000" w:themeColor="text1"/>
        </w:rPr>
        <w:t xml:space="preserve">This dissertation is being </w:t>
      </w:r>
      <w:bookmarkStart w:id="11" w:name="_Int_Ifp737S0"/>
      <w:r w:rsidRPr="4C72D9C6">
        <w:rPr>
          <w:rFonts w:ascii="Arial" w:eastAsia="Arial" w:hAnsi="Arial" w:cs="Arial"/>
          <w:color w:val="000000" w:themeColor="text1"/>
        </w:rPr>
        <w:t>submitted</w:t>
      </w:r>
      <w:bookmarkEnd w:id="11"/>
      <w:r w:rsidRPr="4C72D9C6">
        <w:rPr>
          <w:rFonts w:ascii="Arial" w:eastAsia="Arial" w:hAnsi="Arial" w:cs="Arial"/>
          <w:color w:val="000000" w:themeColor="text1"/>
        </w:rPr>
        <w:t xml:space="preserve"> in partial fulfilment of the requirements for the degree of BSc.</w:t>
      </w:r>
    </w:p>
    <w:p w14:paraId="39F661A6" w14:textId="023B5B7C" w:rsidR="00604A87" w:rsidRPr="00FF5B5D" w:rsidRDefault="00FA33F6" w:rsidP="4C72D9C6">
      <w:pPr>
        <w:jc w:val="left"/>
        <w:rPr>
          <w:rFonts w:ascii="Arial" w:eastAsia="Arial" w:hAnsi="Arial" w:cs="Arial"/>
          <w:color w:val="000000" w:themeColor="text1"/>
        </w:rPr>
      </w:pPr>
      <w:r w:rsidRPr="4C72D9C6">
        <w:rPr>
          <w:rFonts w:ascii="Arial" w:eastAsia="Arial" w:hAnsi="Arial" w:cs="Arial"/>
          <w:color w:val="000000" w:themeColor="text1"/>
        </w:rPr>
        <w:t xml:space="preserve">Signed: Nazish </w:t>
      </w:r>
      <w:r w:rsidR="001D5D7F" w:rsidRPr="4C72D9C6">
        <w:rPr>
          <w:rFonts w:ascii="Arial" w:eastAsia="Arial" w:hAnsi="Arial" w:cs="Arial"/>
          <w:color w:val="000000" w:themeColor="text1"/>
        </w:rPr>
        <w:t>Shazady</w:t>
      </w:r>
    </w:p>
    <w:p w14:paraId="21F5E413" w14:textId="1EA98796" w:rsidR="00604A87" w:rsidRPr="00FF5B5D" w:rsidRDefault="001D5D7F" w:rsidP="4C72D9C6">
      <w:pPr>
        <w:jc w:val="left"/>
        <w:rPr>
          <w:rFonts w:ascii="Arial" w:eastAsia="Arial" w:hAnsi="Arial" w:cs="Arial"/>
          <w:color w:val="000000" w:themeColor="text1"/>
        </w:rPr>
      </w:pPr>
      <w:r w:rsidRPr="4C72D9C6">
        <w:rPr>
          <w:rFonts w:ascii="Arial" w:eastAsia="Arial" w:hAnsi="Arial" w:cs="Arial"/>
          <w:color w:val="000000" w:themeColor="text1"/>
        </w:rPr>
        <w:t>Date: 22/11/2025</w:t>
      </w:r>
    </w:p>
    <w:p w14:paraId="713B64B9" w14:textId="77777777" w:rsidR="00604A87" w:rsidRPr="00FF5B5D" w:rsidRDefault="00604A87" w:rsidP="4C72D9C6">
      <w:pPr>
        <w:jc w:val="left"/>
        <w:rPr>
          <w:rFonts w:ascii="Arial" w:eastAsia="Arial" w:hAnsi="Arial" w:cs="Arial"/>
          <w:color w:val="000000" w:themeColor="text1"/>
        </w:rPr>
      </w:pPr>
      <w:r w:rsidRPr="4C72D9C6">
        <w:rPr>
          <w:rFonts w:ascii="Arial" w:eastAsia="Arial" w:hAnsi="Arial" w:cs="Arial"/>
          <w:b/>
          <w:bCs/>
          <w:color w:val="000000" w:themeColor="text1"/>
        </w:rPr>
        <w:t>STATEMENT 2</w:t>
      </w:r>
    </w:p>
    <w:p w14:paraId="4AA5D04A" w14:textId="6F40FCC2" w:rsidR="00604A87" w:rsidRPr="00FF5B5D" w:rsidRDefault="00604A87" w:rsidP="4C72D9C6">
      <w:pPr>
        <w:jc w:val="left"/>
        <w:rPr>
          <w:rFonts w:ascii="Arial" w:eastAsia="Arial" w:hAnsi="Arial" w:cs="Arial"/>
          <w:color w:val="000000" w:themeColor="text1"/>
        </w:rPr>
      </w:pPr>
      <w:bookmarkStart w:id="12" w:name="_Int_22bjoS8x"/>
      <w:r w:rsidRPr="4C72D9C6">
        <w:rPr>
          <w:rFonts w:ascii="Arial" w:eastAsia="Arial" w:hAnsi="Arial" w:cs="Arial"/>
          <w:color w:val="000000" w:themeColor="text1"/>
        </w:rPr>
        <w:t xml:space="preserve">This dissertation is the result of my own independent work/investigation, except where otherwise </w:t>
      </w:r>
      <w:bookmarkStart w:id="13" w:name="_Int_3RuZyqjP"/>
      <w:r w:rsidRPr="4C72D9C6">
        <w:rPr>
          <w:rFonts w:ascii="Arial" w:eastAsia="Arial" w:hAnsi="Arial" w:cs="Arial"/>
          <w:color w:val="000000" w:themeColor="text1"/>
        </w:rPr>
        <w:t>stated</w:t>
      </w:r>
      <w:bookmarkEnd w:id="13"/>
      <w:r w:rsidRPr="4C72D9C6">
        <w:rPr>
          <w:rFonts w:ascii="Arial" w:eastAsia="Arial" w:hAnsi="Arial" w:cs="Arial"/>
          <w:color w:val="000000" w:themeColor="text1"/>
        </w:rPr>
        <w:t>.</w:t>
      </w:r>
      <w:bookmarkEnd w:id="12"/>
      <w:r w:rsidRPr="4C72D9C6">
        <w:rPr>
          <w:rFonts w:ascii="Arial" w:eastAsia="Arial" w:hAnsi="Arial" w:cs="Arial"/>
          <w:color w:val="000000" w:themeColor="text1"/>
        </w:rPr>
        <w:t xml:space="preserve"> Other sources </w:t>
      </w:r>
      <w:bookmarkStart w:id="14" w:name="_Int_ipqpZoWd"/>
      <w:r w:rsidRPr="4C72D9C6">
        <w:rPr>
          <w:rFonts w:ascii="Arial" w:eastAsia="Arial" w:hAnsi="Arial" w:cs="Arial"/>
          <w:color w:val="000000" w:themeColor="text1"/>
        </w:rPr>
        <w:t>are acknowledged</w:t>
      </w:r>
      <w:bookmarkEnd w:id="14"/>
      <w:r w:rsidRPr="4C72D9C6">
        <w:rPr>
          <w:rFonts w:ascii="Arial" w:eastAsia="Arial" w:hAnsi="Arial" w:cs="Arial"/>
          <w:color w:val="000000" w:themeColor="text1"/>
        </w:rPr>
        <w:t xml:space="preserve"> by footnotes giving explicit references. A bibliography </w:t>
      </w:r>
      <w:bookmarkStart w:id="15" w:name="_Int_PdJe0n6Z"/>
      <w:r w:rsidRPr="4C72D9C6">
        <w:rPr>
          <w:rFonts w:ascii="Arial" w:eastAsia="Arial" w:hAnsi="Arial" w:cs="Arial"/>
          <w:color w:val="000000" w:themeColor="text1"/>
        </w:rPr>
        <w:t>is appended</w:t>
      </w:r>
      <w:bookmarkEnd w:id="15"/>
      <w:r w:rsidRPr="4C72D9C6">
        <w:rPr>
          <w:rFonts w:ascii="Arial" w:eastAsia="Arial" w:hAnsi="Arial" w:cs="Arial"/>
          <w:color w:val="000000" w:themeColor="text1"/>
        </w:rPr>
        <w:t>.</w:t>
      </w:r>
    </w:p>
    <w:p w14:paraId="319A31E7" w14:textId="7EAB2E40" w:rsidR="00604A87" w:rsidRPr="00FF5B5D" w:rsidRDefault="001D5D7F" w:rsidP="4C72D9C6">
      <w:pPr>
        <w:jc w:val="left"/>
        <w:rPr>
          <w:rFonts w:ascii="Arial" w:eastAsia="Arial" w:hAnsi="Arial" w:cs="Arial"/>
          <w:color w:val="000000" w:themeColor="text1"/>
        </w:rPr>
      </w:pPr>
      <w:r w:rsidRPr="4C72D9C6">
        <w:rPr>
          <w:rFonts w:ascii="Arial" w:eastAsia="Arial" w:hAnsi="Arial" w:cs="Arial"/>
          <w:color w:val="000000" w:themeColor="text1"/>
        </w:rPr>
        <w:t>Signed: Nazish Shazady</w:t>
      </w:r>
    </w:p>
    <w:p w14:paraId="1CB40FFB" w14:textId="2154C59E" w:rsidR="00604A87" w:rsidRPr="00FF5B5D" w:rsidRDefault="001D5D7F" w:rsidP="4C72D9C6">
      <w:pPr>
        <w:jc w:val="left"/>
        <w:rPr>
          <w:rFonts w:ascii="Arial" w:eastAsia="Arial" w:hAnsi="Arial" w:cs="Arial"/>
          <w:color w:val="000000" w:themeColor="text1"/>
        </w:rPr>
      </w:pPr>
      <w:r w:rsidRPr="4C72D9C6">
        <w:rPr>
          <w:rFonts w:ascii="Arial" w:eastAsia="Arial" w:hAnsi="Arial" w:cs="Arial"/>
          <w:color w:val="000000" w:themeColor="text1"/>
        </w:rPr>
        <w:t>Date: 22/11/2025</w:t>
      </w:r>
    </w:p>
    <w:p w14:paraId="42D5D0C6" w14:textId="77777777" w:rsidR="00604A87" w:rsidRPr="00FF5B5D" w:rsidRDefault="00604A87" w:rsidP="4C72D9C6">
      <w:pPr>
        <w:jc w:val="left"/>
        <w:rPr>
          <w:rFonts w:ascii="Arial" w:eastAsia="Arial" w:hAnsi="Arial" w:cs="Arial"/>
          <w:color w:val="000000" w:themeColor="text1"/>
        </w:rPr>
      </w:pPr>
      <w:r w:rsidRPr="4C72D9C6">
        <w:rPr>
          <w:rFonts w:ascii="Arial" w:eastAsia="Arial" w:hAnsi="Arial" w:cs="Arial"/>
          <w:b/>
          <w:bCs/>
          <w:color w:val="000000" w:themeColor="text1"/>
        </w:rPr>
        <w:t>STATEMENT 3</w:t>
      </w:r>
    </w:p>
    <w:p w14:paraId="4B58546E" w14:textId="61CCB29A" w:rsidR="00604A87" w:rsidRPr="00FF5B5D" w:rsidRDefault="00604A87" w:rsidP="4C72D9C6">
      <w:pPr>
        <w:jc w:val="left"/>
        <w:rPr>
          <w:rFonts w:ascii="Arial" w:eastAsia="Arial" w:hAnsi="Arial" w:cs="Arial"/>
          <w:color w:val="000000" w:themeColor="text1"/>
        </w:rPr>
      </w:pPr>
      <w:r w:rsidRPr="4C72D9C6">
        <w:rPr>
          <w:rFonts w:ascii="Arial" w:eastAsia="Arial" w:hAnsi="Arial" w:cs="Arial"/>
          <w:color w:val="000000" w:themeColor="text1"/>
        </w:rPr>
        <w:t xml:space="preserve">I hereby give consent for my dissertation, if accepted, to be available for photocopying and for interlibrary loan, and for the title and summary to </w:t>
      </w:r>
      <w:bookmarkStart w:id="16" w:name="_Int_YLYuOVun"/>
      <w:r w:rsidRPr="4C72D9C6">
        <w:rPr>
          <w:rFonts w:ascii="Arial" w:eastAsia="Arial" w:hAnsi="Arial" w:cs="Arial"/>
          <w:color w:val="000000" w:themeColor="text1"/>
        </w:rPr>
        <w:t>be made</w:t>
      </w:r>
      <w:bookmarkEnd w:id="16"/>
      <w:r w:rsidRPr="4C72D9C6">
        <w:rPr>
          <w:rFonts w:ascii="Arial" w:eastAsia="Arial" w:hAnsi="Arial" w:cs="Arial"/>
          <w:color w:val="000000" w:themeColor="text1"/>
        </w:rPr>
        <w:t xml:space="preserve"> available to outside organisations.</w:t>
      </w:r>
    </w:p>
    <w:p w14:paraId="5C25443E" w14:textId="39DCA127" w:rsidR="00604A87" w:rsidRPr="00FF5B5D" w:rsidRDefault="00705ED1" w:rsidP="4C72D9C6">
      <w:pPr>
        <w:jc w:val="left"/>
        <w:rPr>
          <w:rFonts w:ascii="Arial" w:eastAsia="Arial" w:hAnsi="Arial" w:cs="Arial"/>
          <w:color w:val="000000" w:themeColor="text1"/>
        </w:rPr>
      </w:pPr>
      <w:r w:rsidRPr="4C72D9C6">
        <w:rPr>
          <w:rFonts w:ascii="Arial" w:eastAsia="Arial" w:hAnsi="Arial" w:cs="Arial"/>
          <w:color w:val="000000" w:themeColor="text1"/>
        </w:rPr>
        <w:t>Signed: Nazish Shazady</w:t>
      </w:r>
    </w:p>
    <w:p w14:paraId="021196D1" w14:textId="174154E3" w:rsidR="00604A87" w:rsidRPr="00FF5B5D" w:rsidRDefault="00705ED1" w:rsidP="4C72D9C6">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jc w:val="left"/>
        <w:rPr>
          <w:rFonts w:ascii="Arial" w:eastAsia="Arial" w:hAnsi="Arial" w:cs="Arial"/>
          <w:color w:val="000000" w:themeColor="text1"/>
        </w:rPr>
      </w:pPr>
      <w:r w:rsidRPr="4C72D9C6">
        <w:rPr>
          <w:rFonts w:ascii="Arial" w:eastAsia="Arial" w:hAnsi="Arial" w:cs="Arial"/>
          <w:color w:val="000000" w:themeColor="text1"/>
        </w:rPr>
        <w:t>Date: 22/</w:t>
      </w:r>
      <w:r w:rsidR="00E15A4E" w:rsidRPr="4C72D9C6">
        <w:rPr>
          <w:rFonts w:ascii="Arial" w:eastAsia="Arial" w:hAnsi="Arial" w:cs="Arial"/>
          <w:color w:val="000000" w:themeColor="text1"/>
        </w:rPr>
        <w:t>11/2025</w:t>
      </w:r>
    </w:p>
    <w:p w14:paraId="77D38054" w14:textId="77777777" w:rsidR="00604A87" w:rsidRPr="00FF5B5D" w:rsidRDefault="00604A87" w:rsidP="4C72D9C6">
      <w:pPr>
        <w:jc w:val="left"/>
        <w:rPr>
          <w:rFonts w:ascii="Arial" w:eastAsia="Arial" w:hAnsi="Arial" w:cs="Arial"/>
          <w:b/>
          <w:bCs/>
          <w:color w:val="000000" w:themeColor="text1"/>
        </w:rPr>
      </w:pPr>
      <w:r w:rsidRPr="4C72D9C6">
        <w:rPr>
          <w:rFonts w:ascii="Arial" w:eastAsia="Arial" w:hAnsi="Arial" w:cs="Arial"/>
          <w:b/>
          <w:bCs/>
          <w:color w:val="000000" w:themeColor="text1"/>
        </w:rPr>
        <w:t>STATEMENT 4</w:t>
      </w:r>
    </w:p>
    <w:p w14:paraId="0A15E499" w14:textId="1F9546C0" w:rsidR="00604A87" w:rsidRPr="00FF5B5D" w:rsidRDefault="00604A87" w:rsidP="4C72D9C6">
      <w:pPr>
        <w:jc w:val="left"/>
        <w:rPr>
          <w:rFonts w:ascii="Arial" w:eastAsia="Arial" w:hAnsi="Arial" w:cs="Arial"/>
          <w:color w:val="000000" w:themeColor="text1"/>
        </w:rPr>
      </w:pPr>
      <w:r w:rsidRPr="4C72D9C6">
        <w:rPr>
          <w:rFonts w:ascii="Arial" w:eastAsia="Arial" w:hAnsi="Arial" w:cs="Arial"/>
          <w:color w:val="000000" w:themeColor="text1"/>
        </w:rPr>
        <w:t>I hereby give consent for my dissertation, if accepted, to be available on the university’s IT system to those who have consent to use the system.</w:t>
      </w:r>
    </w:p>
    <w:p w14:paraId="73D7762F" w14:textId="0F96EEC2" w:rsidR="00604A87" w:rsidRPr="00FF5B5D" w:rsidRDefault="00E15A4E" w:rsidP="4C72D9C6">
      <w:pPr>
        <w:jc w:val="left"/>
        <w:rPr>
          <w:rFonts w:ascii="Arial" w:eastAsia="Arial" w:hAnsi="Arial" w:cs="Arial"/>
          <w:color w:val="000000" w:themeColor="text1"/>
        </w:rPr>
      </w:pPr>
      <w:r w:rsidRPr="4C72D9C6">
        <w:rPr>
          <w:rFonts w:ascii="Arial" w:eastAsia="Arial" w:hAnsi="Arial" w:cs="Arial"/>
          <w:color w:val="000000" w:themeColor="text1"/>
        </w:rPr>
        <w:t>Signed: Nazish Shazady</w:t>
      </w:r>
    </w:p>
    <w:p w14:paraId="2BDDE109" w14:textId="152E37F5" w:rsidR="00604A87" w:rsidRDefault="00E15A4E" w:rsidP="4C72D9C6">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jc w:val="left"/>
        <w:rPr>
          <w:rFonts w:ascii="Arial" w:eastAsia="Arial" w:hAnsi="Arial" w:cs="Arial"/>
          <w:color w:val="000000" w:themeColor="text1"/>
        </w:rPr>
      </w:pPr>
      <w:r w:rsidRPr="4C72D9C6">
        <w:rPr>
          <w:rFonts w:ascii="Arial" w:eastAsia="Arial" w:hAnsi="Arial" w:cs="Arial"/>
          <w:color w:val="000000" w:themeColor="text1"/>
        </w:rPr>
        <w:t>Date: 22/11/2025</w:t>
      </w:r>
    </w:p>
    <w:p w14:paraId="3FA48DAE" w14:textId="77777777" w:rsidR="008402E8" w:rsidRPr="00FF5B5D" w:rsidRDefault="008402E8" w:rsidP="4C72D9C6">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jc w:val="left"/>
        <w:rPr>
          <w:rFonts w:ascii="Arial" w:eastAsia="Arial" w:hAnsi="Arial" w:cs="Arial"/>
          <w:color w:val="000000" w:themeColor="text1"/>
        </w:rPr>
      </w:pPr>
    </w:p>
    <w:p w14:paraId="3BA0DE71" w14:textId="5EE6EAA2" w:rsidR="561022AB" w:rsidRDefault="561022AB" w:rsidP="561022AB">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jc w:val="left"/>
        <w:rPr>
          <w:rFonts w:ascii="Arial" w:eastAsia="Arial" w:hAnsi="Arial" w:cs="Arial"/>
          <w:color w:val="000000" w:themeColor="text1"/>
        </w:rPr>
      </w:pPr>
    </w:p>
    <w:p w14:paraId="6688D265" w14:textId="74F7CA4A" w:rsidR="1761314F" w:rsidRDefault="1761314F" w:rsidP="1761314F">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jc w:val="left"/>
        <w:rPr>
          <w:rFonts w:ascii="Arial" w:eastAsia="Arial" w:hAnsi="Arial" w:cs="Arial"/>
          <w:color w:val="000000" w:themeColor="text1"/>
        </w:rPr>
      </w:pPr>
    </w:p>
    <w:p w14:paraId="7A4779F3" w14:textId="77777777" w:rsidR="002B4DB5" w:rsidRDefault="002B4DB5">
      <w:pPr>
        <w:pStyle w:val="p1"/>
      </w:pPr>
      <w:r>
        <w:rPr>
          <w:rStyle w:val="s1"/>
        </w:rPr>
        <w:t>How does early ADHD diagnosis influence learning and behaviour in White British boys in UK primary schools?</w:t>
      </w:r>
    </w:p>
    <w:p w14:paraId="13649F9E" w14:textId="77777777" w:rsidR="00063B4C" w:rsidRPr="00FF5B5D" w:rsidRDefault="00063B4C" w:rsidP="4C72D9C6">
      <w:pPr>
        <w:jc w:val="left"/>
        <w:rPr>
          <w:rFonts w:ascii="Arial" w:eastAsia="Arial" w:hAnsi="Arial" w:cs="Arial"/>
          <w:color w:val="000000" w:themeColor="text1"/>
        </w:rPr>
      </w:pPr>
    </w:p>
    <w:p w14:paraId="6DB122B7" w14:textId="7CF59C90" w:rsidR="00995444" w:rsidRPr="0089313D" w:rsidRDefault="000561C3" w:rsidP="4C72D9C6">
      <w:pPr>
        <w:jc w:val="left"/>
        <w:rPr>
          <w:rFonts w:ascii="Arial" w:eastAsia="Arial" w:hAnsi="Arial" w:cs="Arial"/>
          <w:color w:val="000000" w:themeColor="text1"/>
        </w:rPr>
      </w:pPr>
      <w:r w:rsidRPr="0089313D">
        <w:rPr>
          <w:rFonts w:ascii="Arial" w:eastAsia="Arial" w:hAnsi="Arial" w:cs="Arial"/>
          <w:color w:val="000000" w:themeColor="text1"/>
        </w:rPr>
        <w:t>Nazish Shazady</w:t>
      </w:r>
    </w:p>
    <w:p w14:paraId="6DEB16DA" w14:textId="03B1FE59" w:rsidR="000561C3" w:rsidRPr="0089313D" w:rsidRDefault="000561C3" w:rsidP="4C72D9C6">
      <w:pPr>
        <w:jc w:val="left"/>
        <w:rPr>
          <w:rFonts w:ascii="Arial" w:eastAsia="Arial" w:hAnsi="Arial" w:cs="Arial"/>
          <w:color w:val="000000" w:themeColor="text1"/>
        </w:rPr>
      </w:pPr>
      <w:r w:rsidRPr="0089313D">
        <w:rPr>
          <w:rFonts w:ascii="Arial" w:eastAsia="Arial" w:hAnsi="Arial" w:cs="Arial"/>
          <w:color w:val="000000" w:themeColor="text1"/>
        </w:rPr>
        <w:t>2224320</w:t>
      </w:r>
    </w:p>
    <w:p w14:paraId="3F8DA723" w14:textId="77777777" w:rsidR="00995444" w:rsidRPr="0089313D" w:rsidRDefault="00995444" w:rsidP="4C72D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left"/>
        <w:rPr>
          <w:rFonts w:ascii="Arial" w:eastAsia="Arial" w:hAnsi="Arial" w:cs="Arial"/>
          <w:i/>
          <w:iCs/>
          <w:color w:val="000000" w:themeColor="text1"/>
        </w:rPr>
      </w:pPr>
    </w:p>
    <w:p w14:paraId="3851CFD8" w14:textId="77777777" w:rsidR="00995444" w:rsidRPr="00FF5B5D" w:rsidRDefault="00995444" w:rsidP="4C72D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left"/>
        <w:rPr>
          <w:rFonts w:ascii="Arial" w:eastAsia="Arial" w:hAnsi="Arial" w:cs="Arial"/>
          <w:color w:val="000000" w:themeColor="text1"/>
        </w:rPr>
      </w:pPr>
      <w:r w:rsidRPr="00FF5B5D">
        <w:rPr>
          <w:rFonts w:ascii="Arial" w:eastAsia="Arial Unicode MS" w:hAnsi="Arial" w:cs="Arial"/>
          <w:color w:val="000000" w:themeColor="text1"/>
        </w:rPr>
        <w:tab/>
      </w:r>
    </w:p>
    <w:p w14:paraId="359F5B0D" w14:textId="77777777" w:rsidR="00995444" w:rsidRPr="00FF5B5D" w:rsidRDefault="00995444" w:rsidP="4C72D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left"/>
        <w:rPr>
          <w:rFonts w:ascii="Arial" w:eastAsia="Arial" w:hAnsi="Arial" w:cs="Arial"/>
          <w:color w:val="000000" w:themeColor="text1"/>
        </w:rPr>
      </w:pPr>
    </w:p>
    <w:p w14:paraId="11885DD2" w14:textId="77777777" w:rsidR="00995444" w:rsidRPr="00FF5B5D" w:rsidRDefault="00995444" w:rsidP="4C72D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left"/>
        <w:rPr>
          <w:rFonts w:ascii="Arial" w:eastAsia="Arial" w:hAnsi="Arial" w:cs="Arial"/>
          <w:color w:val="000000" w:themeColor="text1"/>
        </w:rPr>
      </w:pPr>
    </w:p>
    <w:p w14:paraId="2057C793" w14:textId="103D0F80" w:rsidR="00995444" w:rsidRPr="00FF5B5D" w:rsidRDefault="00995444" w:rsidP="4C72D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left"/>
        <w:rPr>
          <w:rFonts w:ascii="Arial" w:eastAsia="Arial" w:hAnsi="Arial" w:cs="Arial"/>
          <w:color w:val="000000" w:themeColor="text1"/>
        </w:rPr>
      </w:pPr>
      <w:r w:rsidRPr="4C72D9C6">
        <w:rPr>
          <w:rFonts w:ascii="Arial" w:eastAsia="Arial" w:hAnsi="Arial" w:cs="Arial"/>
          <w:color w:val="000000" w:themeColor="text1"/>
        </w:rPr>
        <w:t xml:space="preserve">Dissertation </w:t>
      </w:r>
      <w:bookmarkStart w:id="17" w:name="_Int_RhM6SDlm"/>
      <w:r w:rsidRPr="4C72D9C6">
        <w:rPr>
          <w:rFonts w:ascii="Arial" w:eastAsia="Arial" w:hAnsi="Arial" w:cs="Arial"/>
          <w:color w:val="000000" w:themeColor="text1"/>
        </w:rPr>
        <w:t>submitted</w:t>
      </w:r>
      <w:bookmarkEnd w:id="17"/>
      <w:r w:rsidRPr="4C72D9C6">
        <w:rPr>
          <w:rFonts w:ascii="Arial" w:eastAsia="Arial" w:hAnsi="Arial" w:cs="Arial"/>
          <w:color w:val="000000" w:themeColor="text1"/>
        </w:rPr>
        <w:t xml:space="preserve"> as part of the requirements for the award BSc (Hons) Health and Social Care</w:t>
      </w:r>
    </w:p>
    <w:p w14:paraId="03004EEE" w14:textId="77777777" w:rsidR="00063B4C" w:rsidRPr="00FF5B5D" w:rsidRDefault="00063B4C" w:rsidP="4C72D9C6">
      <w:pPr>
        <w:jc w:val="left"/>
        <w:rPr>
          <w:rFonts w:ascii="Arial" w:eastAsia="Arial" w:hAnsi="Arial" w:cs="Arial"/>
          <w:color w:val="000000" w:themeColor="text1"/>
        </w:rPr>
      </w:pPr>
    </w:p>
    <w:p w14:paraId="65358A57" w14:textId="77777777" w:rsidR="00995444" w:rsidRPr="00FF5B5D" w:rsidRDefault="00995444" w:rsidP="4C72D9C6">
      <w:pPr>
        <w:jc w:val="left"/>
        <w:rPr>
          <w:rFonts w:ascii="Arial" w:eastAsia="Arial" w:hAnsi="Arial" w:cs="Arial"/>
          <w:color w:val="000000" w:themeColor="text1"/>
        </w:rPr>
      </w:pPr>
    </w:p>
    <w:p w14:paraId="3E6D1A03" w14:textId="14DC2E21" w:rsidR="00995444" w:rsidRDefault="00995444" w:rsidP="4C72D9C6">
      <w:pPr>
        <w:tabs>
          <w:tab w:val="left" w:pos="1440"/>
          <w:tab w:val="left" w:pos="2160"/>
          <w:tab w:val="left" w:pos="2880"/>
          <w:tab w:val="left" w:pos="3600"/>
          <w:tab w:val="left" w:pos="4320"/>
          <w:tab w:val="left" w:pos="5040"/>
          <w:tab w:val="left" w:pos="5760"/>
          <w:tab w:val="left" w:pos="6480"/>
          <w:tab w:val="left" w:pos="7200"/>
          <w:tab w:val="left" w:pos="7920"/>
          <w:tab w:val="left" w:pos="8640"/>
        </w:tabs>
        <w:jc w:val="left"/>
        <w:rPr>
          <w:rFonts w:ascii="Arial" w:eastAsia="Arial" w:hAnsi="Arial" w:cs="Arial"/>
          <w:color w:val="000000" w:themeColor="text1"/>
        </w:rPr>
      </w:pPr>
      <w:r w:rsidRPr="4C72D9C6">
        <w:rPr>
          <w:rFonts w:ascii="Arial" w:eastAsia="Arial" w:hAnsi="Arial" w:cs="Arial"/>
          <w:b/>
          <w:bCs/>
          <w:color w:val="000000" w:themeColor="text1"/>
        </w:rPr>
        <w:t xml:space="preserve">ACKNOWLEDGEMENTS </w:t>
      </w:r>
    </w:p>
    <w:p w14:paraId="3A615786" w14:textId="1CCDA106" w:rsidR="00F4596D" w:rsidRDefault="00F4596D" w:rsidP="4C72D9C6">
      <w:pPr>
        <w:pStyle w:val="p1"/>
        <w:spacing w:line="360" w:lineRule="auto"/>
        <w:rPr>
          <w:rStyle w:val="s1"/>
          <w:rFonts w:ascii="Arial" w:eastAsia="Arial" w:hAnsi="Arial" w:cs="Arial"/>
          <w:sz w:val="22"/>
          <w:szCs w:val="22"/>
        </w:rPr>
      </w:pPr>
      <w:r w:rsidRPr="4C72D9C6">
        <w:rPr>
          <w:rStyle w:val="s1"/>
          <w:rFonts w:ascii="Arial" w:eastAsia="Arial" w:hAnsi="Arial" w:cs="Arial"/>
          <w:sz w:val="22"/>
          <w:szCs w:val="22"/>
        </w:rPr>
        <w:t>I want to thank everyone who has supported me while working on this dissertation. I am especially grateful to my lecturers at UWTSD for their guidance, feedback, and patience throughout this process.</w:t>
      </w:r>
    </w:p>
    <w:p w14:paraId="73D49EDA" w14:textId="45D446EE" w:rsidR="00F4596D" w:rsidRDefault="00F4596D" w:rsidP="4C72D9C6">
      <w:pPr>
        <w:pStyle w:val="p1"/>
        <w:spacing w:line="360" w:lineRule="auto"/>
        <w:rPr>
          <w:rStyle w:val="s1"/>
          <w:rFonts w:ascii="Arial" w:eastAsia="Arial" w:hAnsi="Arial" w:cs="Arial"/>
          <w:sz w:val="22"/>
          <w:szCs w:val="22"/>
        </w:rPr>
      </w:pPr>
      <w:r w:rsidRPr="4C72D9C6">
        <w:rPr>
          <w:rStyle w:val="s1"/>
          <w:rFonts w:ascii="Arial" w:eastAsia="Arial" w:hAnsi="Arial" w:cs="Arial"/>
          <w:sz w:val="22"/>
          <w:szCs w:val="22"/>
        </w:rPr>
        <w:t>Thank you to my classmates and colleagues as well — our conversations, sharing ideas, and checking in on each other made the workload feel much more manageable.</w:t>
      </w:r>
    </w:p>
    <w:p w14:paraId="0BA32AB9" w14:textId="2DD54D70" w:rsidR="00F4596D" w:rsidRDefault="00F4596D" w:rsidP="4C72D9C6">
      <w:pPr>
        <w:pStyle w:val="p1"/>
        <w:spacing w:line="360" w:lineRule="auto"/>
        <w:rPr>
          <w:rStyle w:val="s1"/>
          <w:rFonts w:ascii="Arial" w:eastAsia="Arial" w:hAnsi="Arial" w:cs="Arial"/>
          <w:sz w:val="22"/>
          <w:szCs w:val="22"/>
        </w:rPr>
      </w:pPr>
      <w:r w:rsidRPr="4C72D9C6">
        <w:rPr>
          <w:rStyle w:val="s1"/>
          <w:rFonts w:ascii="Arial" w:eastAsia="Arial" w:hAnsi="Arial" w:cs="Arial"/>
          <w:sz w:val="22"/>
          <w:szCs w:val="22"/>
        </w:rPr>
        <w:t>A huge thank you to my friends and family for supporting me emotionally, keeping me going, and understanding when I needed space to focus on my work. Their encouragement made all the difference.</w:t>
      </w:r>
    </w:p>
    <w:p w14:paraId="0DAAB55B" w14:textId="77777777" w:rsidR="00F4596D" w:rsidRDefault="00F4596D" w:rsidP="4C72D9C6">
      <w:pPr>
        <w:pStyle w:val="p1"/>
        <w:spacing w:line="360" w:lineRule="auto"/>
        <w:rPr>
          <w:rStyle w:val="s1"/>
          <w:rFonts w:ascii="Arial" w:eastAsia="Arial" w:hAnsi="Arial" w:cs="Arial"/>
          <w:sz w:val="22"/>
          <w:szCs w:val="22"/>
        </w:rPr>
      </w:pPr>
      <w:r w:rsidRPr="4C72D9C6">
        <w:rPr>
          <w:rStyle w:val="s1"/>
          <w:rFonts w:ascii="Arial" w:eastAsia="Arial" w:hAnsi="Arial" w:cs="Arial"/>
          <w:sz w:val="22"/>
          <w:szCs w:val="22"/>
        </w:rPr>
        <w:t>I appreciate everyone who helped me get to the finish line.</w:t>
      </w:r>
    </w:p>
    <w:p w14:paraId="53458E96" w14:textId="77777777" w:rsidR="00F4596D" w:rsidRPr="00FF5B5D" w:rsidRDefault="00F4596D" w:rsidP="4C72D9C6">
      <w:pPr>
        <w:tabs>
          <w:tab w:val="left" w:pos="1440"/>
          <w:tab w:val="left" w:pos="2160"/>
          <w:tab w:val="left" w:pos="2880"/>
          <w:tab w:val="left" w:pos="3600"/>
          <w:tab w:val="left" w:pos="4320"/>
          <w:tab w:val="left" w:pos="5040"/>
          <w:tab w:val="left" w:pos="5760"/>
          <w:tab w:val="left" w:pos="6480"/>
          <w:tab w:val="left" w:pos="7200"/>
          <w:tab w:val="left" w:pos="7920"/>
          <w:tab w:val="left" w:pos="8640"/>
        </w:tabs>
        <w:jc w:val="left"/>
        <w:rPr>
          <w:rFonts w:ascii="Arial" w:eastAsia="Arial" w:hAnsi="Arial" w:cs="Arial"/>
          <w:color w:val="000000" w:themeColor="text1"/>
        </w:rPr>
      </w:pPr>
    </w:p>
    <w:p w14:paraId="40A3E6C2" w14:textId="77777777" w:rsidR="00995444" w:rsidRPr="00FF5B5D" w:rsidRDefault="00995444" w:rsidP="4C72D9C6">
      <w:pPr>
        <w:jc w:val="left"/>
        <w:rPr>
          <w:rFonts w:ascii="Arial" w:eastAsia="Arial" w:hAnsi="Arial" w:cs="Arial"/>
          <w:color w:val="000000" w:themeColor="text1"/>
        </w:rPr>
      </w:pPr>
    </w:p>
    <w:p w14:paraId="7EA8A979" w14:textId="77777777" w:rsidR="0073280B" w:rsidRPr="00FF5B5D" w:rsidRDefault="0073280B" w:rsidP="4C72D9C6">
      <w:pPr>
        <w:jc w:val="left"/>
        <w:rPr>
          <w:rFonts w:ascii="Arial" w:eastAsia="Arial" w:hAnsi="Arial" w:cs="Arial"/>
          <w:color w:val="000000" w:themeColor="text1"/>
        </w:rPr>
      </w:pPr>
    </w:p>
    <w:p w14:paraId="4775B565" w14:textId="03FC49D3" w:rsidR="4C72D9C6" w:rsidRDefault="4C72D9C6" w:rsidP="4C72D9C6">
      <w:pPr>
        <w:jc w:val="left"/>
        <w:rPr>
          <w:rFonts w:ascii="Arial" w:eastAsia="Arial" w:hAnsi="Arial" w:cs="Arial"/>
          <w:color w:val="000000" w:themeColor="text1"/>
        </w:rPr>
      </w:pPr>
    </w:p>
    <w:p w14:paraId="019A2C1E" w14:textId="7EED529B" w:rsidR="0073280B" w:rsidRPr="00252C81" w:rsidRDefault="000B0D9D" w:rsidP="4C72D9C6">
      <w:pPr>
        <w:spacing w:before="100" w:beforeAutospacing="1" w:after="100" w:afterAutospacing="1"/>
        <w:jc w:val="left"/>
        <w:outlineLvl w:val="1"/>
        <w:rPr>
          <w:rFonts w:ascii="Arial" w:eastAsia="Arial" w:hAnsi="Arial" w:cs="Arial"/>
          <w:b/>
          <w:bCs/>
          <w:kern w:val="0"/>
          <w:lang w:eastAsia="en-GB"/>
          <w14:ligatures w14:val="none"/>
        </w:rPr>
      </w:pPr>
      <w:r w:rsidRPr="4C72D9C6">
        <w:rPr>
          <w:rFonts w:ascii="Arial" w:eastAsia="Arial" w:hAnsi="Arial" w:cs="Arial"/>
          <w:b/>
          <w:bCs/>
          <w:kern w:val="0"/>
          <w:lang w:eastAsia="en-GB"/>
          <w14:ligatures w14:val="none"/>
        </w:rPr>
        <w:t>ABSTRACT</w:t>
      </w:r>
    </w:p>
    <w:p w14:paraId="1865B00A" w14:textId="202BF2F0" w:rsidR="00B76A50" w:rsidRDefault="00B76A50" w:rsidP="4C72D9C6">
      <w:pPr>
        <w:pStyle w:val="p1"/>
        <w:spacing w:line="360" w:lineRule="auto"/>
        <w:rPr>
          <w:rStyle w:val="s1"/>
          <w:rFonts w:ascii="Arial" w:eastAsia="Arial" w:hAnsi="Arial" w:cs="Arial"/>
          <w:sz w:val="22"/>
          <w:szCs w:val="22"/>
        </w:rPr>
      </w:pPr>
      <w:r w:rsidRPr="4C72D9C6">
        <w:rPr>
          <w:rStyle w:val="s1"/>
          <w:rFonts w:ascii="Arial" w:eastAsia="Arial" w:hAnsi="Arial" w:cs="Arial"/>
          <w:sz w:val="22"/>
          <w:szCs w:val="22"/>
        </w:rPr>
        <w:t>This dissertation critically examines how early diagnosis of Attention-Deficit/Hyperactivity Disorder (ADHD) influences the educational performance and classroom behaviour of White British boys aged 5–11 in UK primary schools. The research is grounded in the recognition that ADHD is not only a clinical condition but a major determinant of educational engagement, equity, and long-term wellbeing. The study responds to ongoing concerns around delayed referrals, rising CAMHS waiting times, and persistent inequalities in access to support for children with neurodevelopmental needs.</w:t>
      </w:r>
    </w:p>
    <w:p w14:paraId="17D1A0FB" w14:textId="5E892FD8" w:rsidR="00B76A50" w:rsidRDefault="00B76A50" w:rsidP="4C72D9C6">
      <w:pPr>
        <w:pStyle w:val="p1"/>
        <w:spacing w:line="360" w:lineRule="auto"/>
        <w:rPr>
          <w:rStyle w:val="s1"/>
          <w:rFonts w:ascii="Arial" w:eastAsia="Arial" w:hAnsi="Arial" w:cs="Arial"/>
          <w:sz w:val="22"/>
          <w:szCs w:val="22"/>
        </w:rPr>
      </w:pPr>
      <w:r w:rsidRPr="4C72D9C6">
        <w:rPr>
          <w:rStyle w:val="s1"/>
          <w:rFonts w:ascii="Arial" w:eastAsia="Arial" w:hAnsi="Arial" w:cs="Arial"/>
          <w:sz w:val="22"/>
          <w:szCs w:val="22"/>
        </w:rPr>
        <w:t xml:space="preserve">A systematic literature review </w:t>
      </w:r>
      <w:r w:rsidR="00D92C94" w:rsidRPr="4C72D9C6">
        <w:rPr>
          <w:rStyle w:val="s1"/>
          <w:rFonts w:ascii="Arial" w:eastAsia="Arial" w:hAnsi="Arial" w:cs="Arial"/>
          <w:sz w:val="22"/>
          <w:szCs w:val="22"/>
        </w:rPr>
        <w:t>method</w:t>
      </w:r>
      <w:r w:rsidRPr="4C72D9C6">
        <w:rPr>
          <w:rStyle w:val="s1"/>
          <w:rFonts w:ascii="Arial" w:eastAsia="Arial" w:hAnsi="Arial" w:cs="Arial"/>
          <w:sz w:val="22"/>
          <w:szCs w:val="22"/>
        </w:rPr>
        <w:t xml:space="preserve"> was adopted, drawing on peer-reviewed journals, national guidance, policy documents, and publicly available UK datasets published between 2015 and 2025. Sources were searched, screened, and thematically analysed, guided by a conceptual framework linking early diagnosis to early intervention, improved academic outcomes, and greater emotional stability. The review incorporated a structured approach, including source tracking, critical appraisal, and manual coding to </w:t>
      </w:r>
      <w:bookmarkStart w:id="18" w:name="_Int_iQzP2khc"/>
      <w:r w:rsidRPr="4C72D9C6">
        <w:rPr>
          <w:rStyle w:val="s1"/>
          <w:rFonts w:ascii="Arial" w:eastAsia="Arial" w:hAnsi="Arial" w:cs="Arial"/>
          <w:sz w:val="22"/>
          <w:szCs w:val="22"/>
        </w:rPr>
        <w:t>identify</w:t>
      </w:r>
      <w:bookmarkEnd w:id="18"/>
      <w:r w:rsidRPr="4C72D9C6">
        <w:rPr>
          <w:rStyle w:val="s1"/>
          <w:rFonts w:ascii="Arial" w:eastAsia="Arial" w:hAnsi="Arial" w:cs="Arial"/>
          <w:sz w:val="22"/>
          <w:szCs w:val="22"/>
        </w:rPr>
        <w:t xml:space="preserve"> dominant themes within contemporary research.</w:t>
      </w:r>
    </w:p>
    <w:p w14:paraId="27D799ED" w14:textId="5AACC9B7" w:rsidR="1E03315E" w:rsidRDefault="1E03315E" w:rsidP="1E03315E">
      <w:pPr>
        <w:pStyle w:val="p1"/>
        <w:spacing w:line="360" w:lineRule="auto"/>
        <w:rPr>
          <w:rStyle w:val="s1"/>
          <w:rFonts w:ascii="Arial" w:eastAsia="Arial" w:hAnsi="Arial" w:cs="Arial"/>
          <w:sz w:val="22"/>
          <w:szCs w:val="22"/>
        </w:rPr>
      </w:pPr>
    </w:p>
    <w:p w14:paraId="4DE973B3" w14:textId="6AA85948" w:rsidR="00B76A50" w:rsidRDefault="00B76A50" w:rsidP="4C72D9C6">
      <w:pPr>
        <w:pStyle w:val="p1"/>
        <w:spacing w:line="360" w:lineRule="auto"/>
        <w:rPr>
          <w:rStyle w:val="s1"/>
          <w:rFonts w:ascii="Arial" w:eastAsia="Arial" w:hAnsi="Arial" w:cs="Arial"/>
          <w:sz w:val="22"/>
          <w:szCs w:val="22"/>
        </w:rPr>
      </w:pPr>
      <w:r w:rsidRPr="4C72D9C6">
        <w:rPr>
          <w:rStyle w:val="s1"/>
          <w:rFonts w:ascii="Arial" w:eastAsia="Arial" w:hAnsi="Arial" w:cs="Arial"/>
          <w:sz w:val="22"/>
          <w:szCs w:val="22"/>
        </w:rPr>
        <w:t xml:space="preserve">Four central findings </w:t>
      </w:r>
      <w:r w:rsidR="00D92C94" w:rsidRPr="4C72D9C6">
        <w:rPr>
          <w:rStyle w:val="s1"/>
          <w:rFonts w:ascii="Arial" w:eastAsia="Arial" w:hAnsi="Arial" w:cs="Arial"/>
          <w:sz w:val="22"/>
          <w:szCs w:val="22"/>
        </w:rPr>
        <w:t>appeared</w:t>
      </w:r>
      <w:r w:rsidRPr="4C72D9C6">
        <w:rPr>
          <w:rStyle w:val="s1"/>
          <w:rFonts w:ascii="Arial" w:eastAsia="Arial" w:hAnsi="Arial" w:cs="Arial"/>
          <w:sz w:val="22"/>
          <w:szCs w:val="22"/>
        </w:rPr>
        <w:t>. First, early diagnosis increases the likelihood of improved academic participation, reduced behavioural escalation, and earlier access to targeted support. Second, teacher knowledge and confidence significantly affect how children’s behaviour is interpreted and whether concerns are escalated promptly. Third, multi-agency collaboration—particularly between schools, families, and CAMHS—strengthens the impact of interventions but is inconsistently delivered across regions. Fourth, socio-economic inequalities continue to shape diagnostic opportunities and service access, meaning early identification is not experienced equally by all children.</w:t>
      </w:r>
    </w:p>
    <w:p w14:paraId="6BEF1C50" w14:textId="339A8688" w:rsidR="1E03315E" w:rsidRDefault="1E03315E" w:rsidP="1E03315E">
      <w:pPr>
        <w:pStyle w:val="p1"/>
        <w:spacing w:line="360" w:lineRule="auto"/>
        <w:rPr>
          <w:rStyle w:val="s1"/>
          <w:rFonts w:ascii="Arial" w:eastAsia="Arial" w:hAnsi="Arial" w:cs="Arial"/>
          <w:sz w:val="22"/>
          <w:szCs w:val="22"/>
        </w:rPr>
      </w:pPr>
    </w:p>
    <w:p w14:paraId="30E44B37" w14:textId="432324EF" w:rsidR="00B76A50" w:rsidRDefault="00B76A50" w:rsidP="4C72D9C6">
      <w:pPr>
        <w:pStyle w:val="p1"/>
        <w:spacing w:line="360" w:lineRule="auto"/>
        <w:rPr>
          <w:rStyle w:val="s1"/>
          <w:rFonts w:ascii="Arial" w:eastAsia="Arial" w:hAnsi="Arial" w:cs="Arial"/>
          <w:sz w:val="22"/>
          <w:szCs w:val="22"/>
        </w:rPr>
      </w:pPr>
      <w:r w:rsidRPr="4C72D9C6">
        <w:rPr>
          <w:rStyle w:val="s1"/>
          <w:rFonts w:ascii="Arial" w:eastAsia="Arial" w:hAnsi="Arial" w:cs="Arial"/>
          <w:sz w:val="22"/>
          <w:szCs w:val="22"/>
        </w:rPr>
        <w:t xml:space="preserve">Limitations </w:t>
      </w:r>
      <w:bookmarkStart w:id="19" w:name="_Int_yTzf2QCs"/>
      <w:r w:rsidRPr="4C72D9C6">
        <w:rPr>
          <w:rStyle w:val="s1"/>
          <w:rFonts w:ascii="Arial" w:eastAsia="Arial" w:hAnsi="Arial" w:cs="Arial"/>
          <w:sz w:val="22"/>
          <w:szCs w:val="22"/>
        </w:rPr>
        <w:t>identified</w:t>
      </w:r>
      <w:bookmarkEnd w:id="19"/>
      <w:r w:rsidRPr="4C72D9C6">
        <w:rPr>
          <w:rStyle w:val="s1"/>
          <w:rFonts w:ascii="Arial" w:eastAsia="Arial" w:hAnsi="Arial" w:cs="Arial"/>
          <w:sz w:val="22"/>
          <w:szCs w:val="22"/>
        </w:rPr>
        <w:t xml:space="preserve"> include inconsistent data across regions, variations in research quality, and the reliance on secondary evidence. These limitations highlight the need for stronger national data collection and clearer professional training standards.</w:t>
      </w:r>
    </w:p>
    <w:p w14:paraId="412654DF" w14:textId="77777777" w:rsidR="00B76A50" w:rsidRDefault="00B76A50" w:rsidP="4C72D9C6">
      <w:pPr>
        <w:pStyle w:val="p1"/>
        <w:spacing w:line="360" w:lineRule="auto"/>
        <w:rPr>
          <w:rStyle w:val="s1"/>
          <w:rFonts w:ascii="Arial" w:eastAsia="Arial" w:hAnsi="Arial" w:cs="Arial"/>
          <w:sz w:val="22"/>
          <w:szCs w:val="22"/>
        </w:rPr>
      </w:pPr>
      <w:r w:rsidRPr="4C72D9C6">
        <w:rPr>
          <w:rStyle w:val="s1"/>
          <w:rFonts w:ascii="Arial" w:eastAsia="Arial" w:hAnsi="Arial" w:cs="Arial"/>
          <w:sz w:val="22"/>
          <w:szCs w:val="22"/>
        </w:rPr>
        <w:t>The dissertation concludes by recommending improved teacher training, reduced waiting times through specialist school-based pathways, and stronger multi-agency frameworks to ensure early diagnosis consistently leads to better outcomes. These recommendations aim to inform future policy, practice, education, and research within health and social care.</w:t>
      </w:r>
    </w:p>
    <w:p w14:paraId="4B65C5F3" w14:textId="77777777" w:rsidR="00730C3C" w:rsidRPr="00FF5B5D" w:rsidRDefault="00730C3C" w:rsidP="4C72D9C6">
      <w:pPr>
        <w:jc w:val="left"/>
        <w:rPr>
          <w:rFonts w:ascii="Arial" w:eastAsia="Arial" w:hAnsi="Arial" w:cs="Arial"/>
          <w:color w:val="000000" w:themeColor="text1"/>
        </w:rPr>
      </w:pPr>
    </w:p>
    <w:p w14:paraId="480F8020" w14:textId="44F1AEB0" w:rsidR="27C2ACF5" w:rsidRPr="00396057" w:rsidRDefault="27C2ACF5" w:rsidP="372807E5">
      <w:pPr>
        <w:pStyle w:val="Heading1"/>
        <w:spacing w:line="360" w:lineRule="auto"/>
        <w:rPr>
          <w:rFonts w:eastAsia="Arial" w:cs="Arial"/>
          <w:color w:val="000000" w:themeColor="text1"/>
          <w:sz w:val="22"/>
          <w:szCs w:val="22"/>
        </w:rPr>
      </w:pPr>
    </w:p>
    <w:p w14:paraId="29F5C000" w14:textId="6A083C90" w:rsidR="00F1409F" w:rsidRPr="00F1409F" w:rsidRDefault="00F1409F" w:rsidP="372807E5">
      <w:pPr>
        <w:pStyle w:val="p1"/>
        <w:spacing w:line="360" w:lineRule="auto"/>
        <w:rPr>
          <w:rStyle w:val="s1"/>
          <w:rFonts w:ascii="Arial" w:eastAsia="Arial" w:hAnsi="Arial" w:cs="Arial"/>
          <w:b/>
          <w:bCs/>
          <w:sz w:val="22"/>
          <w:szCs w:val="22"/>
        </w:rPr>
      </w:pPr>
      <w:r w:rsidRPr="372807E5">
        <w:rPr>
          <w:rStyle w:val="s1"/>
          <w:rFonts w:ascii="Arial" w:eastAsia="Arial" w:hAnsi="Arial" w:cs="Arial"/>
          <w:b/>
          <w:bCs/>
          <w:sz w:val="22"/>
          <w:szCs w:val="22"/>
        </w:rPr>
        <w:t>Contents page</w:t>
      </w:r>
    </w:p>
    <w:p w14:paraId="159DD22F" w14:textId="2201909B" w:rsidR="213710EF" w:rsidRDefault="213710EF" w:rsidP="372807E5">
      <w:pPr>
        <w:pStyle w:val="p1"/>
        <w:spacing w:line="360" w:lineRule="auto"/>
        <w:rPr>
          <w:rStyle w:val="s1"/>
          <w:rFonts w:ascii="Arial" w:eastAsia="Arial" w:hAnsi="Arial" w:cs="Arial"/>
          <w:b/>
          <w:bCs/>
          <w:sz w:val="22"/>
          <w:szCs w:val="22"/>
        </w:rPr>
      </w:pPr>
    </w:p>
    <w:p w14:paraId="500F9B8F" w14:textId="6176D844" w:rsidR="00086D71" w:rsidRDefault="00086D71" w:rsidP="372807E5">
      <w:pPr>
        <w:pStyle w:val="p1"/>
        <w:spacing w:line="360" w:lineRule="auto"/>
        <w:rPr>
          <w:rStyle w:val="s1"/>
          <w:rFonts w:ascii="Arial" w:eastAsia="Arial" w:hAnsi="Arial" w:cs="Arial"/>
          <w:sz w:val="22"/>
          <w:szCs w:val="22"/>
        </w:rPr>
      </w:pPr>
      <w:r w:rsidRPr="372807E5">
        <w:rPr>
          <w:rStyle w:val="s1"/>
          <w:rFonts w:ascii="Arial" w:eastAsia="Arial" w:hAnsi="Arial" w:cs="Arial"/>
          <w:sz w:val="22"/>
          <w:szCs w:val="22"/>
        </w:rPr>
        <w:t>Chapter 1 – Introduction &amp; Background –</w:t>
      </w:r>
      <w:r w:rsidR="5B5FC2A6" w:rsidRPr="372807E5">
        <w:rPr>
          <w:rStyle w:val="s1"/>
          <w:rFonts w:ascii="Arial" w:eastAsia="Arial" w:hAnsi="Arial" w:cs="Arial"/>
          <w:sz w:val="22"/>
          <w:szCs w:val="22"/>
        </w:rPr>
        <w:t>.............................................................pages</w:t>
      </w:r>
      <w:r w:rsidRPr="372807E5">
        <w:rPr>
          <w:rStyle w:val="s1"/>
          <w:rFonts w:ascii="Arial" w:eastAsia="Arial" w:hAnsi="Arial" w:cs="Arial"/>
          <w:sz w:val="22"/>
          <w:szCs w:val="22"/>
        </w:rPr>
        <w:t xml:space="preserve"> 6–</w:t>
      </w:r>
      <w:r w:rsidR="2FFAA825" w:rsidRPr="372807E5">
        <w:rPr>
          <w:rStyle w:val="s1"/>
          <w:rFonts w:ascii="Arial" w:eastAsia="Arial" w:hAnsi="Arial" w:cs="Arial"/>
          <w:sz w:val="22"/>
          <w:szCs w:val="22"/>
        </w:rPr>
        <w:t>9</w:t>
      </w:r>
    </w:p>
    <w:p w14:paraId="7EB708D6" w14:textId="62BCA891" w:rsidR="1918331A" w:rsidRDefault="1918331A" w:rsidP="372807E5">
      <w:pPr>
        <w:pStyle w:val="p1"/>
        <w:spacing w:line="360" w:lineRule="auto"/>
        <w:rPr>
          <w:rStyle w:val="s1"/>
          <w:rFonts w:ascii="Arial" w:eastAsia="Arial" w:hAnsi="Arial" w:cs="Arial"/>
          <w:sz w:val="22"/>
          <w:szCs w:val="22"/>
        </w:rPr>
      </w:pPr>
    </w:p>
    <w:p w14:paraId="01CF9D63" w14:textId="77777777" w:rsidR="00086D71" w:rsidRDefault="00086D71" w:rsidP="372807E5">
      <w:pPr>
        <w:pStyle w:val="p1"/>
        <w:spacing w:line="360" w:lineRule="auto"/>
        <w:rPr>
          <w:rStyle w:val="s2"/>
          <w:rFonts w:ascii="Arial" w:eastAsia="Arial" w:hAnsi="Arial" w:cs="Arial"/>
          <w:sz w:val="22"/>
          <w:szCs w:val="22"/>
        </w:rPr>
      </w:pPr>
      <w:r w:rsidRPr="372807E5">
        <w:rPr>
          <w:rStyle w:val="s2"/>
          <w:rFonts w:ascii="Arial" w:eastAsia="Arial" w:hAnsi="Arial" w:cs="Arial"/>
          <w:sz w:val="22"/>
          <w:szCs w:val="22"/>
        </w:rPr>
        <w:t> </w:t>
      </w:r>
      <w:r w:rsidRPr="372807E5">
        <w:rPr>
          <w:rStyle w:val="s2"/>
          <w:rFonts w:ascii="Arial" w:eastAsia="Arial" w:hAnsi="Arial" w:cs="Arial"/>
          <w:sz w:val="22"/>
          <w:szCs w:val="22"/>
        </w:rPr>
        <w:t>• Key Terms &amp; Definitions</w:t>
      </w:r>
    </w:p>
    <w:p w14:paraId="14D589AD" w14:textId="77777777" w:rsidR="00086D71" w:rsidRDefault="00086D71" w:rsidP="372807E5">
      <w:pPr>
        <w:pStyle w:val="p1"/>
        <w:spacing w:line="360" w:lineRule="auto"/>
        <w:rPr>
          <w:rStyle w:val="s2"/>
          <w:rFonts w:ascii="Arial" w:eastAsia="Arial" w:hAnsi="Arial" w:cs="Arial"/>
          <w:sz w:val="22"/>
          <w:szCs w:val="22"/>
        </w:rPr>
      </w:pPr>
      <w:r w:rsidRPr="372807E5">
        <w:rPr>
          <w:rStyle w:val="s2"/>
          <w:rFonts w:ascii="Arial" w:eastAsia="Arial" w:hAnsi="Arial" w:cs="Arial"/>
          <w:sz w:val="22"/>
          <w:szCs w:val="22"/>
        </w:rPr>
        <w:t> </w:t>
      </w:r>
      <w:r w:rsidRPr="372807E5">
        <w:rPr>
          <w:rStyle w:val="s2"/>
          <w:rFonts w:ascii="Arial" w:eastAsia="Arial" w:hAnsi="Arial" w:cs="Arial"/>
          <w:sz w:val="22"/>
          <w:szCs w:val="22"/>
        </w:rPr>
        <w:t>• Rationale</w:t>
      </w:r>
    </w:p>
    <w:p w14:paraId="6FC2A664" w14:textId="506CBE62" w:rsidR="00086D71" w:rsidRDefault="00086D71" w:rsidP="372807E5">
      <w:pPr>
        <w:pStyle w:val="p1"/>
        <w:spacing w:line="360" w:lineRule="auto"/>
        <w:rPr>
          <w:rStyle w:val="s2"/>
          <w:rFonts w:ascii="Arial" w:eastAsia="Arial" w:hAnsi="Arial" w:cs="Arial"/>
          <w:sz w:val="22"/>
          <w:szCs w:val="22"/>
        </w:rPr>
      </w:pPr>
      <w:r w:rsidRPr="372807E5">
        <w:rPr>
          <w:rStyle w:val="s2"/>
          <w:rFonts w:ascii="Arial" w:eastAsia="Arial" w:hAnsi="Arial" w:cs="Arial"/>
          <w:sz w:val="22"/>
          <w:szCs w:val="22"/>
        </w:rPr>
        <w:t> </w:t>
      </w:r>
      <w:r w:rsidRPr="372807E5">
        <w:rPr>
          <w:rStyle w:val="s2"/>
          <w:rFonts w:ascii="Arial" w:eastAsia="Arial" w:hAnsi="Arial" w:cs="Arial"/>
          <w:sz w:val="22"/>
          <w:szCs w:val="22"/>
        </w:rPr>
        <w:t>• Aim &amp; Objectives</w:t>
      </w:r>
    </w:p>
    <w:p w14:paraId="519EE7E2" w14:textId="2B3388F5" w:rsidR="1918331A" w:rsidRDefault="1918331A" w:rsidP="372807E5">
      <w:pPr>
        <w:pStyle w:val="p1"/>
        <w:spacing w:line="360" w:lineRule="auto"/>
        <w:rPr>
          <w:rStyle w:val="s2"/>
          <w:rFonts w:ascii="Arial" w:eastAsia="Arial" w:hAnsi="Arial" w:cs="Arial"/>
          <w:sz w:val="22"/>
          <w:szCs w:val="22"/>
        </w:rPr>
      </w:pPr>
    </w:p>
    <w:p w14:paraId="53FC6A80" w14:textId="4C9A8A20" w:rsidR="213710EF" w:rsidRDefault="213710EF" w:rsidP="372807E5">
      <w:pPr>
        <w:pStyle w:val="p1"/>
        <w:spacing w:line="360" w:lineRule="auto"/>
        <w:rPr>
          <w:rStyle w:val="s2"/>
          <w:rFonts w:ascii="Arial" w:eastAsia="Arial" w:hAnsi="Arial" w:cs="Arial"/>
          <w:sz w:val="22"/>
          <w:szCs w:val="22"/>
        </w:rPr>
      </w:pPr>
    </w:p>
    <w:p w14:paraId="19763062" w14:textId="3AB49F40" w:rsidR="00086D71" w:rsidRDefault="00086D71" w:rsidP="372807E5">
      <w:pPr>
        <w:pStyle w:val="p1"/>
        <w:spacing w:line="360" w:lineRule="auto"/>
        <w:rPr>
          <w:rStyle w:val="s1"/>
          <w:rFonts w:ascii="Arial" w:eastAsia="Arial" w:hAnsi="Arial" w:cs="Arial"/>
          <w:sz w:val="22"/>
          <w:szCs w:val="22"/>
        </w:rPr>
      </w:pPr>
      <w:r w:rsidRPr="372807E5">
        <w:rPr>
          <w:rStyle w:val="s1"/>
          <w:rFonts w:ascii="Arial" w:eastAsia="Arial" w:hAnsi="Arial" w:cs="Arial"/>
          <w:sz w:val="22"/>
          <w:szCs w:val="22"/>
        </w:rPr>
        <w:t>Chapter 2 – Literature Review –</w:t>
      </w:r>
      <w:r w:rsidR="6C550932" w:rsidRPr="372807E5">
        <w:rPr>
          <w:rStyle w:val="s1"/>
          <w:rFonts w:ascii="Arial" w:eastAsia="Arial" w:hAnsi="Arial" w:cs="Arial"/>
          <w:sz w:val="22"/>
          <w:szCs w:val="22"/>
        </w:rPr>
        <w:t>..............................................................</w:t>
      </w:r>
      <w:r w:rsidR="5955BAF3" w:rsidRPr="372807E5">
        <w:rPr>
          <w:rStyle w:val="s1"/>
          <w:rFonts w:ascii="Arial" w:eastAsia="Arial" w:hAnsi="Arial" w:cs="Arial"/>
          <w:sz w:val="22"/>
          <w:szCs w:val="22"/>
        </w:rPr>
        <w:t>......</w:t>
      </w:r>
      <w:r w:rsidR="6C550932" w:rsidRPr="372807E5">
        <w:rPr>
          <w:rStyle w:val="s1"/>
          <w:rFonts w:ascii="Arial" w:eastAsia="Arial" w:hAnsi="Arial" w:cs="Arial"/>
          <w:sz w:val="22"/>
          <w:szCs w:val="22"/>
        </w:rPr>
        <w:t>.</w:t>
      </w:r>
      <w:r w:rsidR="2DC6C7D6" w:rsidRPr="372807E5">
        <w:rPr>
          <w:rStyle w:val="s1"/>
          <w:rFonts w:ascii="Arial" w:eastAsia="Arial" w:hAnsi="Arial" w:cs="Arial"/>
          <w:sz w:val="22"/>
          <w:szCs w:val="22"/>
        </w:rPr>
        <w:t>..</w:t>
      </w:r>
      <w:r w:rsidR="6C550932" w:rsidRPr="372807E5">
        <w:rPr>
          <w:rStyle w:val="s1"/>
          <w:rFonts w:ascii="Arial" w:eastAsia="Arial" w:hAnsi="Arial" w:cs="Arial"/>
          <w:sz w:val="22"/>
          <w:szCs w:val="22"/>
        </w:rPr>
        <w:t>.....pages</w:t>
      </w:r>
      <w:r w:rsidRPr="372807E5">
        <w:rPr>
          <w:rStyle w:val="s1"/>
          <w:rFonts w:ascii="Arial" w:eastAsia="Arial" w:hAnsi="Arial" w:cs="Arial"/>
          <w:sz w:val="22"/>
          <w:szCs w:val="22"/>
        </w:rPr>
        <w:t xml:space="preserve"> 9–16</w:t>
      </w:r>
    </w:p>
    <w:p w14:paraId="66288C19" w14:textId="00446C19" w:rsidR="1918331A" w:rsidRDefault="1918331A" w:rsidP="372807E5">
      <w:pPr>
        <w:pStyle w:val="p1"/>
        <w:spacing w:line="360" w:lineRule="auto"/>
        <w:rPr>
          <w:rStyle w:val="s1"/>
          <w:rFonts w:ascii="Arial" w:eastAsia="Arial" w:hAnsi="Arial" w:cs="Arial"/>
          <w:sz w:val="22"/>
          <w:szCs w:val="22"/>
        </w:rPr>
      </w:pPr>
    </w:p>
    <w:p w14:paraId="662AE236" w14:textId="77777777" w:rsidR="00086D71" w:rsidRDefault="00086D71" w:rsidP="372807E5">
      <w:pPr>
        <w:pStyle w:val="p1"/>
        <w:spacing w:line="360" w:lineRule="auto"/>
        <w:rPr>
          <w:rStyle w:val="s2"/>
          <w:rFonts w:ascii="Arial" w:eastAsia="Arial" w:hAnsi="Arial" w:cs="Arial"/>
          <w:sz w:val="22"/>
          <w:szCs w:val="22"/>
        </w:rPr>
      </w:pPr>
      <w:r w:rsidRPr="372807E5">
        <w:rPr>
          <w:rStyle w:val="s2"/>
          <w:rFonts w:ascii="Arial" w:eastAsia="Arial" w:hAnsi="Arial" w:cs="Arial"/>
          <w:sz w:val="22"/>
          <w:szCs w:val="22"/>
        </w:rPr>
        <w:t> </w:t>
      </w:r>
      <w:r w:rsidRPr="372807E5">
        <w:rPr>
          <w:rStyle w:val="s2"/>
          <w:rFonts w:ascii="Arial" w:eastAsia="Arial" w:hAnsi="Arial" w:cs="Arial"/>
          <w:sz w:val="22"/>
          <w:szCs w:val="22"/>
        </w:rPr>
        <w:t>• Historical Background</w:t>
      </w:r>
    </w:p>
    <w:p w14:paraId="16351DD1" w14:textId="77777777" w:rsidR="00086D71" w:rsidRDefault="00086D71" w:rsidP="372807E5">
      <w:pPr>
        <w:pStyle w:val="p1"/>
        <w:spacing w:line="360" w:lineRule="auto"/>
        <w:rPr>
          <w:rStyle w:val="s2"/>
          <w:rFonts w:ascii="Arial" w:eastAsia="Arial" w:hAnsi="Arial" w:cs="Arial"/>
          <w:sz w:val="22"/>
          <w:szCs w:val="22"/>
        </w:rPr>
      </w:pPr>
      <w:r w:rsidRPr="372807E5">
        <w:rPr>
          <w:rStyle w:val="s2"/>
          <w:rFonts w:ascii="Arial" w:eastAsia="Arial" w:hAnsi="Arial" w:cs="Arial"/>
          <w:sz w:val="22"/>
          <w:szCs w:val="22"/>
        </w:rPr>
        <w:t> </w:t>
      </w:r>
      <w:r w:rsidRPr="372807E5">
        <w:rPr>
          <w:rStyle w:val="s2"/>
          <w:rFonts w:ascii="Arial" w:eastAsia="Arial" w:hAnsi="Arial" w:cs="Arial"/>
          <w:sz w:val="22"/>
          <w:szCs w:val="22"/>
        </w:rPr>
        <w:t>• Theoretical Perspectives</w:t>
      </w:r>
    </w:p>
    <w:p w14:paraId="4D9E43F3" w14:textId="35AEC253" w:rsidR="00086D71" w:rsidRDefault="00086D71" w:rsidP="372807E5">
      <w:pPr>
        <w:pStyle w:val="p1"/>
        <w:spacing w:line="360" w:lineRule="auto"/>
        <w:rPr>
          <w:rStyle w:val="s2"/>
          <w:rFonts w:ascii="Arial" w:eastAsia="Arial" w:hAnsi="Arial" w:cs="Arial"/>
          <w:sz w:val="22"/>
          <w:szCs w:val="22"/>
        </w:rPr>
      </w:pPr>
      <w:r w:rsidRPr="372807E5">
        <w:rPr>
          <w:rStyle w:val="s2"/>
          <w:rFonts w:ascii="Arial" w:eastAsia="Arial" w:hAnsi="Arial" w:cs="Arial"/>
          <w:sz w:val="22"/>
          <w:szCs w:val="22"/>
        </w:rPr>
        <w:t> </w:t>
      </w:r>
      <w:r w:rsidRPr="372807E5">
        <w:rPr>
          <w:rStyle w:val="s2"/>
          <w:rFonts w:ascii="Arial" w:eastAsia="Arial" w:hAnsi="Arial" w:cs="Arial"/>
          <w:sz w:val="22"/>
          <w:szCs w:val="22"/>
        </w:rPr>
        <w:t>• International &amp; UK Context</w:t>
      </w:r>
    </w:p>
    <w:p w14:paraId="2D8935C2" w14:textId="12EFB6E9" w:rsidR="213710EF" w:rsidRDefault="213710EF" w:rsidP="372807E5">
      <w:pPr>
        <w:pStyle w:val="p1"/>
        <w:spacing w:line="360" w:lineRule="auto"/>
        <w:rPr>
          <w:rStyle w:val="s2"/>
          <w:rFonts w:ascii="Arial" w:eastAsia="Arial" w:hAnsi="Arial" w:cs="Arial"/>
          <w:sz w:val="22"/>
          <w:szCs w:val="22"/>
        </w:rPr>
      </w:pPr>
    </w:p>
    <w:p w14:paraId="4BA19E90" w14:textId="0CD56F88" w:rsidR="00086D71" w:rsidRDefault="00086D71" w:rsidP="372807E5">
      <w:pPr>
        <w:pStyle w:val="p1"/>
        <w:spacing w:line="360" w:lineRule="auto"/>
        <w:rPr>
          <w:rStyle w:val="s1"/>
          <w:rFonts w:ascii="Arial" w:eastAsia="Arial" w:hAnsi="Arial" w:cs="Arial"/>
          <w:sz w:val="22"/>
          <w:szCs w:val="22"/>
        </w:rPr>
      </w:pPr>
      <w:r w:rsidRPr="372807E5">
        <w:rPr>
          <w:rStyle w:val="s1"/>
          <w:rFonts w:ascii="Arial" w:eastAsia="Arial" w:hAnsi="Arial" w:cs="Arial"/>
          <w:sz w:val="22"/>
          <w:szCs w:val="22"/>
        </w:rPr>
        <w:t>Chapter 3 – Methods –</w:t>
      </w:r>
      <w:r w:rsidR="66BED4BC" w:rsidRPr="372807E5">
        <w:rPr>
          <w:rStyle w:val="s1"/>
          <w:rFonts w:ascii="Arial" w:eastAsia="Arial" w:hAnsi="Arial" w:cs="Arial"/>
          <w:sz w:val="22"/>
          <w:szCs w:val="22"/>
        </w:rPr>
        <w:t>..................................................................................</w:t>
      </w:r>
      <w:r w:rsidR="5C35918D" w:rsidRPr="372807E5">
        <w:rPr>
          <w:rStyle w:val="s1"/>
          <w:rFonts w:ascii="Arial" w:eastAsia="Arial" w:hAnsi="Arial" w:cs="Arial"/>
          <w:sz w:val="22"/>
          <w:szCs w:val="22"/>
        </w:rPr>
        <w:t>..</w:t>
      </w:r>
      <w:r w:rsidR="0B271CCD" w:rsidRPr="372807E5">
        <w:rPr>
          <w:rStyle w:val="s1"/>
          <w:rFonts w:ascii="Arial" w:eastAsia="Arial" w:hAnsi="Arial" w:cs="Arial"/>
          <w:sz w:val="22"/>
          <w:szCs w:val="22"/>
        </w:rPr>
        <w:t>.</w:t>
      </w:r>
      <w:r w:rsidR="66BED4BC" w:rsidRPr="372807E5">
        <w:rPr>
          <w:rStyle w:val="s1"/>
          <w:rFonts w:ascii="Arial" w:eastAsia="Arial" w:hAnsi="Arial" w:cs="Arial"/>
          <w:sz w:val="22"/>
          <w:szCs w:val="22"/>
        </w:rPr>
        <w:t>....pages</w:t>
      </w:r>
      <w:r w:rsidRPr="372807E5">
        <w:rPr>
          <w:rStyle w:val="s1"/>
          <w:rFonts w:ascii="Arial" w:eastAsia="Arial" w:hAnsi="Arial" w:cs="Arial"/>
          <w:sz w:val="22"/>
          <w:szCs w:val="22"/>
        </w:rPr>
        <w:t xml:space="preserve"> 17–21</w:t>
      </w:r>
    </w:p>
    <w:p w14:paraId="6AA0FF9F" w14:textId="64E31543" w:rsidR="70DFAD07" w:rsidRDefault="70DFAD07" w:rsidP="372807E5">
      <w:pPr>
        <w:pStyle w:val="p1"/>
        <w:spacing w:line="360" w:lineRule="auto"/>
        <w:rPr>
          <w:rStyle w:val="s1"/>
          <w:rFonts w:ascii="Arial" w:eastAsia="Arial" w:hAnsi="Arial" w:cs="Arial"/>
          <w:sz w:val="22"/>
          <w:szCs w:val="22"/>
        </w:rPr>
      </w:pPr>
      <w:r w:rsidRPr="372807E5">
        <w:rPr>
          <w:rStyle w:val="s1"/>
          <w:rFonts w:ascii="Arial" w:eastAsia="Arial" w:hAnsi="Arial" w:cs="Arial"/>
          <w:sz w:val="22"/>
          <w:szCs w:val="22"/>
        </w:rPr>
        <w:t>.</w:t>
      </w:r>
    </w:p>
    <w:p w14:paraId="124CD9A0" w14:textId="77777777" w:rsidR="00086D71" w:rsidRDefault="00086D71" w:rsidP="372807E5">
      <w:pPr>
        <w:pStyle w:val="p1"/>
        <w:spacing w:line="360" w:lineRule="auto"/>
        <w:rPr>
          <w:rStyle w:val="s2"/>
          <w:rFonts w:ascii="Arial" w:eastAsia="Arial" w:hAnsi="Arial" w:cs="Arial"/>
          <w:sz w:val="22"/>
          <w:szCs w:val="22"/>
        </w:rPr>
      </w:pPr>
      <w:r w:rsidRPr="372807E5">
        <w:rPr>
          <w:rStyle w:val="s2"/>
          <w:rFonts w:ascii="Arial" w:eastAsia="Arial" w:hAnsi="Arial" w:cs="Arial"/>
          <w:sz w:val="22"/>
          <w:szCs w:val="22"/>
        </w:rPr>
        <w:t> </w:t>
      </w:r>
      <w:r w:rsidRPr="372807E5">
        <w:rPr>
          <w:rStyle w:val="s2"/>
          <w:rFonts w:ascii="Arial" w:eastAsia="Arial" w:hAnsi="Arial" w:cs="Arial"/>
          <w:sz w:val="22"/>
          <w:szCs w:val="22"/>
        </w:rPr>
        <w:t>• Search Strategy &amp; Process</w:t>
      </w:r>
    </w:p>
    <w:p w14:paraId="29458467" w14:textId="77777777" w:rsidR="00086D71" w:rsidRDefault="00086D71" w:rsidP="372807E5">
      <w:pPr>
        <w:pStyle w:val="p1"/>
        <w:spacing w:line="360" w:lineRule="auto"/>
        <w:rPr>
          <w:rStyle w:val="s2"/>
          <w:rFonts w:ascii="Arial" w:eastAsia="Arial" w:hAnsi="Arial" w:cs="Arial"/>
          <w:sz w:val="22"/>
          <w:szCs w:val="22"/>
        </w:rPr>
      </w:pPr>
      <w:r w:rsidRPr="372807E5">
        <w:rPr>
          <w:rStyle w:val="s2"/>
          <w:rFonts w:ascii="Arial" w:eastAsia="Arial" w:hAnsi="Arial" w:cs="Arial"/>
          <w:sz w:val="22"/>
          <w:szCs w:val="22"/>
        </w:rPr>
        <w:t> </w:t>
      </w:r>
      <w:r w:rsidRPr="372807E5">
        <w:rPr>
          <w:rStyle w:val="s2"/>
          <w:rFonts w:ascii="Arial" w:eastAsia="Arial" w:hAnsi="Arial" w:cs="Arial"/>
          <w:sz w:val="22"/>
          <w:szCs w:val="22"/>
        </w:rPr>
        <w:t>• Inclusion/Exclusion Criteria</w:t>
      </w:r>
    </w:p>
    <w:p w14:paraId="5853B72A" w14:textId="7AB7C348" w:rsidR="00086D71" w:rsidRDefault="00086D71" w:rsidP="372807E5">
      <w:pPr>
        <w:pStyle w:val="p1"/>
        <w:spacing w:line="360" w:lineRule="auto"/>
        <w:rPr>
          <w:rStyle w:val="s2"/>
          <w:rFonts w:ascii="Arial" w:eastAsia="Arial" w:hAnsi="Arial" w:cs="Arial"/>
          <w:sz w:val="22"/>
          <w:szCs w:val="22"/>
        </w:rPr>
      </w:pPr>
      <w:r w:rsidRPr="372807E5">
        <w:rPr>
          <w:rStyle w:val="s2"/>
          <w:rFonts w:ascii="Arial" w:eastAsia="Arial" w:hAnsi="Arial" w:cs="Arial"/>
          <w:sz w:val="22"/>
          <w:szCs w:val="22"/>
        </w:rPr>
        <w:t> </w:t>
      </w:r>
      <w:r w:rsidRPr="372807E5">
        <w:rPr>
          <w:rStyle w:val="s2"/>
          <w:rFonts w:ascii="Arial" w:eastAsia="Arial" w:hAnsi="Arial" w:cs="Arial"/>
          <w:sz w:val="22"/>
          <w:szCs w:val="22"/>
        </w:rPr>
        <w:t>• Analysis &amp; Ethics</w:t>
      </w:r>
    </w:p>
    <w:p w14:paraId="0BC73F68" w14:textId="6F99CFC4" w:rsidR="213710EF" w:rsidRDefault="213710EF" w:rsidP="372807E5">
      <w:pPr>
        <w:pStyle w:val="p1"/>
        <w:spacing w:line="360" w:lineRule="auto"/>
        <w:rPr>
          <w:rStyle w:val="s2"/>
          <w:rFonts w:ascii="Arial" w:eastAsia="Arial" w:hAnsi="Arial" w:cs="Arial"/>
          <w:sz w:val="22"/>
          <w:szCs w:val="22"/>
        </w:rPr>
      </w:pPr>
    </w:p>
    <w:p w14:paraId="6488D1C6" w14:textId="73C99880" w:rsidR="00086D71" w:rsidRDefault="00086D71" w:rsidP="372807E5">
      <w:pPr>
        <w:pStyle w:val="p1"/>
        <w:spacing w:line="360" w:lineRule="auto"/>
        <w:rPr>
          <w:rStyle w:val="s1"/>
          <w:rFonts w:ascii="Arial" w:eastAsia="Arial" w:hAnsi="Arial" w:cs="Arial"/>
          <w:sz w:val="22"/>
          <w:szCs w:val="22"/>
        </w:rPr>
      </w:pPr>
      <w:r w:rsidRPr="372807E5">
        <w:rPr>
          <w:rStyle w:val="s1"/>
          <w:rFonts w:ascii="Arial" w:eastAsia="Arial" w:hAnsi="Arial" w:cs="Arial"/>
          <w:sz w:val="22"/>
          <w:szCs w:val="22"/>
        </w:rPr>
        <w:t>Chapter 4 – Findings –</w:t>
      </w:r>
      <w:r w:rsidR="26F5272F" w:rsidRPr="372807E5">
        <w:rPr>
          <w:rStyle w:val="s1"/>
          <w:rFonts w:ascii="Arial" w:eastAsia="Arial" w:hAnsi="Arial" w:cs="Arial"/>
          <w:sz w:val="22"/>
          <w:szCs w:val="22"/>
        </w:rPr>
        <w:t>.................................................................</w:t>
      </w:r>
      <w:r w:rsidR="61BED09A" w:rsidRPr="372807E5">
        <w:rPr>
          <w:rStyle w:val="s1"/>
          <w:rFonts w:ascii="Arial" w:eastAsia="Arial" w:hAnsi="Arial" w:cs="Arial"/>
          <w:sz w:val="22"/>
          <w:szCs w:val="22"/>
        </w:rPr>
        <w:t>.................</w:t>
      </w:r>
      <w:r w:rsidR="26F5272F" w:rsidRPr="372807E5">
        <w:rPr>
          <w:rStyle w:val="s1"/>
          <w:rFonts w:ascii="Arial" w:eastAsia="Arial" w:hAnsi="Arial" w:cs="Arial"/>
          <w:sz w:val="22"/>
          <w:szCs w:val="22"/>
        </w:rPr>
        <w:t>.....pages</w:t>
      </w:r>
      <w:r w:rsidRPr="372807E5">
        <w:rPr>
          <w:rStyle w:val="s1"/>
          <w:rFonts w:ascii="Arial" w:eastAsia="Arial" w:hAnsi="Arial" w:cs="Arial"/>
          <w:sz w:val="22"/>
          <w:szCs w:val="22"/>
        </w:rPr>
        <w:t xml:space="preserve"> 21–35</w:t>
      </w:r>
    </w:p>
    <w:p w14:paraId="78F6F526" w14:textId="77777777" w:rsidR="00086D71" w:rsidRDefault="00086D71" w:rsidP="372807E5">
      <w:pPr>
        <w:pStyle w:val="p1"/>
        <w:spacing w:line="360" w:lineRule="auto"/>
        <w:rPr>
          <w:rStyle w:val="s2"/>
          <w:rFonts w:ascii="Arial" w:eastAsia="Arial" w:hAnsi="Arial" w:cs="Arial"/>
          <w:sz w:val="22"/>
          <w:szCs w:val="22"/>
        </w:rPr>
      </w:pPr>
      <w:r w:rsidRPr="372807E5">
        <w:rPr>
          <w:rStyle w:val="s2"/>
          <w:rFonts w:ascii="Arial" w:eastAsia="Arial" w:hAnsi="Arial" w:cs="Arial"/>
          <w:sz w:val="22"/>
          <w:szCs w:val="22"/>
        </w:rPr>
        <w:t> </w:t>
      </w:r>
      <w:r w:rsidRPr="372807E5">
        <w:rPr>
          <w:rStyle w:val="s2"/>
          <w:rFonts w:ascii="Arial" w:eastAsia="Arial" w:hAnsi="Arial" w:cs="Arial"/>
          <w:sz w:val="22"/>
          <w:szCs w:val="22"/>
        </w:rPr>
        <w:t>• Thematic Analysis</w:t>
      </w:r>
    </w:p>
    <w:p w14:paraId="3527A539" w14:textId="77777777" w:rsidR="00086D71" w:rsidRDefault="00086D71" w:rsidP="372807E5">
      <w:pPr>
        <w:pStyle w:val="p1"/>
        <w:spacing w:line="360" w:lineRule="auto"/>
        <w:rPr>
          <w:rStyle w:val="s2"/>
          <w:rFonts w:ascii="Arial" w:eastAsia="Arial" w:hAnsi="Arial" w:cs="Arial"/>
          <w:sz w:val="22"/>
          <w:szCs w:val="22"/>
        </w:rPr>
      </w:pPr>
      <w:r w:rsidRPr="372807E5">
        <w:rPr>
          <w:rStyle w:val="s2"/>
          <w:rFonts w:ascii="Arial" w:eastAsia="Arial" w:hAnsi="Arial" w:cs="Arial"/>
          <w:sz w:val="22"/>
          <w:szCs w:val="22"/>
        </w:rPr>
        <w:t> </w:t>
      </w:r>
      <w:r w:rsidRPr="372807E5">
        <w:rPr>
          <w:rStyle w:val="s2"/>
          <w:rFonts w:ascii="Arial" w:eastAsia="Arial" w:hAnsi="Arial" w:cs="Arial"/>
          <w:sz w:val="22"/>
          <w:szCs w:val="22"/>
        </w:rPr>
        <w:t>• Early Diagnosis &amp; Support</w:t>
      </w:r>
    </w:p>
    <w:p w14:paraId="4CFA3D45" w14:textId="77777777" w:rsidR="00086D71" w:rsidRDefault="00086D71" w:rsidP="372807E5">
      <w:pPr>
        <w:pStyle w:val="p1"/>
        <w:spacing w:line="360" w:lineRule="auto"/>
        <w:rPr>
          <w:rStyle w:val="s2"/>
          <w:rFonts w:ascii="Arial" w:eastAsia="Arial" w:hAnsi="Arial" w:cs="Arial"/>
          <w:sz w:val="22"/>
          <w:szCs w:val="22"/>
        </w:rPr>
      </w:pPr>
      <w:r w:rsidRPr="372807E5">
        <w:rPr>
          <w:rStyle w:val="s2"/>
          <w:rFonts w:ascii="Arial" w:eastAsia="Arial" w:hAnsi="Arial" w:cs="Arial"/>
          <w:sz w:val="22"/>
          <w:szCs w:val="22"/>
        </w:rPr>
        <w:t> </w:t>
      </w:r>
      <w:r w:rsidRPr="372807E5">
        <w:rPr>
          <w:rStyle w:val="s2"/>
          <w:rFonts w:ascii="Arial" w:eastAsia="Arial" w:hAnsi="Arial" w:cs="Arial"/>
          <w:sz w:val="22"/>
          <w:szCs w:val="22"/>
        </w:rPr>
        <w:t>• Teacher Practice</w:t>
      </w:r>
    </w:p>
    <w:p w14:paraId="15E00F39" w14:textId="5522987D" w:rsidR="00086D71" w:rsidRDefault="00086D71" w:rsidP="372807E5">
      <w:pPr>
        <w:pStyle w:val="p1"/>
        <w:spacing w:line="360" w:lineRule="auto"/>
        <w:rPr>
          <w:rStyle w:val="s2"/>
          <w:rFonts w:ascii="Arial" w:eastAsia="Arial" w:hAnsi="Arial" w:cs="Arial"/>
          <w:sz w:val="22"/>
          <w:szCs w:val="22"/>
        </w:rPr>
      </w:pPr>
      <w:r w:rsidRPr="372807E5">
        <w:rPr>
          <w:rStyle w:val="s2"/>
          <w:rFonts w:ascii="Arial" w:eastAsia="Arial" w:hAnsi="Arial" w:cs="Arial"/>
          <w:sz w:val="22"/>
          <w:szCs w:val="22"/>
        </w:rPr>
        <w:t> </w:t>
      </w:r>
      <w:r w:rsidRPr="372807E5">
        <w:rPr>
          <w:rStyle w:val="s2"/>
          <w:rFonts w:ascii="Arial" w:eastAsia="Arial" w:hAnsi="Arial" w:cs="Arial"/>
          <w:sz w:val="22"/>
          <w:szCs w:val="22"/>
        </w:rPr>
        <w:t xml:space="preserve">• </w:t>
      </w:r>
      <w:r w:rsidR="2D67D113" w:rsidRPr="372807E5">
        <w:rPr>
          <w:rStyle w:val="s2"/>
          <w:rFonts w:ascii="Arial" w:eastAsia="Arial" w:hAnsi="Arial" w:cs="Arial"/>
          <w:sz w:val="22"/>
          <w:szCs w:val="22"/>
        </w:rPr>
        <w:t>Multiagency</w:t>
      </w:r>
      <w:r w:rsidRPr="372807E5">
        <w:rPr>
          <w:rStyle w:val="s2"/>
          <w:rFonts w:ascii="Arial" w:eastAsia="Arial" w:hAnsi="Arial" w:cs="Arial"/>
          <w:sz w:val="22"/>
          <w:szCs w:val="22"/>
        </w:rPr>
        <w:t xml:space="preserve"> &amp; Family</w:t>
      </w:r>
    </w:p>
    <w:p w14:paraId="6C722DA9" w14:textId="5E959C57" w:rsidR="213710EF" w:rsidRDefault="213710EF" w:rsidP="372807E5">
      <w:pPr>
        <w:pStyle w:val="p1"/>
        <w:spacing w:line="360" w:lineRule="auto"/>
        <w:rPr>
          <w:rStyle w:val="s2"/>
          <w:rFonts w:ascii="Arial" w:eastAsia="Arial" w:hAnsi="Arial" w:cs="Arial"/>
          <w:sz w:val="22"/>
          <w:szCs w:val="22"/>
        </w:rPr>
      </w:pPr>
    </w:p>
    <w:p w14:paraId="650EE670" w14:textId="7058C1D4" w:rsidR="00086D71" w:rsidRDefault="00086D71" w:rsidP="372807E5">
      <w:pPr>
        <w:pStyle w:val="p1"/>
        <w:spacing w:line="360" w:lineRule="auto"/>
        <w:rPr>
          <w:rStyle w:val="s1"/>
          <w:rFonts w:ascii="Arial" w:eastAsia="Arial" w:hAnsi="Arial" w:cs="Arial"/>
          <w:sz w:val="22"/>
          <w:szCs w:val="22"/>
        </w:rPr>
      </w:pPr>
      <w:r w:rsidRPr="372807E5">
        <w:rPr>
          <w:rStyle w:val="s1"/>
          <w:rFonts w:ascii="Arial" w:eastAsia="Arial" w:hAnsi="Arial" w:cs="Arial"/>
          <w:sz w:val="22"/>
          <w:szCs w:val="22"/>
        </w:rPr>
        <w:t>Chapter 5 – Discussion &amp; Recommendations –</w:t>
      </w:r>
      <w:r w:rsidR="0919525F" w:rsidRPr="372807E5">
        <w:rPr>
          <w:rStyle w:val="s1"/>
          <w:rFonts w:ascii="Arial" w:eastAsia="Arial" w:hAnsi="Arial" w:cs="Arial"/>
          <w:sz w:val="22"/>
          <w:szCs w:val="22"/>
        </w:rPr>
        <w:t>.............</w:t>
      </w:r>
      <w:r w:rsidR="2FC232F4" w:rsidRPr="372807E5">
        <w:rPr>
          <w:rStyle w:val="s1"/>
          <w:rFonts w:ascii="Arial" w:eastAsia="Arial" w:hAnsi="Arial" w:cs="Arial"/>
          <w:sz w:val="22"/>
          <w:szCs w:val="22"/>
        </w:rPr>
        <w:t>..</w:t>
      </w:r>
      <w:r w:rsidR="0919525F" w:rsidRPr="372807E5">
        <w:rPr>
          <w:rStyle w:val="s1"/>
          <w:rFonts w:ascii="Arial" w:eastAsia="Arial" w:hAnsi="Arial" w:cs="Arial"/>
          <w:sz w:val="22"/>
          <w:szCs w:val="22"/>
        </w:rPr>
        <w:t>..........</w:t>
      </w:r>
      <w:r w:rsidR="1894FE29" w:rsidRPr="372807E5">
        <w:rPr>
          <w:rStyle w:val="s1"/>
          <w:rFonts w:ascii="Arial" w:eastAsia="Arial" w:hAnsi="Arial" w:cs="Arial"/>
          <w:sz w:val="22"/>
          <w:szCs w:val="22"/>
        </w:rPr>
        <w:t>..................</w:t>
      </w:r>
      <w:r w:rsidR="0919525F" w:rsidRPr="372807E5">
        <w:rPr>
          <w:rStyle w:val="s1"/>
          <w:rFonts w:ascii="Arial" w:eastAsia="Arial" w:hAnsi="Arial" w:cs="Arial"/>
          <w:sz w:val="22"/>
          <w:szCs w:val="22"/>
        </w:rPr>
        <w:t>.......pages</w:t>
      </w:r>
      <w:r w:rsidRPr="372807E5">
        <w:rPr>
          <w:rStyle w:val="s1"/>
          <w:rFonts w:ascii="Arial" w:eastAsia="Arial" w:hAnsi="Arial" w:cs="Arial"/>
          <w:sz w:val="22"/>
          <w:szCs w:val="22"/>
        </w:rPr>
        <w:t xml:space="preserve"> 36–</w:t>
      </w:r>
      <w:r w:rsidR="0005375B" w:rsidRPr="372807E5">
        <w:rPr>
          <w:rStyle w:val="s1"/>
          <w:rFonts w:ascii="Arial" w:eastAsia="Arial" w:hAnsi="Arial" w:cs="Arial"/>
          <w:sz w:val="22"/>
          <w:szCs w:val="22"/>
        </w:rPr>
        <w:t>40</w:t>
      </w:r>
    </w:p>
    <w:p w14:paraId="7B108ADC" w14:textId="032A9808" w:rsidR="213710EF" w:rsidRDefault="213710EF" w:rsidP="372807E5">
      <w:pPr>
        <w:pStyle w:val="p1"/>
        <w:spacing w:line="360" w:lineRule="auto"/>
        <w:rPr>
          <w:rStyle w:val="s1"/>
          <w:rFonts w:ascii="Arial" w:eastAsia="Arial" w:hAnsi="Arial" w:cs="Arial"/>
          <w:sz w:val="22"/>
          <w:szCs w:val="22"/>
        </w:rPr>
      </w:pPr>
    </w:p>
    <w:p w14:paraId="2729A60C" w14:textId="396EA7F0" w:rsidR="00086D71" w:rsidRDefault="00086D71" w:rsidP="372807E5">
      <w:pPr>
        <w:pStyle w:val="p1"/>
        <w:spacing w:line="360" w:lineRule="auto"/>
        <w:rPr>
          <w:rStyle w:val="s1"/>
          <w:rFonts w:ascii="Arial" w:eastAsia="Arial" w:hAnsi="Arial" w:cs="Arial"/>
          <w:sz w:val="22"/>
          <w:szCs w:val="22"/>
        </w:rPr>
      </w:pPr>
      <w:r w:rsidRPr="372807E5">
        <w:rPr>
          <w:rStyle w:val="s1"/>
          <w:rFonts w:ascii="Arial" w:eastAsia="Arial" w:hAnsi="Arial" w:cs="Arial"/>
          <w:sz w:val="22"/>
          <w:szCs w:val="22"/>
        </w:rPr>
        <w:t>Chapter 6 – References –</w:t>
      </w:r>
      <w:r w:rsidR="796B0E76" w:rsidRPr="372807E5">
        <w:rPr>
          <w:rStyle w:val="s1"/>
          <w:rFonts w:ascii="Arial" w:eastAsia="Arial" w:hAnsi="Arial" w:cs="Arial"/>
          <w:sz w:val="22"/>
          <w:szCs w:val="22"/>
        </w:rPr>
        <w:t>........................................................</w:t>
      </w:r>
      <w:r w:rsidR="45C4C6B5" w:rsidRPr="372807E5">
        <w:rPr>
          <w:rStyle w:val="s1"/>
          <w:rFonts w:ascii="Arial" w:eastAsia="Arial" w:hAnsi="Arial" w:cs="Arial"/>
          <w:sz w:val="22"/>
          <w:szCs w:val="22"/>
        </w:rPr>
        <w:t>.......</w:t>
      </w:r>
      <w:r w:rsidR="4D233173" w:rsidRPr="372807E5">
        <w:rPr>
          <w:rStyle w:val="s1"/>
          <w:rFonts w:ascii="Arial" w:eastAsia="Arial" w:hAnsi="Arial" w:cs="Arial"/>
          <w:sz w:val="22"/>
          <w:szCs w:val="22"/>
        </w:rPr>
        <w:t>......</w:t>
      </w:r>
      <w:r w:rsidR="45C4C6B5" w:rsidRPr="372807E5">
        <w:rPr>
          <w:rStyle w:val="s1"/>
          <w:rFonts w:ascii="Arial" w:eastAsia="Arial" w:hAnsi="Arial" w:cs="Arial"/>
          <w:sz w:val="22"/>
          <w:szCs w:val="22"/>
        </w:rPr>
        <w:t>......</w:t>
      </w:r>
      <w:r w:rsidR="796B0E76" w:rsidRPr="372807E5">
        <w:rPr>
          <w:rStyle w:val="s1"/>
          <w:rFonts w:ascii="Arial" w:eastAsia="Arial" w:hAnsi="Arial" w:cs="Arial"/>
          <w:sz w:val="22"/>
          <w:szCs w:val="22"/>
        </w:rPr>
        <w:t>........pages</w:t>
      </w:r>
      <w:r w:rsidRPr="372807E5">
        <w:rPr>
          <w:rStyle w:val="s1"/>
          <w:rFonts w:ascii="Arial" w:eastAsia="Arial" w:hAnsi="Arial" w:cs="Arial"/>
          <w:sz w:val="22"/>
          <w:szCs w:val="22"/>
        </w:rPr>
        <w:t xml:space="preserve"> 4</w:t>
      </w:r>
      <w:r w:rsidR="5A449873" w:rsidRPr="372807E5">
        <w:rPr>
          <w:rStyle w:val="s1"/>
          <w:rFonts w:ascii="Arial" w:eastAsia="Arial" w:hAnsi="Arial" w:cs="Arial"/>
          <w:sz w:val="22"/>
          <w:szCs w:val="22"/>
        </w:rPr>
        <w:t>1</w:t>
      </w:r>
      <w:r w:rsidRPr="372807E5">
        <w:rPr>
          <w:rStyle w:val="s1"/>
          <w:rFonts w:ascii="Arial" w:eastAsia="Arial" w:hAnsi="Arial" w:cs="Arial"/>
          <w:sz w:val="22"/>
          <w:szCs w:val="22"/>
        </w:rPr>
        <w:t>–4</w:t>
      </w:r>
      <w:r w:rsidR="7B550090" w:rsidRPr="372807E5">
        <w:rPr>
          <w:rStyle w:val="s1"/>
          <w:rFonts w:ascii="Arial" w:eastAsia="Arial" w:hAnsi="Arial" w:cs="Arial"/>
          <w:sz w:val="22"/>
          <w:szCs w:val="22"/>
        </w:rPr>
        <w:t>9</w:t>
      </w:r>
    </w:p>
    <w:p w14:paraId="7606A43A" w14:textId="7BDC83A9" w:rsidR="1918331A" w:rsidRDefault="1918331A" w:rsidP="372807E5">
      <w:pPr>
        <w:pStyle w:val="p1"/>
        <w:spacing w:line="360" w:lineRule="auto"/>
        <w:rPr>
          <w:rStyle w:val="s1"/>
          <w:rFonts w:ascii="Arial" w:eastAsia="Arial" w:hAnsi="Arial" w:cs="Arial"/>
          <w:sz w:val="22"/>
          <w:szCs w:val="22"/>
        </w:rPr>
      </w:pPr>
    </w:p>
    <w:p w14:paraId="1D088ACF" w14:textId="5881A876" w:rsidR="00086D71" w:rsidRDefault="00086D71" w:rsidP="372807E5">
      <w:pPr>
        <w:pStyle w:val="p1"/>
        <w:spacing w:line="360" w:lineRule="auto"/>
        <w:rPr>
          <w:rStyle w:val="s1"/>
          <w:rFonts w:ascii="Arial" w:eastAsia="Arial" w:hAnsi="Arial" w:cs="Arial"/>
          <w:sz w:val="22"/>
          <w:szCs w:val="22"/>
        </w:rPr>
      </w:pPr>
      <w:r w:rsidRPr="372807E5">
        <w:rPr>
          <w:rStyle w:val="s1"/>
          <w:rFonts w:ascii="Arial" w:eastAsia="Arial" w:hAnsi="Arial" w:cs="Arial"/>
          <w:sz w:val="22"/>
          <w:szCs w:val="22"/>
        </w:rPr>
        <w:t xml:space="preserve">Appendix – </w:t>
      </w:r>
      <w:r w:rsidR="5F9F27EC" w:rsidRPr="372807E5">
        <w:rPr>
          <w:rStyle w:val="s1"/>
          <w:rFonts w:ascii="Arial" w:eastAsia="Arial" w:hAnsi="Arial" w:cs="Arial"/>
          <w:sz w:val="22"/>
          <w:szCs w:val="22"/>
        </w:rPr>
        <w:t>..............................................................................</w:t>
      </w:r>
      <w:r w:rsidR="3D50470B" w:rsidRPr="372807E5">
        <w:rPr>
          <w:rStyle w:val="s1"/>
          <w:rFonts w:ascii="Arial" w:eastAsia="Arial" w:hAnsi="Arial" w:cs="Arial"/>
          <w:sz w:val="22"/>
          <w:szCs w:val="22"/>
        </w:rPr>
        <w:t>.........</w:t>
      </w:r>
      <w:r w:rsidR="030B3BD3" w:rsidRPr="372807E5">
        <w:rPr>
          <w:rStyle w:val="s1"/>
          <w:rFonts w:ascii="Arial" w:eastAsia="Arial" w:hAnsi="Arial" w:cs="Arial"/>
          <w:sz w:val="22"/>
          <w:szCs w:val="22"/>
        </w:rPr>
        <w:t>.....</w:t>
      </w:r>
      <w:r w:rsidR="3D50470B" w:rsidRPr="372807E5">
        <w:rPr>
          <w:rStyle w:val="s1"/>
          <w:rFonts w:ascii="Arial" w:eastAsia="Arial" w:hAnsi="Arial" w:cs="Arial"/>
          <w:sz w:val="22"/>
          <w:szCs w:val="22"/>
        </w:rPr>
        <w:t>....</w:t>
      </w:r>
      <w:r w:rsidR="5F9F27EC" w:rsidRPr="372807E5">
        <w:rPr>
          <w:rStyle w:val="s1"/>
          <w:rFonts w:ascii="Arial" w:eastAsia="Arial" w:hAnsi="Arial" w:cs="Arial"/>
          <w:sz w:val="22"/>
          <w:szCs w:val="22"/>
        </w:rPr>
        <w:t xml:space="preserve">.........pages </w:t>
      </w:r>
      <w:r w:rsidR="3A71B4F7" w:rsidRPr="372807E5">
        <w:rPr>
          <w:rStyle w:val="s1"/>
          <w:rFonts w:ascii="Arial" w:eastAsia="Arial" w:hAnsi="Arial" w:cs="Arial"/>
          <w:sz w:val="22"/>
          <w:szCs w:val="22"/>
        </w:rPr>
        <w:t>50</w:t>
      </w:r>
      <w:r w:rsidRPr="372807E5">
        <w:rPr>
          <w:rStyle w:val="s1"/>
          <w:rFonts w:ascii="Arial" w:eastAsia="Arial" w:hAnsi="Arial" w:cs="Arial"/>
          <w:sz w:val="22"/>
          <w:szCs w:val="22"/>
        </w:rPr>
        <w:t>–5</w:t>
      </w:r>
      <w:r w:rsidR="64CD829F" w:rsidRPr="372807E5">
        <w:rPr>
          <w:rStyle w:val="s1"/>
          <w:rFonts w:ascii="Arial" w:eastAsia="Arial" w:hAnsi="Arial" w:cs="Arial"/>
          <w:sz w:val="22"/>
          <w:szCs w:val="22"/>
        </w:rPr>
        <w:t>4</w:t>
      </w:r>
    </w:p>
    <w:p w14:paraId="19FE7F5E" w14:textId="058298F6" w:rsidR="27C2ACF5" w:rsidRPr="0092157D" w:rsidRDefault="27C2ACF5" w:rsidP="372807E5">
      <w:pPr>
        <w:pStyle w:val="Heading1"/>
        <w:spacing w:line="360" w:lineRule="auto"/>
        <w:ind w:left="0"/>
        <w:rPr>
          <w:rFonts w:eastAsia="Arial" w:cs="Arial"/>
          <w:b w:val="0"/>
          <w:color w:val="000000" w:themeColor="text1"/>
          <w:sz w:val="22"/>
          <w:szCs w:val="22"/>
        </w:rPr>
      </w:pPr>
    </w:p>
    <w:p w14:paraId="03C741A0" w14:textId="4DDD4D5B" w:rsidR="27C2ACF5" w:rsidRDefault="27C2ACF5" w:rsidP="372807E5">
      <w:pPr>
        <w:pStyle w:val="Heading1"/>
        <w:spacing w:line="360" w:lineRule="auto"/>
        <w:ind w:left="0"/>
        <w:rPr>
          <w:rFonts w:eastAsia="Arial" w:cs="Arial"/>
          <w:color w:val="000000" w:themeColor="text1"/>
          <w:sz w:val="22"/>
          <w:szCs w:val="22"/>
        </w:rPr>
      </w:pPr>
    </w:p>
    <w:p w14:paraId="1E26BB27" w14:textId="5D50BAF0" w:rsidR="7FCF312D" w:rsidRDefault="7FCF312D" w:rsidP="372807E5">
      <w:pPr>
        <w:pStyle w:val="Heading1"/>
        <w:spacing w:line="360" w:lineRule="auto"/>
        <w:ind w:left="0"/>
        <w:rPr>
          <w:rFonts w:eastAsia="Arial" w:cs="Arial"/>
          <w:color w:val="000000" w:themeColor="text1"/>
          <w:sz w:val="22"/>
          <w:szCs w:val="22"/>
        </w:rPr>
      </w:pPr>
    </w:p>
    <w:p w14:paraId="62F81A03" w14:textId="02493385" w:rsidR="008A7274" w:rsidRDefault="008A7274" w:rsidP="372807E5">
      <w:pPr>
        <w:pStyle w:val="Heading1"/>
        <w:spacing w:line="360" w:lineRule="auto"/>
        <w:ind w:left="0"/>
        <w:rPr>
          <w:rFonts w:eastAsia="Arial" w:cs="Arial"/>
          <w:color w:val="000000" w:themeColor="text1"/>
          <w:sz w:val="22"/>
          <w:szCs w:val="22"/>
        </w:rPr>
      </w:pPr>
    </w:p>
    <w:p w14:paraId="2858AFAF" w14:textId="6478DD2A" w:rsidR="249E4050" w:rsidRDefault="249E4050" w:rsidP="249E4050">
      <w:pPr>
        <w:pStyle w:val="Heading1"/>
        <w:spacing w:line="360" w:lineRule="auto"/>
        <w:ind w:left="0"/>
        <w:rPr>
          <w:rFonts w:eastAsia="Arial" w:cs="Arial"/>
          <w:color w:val="000000" w:themeColor="text1"/>
          <w:sz w:val="22"/>
          <w:szCs w:val="22"/>
        </w:rPr>
      </w:pPr>
    </w:p>
    <w:p w14:paraId="4EF8D6E9" w14:textId="7057593E" w:rsidR="4C72D9C6" w:rsidRDefault="4C72D9C6" w:rsidP="4C72D9C6">
      <w:pPr>
        <w:pStyle w:val="Heading1"/>
        <w:spacing w:line="360" w:lineRule="auto"/>
        <w:ind w:left="0"/>
        <w:rPr>
          <w:rFonts w:eastAsia="Arial" w:cs="Arial"/>
          <w:color w:val="000000" w:themeColor="text1"/>
          <w:sz w:val="22"/>
          <w:szCs w:val="22"/>
        </w:rPr>
      </w:pPr>
    </w:p>
    <w:p w14:paraId="1E91DD5F" w14:textId="414952B3" w:rsidR="00BF4FD4" w:rsidRPr="004A6B65" w:rsidRDefault="00730C3C" w:rsidP="4C72D9C6">
      <w:pPr>
        <w:pStyle w:val="Heading1"/>
        <w:spacing w:line="360" w:lineRule="auto"/>
        <w:ind w:left="0"/>
        <w:rPr>
          <w:rFonts w:eastAsia="Arial" w:cs="Arial"/>
          <w:b w:val="0"/>
          <w:sz w:val="22"/>
          <w:szCs w:val="22"/>
        </w:rPr>
      </w:pPr>
      <w:r w:rsidRPr="4C72D9C6">
        <w:rPr>
          <w:rFonts w:eastAsia="Arial" w:cs="Arial"/>
          <w:color w:val="000000" w:themeColor="text1"/>
          <w:sz w:val="22"/>
          <w:szCs w:val="22"/>
        </w:rPr>
        <w:t xml:space="preserve">CHAPTER 1: Introduction </w:t>
      </w:r>
    </w:p>
    <w:p w14:paraId="29AE1779" w14:textId="7BE321DE" w:rsidR="4C72D9C6" w:rsidRDefault="4C72D9C6" w:rsidP="4C72D9C6">
      <w:pPr>
        <w:pStyle w:val="Heading1"/>
        <w:spacing w:line="360" w:lineRule="auto"/>
        <w:ind w:left="0"/>
        <w:rPr>
          <w:rFonts w:eastAsia="Arial" w:cs="Arial"/>
          <w:color w:val="000000" w:themeColor="text1"/>
          <w:sz w:val="22"/>
          <w:szCs w:val="22"/>
        </w:rPr>
      </w:pPr>
    </w:p>
    <w:p w14:paraId="0BB9DED2" w14:textId="78FAEEB1" w:rsidR="00BF4FD4" w:rsidRPr="004A6B65" w:rsidRDefault="00BF4FD4" w:rsidP="4C72D9C6">
      <w:pPr>
        <w:spacing w:before="100" w:beforeAutospacing="1" w:after="100" w:afterAutospacing="1"/>
        <w:jc w:val="left"/>
        <w:outlineLvl w:val="2"/>
        <w:rPr>
          <w:rFonts w:ascii="Arial" w:eastAsia="Arial" w:hAnsi="Arial" w:cs="Arial"/>
          <w:b/>
          <w:bCs/>
          <w:kern w:val="0"/>
          <w:lang w:eastAsia="en-GB"/>
          <w14:ligatures w14:val="none"/>
        </w:rPr>
      </w:pPr>
      <w:r w:rsidRPr="4C72D9C6">
        <w:rPr>
          <w:rFonts w:ascii="Arial" w:eastAsia="Arial" w:hAnsi="Arial" w:cs="Arial"/>
          <w:b/>
          <w:bCs/>
          <w:kern w:val="0"/>
          <w:lang w:eastAsia="en-GB"/>
          <w14:ligatures w14:val="none"/>
        </w:rPr>
        <w:t xml:space="preserve">1.1 </w:t>
      </w:r>
      <w:r w:rsidR="007277F1" w:rsidRPr="4C72D9C6">
        <w:rPr>
          <w:rFonts w:ascii="Arial" w:eastAsia="Arial" w:hAnsi="Arial" w:cs="Arial"/>
          <w:b/>
          <w:bCs/>
          <w:kern w:val="0"/>
          <w:lang w:eastAsia="en-GB"/>
          <w14:ligatures w14:val="none"/>
        </w:rPr>
        <w:t>Background Introduction</w:t>
      </w:r>
    </w:p>
    <w:p w14:paraId="1958D346" w14:textId="43BC7452" w:rsidR="00BF4FD4" w:rsidRPr="00BF4FD4" w:rsidRDefault="00BF4FD4" w:rsidP="4C72D9C6">
      <w:pPr>
        <w:spacing w:before="100" w:beforeAutospacing="1" w:after="100" w:afterAutospacing="1"/>
        <w:jc w:val="left"/>
        <w:outlineLvl w:val="2"/>
        <w:rPr>
          <w:rFonts w:ascii="Arial" w:eastAsia="Arial" w:hAnsi="Arial" w:cs="Arial"/>
          <w:b/>
          <w:bCs/>
          <w:kern w:val="0"/>
          <w:lang w:eastAsia="en-GB"/>
          <w14:ligatures w14:val="none"/>
        </w:rPr>
      </w:pPr>
      <w:r w:rsidRPr="4C72D9C6">
        <w:rPr>
          <w:rFonts w:ascii="Arial" w:eastAsia="Arial" w:hAnsi="Arial" w:cs="Arial"/>
          <w:kern w:val="0"/>
          <w:lang w:eastAsia="en-GB"/>
          <w14:ligatures w14:val="none"/>
        </w:rPr>
        <w:t xml:space="preserve">Attention-Deficit/Hyperactivity Disorder (ADHD) is a common neurodevelopmental condition that affects children’s learning, behaviour, and social development. It is defined in the Diagnostic and Statistical Manual of Mental Disorders (DSM-5-TR) (APA, 2022) and the International Classification of Diseases (ICD-11) (WHO, 2024) as a persistent pattern of inattention, impulsivity and hyperactivity that interferes with everyday functioning. Large-scale international meta-analyses estimate that </w:t>
      </w:r>
      <w:bookmarkStart w:id="20" w:name="_Int_oHU2zlmu"/>
      <w:r w:rsidRPr="4C72D9C6">
        <w:rPr>
          <w:rFonts w:ascii="Arial" w:eastAsia="Arial" w:hAnsi="Arial" w:cs="Arial"/>
          <w:kern w:val="0"/>
          <w:lang w:eastAsia="en-GB"/>
          <w14:ligatures w14:val="none"/>
        </w:rPr>
        <w:t>approximately 5</w:t>
      </w:r>
      <w:bookmarkEnd w:id="20"/>
      <w:r w:rsidRPr="4C72D9C6">
        <w:rPr>
          <w:rFonts w:ascii="Arial" w:eastAsia="Arial" w:hAnsi="Arial" w:cs="Arial"/>
          <w:kern w:val="0"/>
          <w:lang w:eastAsia="en-GB"/>
          <w14:ligatures w14:val="none"/>
        </w:rPr>
        <w:t>–8% of school-age children meet diagnostic criteria (Salari et al., 2023; Reuben and Elgaddal, 2024).</w:t>
      </w:r>
    </w:p>
    <w:p w14:paraId="72DDCA64" w14:textId="24AA9E22" w:rsidR="4C72D9C6" w:rsidRDefault="4C72D9C6" w:rsidP="4C72D9C6">
      <w:pPr>
        <w:spacing w:beforeAutospacing="1" w:afterAutospacing="1"/>
        <w:jc w:val="left"/>
        <w:rPr>
          <w:rFonts w:ascii="Arial" w:eastAsia="Arial" w:hAnsi="Arial" w:cs="Arial"/>
          <w:lang w:eastAsia="en-GB"/>
        </w:rPr>
      </w:pPr>
    </w:p>
    <w:p w14:paraId="7FADDECC" w14:textId="015E8E03" w:rsidR="00BF4FD4" w:rsidRPr="00BF4FD4" w:rsidRDefault="00BF4FD4" w:rsidP="4C72D9C6">
      <w:pPr>
        <w:spacing w:before="100" w:beforeAutospacing="1" w:after="100" w:afterAutospacing="1"/>
        <w:jc w:val="left"/>
        <w:rPr>
          <w:rFonts w:ascii="Arial" w:eastAsia="Arial" w:hAnsi="Arial" w:cs="Arial"/>
          <w:kern w:val="0"/>
          <w:lang w:eastAsia="en-GB"/>
          <w14:ligatures w14:val="none"/>
        </w:rPr>
      </w:pPr>
      <w:r w:rsidRPr="4C72D9C6">
        <w:rPr>
          <w:rFonts w:ascii="Arial" w:eastAsia="Arial" w:hAnsi="Arial" w:cs="Arial"/>
          <w:kern w:val="0"/>
          <w:lang w:eastAsia="en-GB"/>
          <w14:ligatures w14:val="none"/>
        </w:rPr>
        <w:t xml:space="preserve">This dissertation examines how early ADHD diagnosis influences educational performance and behaviour among White British boys aged 5–11 in UK primary schools. Boys are diagnosed more </w:t>
      </w:r>
      <w:r w:rsidR="1E381EA4" w:rsidRPr="4C72D9C6">
        <w:rPr>
          <w:rFonts w:ascii="Arial" w:eastAsia="Arial" w:hAnsi="Arial" w:cs="Arial"/>
          <w:kern w:val="0"/>
          <w:lang w:eastAsia="en-GB"/>
          <w14:ligatures w14:val="none"/>
        </w:rPr>
        <w:t>often</w:t>
      </w:r>
      <w:r w:rsidRPr="4C72D9C6">
        <w:rPr>
          <w:rFonts w:ascii="Arial" w:eastAsia="Arial" w:hAnsi="Arial" w:cs="Arial"/>
          <w:kern w:val="0"/>
          <w:lang w:eastAsia="en-GB"/>
          <w14:ligatures w14:val="none"/>
        </w:rPr>
        <w:t xml:space="preserve"> than girls, partly because visible hyperactive behaviour often prompts quicker referral (Sayal et al., 2018; Skoglund et al., 2024). Although UK policy encourages early recognition, long Child and Adolescent Mental Health Service (CAMHS) waiting lists—often stretching beyond a year—can delay assessment and increase strain on families (Maciver et al., 2025; NHS England, 2025). Understanding how the timing of diagnosis affects school experiences is therefore essential to supporting children fairly and improving long-term outcomes.</w:t>
      </w:r>
    </w:p>
    <w:p w14:paraId="4C49250E" w14:textId="3E0C9AE4" w:rsidR="00BF4FD4" w:rsidRPr="00BF4FD4" w:rsidRDefault="00BF4FD4" w:rsidP="4C72D9C6">
      <w:pPr>
        <w:spacing w:after="0"/>
        <w:jc w:val="left"/>
        <w:rPr>
          <w:rFonts w:ascii="Arial" w:eastAsia="Arial" w:hAnsi="Arial" w:cs="Arial"/>
          <w:b/>
          <w:bCs/>
          <w:kern w:val="0"/>
          <w:lang w:eastAsia="en-GB"/>
          <w14:ligatures w14:val="none"/>
        </w:rPr>
      </w:pPr>
    </w:p>
    <w:p w14:paraId="63154A55" w14:textId="77777777" w:rsidR="00BF4FD4" w:rsidRPr="00AB2BA2" w:rsidRDefault="00BF4FD4" w:rsidP="4C72D9C6">
      <w:pPr>
        <w:spacing w:before="100" w:beforeAutospacing="1" w:after="100" w:afterAutospacing="1"/>
        <w:jc w:val="left"/>
        <w:outlineLvl w:val="2"/>
        <w:rPr>
          <w:rFonts w:ascii="Arial" w:eastAsia="Arial" w:hAnsi="Arial" w:cs="Arial"/>
          <w:b/>
          <w:bCs/>
          <w:kern w:val="0"/>
          <w:lang w:eastAsia="en-GB"/>
          <w14:ligatures w14:val="none"/>
        </w:rPr>
      </w:pPr>
      <w:r w:rsidRPr="4C72D9C6">
        <w:rPr>
          <w:rFonts w:ascii="Arial" w:eastAsia="Arial" w:hAnsi="Arial" w:cs="Arial"/>
          <w:b/>
          <w:bCs/>
          <w:kern w:val="0"/>
          <w:lang w:eastAsia="en-GB"/>
          <w14:ligatures w14:val="none"/>
        </w:rPr>
        <w:t>1.2 Key Definitions and Terminology</w:t>
      </w:r>
    </w:p>
    <w:p w14:paraId="28E485CA" w14:textId="77777777" w:rsidR="00BF4FD4" w:rsidRPr="00BF4FD4" w:rsidRDefault="00BF4FD4" w:rsidP="4C72D9C6">
      <w:pPr>
        <w:numPr>
          <w:ilvl w:val="0"/>
          <w:numId w:val="113"/>
        </w:numPr>
        <w:spacing w:before="100" w:beforeAutospacing="1" w:after="100" w:afterAutospacing="1"/>
        <w:ind w:left="0"/>
        <w:jc w:val="left"/>
        <w:rPr>
          <w:rFonts w:ascii="Arial" w:eastAsia="Arial" w:hAnsi="Arial" w:cs="Arial"/>
          <w:kern w:val="0"/>
          <w:lang w:eastAsia="en-GB"/>
          <w14:ligatures w14:val="none"/>
        </w:rPr>
      </w:pPr>
      <w:r w:rsidRPr="4C72D9C6">
        <w:rPr>
          <w:rFonts w:ascii="Arial" w:eastAsia="Arial" w:hAnsi="Arial" w:cs="Arial"/>
          <w:kern w:val="0"/>
          <w:lang w:eastAsia="en-GB"/>
          <w14:ligatures w14:val="none"/>
        </w:rPr>
        <w:t>ADHD: A neurodevelopmental disorder involving developmentally inappropriate inattention, impulsivity or hyperactivity that significantly affects daily life (APA, 2022; WHO, 2024; NICE, 2018).</w:t>
      </w:r>
    </w:p>
    <w:p w14:paraId="61ED510D" w14:textId="77777777" w:rsidR="00BF4FD4" w:rsidRPr="00BF4FD4" w:rsidRDefault="00BF4FD4" w:rsidP="4C72D9C6">
      <w:pPr>
        <w:numPr>
          <w:ilvl w:val="0"/>
          <w:numId w:val="113"/>
        </w:numPr>
        <w:spacing w:before="100" w:beforeAutospacing="1" w:after="100" w:afterAutospacing="1"/>
        <w:ind w:left="0"/>
        <w:jc w:val="left"/>
        <w:rPr>
          <w:rFonts w:ascii="Arial" w:eastAsia="Arial" w:hAnsi="Arial" w:cs="Arial"/>
          <w:kern w:val="0"/>
          <w:lang w:eastAsia="en-GB"/>
          <w14:ligatures w14:val="none"/>
        </w:rPr>
      </w:pPr>
      <w:r w:rsidRPr="4C72D9C6">
        <w:rPr>
          <w:rFonts w:ascii="Arial" w:eastAsia="Arial" w:hAnsi="Arial" w:cs="Arial"/>
          <w:kern w:val="0"/>
          <w:lang w:eastAsia="en-GB"/>
          <w14:ligatures w14:val="none"/>
        </w:rPr>
        <w:t>Early diagnosis: Identification before the end of Key Stage 2 (age 11), in line with the SEND Code of Practice (DfE and DHSC, 2015).</w:t>
      </w:r>
    </w:p>
    <w:p w14:paraId="684B422D" w14:textId="6397769D" w:rsidR="00BF4FD4" w:rsidRPr="00BF4FD4" w:rsidRDefault="00BF4FD4" w:rsidP="4C72D9C6">
      <w:pPr>
        <w:numPr>
          <w:ilvl w:val="0"/>
          <w:numId w:val="113"/>
        </w:numPr>
        <w:spacing w:before="100" w:beforeAutospacing="1" w:after="100" w:afterAutospacing="1"/>
        <w:ind w:left="0"/>
        <w:jc w:val="left"/>
        <w:rPr>
          <w:rFonts w:ascii="Arial" w:eastAsia="Arial" w:hAnsi="Arial" w:cs="Arial"/>
          <w:kern w:val="0"/>
          <w:lang w:eastAsia="en-GB"/>
          <w14:ligatures w14:val="none"/>
        </w:rPr>
      </w:pPr>
      <w:r w:rsidRPr="4C72D9C6">
        <w:rPr>
          <w:rFonts w:ascii="Arial" w:eastAsia="Arial" w:hAnsi="Arial" w:cs="Arial"/>
          <w:kern w:val="0"/>
          <w:lang w:eastAsia="en-GB"/>
          <w14:ligatures w14:val="none"/>
        </w:rPr>
        <w:t>Educational performance: A pupil’s attainment, progress</w:t>
      </w:r>
      <w:r w:rsidR="2A2281E8" w:rsidRPr="4C72D9C6">
        <w:rPr>
          <w:rFonts w:ascii="Arial" w:eastAsia="Arial" w:hAnsi="Arial" w:cs="Arial"/>
          <w:kern w:val="0"/>
          <w:lang w:eastAsia="en-GB"/>
          <w14:ligatures w14:val="none"/>
        </w:rPr>
        <w:t>,</w:t>
      </w:r>
      <w:r w:rsidRPr="4C72D9C6">
        <w:rPr>
          <w:rFonts w:ascii="Arial" w:eastAsia="Arial" w:hAnsi="Arial" w:cs="Arial"/>
          <w:kern w:val="0"/>
          <w:lang w:eastAsia="en-GB"/>
          <w14:ligatures w14:val="none"/>
        </w:rPr>
        <w:t xml:space="preserve"> and engagement with the national curriculum (May et al., 2021).</w:t>
      </w:r>
    </w:p>
    <w:p w14:paraId="2A36AC1D" w14:textId="634C277F" w:rsidR="00BF4FD4" w:rsidRPr="00BF4FD4" w:rsidRDefault="00BF4FD4" w:rsidP="4C72D9C6">
      <w:pPr>
        <w:numPr>
          <w:ilvl w:val="0"/>
          <w:numId w:val="113"/>
        </w:numPr>
        <w:spacing w:before="100" w:beforeAutospacing="1" w:after="100" w:afterAutospacing="1"/>
        <w:ind w:left="0"/>
        <w:jc w:val="left"/>
        <w:rPr>
          <w:rFonts w:ascii="Arial" w:eastAsia="Arial" w:hAnsi="Arial" w:cs="Arial"/>
          <w:kern w:val="0"/>
          <w:lang w:eastAsia="en-GB"/>
          <w14:ligatures w14:val="none"/>
        </w:rPr>
      </w:pPr>
      <w:r w:rsidRPr="4C72D9C6">
        <w:rPr>
          <w:rFonts w:ascii="Arial" w:eastAsia="Arial" w:hAnsi="Arial" w:cs="Arial"/>
          <w:kern w:val="0"/>
          <w:lang w:eastAsia="en-GB"/>
          <w14:ligatures w14:val="none"/>
        </w:rPr>
        <w:t>Classroom behaviour: Observable conduct such as attention regulation, cooperation, activity level</w:t>
      </w:r>
      <w:r w:rsidR="63814012" w:rsidRPr="4C72D9C6">
        <w:rPr>
          <w:rFonts w:ascii="Arial" w:eastAsia="Arial" w:hAnsi="Arial" w:cs="Arial"/>
          <w:kern w:val="0"/>
          <w:lang w:eastAsia="en-GB"/>
          <w14:ligatures w14:val="none"/>
        </w:rPr>
        <w:t>,</w:t>
      </w:r>
      <w:r w:rsidRPr="4C72D9C6">
        <w:rPr>
          <w:rFonts w:ascii="Arial" w:eastAsia="Arial" w:hAnsi="Arial" w:cs="Arial"/>
          <w:kern w:val="0"/>
          <w:lang w:eastAsia="en-GB"/>
          <w14:ligatures w14:val="none"/>
        </w:rPr>
        <w:t xml:space="preserve"> and peer interaction (Ward et al., 2021).</w:t>
      </w:r>
    </w:p>
    <w:p w14:paraId="0E75A05E" w14:textId="77777777" w:rsidR="00BF4FD4" w:rsidRPr="00BF4FD4" w:rsidRDefault="00BF4FD4" w:rsidP="4C72D9C6">
      <w:pPr>
        <w:numPr>
          <w:ilvl w:val="0"/>
          <w:numId w:val="113"/>
        </w:numPr>
        <w:spacing w:before="100" w:beforeAutospacing="1" w:after="100" w:afterAutospacing="1"/>
        <w:ind w:left="0"/>
        <w:jc w:val="left"/>
        <w:rPr>
          <w:rFonts w:ascii="Arial" w:eastAsia="Arial" w:hAnsi="Arial" w:cs="Arial"/>
          <w:kern w:val="0"/>
          <w:lang w:eastAsia="en-GB"/>
          <w14:ligatures w14:val="none"/>
        </w:rPr>
      </w:pPr>
      <w:r w:rsidRPr="4C72D9C6">
        <w:rPr>
          <w:rFonts w:ascii="Arial" w:eastAsia="Arial" w:hAnsi="Arial" w:cs="Arial"/>
          <w:kern w:val="0"/>
          <w:lang w:eastAsia="en-GB"/>
          <w14:ligatures w14:val="none"/>
        </w:rPr>
        <w:t>CAMHS: NHS services offering multidisciplinary assessment and treatment for children with mental-health or developmental needs.</w:t>
      </w:r>
    </w:p>
    <w:p w14:paraId="5195E2BB" w14:textId="1E0C541D" w:rsidR="00BF4FD4" w:rsidRPr="00BF4FD4" w:rsidRDefault="00BF4FD4" w:rsidP="4C72D9C6">
      <w:pPr>
        <w:numPr>
          <w:ilvl w:val="0"/>
          <w:numId w:val="113"/>
        </w:numPr>
        <w:spacing w:before="100" w:beforeAutospacing="1" w:after="100" w:afterAutospacing="1"/>
        <w:ind w:left="0"/>
        <w:jc w:val="left"/>
        <w:rPr>
          <w:rFonts w:ascii="Arial" w:eastAsia="Arial" w:hAnsi="Arial" w:cs="Arial"/>
          <w:kern w:val="0"/>
          <w:lang w:eastAsia="en-GB"/>
          <w14:ligatures w14:val="none"/>
        </w:rPr>
      </w:pPr>
      <w:r w:rsidRPr="4C72D9C6">
        <w:rPr>
          <w:rFonts w:ascii="Arial" w:eastAsia="Arial" w:hAnsi="Arial" w:cs="Arial"/>
          <w:kern w:val="0"/>
          <w:lang w:eastAsia="en-GB"/>
          <w14:ligatures w14:val="none"/>
        </w:rPr>
        <w:t xml:space="preserve">EHCP: A statutory plan introduced by the Children and Families Act 2014 for pupils needing coordinated support across education, </w:t>
      </w:r>
      <w:r w:rsidR="00C408C6" w:rsidRPr="4C72D9C6">
        <w:rPr>
          <w:rFonts w:ascii="Arial" w:eastAsia="Arial" w:hAnsi="Arial" w:cs="Arial"/>
          <w:kern w:val="0"/>
          <w:lang w:eastAsia="en-GB"/>
          <w14:ligatures w14:val="none"/>
        </w:rPr>
        <w:t>health,</w:t>
      </w:r>
      <w:r w:rsidRPr="4C72D9C6">
        <w:rPr>
          <w:rFonts w:ascii="Arial" w:eastAsia="Arial" w:hAnsi="Arial" w:cs="Arial"/>
          <w:kern w:val="0"/>
          <w:lang w:eastAsia="en-GB"/>
          <w14:ligatures w14:val="none"/>
        </w:rPr>
        <w:t xml:space="preserve"> and social care.</w:t>
      </w:r>
    </w:p>
    <w:p w14:paraId="7E27FCB1" w14:textId="6CA304C3" w:rsidR="00BF4FD4" w:rsidRPr="00BF4FD4" w:rsidRDefault="00BF4FD4" w:rsidP="4C72D9C6">
      <w:pPr>
        <w:spacing w:after="0"/>
        <w:jc w:val="left"/>
        <w:rPr>
          <w:rFonts w:ascii="Arial" w:eastAsia="Arial" w:hAnsi="Arial" w:cs="Arial"/>
          <w:kern w:val="0"/>
          <w:lang w:eastAsia="en-GB"/>
          <w14:ligatures w14:val="none"/>
        </w:rPr>
      </w:pPr>
    </w:p>
    <w:p w14:paraId="6C12F925" w14:textId="51BF9F05" w:rsidR="00BF4FD4" w:rsidRPr="00AB2BA2" w:rsidRDefault="00BF4FD4" w:rsidP="4C72D9C6">
      <w:pPr>
        <w:spacing w:before="100" w:beforeAutospacing="1" w:after="100" w:afterAutospacing="1"/>
        <w:jc w:val="left"/>
        <w:outlineLvl w:val="2"/>
        <w:rPr>
          <w:rFonts w:ascii="Arial" w:eastAsia="Arial" w:hAnsi="Arial" w:cs="Arial"/>
          <w:b/>
          <w:bCs/>
          <w:kern w:val="0"/>
          <w:lang w:eastAsia="en-GB"/>
          <w14:ligatures w14:val="none"/>
        </w:rPr>
      </w:pPr>
      <w:r w:rsidRPr="4C72D9C6">
        <w:rPr>
          <w:rFonts w:ascii="Arial" w:eastAsia="Arial" w:hAnsi="Arial" w:cs="Arial"/>
          <w:b/>
          <w:bCs/>
          <w:kern w:val="0"/>
          <w:lang w:eastAsia="en-GB"/>
          <w14:ligatures w14:val="none"/>
        </w:rPr>
        <w:t>1.3 Rationale for the Study</w:t>
      </w:r>
    </w:p>
    <w:p w14:paraId="2EECE43F" w14:textId="3D89605C" w:rsidR="00BF4FD4" w:rsidRPr="00BF4FD4" w:rsidRDefault="00BF4FD4" w:rsidP="4C72D9C6">
      <w:pPr>
        <w:spacing w:before="100" w:beforeAutospacing="1" w:after="100" w:afterAutospacing="1"/>
        <w:jc w:val="left"/>
        <w:rPr>
          <w:rFonts w:ascii="Arial" w:eastAsia="Arial" w:hAnsi="Arial" w:cs="Arial"/>
          <w:kern w:val="0"/>
          <w:lang w:eastAsia="en-GB"/>
          <w14:ligatures w14:val="none"/>
        </w:rPr>
      </w:pPr>
      <w:r w:rsidRPr="4C72D9C6">
        <w:rPr>
          <w:rFonts w:ascii="Arial" w:eastAsia="Arial" w:hAnsi="Arial" w:cs="Arial"/>
          <w:kern w:val="0"/>
          <w:lang w:eastAsia="en-GB"/>
          <w14:ligatures w14:val="none"/>
        </w:rPr>
        <w:t xml:space="preserve">The stage at which ADHD is recognised can shape a child’s whole educational pathway. Late diagnosis is regularly associated with poor literacy progression, repeated sanctions, and diminished self-esteem, </w:t>
      </w:r>
      <w:r w:rsidR="00FE658C" w:rsidRPr="4C72D9C6">
        <w:rPr>
          <w:rFonts w:ascii="Arial" w:eastAsia="Arial" w:hAnsi="Arial" w:cs="Arial"/>
          <w:kern w:val="0"/>
          <w:lang w:eastAsia="en-GB"/>
          <w14:ligatures w14:val="none"/>
        </w:rPr>
        <w:t>while</w:t>
      </w:r>
      <w:r w:rsidRPr="4C72D9C6">
        <w:rPr>
          <w:rFonts w:ascii="Arial" w:eastAsia="Arial" w:hAnsi="Arial" w:cs="Arial"/>
          <w:kern w:val="0"/>
          <w:lang w:eastAsia="en-GB"/>
          <w14:ligatures w14:val="none"/>
        </w:rPr>
        <w:t xml:space="preserve"> early identification allows targeted strategies that strengthen engagement (May et al., 2021).</w:t>
      </w:r>
    </w:p>
    <w:p w14:paraId="50FD1CA1" w14:textId="77777777" w:rsidR="00BF4FD4" w:rsidRPr="00BF4FD4" w:rsidRDefault="00BF4FD4" w:rsidP="4C72D9C6">
      <w:pPr>
        <w:spacing w:before="100" w:beforeAutospacing="1" w:after="100" w:afterAutospacing="1"/>
        <w:jc w:val="left"/>
        <w:rPr>
          <w:rFonts w:ascii="Arial" w:eastAsia="Arial" w:hAnsi="Arial" w:cs="Arial"/>
          <w:kern w:val="0"/>
          <w:lang w:eastAsia="en-GB"/>
          <w14:ligatures w14:val="none"/>
        </w:rPr>
      </w:pPr>
    </w:p>
    <w:p w14:paraId="4B5369F9" w14:textId="2FE88ED3" w:rsidR="00BF4FD4" w:rsidRPr="00BF4FD4" w:rsidRDefault="00BF4FD4" w:rsidP="4C72D9C6">
      <w:pPr>
        <w:spacing w:before="100" w:beforeAutospacing="1" w:after="100" w:afterAutospacing="1"/>
        <w:jc w:val="left"/>
        <w:rPr>
          <w:rFonts w:ascii="Arial" w:eastAsia="Arial" w:hAnsi="Arial" w:cs="Arial"/>
          <w:kern w:val="0"/>
          <w:lang w:eastAsia="en-GB"/>
          <w14:ligatures w14:val="none"/>
        </w:rPr>
      </w:pPr>
      <w:r w:rsidRPr="4C72D9C6">
        <w:rPr>
          <w:rFonts w:ascii="Arial" w:eastAsia="Arial" w:hAnsi="Arial" w:cs="Arial"/>
          <w:kern w:val="0"/>
          <w:lang w:eastAsia="en-GB"/>
          <w14:ligatures w14:val="none"/>
        </w:rPr>
        <w:t xml:space="preserve">Example 1: A Year 4 boy who </w:t>
      </w:r>
      <w:bookmarkStart w:id="21" w:name="_Int_K2oWx7qZ"/>
      <w:r w:rsidRPr="4C72D9C6">
        <w:rPr>
          <w:rFonts w:ascii="Arial" w:eastAsia="Arial" w:hAnsi="Arial" w:cs="Arial"/>
          <w:kern w:val="0"/>
          <w:lang w:eastAsia="en-GB"/>
          <w14:ligatures w14:val="none"/>
        </w:rPr>
        <w:t>frequently</w:t>
      </w:r>
      <w:bookmarkEnd w:id="21"/>
      <w:r w:rsidRPr="4C72D9C6">
        <w:rPr>
          <w:rFonts w:ascii="Arial" w:eastAsia="Arial" w:hAnsi="Arial" w:cs="Arial"/>
          <w:kern w:val="0"/>
          <w:lang w:eastAsia="en-GB"/>
          <w14:ligatures w14:val="none"/>
        </w:rPr>
        <w:t xml:space="preserve"> calls out may be labelled “disruptive.” Without diagnosis, ongoing sanctions can damage confidence. Once diagnosed, simple adjustments—visual schedules, shorter tasks, and planned movement breaks—can support concentration (NICE, 2018).</w:t>
      </w:r>
    </w:p>
    <w:p w14:paraId="00FFAC39" w14:textId="447BBBFC" w:rsidR="00BF4FD4" w:rsidRPr="00BF4FD4" w:rsidRDefault="00BF4FD4" w:rsidP="4C72D9C6">
      <w:pPr>
        <w:spacing w:before="100" w:beforeAutospacing="1" w:after="100" w:afterAutospacing="1"/>
        <w:jc w:val="left"/>
        <w:rPr>
          <w:rFonts w:ascii="Arial" w:eastAsia="Arial" w:hAnsi="Arial" w:cs="Arial"/>
          <w:kern w:val="0"/>
          <w:lang w:eastAsia="en-GB"/>
          <w14:ligatures w14:val="none"/>
        </w:rPr>
      </w:pPr>
      <w:r w:rsidRPr="4C72D9C6">
        <w:rPr>
          <w:rFonts w:ascii="Arial" w:eastAsia="Arial" w:hAnsi="Arial" w:cs="Arial"/>
          <w:kern w:val="0"/>
          <w:lang w:eastAsia="en-GB"/>
          <w14:ligatures w14:val="none"/>
        </w:rPr>
        <w:t xml:space="preserve">Example 2: A quiet, inattentive pupil may go unnoticed because their difficulties are subtle. A well-trained teacher can </w:t>
      </w:r>
      <w:bookmarkStart w:id="22" w:name="_Int_tuILPW5p"/>
      <w:r w:rsidRPr="4C72D9C6">
        <w:rPr>
          <w:rFonts w:ascii="Arial" w:eastAsia="Arial" w:hAnsi="Arial" w:cs="Arial"/>
          <w:kern w:val="0"/>
          <w:lang w:eastAsia="en-GB"/>
          <w14:ligatures w14:val="none"/>
        </w:rPr>
        <w:t>initiate</w:t>
      </w:r>
      <w:bookmarkEnd w:id="22"/>
      <w:r w:rsidRPr="4C72D9C6">
        <w:rPr>
          <w:rFonts w:ascii="Arial" w:eastAsia="Arial" w:hAnsi="Arial" w:cs="Arial"/>
          <w:kern w:val="0"/>
          <w:lang w:eastAsia="en-GB"/>
          <w14:ligatures w14:val="none"/>
        </w:rPr>
        <w:t xml:space="preserve"> early SEND interventions, preventing months of lost learning. This reflects the graduated “assess–plan–do–review” model within the SEND Code of Practice (DfE and DHSC, 2015).</w:t>
      </w:r>
    </w:p>
    <w:p w14:paraId="75DF2415" w14:textId="1D9F3981" w:rsidR="00BF4FD4" w:rsidRPr="00BF4FD4" w:rsidRDefault="00BF4FD4" w:rsidP="4C72D9C6">
      <w:pPr>
        <w:spacing w:before="100" w:beforeAutospacing="1" w:after="100" w:afterAutospacing="1"/>
        <w:jc w:val="left"/>
        <w:rPr>
          <w:rFonts w:ascii="Arial" w:eastAsia="Arial" w:hAnsi="Arial" w:cs="Arial"/>
          <w:kern w:val="0"/>
          <w:lang w:eastAsia="en-GB"/>
          <w14:ligatures w14:val="none"/>
        </w:rPr>
      </w:pPr>
      <w:r w:rsidRPr="4C72D9C6">
        <w:rPr>
          <w:rFonts w:ascii="Arial" w:eastAsia="Arial" w:hAnsi="Arial" w:cs="Arial"/>
          <w:kern w:val="0"/>
          <w:lang w:eastAsia="en-GB"/>
          <w14:ligatures w14:val="none"/>
        </w:rPr>
        <w:t>Early intervention is also a statutory expectation. The Equality Act 2010 requires schools to make reasonable adjustments for disabled pupils. The Children and Families Act 2014 emphasises multi-agency collaboration and parental involvement. National health policy—including the NHS Long Term Plan (2019) and the Green Paper on children’s mental health (2017)—prioritises faster access to support.</w:t>
      </w:r>
    </w:p>
    <w:p w14:paraId="7B60B159" w14:textId="2DA35797" w:rsidR="00BF4FD4" w:rsidRPr="00BF4FD4" w:rsidRDefault="00BF4FD4" w:rsidP="4C72D9C6">
      <w:pPr>
        <w:spacing w:before="100" w:beforeAutospacing="1" w:after="100" w:afterAutospacing="1"/>
        <w:jc w:val="left"/>
        <w:rPr>
          <w:rFonts w:ascii="Arial" w:eastAsia="Arial" w:hAnsi="Arial" w:cs="Arial"/>
          <w:kern w:val="0"/>
          <w:lang w:eastAsia="en-GB"/>
          <w14:ligatures w14:val="none"/>
        </w:rPr>
      </w:pPr>
      <w:r w:rsidRPr="4C72D9C6">
        <w:rPr>
          <w:rFonts w:ascii="Arial" w:eastAsia="Arial" w:hAnsi="Arial" w:cs="Arial"/>
          <w:kern w:val="0"/>
          <w:lang w:eastAsia="en-GB"/>
          <w14:ligatures w14:val="none"/>
        </w:rPr>
        <w:t xml:space="preserve">However, regional disparities </w:t>
      </w:r>
      <w:bookmarkStart w:id="23" w:name="_Int_EQW7s2t3"/>
      <w:r w:rsidRPr="4C72D9C6">
        <w:rPr>
          <w:rFonts w:ascii="Arial" w:eastAsia="Arial" w:hAnsi="Arial" w:cs="Arial"/>
          <w:kern w:val="0"/>
          <w:lang w:eastAsia="en-GB"/>
          <w14:ligatures w14:val="none"/>
        </w:rPr>
        <w:t>remain</w:t>
      </w:r>
      <w:bookmarkEnd w:id="23"/>
      <w:r w:rsidRPr="4C72D9C6">
        <w:rPr>
          <w:rFonts w:ascii="Arial" w:eastAsia="Arial" w:hAnsi="Arial" w:cs="Arial"/>
          <w:kern w:val="0"/>
          <w:lang w:eastAsia="en-GB"/>
          <w14:ligatures w14:val="none"/>
        </w:rPr>
        <w:t>. The National Audit Office (2024) highlighted postcode-based inequalities, and the NHS England Independent ADHD Taskforce (2025) reported over 549,000 people waiting for assessment, many of them children. Longer waits correlate with higher family stress and more entrenched behavioural difficulties (Maciver et al., 2025).</w:t>
      </w:r>
    </w:p>
    <w:p w14:paraId="2A540FDF" w14:textId="0890E0CA" w:rsidR="00BF4FD4" w:rsidRPr="00BF4FD4" w:rsidRDefault="00BF4FD4" w:rsidP="4C72D9C6">
      <w:pPr>
        <w:spacing w:before="100" w:beforeAutospacing="1" w:after="100" w:afterAutospacing="1"/>
        <w:jc w:val="left"/>
        <w:rPr>
          <w:rFonts w:ascii="Arial" w:eastAsia="Arial" w:hAnsi="Arial" w:cs="Arial"/>
          <w:kern w:val="0"/>
          <w:lang w:eastAsia="en-GB"/>
          <w14:ligatures w14:val="none"/>
        </w:rPr>
      </w:pPr>
      <w:r w:rsidRPr="4C72D9C6">
        <w:rPr>
          <w:rFonts w:ascii="Arial" w:eastAsia="Arial" w:hAnsi="Arial" w:cs="Arial"/>
          <w:kern w:val="0"/>
          <w:lang w:eastAsia="en-GB"/>
          <w14:ligatures w14:val="none"/>
        </w:rPr>
        <w:t>Teacher confidence is another barrier. Many educators report limited training on ADHD and often feel underprepared to manage behavioural differences in mainstream classrooms (Ward et al., 2021; House of Commons Education Committee, 2022). Embedding ADHD knowledge in training programmes could function as an early-screening mechanism, consistent with the Marmot Review (2020), which stresses early intervention to reduce health inequalities.</w:t>
      </w:r>
    </w:p>
    <w:p w14:paraId="4FEE5401" w14:textId="2940B8FA" w:rsidR="00BF4FD4" w:rsidRPr="00BF4FD4" w:rsidRDefault="00BF4FD4" w:rsidP="4C72D9C6">
      <w:pPr>
        <w:spacing w:before="100" w:beforeAutospacing="1" w:after="100" w:afterAutospacing="1"/>
        <w:jc w:val="left"/>
        <w:rPr>
          <w:rFonts w:ascii="Arial" w:eastAsia="Arial" w:hAnsi="Arial" w:cs="Arial"/>
          <w:kern w:val="0"/>
          <w:lang w:eastAsia="en-GB"/>
          <w14:ligatures w14:val="none"/>
        </w:rPr>
      </w:pPr>
      <w:r w:rsidRPr="4C72D9C6">
        <w:rPr>
          <w:rFonts w:ascii="Arial" w:eastAsia="Arial" w:hAnsi="Arial" w:cs="Arial"/>
          <w:kern w:val="0"/>
          <w:lang w:eastAsia="en-GB"/>
          <w14:ligatures w14:val="none"/>
        </w:rPr>
        <w:t xml:space="preserve">Parents </w:t>
      </w:r>
      <w:r w:rsidR="4782082A" w:rsidRPr="4C72D9C6">
        <w:rPr>
          <w:rFonts w:ascii="Arial" w:eastAsia="Arial" w:hAnsi="Arial" w:cs="Arial"/>
          <w:kern w:val="0"/>
          <w:lang w:eastAsia="en-GB"/>
          <w14:ligatures w14:val="none"/>
        </w:rPr>
        <w:t>often</w:t>
      </w:r>
      <w:r w:rsidRPr="4C72D9C6">
        <w:rPr>
          <w:rFonts w:ascii="Arial" w:eastAsia="Arial" w:hAnsi="Arial" w:cs="Arial"/>
          <w:kern w:val="0"/>
          <w:lang w:eastAsia="en-GB"/>
          <w14:ligatures w14:val="none"/>
        </w:rPr>
        <w:t xml:space="preserve"> </w:t>
      </w:r>
      <w:r w:rsidR="7D3A3640" w:rsidRPr="4C72D9C6">
        <w:rPr>
          <w:rFonts w:ascii="Arial" w:eastAsia="Arial" w:hAnsi="Arial" w:cs="Arial"/>
          <w:kern w:val="0"/>
          <w:lang w:eastAsia="en-GB"/>
          <w14:ligatures w14:val="none"/>
        </w:rPr>
        <w:t>show</w:t>
      </w:r>
      <w:r w:rsidRPr="4C72D9C6">
        <w:rPr>
          <w:rFonts w:ascii="Arial" w:eastAsia="Arial" w:hAnsi="Arial" w:cs="Arial"/>
          <w:kern w:val="0"/>
          <w:lang w:eastAsia="en-GB"/>
          <w14:ligatures w14:val="none"/>
        </w:rPr>
        <w:t xml:space="preserve"> concerns before </w:t>
      </w:r>
      <w:r w:rsidR="00FE658C" w:rsidRPr="4C72D9C6">
        <w:rPr>
          <w:rFonts w:ascii="Arial" w:eastAsia="Arial" w:hAnsi="Arial" w:cs="Arial"/>
          <w:kern w:val="0"/>
          <w:lang w:eastAsia="en-GB"/>
          <w14:ligatures w14:val="none"/>
        </w:rPr>
        <w:t>professionals,</w:t>
      </w:r>
      <w:r w:rsidRPr="4C72D9C6">
        <w:rPr>
          <w:rFonts w:ascii="Arial" w:eastAsia="Arial" w:hAnsi="Arial" w:cs="Arial"/>
          <w:kern w:val="0"/>
          <w:lang w:eastAsia="en-GB"/>
          <w14:ligatures w14:val="none"/>
        </w:rPr>
        <w:t xml:space="preserve"> but many describe feeling dismissed or blamed until a diagnosis is confirmed (NAO, 2024). Collaborative home–school relationships help ensure concerns are addressed early, supporting children consistently across settings. This aligns with the family-centred principles of the Care Act 2014 and NICE (2018).</w:t>
      </w:r>
    </w:p>
    <w:p w14:paraId="3E9B5471" w14:textId="0C2C22D7" w:rsidR="00BF4FD4" w:rsidRPr="00386E3C" w:rsidRDefault="00BF4FD4" w:rsidP="4C72D9C6">
      <w:pPr>
        <w:spacing w:before="100" w:beforeAutospacing="1" w:after="100" w:afterAutospacing="1"/>
        <w:jc w:val="left"/>
        <w:rPr>
          <w:rFonts w:ascii="Arial" w:eastAsia="Arial" w:hAnsi="Arial" w:cs="Arial"/>
          <w:kern w:val="0"/>
          <w:lang w:eastAsia="en-GB"/>
          <w14:ligatures w14:val="none"/>
        </w:rPr>
      </w:pPr>
      <w:r w:rsidRPr="4C72D9C6">
        <w:rPr>
          <w:rFonts w:ascii="Arial" w:eastAsia="Arial" w:hAnsi="Arial" w:cs="Arial"/>
          <w:kern w:val="0"/>
          <w:lang w:eastAsia="en-GB"/>
          <w14:ligatures w14:val="none"/>
        </w:rPr>
        <w:t>By focusing on White British boys aged 5–11, this study explores a group sometimes perceived as “over-identified” with behavioural issues, prompting reflection on fairness and bias within referral pathways. It positions early diagnosis as both an educational priority and a wider social-justice issue.</w:t>
      </w:r>
    </w:p>
    <w:p w14:paraId="3F5BD243" w14:textId="16DDEA5B" w:rsidR="4C72D9C6" w:rsidRDefault="4C72D9C6" w:rsidP="4C72D9C6">
      <w:pPr>
        <w:spacing w:beforeAutospacing="1" w:afterAutospacing="1"/>
        <w:jc w:val="left"/>
        <w:rPr>
          <w:rFonts w:ascii="Arial" w:eastAsia="Arial" w:hAnsi="Arial" w:cs="Arial"/>
          <w:lang w:eastAsia="en-GB"/>
        </w:rPr>
      </w:pPr>
    </w:p>
    <w:p w14:paraId="62E00A88" w14:textId="36BE76A0" w:rsidR="00BF4FD4" w:rsidRPr="00386E3C" w:rsidRDefault="00BF4FD4" w:rsidP="4C72D9C6">
      <w:pPr>
        <w:spacing w:before="100" w:beforeAutospacing="1" w:after="100" w:afterAutospacing="1"/>
        <w:jc w:val="left"/>
        <w:outlineLvl w:val="2"/>
        <w:rPr>
          <w:rFonts w:ascii="Arial" w:eastAsia="Arial" w:hAnsi="Arial" w:cs="Arial"/>
          <w:b/>
          <w:bCs/>
          <w:kern w:val="0"/>
          <w:lang w:eastAsia="en-GB"/>
          <w14:ligatures w14:val="none"/>
        </w:rPr>
      </w:pPr>
      <w:r w:rsidRPr="4C72D9C6">
        <w:rPr>
          <w:rFonts w:ascii="Arial" w:eastAsia="Arial" w:hAnsi="Arial" w:cs="Arial"/>
          <w:b/>
          <w:bCs/>
          <w:kern w:val="0"/>
          <w:lang w:eastAsia="en-GB"/>
          <w14:ligatures w14:val="none"/>
        </w:rPr>
        <w:t>1.4 Aim and Objectives</w:t>
      </w:r>
    </w:p>
    <w:p w14:paraId="4800EC15" w14:textId="77777777" w:rsidR="00BF4FD4" w:rsidRPr="00BF4FD4" w:rsidRDefault="00BF4FD4" w:rsidP="4C72D9C6">
      <w:pPr>
        <w:spacing w:before="100" w:beforeAutospacing="1" w:after="100" w:afterAutospacing="1"/>
        <w:jc w:val="left"/>
        <w:rPr>
          <w:rFonts w:ascii="Arial" w:eastAsia="Arial" w:hAnsi="Arial" w:cs="Arial"/>
          <w:i/>
          <w:iCs/>
          <w:kern w:val="0"/>
          <w:lang w:eastAsia="en-GB"/>
          <w14:ligatures w14:val="none"/>
        </w:rPr>
      </w:pPr>
      <w:r w:rsidRPr="4C72D9C6">
        <w:rPr>
          <w:rFonts w:ascii="Arial" w:eastAsia="Arial" w:hAnsi="Arial" w:cs="Arial"/>
          <w:i/>
          <w:iCs/>
          <w:kern w:val="0"/>
          <w:lang w:eastAsia="en-GB"/>
          <w14:ligatures w14:val="none"/>
        </w:rPr>
        <w:t>Aim:</w:t>
      </w:r>
    </w:p>
    <w:p w14:paraId="666DB1F3" w14:textId="77777777" w:rsidR="00BF4FD4" w:rsidRPr="00BF4FD4" w:rsidRDefault="00BF4FD4" w:rsidP="4C72D9C6">
      <w:pPr>
        <w:spacing w:before="100" w:beforeAutospacing="1" w:after="100" w:afterAutospacing="1"/>
        <w:jc w:val="left"/>
        <w:rPr>
          <w:rFonts w:ascii="Arial" w:eastAsia="Arial" w:hAnsi="Arial" w:cs="Arial"/>
          <w:kern w:val="0"/>
          <w:lang w:eastAsia="en-GB"/>
          <w14:ligatures w14:val="none"/>
        </w:rPr>
      </w:pPr>
      <w:r w:rsidRPr="4C72D9C6">
        <w:rPr>
          <w:rFonts w:ascii="Arial" w:eastAsia="Arial" w:hAnsi="Arial" w:cs="Arial"/>
          <w:kern w:val="0"/>
          <w:lang w:eastAsia="en-GB"/>
          <w14:ligatures w14:val="none"/>
        </w:rPr>
        <w:t xml:space="preserve">To investigate how early ADHD diagnosis influences educational performance and classroom behaviour among White British boys aged 5–11 in UK primary schools, and to evaluate how </w:t>
      </w:r>
      <w:bookmarkStart w:id="24" w:name="_Int_iKqIYakY"/>
      <w:r w:rsidRPr="4C72D9C6">
        <w:rPr>
          <w:rFonts w:ascii="Arial" w:eastAsia="Arial" w:hAnsi="Arial" w:cs="Arial"/>
          <w:kern w:val="0"/>
          <w:lang w:eastAsia="en-GB"/>
          <w14:ligatures w14:val="none"/>
        </w:rPr>
        <w:t>timely</w:t>
      </w:r>
      <w:bookmarkEnd w:id="24"/>
      <w:r w:rsidRPr="4C72D9C6">
        <w:rPr>
          <w:rFonts w:ascii="Arial" w:eastAsia="Arial" w:hAnsi="Arial" w:cs="Arial"/>
          <w:kern w:val="0"/>
          <w:lang w:eastAsia="en-GB"/>
          <w14:ligatures w14:val="none"/>
        </w:rPr>
        <w:t xml:space="preserve"> multi-agency support improves outcomes.</w:t>
      </w:r>
    </w:p>
    <w:p w14:paraId="1950ACB1" w14:textId="77777777" w:rsidR="00BF4FD4" w:rsidRPr="00BF4FD4" w:rsidRDefault="00BF4FD4" w:rsidP="4C72D9C6">
      <w:pPr>
        <w:spacing w:before="100" w:beforeAutospacing="1" w:after="100" w:afterAutospacing="1"/>
        <w:jc w:val="left"/>
        <w:rPr>
          <w:rFonts w:ascii="Arial" w:eastAsia="Arial" w:hAnsi="Arial" w:cs="Arial"/>
          <w:kern w:val="0"/>
          <w:lang w:eastAsia="en-GB"/>
          <w14:ligatures w14:val="none"/>
        </w:rPr>
      </w:pPr>
    </w:p>
    <w:p w14:paraId="46FDCDFA" w14:textId="77777777" w:rsidR="00BF4FD4" w:rsidRPr="00BF4FD4" w:rsidRDefault="00BF4FD4" w:rsidP="4C72D9C6">
      <w:pPr>
        <w:spacing w:before="100" w:beforeAutospacing="1" w:after="100" w:afterAutospacing="1"/>
        <w:jc w:val="left"/>
        <w:rPr>
          <w:rFonts w:ascii="Arial" w:eastAsia="Arial" w:hAnsi="Arial" w:cs="Arial"/>
          <w:i/>
          <w:iCs/>
          <w:kern w:val="0"/>
          <w:lang w:eastAsia="en-GB"/>
          <w14:ligatures w14:val="none"/>
        </w:rPr>
      </w:pPr>
      <w:r w:rsidRPr="4C72D9C6">
        <w:rPr>
          <w:rFonts w:ascii="Arial" w:eastAsia="Arial" w:hAnsi="Arial" w:cs="Arial"/>
          <w:i/>
          <w:iCs/>
          <w:kern w:val="0"/>
          <w:lang w:eastAsia="en-GB"/>
          <w14:ligatures w14:val="none"/>
        </w:rPr>
        <w:t>Objectives:</w:t>
      </w:r>
    </w:p>
    <w:p w14:paraId="11D3DB32" w14:textId="77777777" w:rsidR="00BF4FD4" w:rsidRPr="00BF4FD4" w:rsidRDefault="00BF4FD4" w:rsidP="4C72D9C6">
      <w:pPr>
        <w:numPr>
          <w:ilvl w:val="0"/>
          <w:numId w:val="114"/>
        </w:numPr>
        <w:spacing w:before="100" w:beforeAutospacing="1" w:after="100" w:afterAutospacing="1"/>
        <w:ind w:left="0"/>
        <w:jc w:val="left"/>
        <w:rPr>
          <w:rFonts w:ascii="Arial" w:eastAsia="Arial" w:hAnsi="Arial" w:cs="Arial"/>
          <w:kern w:val="0"/>
          <w:lang w:eastAsia="en-GB"/>
          <w14:ligatures w14:val="none"/>
        </w:rPr>
      </w:pPr>
      <w:r w:rsidRPr="4C72D9C6">
        <w:rPr>
          <w:rFonts w:ascii="Arial" w:eastAsia="Arial" w:hAnsi="Arial" w:cs="Arial"/>
          <w:kern w:val="0"/>
          <w:lang w:eastAsia="en-GB"/>
          <w14:ligatures w14:val="none"/>
        </w:rPr>
        <w:t>Describe ADHD symptom patterns and referral trends among boys aged 5–11 (Sayal et al., 2018; Skoglund et al., 2024).</w:t>
      </w:r>
    </w:p>
    <w:p w14:paraId="078CCBCF" w14:textId="77777777" w:rsidR="00BF4FD4" w:rsidRPr="00BF4FD4" w:rsidRDefault="00BF4FD4" w:rsidP="4C72D9C6">
      <w:pPr>
        <w:numPr>
          <w:ilvl w:val="0"/>
          <w:numId w:val="114"/>
        </w:numPr>
        <w:spacing w:before="100" w:beforeAutospacing="1" w:after="100" w:afterAutospacing="1"/>
        <w:ind w:left="0"/>
        <w:jc w:val="left"/>
        <w:rPr>
          <w:rFonts w:ascii="Arial" w:eastAsia="Arial" w:hAnsi="Arial" w:cs="Arial"/>
          <w:kern w:val="0"/>
          <w:lang w:eastAsia="en-GB"/>
          <w14:ligatures w14:val="none"/>
        </w:rPr>
      </w:pPr>
      <w:r w:rsidRPr="4C72D9C6">
        <w:rPr>
          <w:rFonts w:ascii="Arial" w:eastAsia="Arial" w:hAnsi="Arial" w:cs="Arial"/>
          <w:kern w:val="0"/>
          <w:lang w:eastAsia="en-GB"/>
          <w14:ligatures w14:val="none"/>
        </w:rPr>
        <w:t>Analyse UK waiting-time inequalities and barriers within CAMHS (Maciver et al., 2025; NHS England, 2025).</w:t>
      </w:r>
    </w:p>
    <w:p w14:paraId="3F7371FB" w14:textId="24CF6BFB" w:rsidR="00BF4FD4" w:rsidRPr="00BF4FD4" w:rsidRDefault="00BF4FD4" w:rsidP="4C72D9C6">
      <w:pPr>
        <w:numPr>
          <w:ilvl w:val="0"/>
          <w:numId w:val="114"/>
        </w:numPr>
        <w:spacing w:before="100" w:beforeAutospacing="1" w:after="100" w:afterAutospacing="1"/>
        <w:ind w:left="0"/>
        <w:jc w:val="left"/>
        <w:rPr>
          <w:rFonts w:ascii="Arial" w:eastAsia="Arial" w:hAnsi="Arial" w:cs="Arial"/>
          <w:kern w:val="0"/>
          <w:lang w:eastAsia="en-GB"/>
          <w14:ligatures w14:val="none"/>
        </w:rPr>
      </w:pPr>
      <w:r w:rsidRPr="4C72D9C6">
        <w:rPr>
          <w:rFonts w:ascii="Arial" w:eastAsia="Arial" w:hAnsi="Arial" w:cs="Arial"/>
          <w:kern w:val="0"/>
          <w:lang w:eastAsia="en-GB"/>
          <w14:ligatures w14:val="none"/>
        </w:rPr>
        <w:t xml:space="preserve">Assess links between early diagnosis, </w:t>
      </w:r>
      <w:r w:rsidR="00221C48" w:rsidRPr="4C72D9C6">
        <w:rPr>
          <w:rFonts w:ascii="Arial" w:eastAsia="Arial" w:hAnsi="Arial" w:cs="Arial"/>
          <w:kern w:val="0"/>
          <w:lang w:eastAsia="en-GB"/>
          <w14:ligatures w14:val="none"/>
        </w:rPr>
        <w:t>attainment,</w:t>
      </w:r>
      <w:r w:rsidRPr="4C72D9C6">
        <w:rPr>
          <w:rFonts w:ascii="Arial" w:eastAsia="Arial" w:hAnsi="Arial" w:cs="Arial"/>
          <w:kern w:val="0"/>
          <w:lang w:eastAsia="en-GB"/>
          <w14:ligatures w14:val="none"/>
        </w:rPr>
        <w:t xml:space="preserve"> and behaviour (May et al., 2021).</w:t>
      </w:r>
    </w:p>
    <w:p w14:paraId="4AE88359" w14:textId="77777777" w:rsidR="00BF4FD4" w:rsidRPr="00BF4FD4" w:rsidRDefault="00BF4FD4" w:rsidP="4C72D9C6">
      <w:pPr>
        <w:numPr>
          <w:ilvl w:val="0"/>
          <w:numId w:val="114"/>
        </w:numPr>
        <w:spacing w:before="100" w:beforeAutospacing="1" w:after="100" w:afterAutospacing="1"/>
        <w:ind w:left="0"/>
        <w:jc w:val="left"/>
        <w:rPr>
          <w:rFonts w:ascii="Arial" w:eastAsia="Arial" w:hAnsi="Arial" w:cs="Arial"/>
          <w:kern w:val="0"/>
          <w:lang w:eastAsia="en-GB"/>
          <w14:ligatures w14:val="none"/>
        </w:rPr>
      </w:pPr>
      <w:r w:rsidRPr="4C72D9C6">
        <w:rPr>
          <w:rFonts w:ascii="Arial" w:eastAsia="Arial" w:hAnsi="Arial" w:cs="Arial"/>
          <w:kern w:val="0"/>
          <w:lang w:eastAsia="en-GB"/>
          <w14:ligatures w14:val="none"/>
        </w:rPr>
        <w:t>Critically evaluate legislation and policy relating to early identification (Equality Act 2010; Children and Families Act 2014; DfE and DHSC, 2015; NICE, 2018).</w:t>
      </w:r>
    </w:p>
    <w:p w14:paraId="5503CD04" w14:textId="77777777" w:rsidR="00BF4FD4" w:rsidRPr="00BF4FD4" w:rsidRDefault="00BF4FD4" w:rsidP="4C72D9C6">
      <w:pPr>
        <w:numPr>
          <w:ilvl w:val="0"/>
          <w:numId w:val="114"/>
        </w:numPr>
        <w:spacing w:before="100" w:beforeAutospacing="1" w:after="100" w:afterAutospacing="1"/>
        <w:ind w:left="0"/>
        <w:jc w:val="left"/>
        <w:rPr>
          <w:rFonts w:ascii="Arial" w:eastAsia="Arial" w:hAnsi="Arial" w:cs="Arial"/>
          <w:kern w:val="0"/>
          <w:lang w:eastAsia="en-GB"/>
          <w14:ligatures w14:val="none"/>
        </w:rPr>
      </w:pPr>
      <w:r w:rsidRPr="4C72D9C6">
        <w:rPr>
          <w:rFonts w:ascii="Arial" w:eastAsia="Arial" w:hAnsi="Arial" w:cs="Arial"/>
          <w:kern w:val="0"/>
          <w:lang w:eastAsia="en-GB"/>
          <w14:ligatures w14:val="none"/>
        </w:rPr>
        <w:t>Recommend strategies to strengthen school-based and family-centred support.</w:t>
      </w:r>
    </w:p>
    <w:p w14:paraId="0DDCEA92" w14:textId="564B4589" w:rsidR="00BF4FD4" w:rsidRPr="00BF4FD4" w:rsidRDefault="00BF4FD4" w:rsidP="4C72D9C6">
      <w:pPr>
        <w:spacing w:after="0"/>
        <w:jc w:val="left"/>
        <w:rPr>
          <w:rFonts w:ascii="Arial" w:eastAsia="Arial" w:hAnsi="Arial" w:cs="Arial"/>
          <w:kern w:val="0"/>
          <w:lang w:eastAsia="en-GB"/>
          <w14:ligatures w14:val="none"/>
        </w:rPr>
      </w:pPr>
    </w:p>
    <w:p w14:paraId="2D5EEF47" w14:textId="553421F4" w:rsidR="00BF4FD4" w:rsidRPr="00097F97" w:rsidRDefault="00BF4FD4" w:rsidP="4C72D9C6">
      <w:pPr>
        <w:spacing w:before="100" w:beforeAutospacing="1" w:after="100" w:afterAutospacing="1"/>
        <w:jc w:val="left"/>
        <w:outlineLvl w:val="2"/>
        <w:rPr>
          <w:rFonts w:ascii="Arial" w:eastAsia="Arial" w:hAnsi="Arial" w:cs="Arial"/>
          <w:b/>
          <w:bCs/>
          <w:kern w:val="0"/>
          <w:lang w:eastAsia="en-GB"/>
          <w14:ligatures w14:val="none"/>
        </w:rPr>
      </w:pPr>
      <w:r w:rsidRPr="4C72D9C6">
        <w:rPr>
          <w:rFonts w:ascii="Arial" w:eastAsia="Arial" w:hAnsi="Arial" w:cs="Arial"/>
          <w:b/>
          <w:bCs/>
          <w:kern w:val="0"/>
          <w:lang w:eastAsia="en-GB"/>
          <w14:ligatures w14:val="none"/>
        </w:rPr>
        <w:t>1.5 Conclusion</w:t>
      </w:r>
    </w:p>
    <w:p w14:paraId="73300B70" w14:textId="433C2BCD" w:rsidR="00BF4FD4" w:rsidRPr="00BF4FD4" w:rsidRDefault="00BF4FD4" w:rsidP="4C72D9C6">
      <w:pPr>
        <w:spacing w:before="100" w:beforeAutospacing="1" w:after="100" w:afterAutospacing="1"/>
        <w:jc w:val="left"/>
        <w:rPr>
          <w:rFonts w:ascii="Arial" w:eastAsia="Arial" w:hAnsi="Arial" w:cs="Arial"/>
          <w:kern w:val="0"/>
          <w:lang w:eastAsia="en-GB"/>
          <w14:ligatures w14:val="none"/>
        </w:rPr>
      </w:pPr>
      <w:r w:rsidRPr="4C72D9C6">
        <w:rPr>
          <w:rFonts w:ascii="Arial" w:eastAsia="Arial" w:hAnsi="Arial" w:cs="Arial"/>
          <w:kern w:val="0"/>
          <w:lang w:eastAsia="en-GB"/>
          <w14:ligatures w14:val="none"/>
        </w:rPr>
        <w:t xml:space="preserve">This chapter introduced ADHD and explained why early identification is crucial for children’s learning and wellbeing. It outlined core terminology, summarised DSM-5-TR and ICD-11 </w:t>
      </w:r>
      <w:r w:rsidR="00221C48" w:rsidRPr="4C72D9C6">
        <w:rPr>
          <w:rFonts w:ascii="Arial" w:eastAsia="Arial" w:hAnsi="Arial" w:cs="Arial"/>
          <w:kern w:val="0"/>
          <w:lang w:eastAsia="en-GB"/>
          <w14:ligatures w14:val="none"/>
        </w:rPr>
        <w:t>criteria and</w:t>
      </w:r>
      <w:r w:rsidRPr="4C72D9C6">
        <w:rPr>
          <w:rFonts w:ascii="Arial" w:eastAsia="Arial" w:hAnsi="Arial" w:cs="Arial"/>
          <w:kern w:val="0"/>
          <w:lang w:eastAsia="en-GB"/>
          <w14:ligatures w14:val="none"/>
        </w:rPr>
        <w:t xml:space="preserve"> reviewed the role of legislation such as the Equality Act 2010, Children and Families Act </w:t>
      </w:r>
      <w:r w:rsidR="00221C48" w:rsidRPr="4C72D9C6">
        <w:rPr>
          <w:rFonts w:ascii="Arial" w:eastAsia="Arial" w:hAnsi="Arial" w:cs="Arial"/>
          <w:kern w:val="0"/>
          <w:lang w:eastAsia="en-GB"/>
          <w14:ligatures w14:val="none"/>
        </w:rPr>
        <w:t>2014 and</w:t>
      </w:r>
      <w:r w:rsidRPr="4C72D9C6">
        <w:rPr>
          <w:rFonts w:ascii="Arial" w:eastAsia="Arial" w:hAnsi="Arial" w:cs="Arial"/>
          <w:kern w:val="0"/>
          <w:lang w:eastAsia="en-GB"/>
          <w14:ligatures w14:val="none"/>
        </w:rPr>
        <w:t xml:space="preserve"> SEND Code of Practice (2015) in promoting </w:t>
      </w:r>
      <w:bookmarkStart w:id="25" w:name="_Int_2SCkgWX8"/>
      <w:r w:rsidRPr="4C72D9C6">
        <w:rPr>
          <w:rFonts w:ascii="Arial" w:eastAsia="Arial" w:hAnsi="Arial" w:cs="Arial"/>
          <w:kern w:val="0"/>
          <w:lang w:eastAsia="en-GB"/>
          <w14:ligatures w14:val="none"/>
        </w:rPr>
        <w:t>timely</w:t>
      </w:r>
      <w:bookmarkEnd w:id="25"/>
      <w:r w:rsidRPr="4C72D9C6">
        <w:rPr>
          <w:rFonts w:ascii="Arial" w:eastAsia="Arial" w:hAnsi="Arial" w:cs="Arial"/>
          <w:kern w:val="0"/>
          <w:lang w:eastAsia="en-GB"/>
          <w14:ligatures w14:val="none"/>
        </w:rPr>
        <w:t xml:space="preserve"> support. It also highlighted the importance of teacher awareness and parental involvement in recognising early signs.</w:t>
      </w:r>
    </w:p>
    <w:p w14:paraId="1533C798" w14:textId="77777777" w:rsidR="00BF4FD4" w:rsidRPr="00BF4FD4" w:rsidRDefault="00BF4FD4" w:rsidP="4C72D9C6">
      <w:pPr>
        <w:spacing w:before="100" w:beforeAutospacing="1" w:after="100" w:afterAutospacing="1"/>
        <w:jc w:val="left"/>
        <w:rPr>
          <w:rFonts w:ascii="Arial" w:eastAsia="Arial" w:hAnsi="Arial" w:cs="Arial"/>
          <w:kern w:val="0"/>
          <w:lang w:eastAsia="en-GB"/>
          <w14:ligatures w14:val="none"/>
        </w:rPr>
      </w:pPr>
      <w:r w:rsidRPr="4C72D9C6">
        <w:rPr>
          <w:rFonts w:ascii="Arial" w:eastAsia="Arial" w:hAnsi="Arial" w:cs="Arial"/>
          <w:kern w:val="0"/>
          <w:lang w:eastAsia="en-GB"/>
          <w14:ligatures w14:val="none"/>
        </w:rPr>
        <w:t>Despite national frameworks, uneven training, limited parental voice and long waiting times continue to restrict access to early intervention. By connecting early diagnosis to broader social-justice principles, ADHD is positioned not only as a medical condition but as a marker of how inclusive and responsive the education system is.</w:t>
      </w:r>
    </w:p>
    <w:p w14:paraId="7E7CC817" w14:textId="77777777" w:rsidR="00BF4FD4" w:rsidRPr="00BF4FD4" w:rsidRDefault="00BF4FD4" w:rsidP="4C72D9C6">
      <w:pPr>
        <w:spacing w:before="100" w:beforeAutospacing="1" w:after="100" w:afterAutospacing="1"/>
        <w:jc w:val="left"/>
        <w:rPr>
          <w:rFonts w:ascii="Arial" w:eastAsia="Arial" w:hAnsi="Arial" w:cs="Arial"/>
          <w:kern w:val="0"/>
          <w:lang w:eastAsia="en-GB"/>
          <w14:ligatures w14:val="none"/>
        </w:rPr>
      </w:pPr>
      <w:r w:rsidRPr="4C72D9C6">
        <w:rPr>
          <w:rFonts w:ascii="Arial" w:eastAsia="Arial" w:hAnsi="Arial" w:cs="Arial"/>
          <w:kern w:val="0"/>
          <w:lang w:eastAsia="en-GB"/>
          <w14:ligatures w14:val="none"/>
        </w:rPr>
        <w:t>The next chapter builds on this foundation by exploring historical, theoretical and international perspectives on ADHD and early intervention</w:t>
      </w:r>
    </w:p>
    <w:p w14:paraId="0874A53D" w14:textId="77777777" w:rsidR="008A30D2" w:rsidRPr="00BF4FD4" w:rsidRDefault="008A30D2" w:rsidP="4C72D9C6">
      <w:pPr>
        <w:pStyle w:val="Heading1"/>
        <w:spacing w:line="360" w:lineRule="auto"/>
        <w:ind w:left="0"/>
        <w:rPr>
          <w:rFonts w:eastAsia="Arial" w:cs="Arial"/>
          <w:b w:val="0"/>
          <w:color w:val="000000" w:themeColor="text1"/>
          <w:sz w:val="22"/>
          <w:szCs w:val="22"/>
        </w:rPr>
      </w:pPr>
    </w:p>
    <w:p w14:paraId="299ECF2A" w14:textId="77777777" w:rsidR="0010749A" w:rsidRPr="003E1AE6" w:rsidRDefault="0010749A" w:rsidP="4C72D9C6">
      <w:pPr>
        <w:pStyle w:val="Heading1"/>
        <w:spacing w:line="360" w:lineRule="auto"/>
        <w:ind w:left="0"/>
        <w:rPr>
          <w:rFonts w:eastAsia="Arial" w:cs="Arial"/>
          <w:color w:val="000000" w:themeColor="text1"/>
          <w:sz w:val="22"/>
          <w:szCs w:val="22"/>
        </w:rPr>
      </w:pPr>
      <w:r w:rsidRPr="4C72D9C6">
        <w:rPr>
          <w:rFonts w:eastAsia="Arial" w:cs="Arial"/>
          <w:color w:val="000000" w:themeColor="text1"/>
          <w:sz w:val="22"/>
          <w:szCs w:val="22"/>
        </w:rPr>
        <w:t>Chapter 2 – Background and Literature Review</w:t>
      </w:r>
    </w:p>
    <w:p w14:paraId="4C7E5061" w14:textId="77777777" w:rsidR="0010749A" w:rsidRPr="003E1AE6" w:rsidRDefault="0010749A" w:rsidP="4C72D9C6">
      <w:pPr>
        <w:pStyle w:val="Heading1"/>
        <w:spacing w:line="360" w:lineRule="auto"/>
        <w:ind w:left="0"/>
        <w:rPr>
          <w:rFonts w:eastAsia="Arial" w:cs="Arial"/>
          <w:color w:val="000000" w:themeColor="text1"/>
          <w:sz w:val="22"/>
          <w:szCs w:val="22"/>
        </w:rPr>
      </w:pPr>
      <w:r w:rsidRPr="4C72D9C6">
        <w:rPr>
          <w:rFonts w:eastAsia="Arial" w:cs="Arial"/>
          <w:color w:val="000000" w:themeColor="text1"/>
          <w:sz w:val="22"/>
          <w:szCs w:val="22"/>
        </w:rPr>
        <w:t> </w:t>
      </w:r>
    </w:p>
    <w:p w14:paraId="24DE7614" w14:textId="77777777" w:rsidR="0010749A" w:rsidRPr="0010749A" w:rsidRDefault="0010749A" w:rsidP="4C72D9C6">
      <w:pPr>
        <w:pStyle w:val="Heading1"/>
        <w:spacing w:line="360" w:lineRule="auto"/>
        <w:ind w:left="0"/>
        <w:rPr>
          <w:rFonts w:eastAsia="Arial" w:cs="Arial"/>
          <w:bCs/>
          <w:color w:val="000000" w:themeColor="text1"/>
          <w:sz w:val="22"/>
          <w:szCs w:val="22"/>
        </w:rPr>
      </w:pPr>
      <w:r w:rsidRPr="4C72D9C6">
        <w:rPr>
          <w:rFonts w:eastAsia="Arial" w:cs="Arial"/>
          <w:bCs/>
          <w:color w:val="000000" w:themeColor="text1"/>
          <w:sz w:val="22"/>
          <w:szCs w:val="22"/>
        </w:rPr>
        <w:t>2.1 Introduction</w:t>
      </w:r>
    </w:p>
    <w:p w14:paraId="056492C5" w14:textId="41ACF1F7" w:rsidR="0010749A" w:rsidRDefault="0010749A" w:rsidP="4C72D9C6">
      <w:pPr>
        <w:pStyle w:val="Heading1"/>
        <w:spacing w:line="360" w:lineRule="auto"/>
        <w:ind w:left="0"/>
        <w:rPr>
          <w:rFonts w:eastAsia="Arial" w:cs="Arial"/>
          <w:b w:val="0"/>
          <w:color w:val="000000" w:themeColor="text1"/>
          <w:sz w:val="22"/>
          <w:szCs w:val="22"/>
        </w:rPr>
      </w:pPr>
      <w:r w:rsidRPr="4C72D9C6">
        <w:rPr>
          <w:rFonts w:eastAsia="Arial" w:cs="Arial"/>
          <w:b w:val="0"/>
          <w:color w:val="000000" w:themeColor="text1"/>
          <w:sz w:val="22"/>
          <w:szCs w:val="22"/>
        </w:rPr>
        <w:t>Building on the earlier discussion, this section provides the background and critical context for understanding how early ADHD diagnosis affects educational outcomes. The aim is to explore the historical development of ADHD as a recognised condition, examine key</w:t>
      </w:r>
      <w:r w:rsidR="00736E31" w:rsidRPr="4C72D9C6">
        <w:rPr>
          <w:rFonts w:eastAsia="Arial" w:cs="Arial"/>
          <w:b w:val="0"/>
          <w:color w:val="000000" w:themeColor="text1"/>
          <w:sz w:val="22"/>
          <w:szCs w:val="22"/>
        </w:rPr>
        <w:t xml:space="preserve"> </w:t>
      </w:r>
      <w:r w:rsidRPr="4C72D9C6">
        <w:rPr>
          <w:rFonts w:eastAsia="Arial" w:cs="Arial"/>
          <w:b w:val="0"/>
          <w:color w:val="000000" w:themeColor="text1"/>
          <w:sz w:val="22"/>
          <w:szCs w:val="22"/>
        </w:rPr>
        <w:t>theoretical explanations of its causes and management, and evaluate both international and UK policy frameworks that shape early assessment and support for primary-aged children.</w:t>
      </w:r>
    </w:p>
    <w:p w14:paraId="3DE8CC79" w14:textId="77777777" w:rsidR="00BD1C73" w:rsidRPr="0010749A" w:rsidRDefault="00BD1C73" w:rsidP="4C72D9C6">
      <w:pPr>
        <w:pStyle w:val="Heading1"/>
        <w:spacing w:line="360" w:lineRule="auto"/>
        <w:ind w:left="0"/>
        <w:rPr>
          <w:rFonts w:eastAsia="Arial" w:cs="Arial"/>
          <w:b w:val="0"/>
          <w:color w:val="000000" w:themeColor="text1"/>
          <w:sz w:val="22"/>
          <w:szCs w:val="22"/>
        </w:rPr>
      </w:pPr>
    </w:p>
    <w:p w14:paraId="3EDEAA17" w14:textId="77777777" w:rsidR="00BD1C73" w:rsidRDefault="0010749A" w:rsidP="4C72D9C6">
      <w:pPr>
        <w:pStyle w:val="Heading1"/>
        <w:spacing w:line="360" w:lineRule="auto"/>
        <w:ind w:left="0"/>
        <w:rPr>
          <w:rFonts w:eastAsia="Arial" w:cs="Arial"/>
          <w:b w:val="0"/>
          <w:color w:val="000000" w:themeColor="text1"/>
          <w:sz w:val="22"/>
          <w:szCs w:val="22"/>
        </w:rPr>
      </w:pPr>
      <w:r w:rsidRPr="4C72D9C6">
        <w:rPr>
          <w:rFonts w:eastAsia="Arial" w:cs="Arial"/>
          <w:b w:val="0"/>
          <w:color w:val="000000" w:themeColor="text1"/>
          <w:sz w:val="22"/>
          <w:szCs w:val="22"/>
        </w:rPr>
        <w:t>ADHD has been widely researched for decades, yet disagreement still exists about its aetiology, presentation, and best methods of intervention (Faraone et al., 2021; Thapar &amp; Cooper, 2016). Early descriptions, such as those by George Still (1902), framed it as a behavioural or moral problem rather than a neurodevelopmental one (Cooper, 2001).</w:t>
      </w:r>
    </w:p>
    <w:p w14:paraId="68C200E0" w14:textId="407711C6" w:rsidR="4C72D9C6" w:rsidRDefault="4C72D9C6" w:rsidP="4C72D9C6">
      <w:pPr>
        <w:pStyle w:val="Heading1"/>
        <w:spacing w:line="360" w:lineRule="auto"/>
        <w:ind w:left="0"/>
        <w:rPr>
          <w:rFonts w:eastAsia="Arial" w:cs="Arial"/>
          <w:b w:val="0"/>
          <w:color w:val="000000" w:themeColor="text1"/>
          <w:sz w:val="22"/>
          <w:szCs w:val="22"/>
        </w:rPr>
      </w:pPr>
    </w:p>
    <w:p w14:paraId="7E5F3733" w14:textId="4BA83FFC" w:rsidR="0010749A" w:rsidRDefault="250BAB9F" w:rsidP="4C72D9C6">
      <w:pPr>
        <w:pStyle w:val="Heading1"/>
        <w:spacing w:line="360" w:lineRule="auto"/>
        <w:ind w:left="0"/>
        <w:rPr>
          <w:rFonts w:eastAsia="Arial" w:cs="Arial"/>
          <w:b w:val="0"/>
          <w:color w:val="000000" w:themeColor="text1"/>
          <w:sz w:val="22"/>
          <w:szCs w:val="22"/>
        </w:rPr>
      </w:pPr>
      <w:r w:rsidRPr="4C72D9C6">
        <w:rPr>
          <w:rFonts w:eastAsia="Arial" w:cs="Arial"/>
          <w:b w:val="0"/>
          <w:color w:val="000000" w:themeColor="text1"/>
          <w:sz w:val="22"/>
          <w:szCs w:val="22"/>
        </w:rPr>
        <w:t xml:space="preserve"> </w:t>
      </w:r>
      <w:r w:rsidR="0010749A" w:rsidRPr="4C72D9C6">
        <w:rPr>
          <w:rFonts w:eastAsia="Arial" w:cs="Arial"/>
          <w:b w:val="0"/>
          <w:color w:val="000000" w:themeColor="text1"/>
          <w:sz w:val="22"/>
          <w:szCs w:val="22"/>
        </w:rPr>
        <w:t>Modern evidence finds ADHD as a complex neurodevelopmental disorder influenced by genetic, neurological, and psychosocial factors (Cortese et al., 2023; Nigg, 2017). Understanding how these perspectives evolved is essential to appreciating why early diagnosis now holds a convenient place in UK policy and practice, reflected in the NICE Guideline NG87 (2018) and the SEND Code of Practice (DfE &amp; DHSC, 2015), both emphasising early identification and coordinated support.</w:t>
      </w:r>
    </w:p>
    <w:p w14:paraId="7C8DD365" w14:textId="2827FBC9" w:rsidR="0010749A" w:rsidRDefault="0010749A" w:rsidP="4C72D9C6">
      <w:pPr>
        <w:pStyle w:val="Heading1"/>
        <w:spacing w:line="360" w:lineRule="auto"/>
        <w:ind w:left="0"/>
        <w:rPr>
          <w:rFonts w:eastAsia="Arial" w:cs="Arial"/>
          <w:b w:val="0"/>
          <w:color w:val="000000" w:themeColor="text1"/>
          <w:sz w:val="22"/>
          <w:szCs w:val="22"/>
        </w:rPr>
      </w:pPr>
    </w:p>
    <w:p w14:paraId="25D5A31A" w14:textId="3EA8C118" w:rsidR="0010749A" w:rsidRDefault="0010749A" w:rsidP="4C72D9C6">
      <w:pPr>
        <w:pStyle w:val="Heading1"/>
        <w:spacing w:line="360" w:lineRule="auto"/>
        <w:ind w:left="0"/>
        <w:rPr>
          <w:rFonts w:eastAsia="Arial" w:cs="Arial"/>
          <w:b w:val="0"/>
          <w:color w:val="000000" w:themeColor="text1"/>
          <w:sz w:val="22"/>
          <w:szCs w:val="22"/>
        </w:rPr>
      </w:pPr>
      <w:r w:rsidRPr="4C72D9C6">
        <w:rPr>
          <w:rFonts w:eastAsia="Arial" w:cs="Arial"/>
          <w:b w:val="0"/>
          <w:color w:val="000000" w:themeColor="text1"/>
          <w:sz w:val="22"/>
          <w:szCs w:val="22"/>
        </w:rPr>
        <w:t>This chapter therefore brings together a range of evidence from peer-reviewed studies, policy documents, and international guidelines. It draws on major diagnostic frameworks—DSM-5-TR (APA, 2022) and ICD-11 (WHO, 2024 online browser)—to define the disorder and critically analyse how conceptual changes have influenced assessment practice. It also reviews contemporary theories explaining ADHD, from biological and cognitive models to environmental and psychosocial approaches, showing how each contributes to current understanding of children’s needs.</w:t>
      </w:r>
    </w:p>
    <w:p w14:paraId="31F50839" w14:textId="77777777" w:rsidR="003E1AE6" w:rsidRPr="0010749A" w:rsidRDefault="003E1AE6" w:rsidP="4C72D9C6">
      <w:pPr>
        <w:pStyle w:val="Heading1"/>
        <w:spacing w:line="360" w:lineRule="auto"/>
        <w:ind w:left="0"/>
        <w:rPr>
          <w:rFonts w:eastAsia="Arial" w:cs="Arial"/>
          <w:b w:val="0"/>
          <w:color w:val="000000" w:themeColor="text1"/>
          <w:sz w:val="22"/>
          <w:szCs w:val="22"/>
        </w:rPr>
      </w:pPr>
    </w:p>
    <w:p w14:paraId="0FDEF4CA" w14:textId="77777777" w:rsidR="0010749A" w:rsidRPr="0010749A" w:rsidRDefault="0010749A" w:rsidP="4C72D9C6">
      <w:pPr>
        <w:pStyle w:val="Heading1"/>
        <w:spacing w:line="360" w:lineRule="auto"/>
        <w:ind w:left="0"/>
        <w:rPr>
          <w:rFonts w:eastAsia="Arial" w:cs="Arial"/>
          <w:b w:val="0"/>
          <w:color w:val="000000" w:themeColor="text1"/>
          <w:sz w:val="22"/>
          <w:szCs w:val="22"/>
        </w:rPr>
      </w:pPr>
      <w:r w:rsidRPr="4C72D9C6">
        <w:rPr>
          <w:rFonts w:eastAsia="Arial" w:cs="Arial"/>
          <w:b w:val="0"/>
          <w:color w:val="000000" w:themeColor="text1"/>
          <w:sz w:val="22"/>
          <w:szCs w:val="22"/>
        </w:rPr>
        <w:t>The chapter concludes by examining international research on best practice for early identification and the UK’s own legislative and policy landscape, including the Equality Act 2010, the Children and Families Act 2014, the SEND Code of Practice 2015, and NICE Guideline NG87 (2018). Together, these sections set the groundwork for analysing how policy translates into classroom realities for White British boys in UK primary schools.</w:t>
      </w:r>
    </w:p>
    <w:p w14:paraId="7761A2C6" w14:textId="77777777" w:rsidR="0010749A" w:rsidRPr="0010749A" w:rsidRDefault="0010749A" w:rsidP="4C72D9C6">
      <w:pPr>
        <w:pStyle w:val="Heading1"/>
        <w:spacing w:line="360" w:lineRule="auto"/>
        <w:ind w:left="0"/>
        <w:rPr>
          <w:rFonts w:eastAsia="Arial" w:cs="Arial"/>
          <w:b w:val="0"/>
          <w:color w:val="000000" w:themeColor="text1"/>
          <w:sz w:val="22"/>
          <w:szCs w:val="22"/>
        </w:rPr>
      </w:pPr>
    </w:p>
    <w:p w14:paraId="4607C10B" w14:textId="0B2FE32B" w:rsidR="00403A1A" w:rsidRPr="0010749A" w:rsidRDefault="0010749A" w:rsidP="4C72D9C6">
      <w:pPr>
        <w:pStyle w:val="Heading1"/>
        <w:spacing w:line="360" w:lineRule="auto"/>
        <w:ind w:left="0"/>
        <w:rPr>
          <w:rFonts w:eastAsia="Arial" w:cs="Arial"/>
          <w:bCs/>
          <w:color w:val="000000" w:themeColor="text1"/>
          <w:sz w:val="22"/>
          <w:szCs w:val="22"/>
        </w:rPr>
      </w:pPr>
      <w:r w:rsidRPr="4C72D9C6">
        <w:rPr>
          <w:rFonts w:eastAsia="Arial" w:cs="Arial"/>
          <w:bCs/>
          <w:color w:val="000000" w:themeColor="text1"/>
          <w:sz w:val="22"/>
          <w:szCs w:val="22"/>
        </w:rPr>
        <w:t>2.2 Historical Background</w:t>
      </w:r>
    </w:p>
    <w:p w14:paraId="7E25CF0B" w14:textId="77777777" w:rsidR="0010749A" w:rsidRDefault="0010749A" w:rsidP="4C72D9C6">
      <w:pPr>
        <w:pStyle w:val="Heading1"/>
        <w:spacing w:line="360" w:lineRule="auto"/>
        <w:ind w:left="0"/>
        <w:rPr>
          <w:rFonts w:eastAsia="Arial" w:cs="Arial"/>
          <w:b w:val="0"/>
          <w:color w:val="000000" w:themeColor="text1"/>
          <w:sz w:val="22"/>
          <w:szCs w:val="22"/>
        </w:rPr>
      </w:pPr>
      <w:r w:rsidRPr="4C72D9C6">
        <w:rPr>
          <w:rFonts w:eastAsia="Arial" w:cs="Arial"/>
          <w:b w:val="0"/>
          <w:color w:val="000000" w:themeColor="text1"/>
          <w:sz w:val="22"/>
          <w:szCs w:val="22"/>
        </w:rPr>
        <w:t>The understanding of Attention-Deficit/Hyperactivity Disorder (ADHD) has evolved through more than a century of psychological and educational research. The earliest reference dates to 1902, when British paediatrician Sir George Still described children who were intelligent but displayed “defective moral control” (Still, 1902; Lange et al., 2010; Mahone &amp; Denckla, 2017). For much of the early twentieth century, such behaviour was attributed to poor discipline or inadequate parenting rather than recognised as a developmental difference. The terminology also changed repeatedly, from “minimal brain dysfunction” in the 1940s to “hyperkinetic reaction of childhood” in the 1960s, reflecting shifting ideas about whether ADHD was neurological, behavioural, or social in origin.</w:t>
      </w:r>
    </w:p>
    <w:p w14:paraId="717F0C4D" w14:textId="77777777" w:rsidR="00736E31" w:rsidRPr="0010749A" w:rsidRDefault="00736E31" w:rsidP="4C72D9C6">
      <w:pPr>
        <w:pStyle w:val="Heading1"/>
        <w:spacing w:line="360" w:lineRule="auto"/>
        <w:ind w:left="0"/>
        <w:rPr>
          <w:rFonts w:eastAsia="Arial" w:cs="Arial"/>
          <w:b w:val="0"/>
          <w:color w:val="000000" w:themeColor="text1"/>
          <w:sz w:val="22"/>
          <w:szCs w:val="22"/>
        </w:rPr>
      </w:pPr>
    </w:p>
    <w:p w14:paraId="0B84CBDD" w14:textId="77777777" w:rsidR="0010749A" w:rsidRDefault="0010749A" w:rsidP="4C72D9C6">
      <w:pPr>
        <w:pStyle w:val="Heading1"/>
        <w:spacing w:line="360" w:lineRule="auto"/>
        <w:ind w:left="0"/>
        <w:rPr>
          <w:rFonts w:eastAsia="Arial" w:cs="Arial"/>
          <w:b w:val="0"/>
          <w:color w:val="000000" w:themeColor="text1"/>
          <w:sz w:val="22"/>
          <w:szCs w:val="22"/>
        </w:rPr>
      </w:pPr>
      <w:r w:rsidRPr="4C72D9C6">
        <w:rPr>
          <w:rFonts w:eastAsia="Arial" w:cs="Arial"/>
          <w:b w:val="0"/>
          <w:color w:val="000000" w:themeColor="text1"/>
          <w:sz w:val="22"/>
          <w:szCs w:val="22"/>
        </w:rPr>
        <w:t>By the late twentieth century, increasing awareness of neurodevelopmental diversity led to ADHD being reframed as a psychological and educational concern rather than a moral one.</w:t>
      </w:r>
    </w:p>
    <w:p w14:paraId="42C951DA" w14:textId="77777777" w:rsidR="00A54C0E" w:rsidRPr="0010749A" w:rsidRDefault="00A54C0E" w:rsidP="4C72D9C6">
      <w:pPr>
        <w:pStyle w:val="Heading1"/>
        <w:spacing w:line="360" w:lineRule="auto"/>
        <w:ind w:left="0"/>
        <w:rPr>
          <w:rFonts w:eastAsia="Arial" w:cs="Arial"/>
          <w:b w:val="0"/>
          <w:color w:val="000000" w:themeColor="text1"/>
          <w:sz w:val="22"/>
          <w:szCs w:val="22"/>
        </w:rPr>
      </w:pPr>
    </w:p>
    <w:p w14:paraId="008DA24C" w14:textId="378F30B4" w:rsidR="0010749A" w:rsidRDefault="0010749A" w:rsidP="4C72D9C6">
      <w:pPr>
        <w:pStyle w:val="Heading1"/>
        <w:spacing w:line="360" w:lineRule="auto"/>
        <w:ind w:left="0"/>
        <w:rPr>
          <w:rFonts w:eastAsia="Arial" w:cs="Arial"/>
          <w:b w:val="0"/>
          <w:color w:val="000000" w:themeColor="text1"/>
          <w:sz w:val="22"/>
          <w:szCs w:val="22"/>
        </w:rPr>
      </w:pPr>
      <w:r w:rsidRPr="4C72D9C6">
        <w:rPr>
          <w:rFonts w:eastAsia="Arial" w:cs="Arial"/>
          <w:b w:val="0"/>
          <w:color w:val="000000" w:themeColor="text1"/>
          <w:sz w:val="22"/>
          <w:szCs w:val="22"/>
        </w:rPr>
        <w:t>Research from developmental psychopathology highlighted links between early attachment, emotional regulation, and behavioural control (Bowlby, 1969; You et al., 2025). Theories of temperament and impulsivity (Al Barathie et al., 202</w:t>
      </w:r>
      <w:r w:rsidR="55B3D9C0" w:rsidRPr="4C72D9C6">
        <w:rPr>
          <w:rFonts w:eastAsia="Arial" w:cs="Arial"/>
          <w:b w:val="0"/>
          <w:color w:val="000000" w:themeColor="text1"/>
          <w:sz w:val="22"/>
          <w:szCs w:val="22"/>
        </w:rPr>
        <w:t>4</w:t>
      </w:r>
      <w:r w:rsidRPr="4C72D9C6">
        <w:rPr>
          <w:rFonts w:eastAsia="Arial" w:cs="Arial"/>
          <w:b w:val="0"/>
          <w:color w:val="000000" w:themeColor="text1"/>
          <w:sz w:val="22"/>
          <w:szCs w:val="22"/>
        </w:rPr>
        <w:t>; Gomez et al., 2025) expanded this understanding, showing that inherited traits interact with environmental stressors such as inconsistent boundaries or family conflict. Such findings helped confirm ADHD as a multifactorial condition, integrating psychological, social, and contextual factors.</w:t>
      </w:r>
    </w:p>
    <w:p w14:paraId="3AAC2688" w14:textId="77777777" w:rsidR="00A54C0E" w:rsidRPr="0010749A" w:rsidRDefault="00A54C0E" w:rsidP="4C72D9C6">
      <w:pPr>
        <w:pStyle w:val="Heading1"/>
        <w:spacing w:line="360" w:lineRule="auto"/>
        <w:ind w:left="0"/>
        <w:rPr>
          <w:rFonts w:eastAsia="Arial" w:cs="Arial"/>
          <w:b w:val="0"/>
          <w:color w:val="000000" w:themeColor="text1"/>
          <w:sz w:val="22"/>
          <w:szCs w:val="22"/>
        </w:rPr>
      </w:pPr>
    </w:p>
    <w:p w14:paraId="5497FC40" w14:textId="77777777" w:rsidR="0010749A" w:rsidRDefault="0010749A" w:rsidP="4C72D9C6">
      <w:pPr>
        <w:pStyle w:val="Heading1"/>
        <w:spacing w:line="360" w:lineRule="auto"/>
        <w:ind w:left="0"/>
        <w:rPr>
          <w:rFonts w:eastAsia="Arial" w:cs="Arial"/>
          <w:b w:val="0"/>
          <w:color w:val="000000" w:themeColor="text1"/>
          <w:sz w:val="22"/>
          <w:szCs w:val="22"/>
        </w:rPr>
      </w:pPr>
      <w:r w:rsidRPr="4C72D9C6">
        <w:rPr>
          <w:rFonts w:eastAsia="Arial" w:cs="Arial"/>
          <w:b w:val="0"/>
          <w:color w:val="000000" w:themeColor="text1"/>
          <w:sz w:val="22"/>
          <w:szCs w:val="22"/>
        </w:rPr>
        <w:t>In the United Kingdom, recognition of ADHD within policy and education systems accelerated in the 1990s and early 2000s. The Education Act 1996 laid the foundation for finding and supporting pupils with special educational needs, and the Children and Families Act 2014 later introduced Education, Health, and Care Plans to formalise multi-agency collaboration. NICE guidance (2008; updated 2018) standardised clinical pathways and promoted early behavioural and parental interventions. However, studies suggest that early-life stress, deprivation, and parental mental health continue to shape ADHD presentation and outcomes (Srivastava et al., 2025; Bertelsen &amp; Håland, 2025).</w:t>
      </w:r>
    </w:p>
    <w:p w14:paraId="65D26233" w14:textId="77777777" w:rsidR="00A54C0E" w:rsidRPr="0010749A" w:rsidRDefault="00A54C0E" w:rsidP="4C72D9C6">
      <w:pPr>
        <w:pStyle w:val="Heading1"/>
        <w:spacing w:line="360" w:lineRule="auto"/>
        <w:ind w:left="0"/>
        <w:rPr>
          <w:rFonts w:eastAsia="Arial" w:cs="Arial"/>
          <w:b w:val="0"/>
          <w:color w:val="000000" w:themeColor="text1"/>
          <w:sz w:val="22"/>
          <w:szCs w:val="22"/>
        </w:rPr>
      </w:pPr>
    </w:p>
    <w:p w14:paraId="65B4F765" w14:textId="77777777" w:rsidR="0010749A" w:rsidRPr="0010749A" w:rsidRDefault="0010749A" w:rsidP="4C72D9C6">
      <w:pPr>
        <w:pStyle w:val="Heading1"/>
        <w:spacing w:line="360" w:lineRule="auto"/>
        <w:ind w:left="0"/>
        <w:rPr>
          <w:rFonts w:eastAsia="Arial" w:cs="Arial"/>
          <w:b w:val="0"/>
          <w:color w:val="000000" w:themeColor="text1"/>
          <w:sz w:val="22"/>
          <w:szCs w:val="22"/>
        </w:rPr>
      </w:pPr>
      <w:r w:rsidRPr="4C72D9C6">
        <w:rPr>
          <w:rFonts w:eastAsia="Arial" w:cs="Arial"/>
          <w:b w:val="0"/>
          <w:color w:val="000000" w:themeColor="text1"/>
          <w:sz w:val="22"/>
          <w:szCs w:val="22"/>
        </w:rPr>
        <w:t>Over time, understanding has shifted from simply describing behavioural symptoms to exploring the psychological and developmental mechanisms that underlie them. This evolution provides the foundation for the theoretical perspectives discussed in the following section.</w:t>
      </w:r>
    </w:p>
    <w:p w14:paraId="6A83C251" w14:textId="77777777" w:rsidR="0010749A" w:rsidRPr="0010749A" w:rsidRDefault="0010749A" w:rsidP="4C72D9C6">
      <w:pPr>
        <w:pStyle w:val="Heading1"/>
        <w:spacing w:line="360" w:lineRule="auto"/>
        <w:ind w:left="0"/>
        <w:rPr>
          <w:rFonts w:eastAsia="Arial" w:cs="Arial"/>
          <w:b w:val="0"/>
          <w:color w:val="000000" w:themeColor="text1"/>
          <w:sz w:val="22"/>
          <w:szCs w:val="22"/>
        </w:rPr>
      </w:pPr>
    </w:p>
    <w:p w14:paraId="5BC29B74" w14:textId="77777777" w:rsidR="0010749A" w:rsidRDefault="0010749A" w:rsidP="4C72D9C6">
      <w:pPr>
        <w:pStyle w:val="Heading1"/>
        <w:spacing w:line="360" w:lineRule="auto"/>
        <w:ind w:left="0"/>
        <w:rPr>
          <w:rFonts w:eastAsia="Arial" w:cs="Arial"/>
          <w:bCs/>
          <w:color w:val="000000" w:themeColor="text1"/>
          <w:sz w:val="22"/>
          <w:szCs w:val="22"/>
        </w:rPr>
      </w:pPr>
      <w:r w:rsidRPr="4C72D9C6">
        <w:rPr>
          <w:rFonts w:eastAsia="Arial" w:cs="Arial"/>
          <w:bCs/>
          <w:color w:val="000000" w:themeColor="text1"/>
          <w:sz w:val="22"/>
          <w:szCs w:val="22"/>
        </w:rPr>
        <w:t>2.3 Theoretical Background</w:t>
      </w:r>
    </w:p>
    <w:p w14:paraId="53D29EE9" w14:textId="17A5AD91" w:rsidR="0010749A" w:rsidRDefault="0010749A" w:rsidP="4C72D9C6">
      <w:pPr>
        <w:pStyle w:val="Heading1"/>
        <w:spacing w:line="360" w:lineRule="auto"/>
        <w:ind w:left="0"/>
        <w:rPr>
          <w:rFonts w:eastAsia="Arial" w:cs="Arial"/>
          <w:b w:val="0"/>
          <w:color w:val="000000" w:themeColor="text1"/>
          <w:sz w:val="22"/>
          <w:szCs w:val="22"/>
        </w:rPr>
      </w:pPr>
      <w:r w:rsidRPr="4C72D9C6">
        <w:rPr>
          <w:rFonts w:eastAsia="Arial" w:cs="Arial"/>
          <w:b w:val="0"/>
          <w:color w:val="000000" w:themeColor="text1"/>
          <w:sz w:val="22"/>
          <w:szCs w:val="22"/>
        </w:rPr>
        <w:t>Psychological and developmental theories provide essential frameworks for understanding ADHD and guiding early intervention. They help explain how attention and behavioural difficulties develop and why early, multi-agency identification is crucial for children’s learning and wellbeing.</w:t>
      </w:r>
    </w:p>
    <w:p w14:paraId="5F76180F" w14:textId="77777777" w:rsidR="00A54C0E" w:rsidRPr="0010749A" w:rsidRDefault="00A54C0E" w:rsidP="4C72D9C6">
      <w:pPr>
        <w:pStyle w:val="Heading1"/>
        <w:spacing w:line="360" w:lineRule="auto"/>
        <w:ind w:left="0"/>
        <w:rPr>
          <w:rFonts w:eastAsia="Arial" w:cs="Arial"/>
          <w:b w:val="0"/>
          <w:color w:val="000000" w:themeColor="text1"/>
          <w:sz w:val="22"/>
          <w:szCs w:val="22"/>
        </w:rPr>
      </w:pPr>
    </w:p>
    <w:p w14:paraId="52272E74" w14:textId="33E1D9E0" w:rsidR="0010749A" w:rsidRDefault="0010749A" w:rsidP="4C72D9C6">
      <w:pPr>
        <w:pStyle w:val="Heading1"/>
        <w:spacing w:line="360" w:lineRule="auto"/>
        <w:ind w:left="0"/>
        <w:rPr>
          <w:rFonts w:eastAsia="Arial" w:cs="Arial"/>
          <w:b w:val="0"/>
          <w:color w:val="000000" w:themeColor="text1"/>
          <w:sz w:val="22"/>
          <w:szCs w:val="22"/>
        </w:rPr>
      </w:pPr>
      <w:r w:rsidRPr="4C72D9C6">
        <w:rPr>
          <w:rFonts w:eastAsia="Arial" w:cs="Arial"/>
          <w:b w:val="0"/>
          <w:color w:val="000000" w:themeColor="text1"/>
          <w:sz w:val="22"/>
          <w:szCs w:val="22"/>
        </w:rPr>
        <w:t>The Biopsychosocial Model (Engel, 1977) stays one of the most comprehensive approaches. It proposes that biological predispositions, psychological patterns, and social environments interact to produce symptoms of inattention and impulsivity. Rather than viewing ADHD solely as a behavioural issue, this model highlights how family stress, emotional regulation, and classroom context contribute to symptom severity. Studies show that persistent negative thought patterns and high emotional reactivity can reinforce inattentive behaviours (Mattioni et al., 2025; Al Barathie et al., 202</w:t>
      </w:r>
      <w:r w:rsidR="6AD0A962" w:rsidRPr="4C72D9C6">
        <w:rPr>
          <w:rFonts w:eastAsia="Arial" w:cs="Arial"/>
          <w:b w:val="0"/>
          <w:color w:val="000000" w:themeColor="text1"/>
          <w:sz w:val="22"/>
          <w:szCs w:val="22"/>
        </w:rPr>
        <w:t>4</w:t>
      </w:r>
      <w:r w:rsidRPr="4C72D9C6">
        <w:rPr>
          <w:rFonts w:eastAsia="Arial" w:cs="Arial"/>
          <w:b w:val="0"/>
          <w:color w:val="000000" w:themeColor="text1"/>
          <w:sz w:val="22"/>
          <w:szCs w:val="22"/>
        </w:rPr>
        <w:t>), suggesting that early interventions must address both cognitive and social elements.</w:t>
      </w:r>
    </w:p>
    <w:p w14:paraId="3BD9F19A" w14:textId="77777777" w:rsidR="00A54C0E" w:rsidRPr="0010749A" w:rsidRDefault="00A54C0E" w:rsidP="4C72D9C6">
      <w:pPr>
        <w:pStyle w:val="Heading1"/>
        <w:spacing w:line="360" w:lineRule="auto"/>
        <w:ind w:left="0"/>
        <w:rPr>
          <w:rFonts w:eastAsia="Arial" w:cs="Arial"/>
          <w:b w:val="0"/>
          <w:color w:val="000000" w:themeColor="text1"/>
          <w:sz w:val="22"/>
          <w:szCs w:val="22"/>
        </w:rPr>
      </w:pPr>
    </w:p>
    <w:p w14:paraId="442E01DD" w14:textId="77777777" w:rsidR="0010749A" w:rsidRDefault="0010749A" w:rsidP="4C72D9C6">
      <w:pPr>
        <w:pStyle w:val="Heading1"/>
        <w:spacing w:line="360" w:lineRule="auto"/>
        <w:ind w:left="0"/>
        <w:rPr>
          <w:rFonts w:eastAsia="Arial" w:cs="Arial"/>
          <w:b w:val="0"/>
          <w:color w:val="000000" w:themeColor="text1"/>
          <w:sz w:val="22"/>
          <w:szCs w:val="22"/>
        </w:rPr>
      </w:pPr>
      <w:r w:rsidRPr="4C72D9C6">
        <w:rPr>
          <w:rFonts w:eastAsia="Arial" w:cs="Arial"/>
          <w:b w:val="0"/>
          <w:color w:val="000000" w:themeColor="text1"/>
          <w:sz w:val="22"/>
          <w:szCs w:val="22"/>
        </w:rPr>
        <w:t>Bronfenbrenner’s Ecological Systems Theory (1979) expands this understanding by emphasising the importance of a child’s surrounding environments. Development occurs within interconnected systems—from home and school to wider community and policy structures. Effective early assessment relies on strong collaboration between these layers: teachers recognising emerging patterns, parents offering insight into home behaviour, and professionals providing consistent strategies (Mohammed et al., 2025). When these systems communicate well, identification is quicker and interventions more effective (Uygun et al., 2025).</w:t>
      </w:r>
    </w:p>
    <w:p w14:paraId="1C13D8E4" w14:textId="77777777" w:rsidR="00A70BCA" w:rsidRPr="0010749A" w:rsidRDefault="00A70BCA" w:rsidP="4C72D9C6">
      <w:pPr>
        <w:pStyle w:val="Heading1"/>
        <w:spacing w:line="360" w:lineRule="auto"/>
        <w:ind w:left="0"/>
        <w:rPr>
          <w:rFonts w:eastAsia="Arial" w:cs="Arial"/>
          <w:b w:val="0"/>
          <w:color w:val="000000" w:themeColor="text1"/>
          <w:sz w:val="22"/>
          <w:szCs w:val="22"/>
        </w:rPr>
      </w:pPr>
    </w:p>
    <w:p w14:paraId="340A6070" w14:textId="77777777" w:rsidR="0010749A" w:rsidRDefault="0010749A" w:rsidP="4C72D9C6">
      <w:pPr>
        <w:pStyle w:val="Heading1"/>
        <w:spacing w:line="360" w:lineRule="auto"/>
        <w:ind w:left="0"/>
        <w:rPr>
          <w:rFonts w:eastAsia="Arial" w:cs="Arial"/>
          <w:b w:val="0"/>
          <w:color w:val="000000" w:themeColor="text1"/>
          <w:sz w:val="22"/>
          <w:szCs w:val="22"/>
        </w:rPr>
      </w:pPr>
      <w:r w:rsidRPr="4C72D9C6">
        <w:rPr>
          <w:rFonts w:eastAsia="Arial" w:cs="Arial"/>
          <w:b w:val="0"/>
          <w:color w:val="000000" w:themeColor="text1"/>
          <w:sz w:val="22"/>
          <w:szCs w:val="22"/>
        </w:rPr>
        <w:t>Attachment Theory (Bowlby, 1969) provides a psychological lens for understanding emotional and behavioural regulation. Bowlby proposed that early caregiver relationships shape children’s ability to manage stress and attention. Insecure or inconsistent attachments can lead to impulsive or hyperactive responses that mimic or intensify ADHD symptoms (Storebø et al., 2016; Wylock et al., 2021). For instance, boys experiencing emotional neglect or inconsistent discipline may act out in class not because of defiance, but as a response to unmet attachment needs (You et al., 2025). Recognising these emotional patterns helps professionals differentiate between behavioural conditions and relational distress.</w:t>
      </w:r>
    </w:p>
    <w:p w14:paraId="4C5326A9" w14:textId="77777777" w:rsidR="00A70BCA" w:rsidRPr="0010749A" w:rsidRDefault="00A70BCA" w:rsidP="4C72D9C6">
      <w:pPr>
        <w:pStyle w:val="Heading1"/>
        <w:spacing w:line="360" w:lineRule="auto"/>
        <w:ind w:left="0"/>
        <w:rPr>
          <w:rFonts w:eastAsia="Arial" w:cs="Arial"/>
          <w:b w:val="0"/>
          <w:color w:val="000000" w:themeColor="text1"/>
          <w:sz w:val="22"/>
          <w:szCs w:val="22"/>
        </w:rPr>
      </w:pPr>
    </w:p>
    <w:p w14:paraId="0D228AC6" w14:textId="77777777" w:rsidR="0010749A" w:rsidRDefault="0010749A" w:rsidP="4C72D9C6">
      <w:pPr>
        <w:pStyle w:val="Heading1"/>
        <w:spacing w:line="360" w:lineRule="auto"/>
        <w:ind w:left="0"/>
        <w:rPr>
          <w:rFonts w:eastAsia="Arial" w:cs="Arial"/>
          <w:b w:val="0"/>
          <w:color w:val="000000" w:themeColor="text1"/>
          <w:sz w:val="22"/>
          <w:szCs w:val="22"/>
        </w:rPr>
      </w:pPr>
      <w:r w:rsidRPr="4C72D9C6">
        <w:rPr>
          <w:rFonts w:eastAsia="Arial" w:cs="Arial"/>
          <w:b w:val="0"/>
          <w:color w:val="000000" w:themeColor="text1"/>
          <w:sz w:val="22"/>
          <w:szCs w:val="22"/>
        </w:rPr>
        <w:t>Finally, Developmental Psychopathology Theory (Cicchetti &amp; Rogosch, 2002) explains how early life experiences influence later adjustment. It views ADHD as a developmental trajectory shaped by multiple risk and protective factors, including temperament, family conflict, and school environment. Research by Gomez et al. (2025) and Wang et al. (2025) highlights that early intervention and stable support can alter these trajectories, reducing the risk of secondary difficulties such as anxiety or oppositional behaviour.</w:t>
      </w:r>
    </w:p>
    <w:p w14:paraId="4C9742DE" w14:textId="77777777" w:rsidR="00A70BCA" w:rsidRPr="0010749A" w:rsidRDefault="00A70BCA" w:rsidP="4C72D9C6">
      <w:pPr>
        <w:pStyle w:val="Heading1"/>
        <w:spacing w:line="360" w:lineRule="auto"/>
        <w:ind w:left="0"/>
        <w:rPr>
          <w:rFonts w:eastAsia="Arial" w:cs="Arial"/>
          <w:b w:val="0"/>
          <w:color w:val="000000" w:themeColor="text1"/>
          <w:sz w:val="22"/>
          <w:szCs w:val="22"/>
        </w:rPr>
      </w:pPr>
    </w:p>
    <w:p w14:paraId="0132787E" w14:textId="77777777" w:rsidR="0010749A" w:rsidRDefault="0010749A" w:rsidP="4C72D9C6">
      <w:pPr>
        <w:pStyle w:val="Heading1"/>
        <w:spacing w:line="360" w:lineRule="auto"/>
        <w:ind w:left="0"/>
        <w:rPr>
          <w:rFonts w:eastAsia="Arial" w:cs="Arial"/>
          <w:b w:val="0"/>
          <w:color w:val="000000" w:themeColor="text1"/>
          <w:sz w:val="22"/>
          <w:szCs w:val="22"/>
        </w:rPr>
      </w:pPr>
      <w:r w:rsidRPr="4C72D9C6">
        <w:rPr>
          <w:rFonts w:eastAsia="Arial" w:cs="Arial"/>
          <w:b w:val="0"/>
          <w:color w:val="000000" w:themeColor="text1"/>
          <w:sz w:val="22"/>
          <w:szCs w:val="22"/>
        </w:rPr>
        <w:t>Together, these frameworks show that ADHD arises from the interaction of emotional, cognitive, and social processes. Each theory contributes a distinct perspective—from how relationships shape self-control to how community systems influence behaviour.</w:t>
      </w:r>
    </w:p>
    <w:p w14:paraId="5DC05CE0" w14:textId="77777777" w:rsidR="00A70BCA" w:rsidRPr="0010749A" w:rsidRDefault="00A70BCA" w:rsidP="4C72D9C6">
      <w:pPr>
        <w:pStyle w:val="Heading1"/>
        <w:spacing w:line="360" w:lineRule="auto"/>
        <w:ind w:left="0"/>
        <w:rPr>
          <w:rFonts w:eastAsia="Arial" w:cs="Arial"/>
          <w:b w:val="0"/>
          <w:color w:val="000000" w:themeColor="text1"/>
          <w:sz w:val="22"/>
          <w:szCs w:val="22"/>
        </w:rPr>
      </w:pPr>
    </w:p>
    <w:p w14:paraId="084533D9" w14:textId="6E5C7BDB" w:rsidR="0010749A" w:rsidRPr="0010749A" w:rsidRDefault="0010749A" w:rsidP="4C72D9C6">
      <w:pPr>
        <w:pStyle w:val="Heading1"/>
        <w:spacing w:line="360" w:lineRule="auto"/>
        <w:ind w:left="0"/>
        <w:rPr>
          <w:rFonts w:eastAsia="Arial" w:cs="Arial"/>
          <w:b w:val="0"/>
          <w:color w:val="000000" w:themeColor="text1"/>
          <w:sz w:val="22"/>
          <w:szCs w:val="22"/>
        </w:rPr>
      </w:pPr>
      <w:r w:rsidRPr="4C72D9C6">
        <w:rPr>
          <w:rFonts w:eastAsia="Arial" w:cs="Arial"/>
          <w:b w:val="0"/>
          <w:color w:val="000000" w:themeColor="text1"/>
          <w:sz w:val="22"/>
          <w:szCs w:val="22"/>
        </w:rPr>
        <w:t>Contemporary research supports this integrated view, emphasising that no single model can explain ADHD without considering the wider context of family, school, and social interaction (NICE, 2018; Skirrow et al., 2025). Studies on developmental psychopathology and temperament further highlight the protective role of stable relationships and consistent boundaries in reducing hyperactivity and emotional dysregulation (Al Barathie et al., 202</w:t>
      </w:r>
      <w:r w:rsidR="6454D82F" w:rsidRPr="4C72D9C6">
        <w:rPr>
          <w:rFonts w:eastAsia="Arial" w:cs="Arial"/>
          <w:b w:val="0"/>
          <w:color w:val="000000" w:themeColor="text1"/>
          <w:sz w:val="22"/>
          <w:szCs w:val="22"/>
        </w:rPr>
        <w:t>4</w:t>
      </w:r>
      <w:r w:rsidRPr="4C72D9C6">
        <w:rPr>
          <w:rFonts w:eastAsia="Arial" w:cs="Arial"/>
          <w:b w:val="0"/>
          <w:color w:val="000000" w:themeColor="text1"/>
          <w:sz w:val="22"/>
          <w:szCs w:val="22"/>
        </w:rPr>
        <w:t>; Gomez et al., 2025). Combined, these findings point towards a holistic understanding in which early identification depends on cooperation between families, educators, and mental-health professionals. This integrated perspective bridges theory and practice, reinforcing the UK’s broader commitment to inclusion, equality, and early intervention.</w:t>
      </w:r>
    </w:p>
    <w:p w14:paraId="61E2B68A" w14:textId="77777777" w:rsidR="0010749A" w:rsidRPr="0010749A" w:rsidRDefault="0010749A" w:rsidP="4C72D9C6">
      <w:pPr>
        <w:pStyle w:val="Heading1"/>
        <w:spacing w:line="360" w:lineRule="auto"/>
        <w:ind w:left="0"/>
        <w:rPr>
          <w:rFonts w:eastAsia="Arial" w:cs="Arial"/>
          <w:b w:val="0"/>
          <w:color w:val="000000" w:themeColor="text1"/>
          <w:sz w:val="22"/>
          <w:szCs w:val="22"/>
        </w:rPr>
      </w:pPr>
      <w:r w:rsidRPr="4C72D9C6">
        <w:rPr>
          <w:rFonts w:eastAsia="Arial" w:cs="Arial"/>
          <w:b w:val="0"/>
          <w:color w:val="000000" w:themeColor="text1"/>
          <w:sz w:val="22"/>
          <w:szCs w:val="22"/>
        </w:rPr>
        <w:t> </w:t>
      </w:r>
    </w:p>
    <w:p w14:paraId="007975C2" w14:textId="1459325F" w:rsidR="00F81121" w:rsidRDefault="0010749A" w:rsidP="4C72D9C6">
      <w:pPr>
        <w:pStyle w:val="Heading1"/>
        <w:spacing w:line="360" w:lineRule="auto"/>
        <w:ind w:left="0"/>
        <w:rPr>
          <w:rFonts w:eastAsia="Arial" w:cs="Arial"/>
          <w:bCs/>
          <w:color w:val="000000" w:themeColor="text1"/>
          <w:sz w:val="22"/>
          <w:szCs w:val="22"/>
        </w:rPr>
      </w:pPr>
      <w:r w:rsidRPr="4C72D9C6">
        <w:rPr>
          <w:rFonts w:eastAsia="Arial" w:cs="Arial"/>
          <w:bCs/>
          <w:color w:val="000000" w:themeColor="text1"/>
          <w:sz w:val="22"/>
          <w:szCs w:val="22"/>
        </w:rPr>
        <w:t>2.4 International Context</w:t>
      </w:r>
    </w:p>
    <w:p w14:paraId="7A95EBE0" w14:textId="77777777" w:rsidR="0010749A" w:rsidRDefault="0010749A" w:rsidP="4C72D9C6">
      <w:pPr>
        <w:pStyle w:val="Heading1"/>
        <w:spacing w:line="360" w:lineRule="auto"/>
        <w:ind w:left="0"/>
        <w:rPr>
          <w:rFonts w:eastAsia="Arial" w:cs="Arial"/>
          <w:b w:val="0"/>
          <w:color w:val="000000" w:themeColor="text1"/>
          <w:sz w:val="22"/>
          <w:szCs w:val="22"/>
        </w:rPr>
      </w:pPr>
      <w:r w:rsidRPr="4C72D9C6">
        <w:rPr>
          <w:rFonts w:eastAsia="Arial" w:cs="Arial"/>
          <w:b w:val="0"/>
          <w:color w:val="000000" w:themeColor="text1"/>
          <w:sz w:val="22"/>
          <w:szCs w:val="22"/>
        </w:rPr>
        <w:t>Across the global stage, approaches to ADHD reflect how societies balance inclusion, early support, and mental-health priorities. The WHO’s Comprehensive Mental Health Action Plan 2013–2030 promotes integration of mental health into education and early intervention frameworks (WHO, 2021). Differences in resources, cultural stigma, and health systems mean no universal model fits all, but patterns appear from comparative study.</w:t>
      </w:r>
    </w:p>
    <w:p w14:paraId="74DEE599" w14:textId="77777777" w:rsidR="008466CB" w:rsidRPr="0010749A" w:rsidRDefault="008466CB" w:rsidP="4C72D9C6">
      <w:pPr>
        <w:pStyle w:val="Heading1"/>
        <w:spacing w:line="360" w:lineRule="auto"/>
        <w:ind w:left="0"/>
        <w:rPr>
          <w:rFonts w:eastAsia="Arial" w:cs="Arial"/>
          <w:b w:val="0"/>
          <w:color w:val="000000" w:themeColor="text1"/>
          <w:sz w:val="22"/>
          <w:szCs w:val="22"/>
        </w:rPr>
      </w:pPr>
    </w:p>
    <w:p w14:paraId="6486F692" w14:textId="77777777" w:rsidR="0010749A" w:rsidRDefault="0010749A" w:rsidP="4C72D9C6">
      <w:pPr>
        <w:pStyle w:val="Heading1"/>
        <w:spacing w:line="360" w:lineRule="auto"/>
        <w:ind w:left="0"/>
        <w:rPr>
          <w:rFonts w:eastAsia="Arial" w:cs="Arial"/>
          <w:b w:val="0"/>
          <w:color w:val="000000" w:themeColor="text1"/>
          <w:sz w:val="22"/>
          <w:szCs w:val="22"/>
        </w:rPr>
      </w:pPr>
      <w:r w:rsidRPr="4C72D9C6">
        <w:rPr>
          <w:rFonts w:eastAsia="Arial" w:cs="Arial"/>
          <w:b w:val="0"/>
          <w:color w:val="000000" w:themeColor="text1"/>
          <w:sz w:val="22"/>
          <w:szCs w:val="22"/>
        </w:rPr>
        <w:t>In many European countries, ADHD is seen increasingly through developmental and social lenses. For instance, Scandinavian nations emphasise early observation, emotional regulation training and collaboration between schools, psychologists, and families (Bertelsen &amp; Håland, 2025). Such systems embed coordination across ecological levels, enabling earlier interventions before difficulties escalate.</w:t>
      </w:r>
    </w:p>
    <w:p w14:paraId="4F420A0B" w14:textId="77777777" w:rsidR="008466CB" w:rsidRPr="0010749A" w:rsidRDefault="008466CB" w:rsidP="4C72D9C6">
      <w:pPr>
        <w:pStyle w:val="Heading1"/>
        <w:spacing w:line="360" w:lineRule="auto"/>
        <w:ind w:left="0"/>
        <w:rPr>
          <w:rFonts w:eastAsia="Arial" w:cs="Arial"/>
          <w:b w:val="0"/>
          <w:color w:val="000000" w:themeColor="text1"/>
          <w:sz w:val="22"/>
          <w:szCs w:val="22"/>
        </w:rPr>
      </w:pPr>
    </w:p>
    <w:p w14:paraId="28AE252B" w14:textId="77777777" w:rsidR="0010749A" w:rsidRDefault="0010749A" w:rsidP="4C72D9C6">
      <w:pPr>
        <w:pStyle w:val="Heading1"/>
        <w:spacing w:line="360" w:lineRule="auto"/>
        <w:ind w:left="0"/>
        <w:rPr>
          <w:rFonts w:eastAsia="Arial" w:cs="Arial"/>
          <w:b w:val="0"/>
          <w:color w:val="000000" w:themeColor="text1"/>
          <w:sz w:val="22"/>
          <w:szCs w:val="22"/>
        </w:rPr>
      </w:pPr>
      <w:r w:rsidRPr="4C72D9C6">
        <w:rPr>
          <w:rFonts w:eastAsia="Arial" w:cs="Arial"/>
          <w:b w:val="0"/>
          <w:color w:val="000000" w:themeColor="text1"/>
          <w:sz w:val="22"/>
          <w:szCs w:val="22"/>
        </w:rPr>
        <w:t>In Türkiye and parts of the Middle East, efforts are underway to embed mental-health literacy and multi-disciplinary screening in schooling. Turkish cohort studies show frequent comorbid emotional and behavioural conditions among children with ADHD, with stigma and limited local infrastructure causing diagnostic delays (Uygun et al., 2025). In Egypt, teacher training has been empirically shown to increase early recognition and reduce negative attitudes toward ADHD (Mohammed et al., 2025).</w:t>
      </w:r>
    </w:p>
    <w:p w14:paraId="7781CD52" w14:textId="77777777" w:rsidR="008466CB" w:rsidRPr="0010749A" w:rsidRDefault="008466CB" w:rsidP="4C72D9C6">
      <w:pPr>
        <w:pStyle w:val="Heading1"/>
        <w:spacing w:line="360" w:lineRule="auto"/>
        <w:ind w:left="0"/>
        <w:rPr>
          <w:rFonts w:eastAsia="Arial" w:cs="Arial"/>
          <w:b w:val="0"/>
          <w:color w:val="000000" w:themeColor="text1"/>
          <w:sz w:val="22"/>
          <w:szCs w:val="22"/>
        </w:rPr>
      </w:pPr>
    </w:p>
    <w:p w14:paraId="3BD4AC34" w14:textId="77777777" w:rsidR="0010749A" w:rsidRDefault="0010749A" w:rsidP="4C72D9C6">
      <w:pPr>
        <w:pStyle w:val="Heading1"/>
        <w:spacing w:line="360" w:lineRule="auto"/>
        <w:ind w:left="0"/>
        <w:rPr>
          <w:rFonts w:eastAsia="Arial" w:cs="Arial"/>
          <w:b w:val="0"/>
          <w:color w:val="000000" w:themeColor="text1"/>
          <w:sz w:val="22"/>
          <w:szCs w:val="22"/>
        </w:rPr>
      </w:pPr>
      <w:r w:rsidRPr="4C72D9C6">
        <w:rPr>
          <w:rFonts w:eastAsia="Arial" w:cs="Arial"/>
          <w:b w:val="0"/>
          <w:color w:val="000000" w:themeColor="text1"/>
          <w:sz w:val="22"/>
          <w:szCs w:val="22"/>
        </w:rPr>
        <w:t>Moving to Asia, nations like China and South Korea have expanded psychological service access in primary settings, aligning with WHO’s global agenda to reduce diagnostic delay (WHO, 2021; Yang et al., 2025). However, inequalities in socioeconomic status still restrict whether families can access these supports (Wang et al., 2025).</w:t>
      </w:r>
    </w:p>
    <w:p w14:paraId="06C95477" w14:textId="77777777" w:rsidR="008466CB" w:rsidRPr="0010749A" w:rsidRDefault="008466CB" w:rsidP="4C72D9C6">
      <w:pPr>
        <w:pStyle w:val="Heading1"/>
        <w:spacing w:line="360" w:lineRule="auto"/>
        <w:ind w:left="0"/>
        <w:rPr>
          <w:rFonts w:eastAsia="Arial" w:cs="Arial"/>
          <w:b w:val="0"/>
          <w:color w:val="000000" w:themeColor="text1"/>
          <w:sz w:val="22"/>
          <w:szCs w:val="22"/>
        </w:rPr>
      </w:pPr>
    </w:p>
    <w:p w14:paraId="68DF089A" w14:textId="1E72855A" w:rsidR="0010749A" w:rsidRDefault="0010749A" w:rsidP="4C72D9C6">
      <w:pPr>
        <w:pStyle w:val="Heading1"/>
        <w:spacing w:line="360" w:lineRule="auto"/>
        <w:ind w:left="0"/>
        <w:rPr>
          <w:rFonts w:eastAsia="Arial" w:cs="Arial"/>
          <w:b w:val="0"/>
          <w:color w:val="000000" w:themeColor="text1"/>
          <w:sz w:val="22"/>
          <w:szCs w:val="22"/>
        </w:rPr>
      </w:pPr>
      <w:r w:rsidRPr="4C72D9C6">
        <w:rPr>
          <w:rFonts w:eastAsia="Arial" w:cs="Arial"/>
          <w:b w:val="0"/>
          <w:color w:val="000000" w:themeColor="text1"/>
          <w:sz w:val="22"/>
          <w:szCs w:val="22"/>
        </w:rPr>
        <w:t xml:space="preserve">In North America, the Individuals with Disabilities Education Act (IDEA, 2004) guarantees legal entitlement to </w:t>
      </w:r>
      <w:r w:rsidR="008466CB" w:rsidRPr="4C72D9C6">
        <w:rPr>
          <w:rFonts w:eastAsia="Arial" w:cs="Arial"/>
          <w:b w:val="0"/>
          <w:color w:val="000000" w:themeColor="text1"/>
          <w:sz w:val="22"/>
          <w:szCs w:val="22"/>
        </w:rPr>
        <w:t>individualised</w:t>
      </w:r>
      <w:r w:rsidRPr="4C72D9C6">
        <w:rPr>
          <w:rFonts w:eastAsia="Arial" w:cs="Arial"/>
          <w:b w:val="0"/>
          <w:color w:val="000000" w:themeColor="text1"/>
          <w:sz w:val="22"/>
          <w:szCs w:val="22"/>
        </w:rPr>
        <w:t xml:space="preserve"> support plans, underscoring a rights-based model. U.S. research has also concentrated on mindfulness, behavioural and neurofeedback interventions targeting both attention and emotional regulation (Jin et al., 2025). Nevertheless, racial and gender disparities persist in diagnosis and access (Reuben &amp; Elgaddal, 2024; CDC, 2024).</w:t>
      </w:r>
    </w:p>
    <w:p w14:paraId="4408DC65" w14:textId="77777777" w:rsidR="00C751FB" w:rsidRPr="0010749A" w:rsidRDefault="00C751FB" w:rsidP="4C72D9C6">
      <w:pPr>
        <w:pStyle w:val="Heading1"/>
        <w:spacing w:line="360" w:lineRule="auto"/>
        <w:ind w:left="0"/>
        <w:rPr>
          <w:rFonts w:eastAsia="Arial" w:cs="Arial"/>
          <w:b w:val="0"/>
          <w:color w:val="000000" w:themeColor="text1"/>
          <w:sz w:val="22"/>
          <w:szCs w:val="22"/>
        </w:rPr>
      </w:pPr>
    </w:p>
    <w:p w14:paraId="4F59E13F" w14:textId="77777777" w:rsidR="0010749A" w:rsidRPr="0010749A" w:rsidRDefault="0010749A" w:rsidP="4C72D9C6">
      <w:pPr>
        <w:pStyle w:val="Heading1"/>
        <w:spacing w:line="360" w:lineRule="auto"/>
        <w:ind w:left="0"/>
        <w:rPr>
          <w:rFonts w:eastAsia="Arial" w:cs="Arial"/>
          <w:b w:val="0"/>
          <w:color w:val="000000" w:themeColor="text1"/>
          <w:sz w:val="22"/>
          <w:szCs w:val="22"/>
        </w:rPr>
      </w:pPr>
      <w:r w:rsidRPr="4C72D9C6">
        <w:rPr>
          <w:rFonts w:eastAsia="Arial" w:cs="Arial"/>
          <w:b w:val="0"/>
          <w:color w:val="000000" w:themeColor="text1"/>
          <w:sz w:val="22"/>
          <w:szCs w:val="22"/>
        </w:rPr>
        <w:t>Comparisons suggest that successful systems combine early symptom observation, inter-professional coordination, and cultural sensitivity. Legislative structures differ, but the core principle holds recognising early signs within supportive environments leads to better outcomes. While most global studies report mixed-gender samples, this dissertation’s focus on boys aged 5–11 allows deeper exploration of gendered referral pathways and classroom experiences.</w:t>
      </w:r>
    </w:p>
    <w:p w14:paraId="55B3D839" w14:textId="4D3D1FA1" w:rsidR="3EB15323" w:rsidRDefault="3EB15323" w:rsidP="3EB15323">
      <w:pPr>
        <w:pStyle w:val="Heading1"/>
        <w:spacing w:line="360" w:lineRule="auto"/>
        <w:ind w:left="0"/>
        <w:rPr>
          <w:rFonts w:eastAsia="Arial" w:cs="Arial"/>
          <w:b w:val="0"/>
          <w:color w:val="000000" w:themeColor="text1"/>
          <w:sz w:val="22"/>
          <w:szCs w:val="22"/>
        </w:rPr>
      </w:pPr>
    </w:p>
    <w:p w14:paraId="469EF3C3" w14:textId="59E42FB5" w:rsidR="3EB15323" w:rsidRDefault="3EB15323" w:rsidP="3EB15323">
      <w:pPr>
        <w:pStyle w:val="Heading1"/>
        <w:spacing w:line="360" w:lineRule="auto"/>
        <w:ind w:left="0"/>
        <w:rPr>
          <w:rFonts w:eastAsia="Arial" w:cs="Arial"/>
          <w:b w:val="0"/>
          <w:color w:val="000000" w:themeColor="text1"/>
          <w:sz w:val="22"/>
          <w:szCs w:val="22"/>
        </w:rPr>
      </w:pPr>
    </w:p>
    <w:p w14:paraId="048AAF35" w14:textId="5D369C11" w:rsidR="0010749A" w:rsidRDefault="0010749A" w:rsidP="4C72D9C6">
      <w:pPr>
        <w:pStyle w:val="Heading1"/>
        <w:spacing w:line="360" w:lineRule="auto"/>
        <w:ind w:left="0"/>
        <w:rPr>
          <w:rFonts w:eastAsia="Arial" w:cs="Arial"/>
          <w:b w:val="0"/>
          <w:color w:val="000000" w:themeColor="text1"/>
          <w:sz w:val="22"/>
          <w:szCs w:val="22"/>
        </w:rPr>
      </w:pPr>
      <w:r w:rsidRPr="4C72D9C6">
        <w:rPr>
          <w:rFonts w:eastAsia="Arial" w:cs="Arial"/>
          <w:b w:val="0"/>
          <w:color w:val="000000" w:themeColor="text1"/>
          <w:sz w:val="22"/>
          <w:szCs w:val="22"/>
        </w:rPr>
        <w:t> </w:t>
      </w:r>
    </w:p>
    <w:p w14:paraId="11D751BF" w14:textId="5851BDC6" w:rsidR="0010749A" w:rsidRDefault="0010749A" w:rsidP="4C72D9C6">
      <w:pPr>
        <w:pStyle w:val="Heading1"/>
        <w:spacing w:line="360" w:lineRule="auto"/>
        <w:ind w:left="0"/>
        <w:rPr>
          <w:rFonts w:eastAsia="Arial" w:cs="Arial"/>
          <w:bCs/>
          <w:color w:val="000000" w:themeColor="text1"/>
          <w:sz w:val="22"/>
          <w:szCs w:val="22"/>
        </w:rPr>
      </w:pPr>
    </w:p>
    <w:p w14:paraId="4C3F15F6" w14:textId="3FE1ADE1" w:rsidR="0010749A" w:rsidRDefault="0010749A" w:rsidP="4C72D9C6">
      <w:pPr>
        <w:pStyle w:val="Heading1"/>
        <w:spacing w:line="360" w:lineRule="auto"/>
        <w:ind w:left="0"/>
        <w:rPr>
          <w:rFonts w:eastAsia="Arial" w:cs="Arial"/>
          <w:bCs/>
          <w:color w:val="000000" w:themeColor="text1"/>
          <w:sz w:val="22"/>
          <w:szCs w:val="22"/>
        </w:rPr>
      </w:pPr>
      <w:r w:rsidRPr="4C72D9C6">
        <w:rPr>
          <w:rFonts w:eastAsia="Arial" w:cs="Arial"/>
          <w:bCs/>
          <w:color w:val="000000" w:themeColor="text1"/>
          <w:sz w:val="22"/>
          <w:szCs w:val="22"/>
        </w:rPr>
        <w:t>2.5 National / UK Context</w:t>
      </w:r>
    </w:p>
    <w:p w14:paraId="2B3A5F8D" w14:textId="3186982C" w:rsidR="0010749A" w:rsidRDefault="0010749A" w:rsidP="4C72D9C6">
      <w:pPr>
        <w:pStyle w:val="Heading1"/>
        <w:spacing w:line="360" w:lineRule="auto"/>
        <w:ind w:left="0"/>
        <w:rPr>
          <w:rFonts w:eastAsia="Arial" w:cs="Arial"/>
          <w:b w:val="0"/>
          <w:color w:val="000000" w:themeColor="text1"/>
          <w:sz w:val="22"/>
          <w:szCs w:val="22"/>
        </w:rPr>
      </w:pPr>
      <w:r w:rsidRPr="4C72D9C6">
        <w:rPr>
          <w:rFonts w:eastAsia="Arial" w:cs="Arial"/>
          <w:b w:val="0"/>
          <w:color w:val="000000" w:themeColor="text1"/>
          <w:sz w:val="22"/>
          <w:szCs w:val="22"/>
        </w:rPr>
        <w:t>In the UK, ADHD recognition and support sit at the intersection of legislation, guidance, and clinical practice, aiming to foster equality and early intervention. Key legal frameworks include the Equality Act 2010, Children and Families Act 2014, and the SEND Code of Practice 2015 (DfE &amp; DHSC, 2015). Together, they ensure ADHD may be treated as a special educational need and that reasonable adjustments and multi-agency support are mandated.</w:t>
      </w:r>
    </w:p>
    <w:p w14:paraId="3248BB48" w14:textId="77777777" w:rsidR="00C751FB" w:rsidRPr="0010749A" w:rsidRDefault="00C751FB" w:rsidP="4C72D9C6">
      <w:pPr>
        <w:pStyle w:val="Heading1"/>
        <w:spacing w:line="360" w:lineRule="auto"/>
        <w:ind w:left="0"/>
        <w:rPr>
          <w:rFonts w:eastAsia="Arial" w:cs="Arial"/>
          <w:b w:val="0"/>
          <w:color w:val="000000" w:themeColor="text1"/>
          <w:sz w:val="22"/>
          <w:szCs w:val="22"/>
        </w:rPr>
      </w:pPr>
    </w:p>
    <w:p w14:paraId="79706E40" w14:textId="77777777" w:rsidR="0010749A" w:rsidRDefault="0010749A" w:rsidP="4C72D9C6">
      <w:pPr>
        <w:pStyle w:val="Heading1"/>
        <w:spacing w:line="360" w:lineRule="auto"/>
        <w:ind w:left="0"/>
        <w:rPr>
          <w:rFonts w:eastAsia="Arial" w:cs="Arial"/>
          <w:b w:val="0"/>
          <w:color w:val="000000" w:themeColor="text1"/>
          <w:sz w:val="22"/>
          <w:szCs w:val="22"/>
        </w:rPr>
      </w:pPr>
      <w:r w:rsidRPr="4C72D9C6">
        <w:rPr>
          <w:rFonts w:eastAsia="Arial" w:cs="Arial"/>
          <w:b w:val="0"/>
          <w:color w:val="000000" w:themeColor="text1"/>
          <w:sz w:val="22"/>
          <w:szCs w:val="22"/>
        </w:rPr>
        <w:t>Under the Equality Act 2010, ADHD can be legally defined as a condition with a “substantial and long-term adverse effect” on day-to-day functioning, positioning it within the scope of disability protections (Equality &amp; Human Rights Commission, 2022). The Children and Families Act 2014 introduced EHC plans (replacing Statements of SEN), requiring education, health, and care stakeholders to collaborate in early identification and planning.</w:t>
      </w:r>
    </w:p>
    <w:p w14:paraId="25A103C5" w14:textId="77777777" w:rsidR="00C751FB" w:rsidRPr="0010749A" w:rsidRDefault="00C751FB" w:rsidP="4C72D9C6">
      <w:pPr>
        <w:pStyle w:val="Heading1"/>
        <w:spacing w:line="360" w:lineRule="auto"/>
        <w:ind w:left="0"/>
        <w:rPr>
          <w:rFonts w:eastAsia="Arial" w:cs="Arial"/>
          <w:b w:val="0"/>
          <w:color w:val="000000" w:themeColor="text1"/>
          <w:sz w:val="22"/>
          <w:szCs w:val="22"/>
        </w:rPr>
      </w:pPr>
    </w:p>
    <w:p w14:paraId="694278C5" w14:textId="77777777" w:rsidR="0010749A" w:rsidRDefault="0010749A" w:rsidP="4C72D9C6">
      <w:pPr>
        <w:pStyle w:val="Heading1"/>
        <w:spacing w:line="360" w:lineRule="auto"/>
        <w:ind w:left="0"/>
        <w:rPr>
          <w:rFonts w:eastAsia="Arial" w:cs="Arial"/>
          <w:b w:val="0"/>
          <w:color w:val="000000" w:themeColor="text1"/>
          <w:sz w:val="22"/>
          <w:szCs w:val="22"/>
        </w:rPr>
      </w:pPr>
      <w:r w:rsidRPr="4C72D9C6">
        <w:rPr>
          <w:rFonts w:eastAsia="Arial" w:cs="Arial"/>
          <w:b w:val="0"/>
          <w:color w:val="000000" w:themeColor="text1"/>
          <w:sz w:val="22"/>
          <w:szCs w:val="22"/>
        </w:rPr>
        <w:t xml:space="preserve">Clinical guidance from NICE (NG87, 2018; reviewed 2025) underscores the importance of early detection in primary-aged children. Teachers are urged to </w:t>
      </w:r>
      <w:bookmarkStart w:id="26" w:name="_Int_ECFj9sz8"/>
      <w:r w:rsidRPr="4C72D9C6">
        <w:rPr>
          <w:rFonts w:eastAsia="Arial" w:cs="Arial"/>
          <w:b w:val="0"/>
          <w:color w:val="000000" w:themeColor="text1"/>
          <w:sz w:val="22"/>
          <w:szCs w:val="22"/>
        </w:rPr>
        <w:t>monitor</w:t>
      </w:r>
      <w:bookmarkEnd w:id="26"/>
      <w:r w:rsidRPr="4C72D9C6">
        <w:rPr>
          <w:rFonts w:eastAsia="Arial" w:cs="Arial"/>
          <w:b w:val="0"/>
          <w:color w:val="000000" w:themeColor="text1"/>
          <w:sz w:val="22"/>
          <w:szCs w:val="22"/>
        </w:rPr>
        <w:t xml:space="preserve"> for sustained patterns of inattention, hyperactivity, or impulsivity and to start referrals when these interfere with learning (NICE, 2018). These recommendations align with the Care Act 2014 and Mental Health Act 1983 (amended 2007), which mandate early support and protection for children requiring mental-health services.</w:t>
      </w:r>
    </w:p>
    <w:p w14:paraId="08CDB9C1" w14:textId="77777777" w:rsidR="0038721B" w:rsidRPr="0010749A" w:rsidRDefault="0038721B" w:rsidP="4C72D9C6">
      <w:pPr>
        <w:pStyle w:val="Heading1"/>
        <w:spacing w:line="360" w:lineRule="auto"/>
        <w:ind w:left="0"/>
        <w:rPr>
          <w:rFonts w:eastAsia="Arial" w:cs="Arial"/>
          <w:b w:val="0"/>
          <w:color w:val="000000" w:themeColor="text1"/>
          <w:sz w:val="22"/>
          <w:szCs w:val="22"/>
        </w:rPr>
      </w:pPr>
    </w:p>
    <w:p w14:paraId="36201095" w14:textId="77777777" w:rsidR="0010749A" w:rsidRDefault="0010749A" w:rsidP="4C72D9C6">
      <w:pPr>
        <w:pStyle w:val="Heading1"/>
        <w:spacing w:line="360" w:lineRule="auto"/>
        <w:ind w:left="0"/>
        <w:rPr>
          <w:rFonts w:eastAsia="Arial" w:cs="Arial"/>
          <w:b w:val="0"/>
          <w:color w:val="000000" w:themeColor="text1"/>
          <w:sz w:val="22"/>
          <w:szCs w:val="22"/>
        </w:rPr>
      </w:pPr>
      <w:r w:rsidRPr="4C72D9C6">
        <w:rPr>
          <w:rFonts w:eastAsia="Arial" w:cs="Arial"/>
          <w:b w:val="0"/>
          <w:color w:val="000000" w:themeColor="text1"/>
          <w:sz w:val="22"/>
          <w:szCs w:val="22"/>
        </w:rPr>
        <w:t>However, policy does not always translate to practice. The NHS England ADHD Taskforce interim report (2025) stresses that recognised rates of ADHD remain below expected prevalence, urging redesign of pathways to reduce diagnostic delay and calling for interim support before formal diagnosis (NHS England, 2025; NHS England responds to ADHD Taskforce, 2025). The report’s push for cross-sector solutions matches evidence that ADHD impacts outcomes across education, justice, and health sectors (NHS England, 2025).</w:t>
      </w:r>
    </w:p>
    <w:p w14:paraId="7AA3C341" w14:textId="77777777" w:rsidR="0038721B" w:rsidRPr="0010749A" w:rsidRDefault="0038721B" w:rsidP="4C72D9C6">
      <w:pPr>
        <w:pStyle w:val="Heading1"/>
        <w:spacing w:line="360" w:lineRule="auto"/>
        <w:ind w:left="0"/>
        <w:rPr>
          <w:rFonts w:eastAsia="Arial" w:cs="Arial"/>
          <w:b w:val="0"/>
          <w:color w:val="000000" w:themeColor="text1"/>
          <w:sz w:val="22"/>
          <w:szCs w:val="22"/>
        </w:rPr>
      </w:pPr>
    </w:p>
    <w:p w14:paraId="55BB5ECB" w14:textId="769E8BA8" w:rsidR="0010749A" w:rsidRDefault="0010749A" w:rsidP="1E03315E">
      <w:pPr>
        <w:pStyle w:val="Heading1"/>
        <w:spacing w:line="360" w:lineRule="auto"/>
        <w:ind w:left="0"/>
        <w:rPr>
          <w:rFonts w:eastAsia="Arial" w:cs="Arial"/>
          <w:b w:val="0"/>
          <w:color w:val="000000" w:themeColor="text1"/>
          <w:sz w:val="22"/>
          <w:szCs w:val="22"/>
        </w:rPr>
      </w:pPr>
      <w:r w:rsidRPr="4C72D9C6">
        <w:rPr>
          <w:rFonts w:eastAsia="Arial" w:cs="Arial"/>
          <w:b w:val="0"/>
          <w:color w:val="000000" w:themeColor="text1"/>
          <w:sz w:val="22"/>
          <w:szCs w:val="22"/>
        </w:rPr>
        <w:t xml:space="preserve">Waiting times are still a significant barrier. Some regions report CAMHS assessment delays exceeding 18 months (NHS England, 2025). </w:t>
      </w:r>
    </w:p>
    <w:p w14:paraId="0728F701" w14:textId="70DE5094" w:rsidR="0010749A" w:rsidRDefault="0010749A" w:rsidP="4C72D9C6">
      <w:pPr>
        <w:pStyle w:val="Heading1"/>
        <w:spacing w:line="360" w:lineRule="auto"/>
        <w:ind w:left="0"/>
        <w:rPr>
          <w:rFonts w:eastAsia="Arial" w:cs="Arial"/>
          <w:b w:val="0"/>
          <w:color w:val="000000" w:themeColor="text1"/>
          <w:sz w:val="22"/>
          <w:szCs w:val="22"/>
        </w:rPr>
      </w:pPr>
      <w:r w:rsidRPr="4C72D9C6">
        <w:rPr>
          <w:rFonts w:eastAsia="Arial" w:cs="Arial"/>
          <w:b w:val="0"/>
          <w:color w:val="000000" w:themeColor="text1"/>
          <w:sz w:val="22"/>
          <w:szCs w:val="22"/>
        </w:rPr>
        <w:t>Advocacy bodies and news outlets highlight that stretched NHS capacity has fuelled growth in private ADHD services, which risks creating a two-tier system favouring those who can afford it (Independent, 2025; Taskforce interim report summary).</w:t>
      </w:r>
    </w:p>
    <w:p w14:paraId="00EE08C4" w14:textId="77777777" w:rsidR="0038721B" w:rsidRPr="0010749A" w:rsidRDefault="0038721B" w:rsidP="4C72D9C6">
      <w:pPr>
        <w:pStyle w:val="Heading1"/>
        <w:spacing w:line="360" w:lineRule="auto"/>
        <w:ind w:left="0"/>
        <w:rPr>
          <w:rFonts w:eastAsia="Arial" w:cs="Arial"/>
          <w:b w:val="0"/>
          <w:color w:val="000000" w:themeColor="text1"/>
          <w:sz w:val="22"/>
          <w:szCs w:val="22"/>
        </w:rPr>
      </w:pPr>
    </w:p>
    <w:p w14:paraId="499890CB" w14:textId="5ED1822E" w:rsidR="0010749A" w:rsidRDefault="0010749A" w:rsidP="4C72D9C6">
      <w:pPr>
        <w:pStyle w:val="Heading1"/>
        <w:spacing w:line="360" w:lineRule="auto"/>
        <w:ind w:left="0"/>
        <w:rPr>
          <w:rFonts w:eastAsia="Arial" w:cs="Arial"/>
          <w:b w:val="0"/>
          <w:color w:val="000000" w:themeColor="text1"/>
          <w:sz w:val="22"/>
          <w:szCs w:val="22"/>
        </w:rPr>
      </w:pPr>
      <w:r w:rsidRPr="4C72D9C6">
        <w:rPr>
          <w:rFonts w:eastAsia="Arial" w:cs="Arial"/>
          <w:b w:val="0"/>
          <w:color w:val="000000" w:themeColor="text1"/>
          <w:sz w:val="22"/>
          <w:szCs w:val="22"/>
        </w:rPr>
        <w:t xml:space="preserve">The SEND Code of Practice (2015) embeds a “graduated response” — observation, assessment, planning, </w:t>
      </w:r>
      <w:r w:rsidR="4CAE2C17" w:rsidRPr="4C72D9C6">
        <w:rPr>
          <w:rFonts w:eastAsia="Arial" w:cs="Arial"/>
          <w:b w:val="0"/>
          <w:color w:val="000000" w:themeColor="text1"/>
          <w:sz w:val="22"/>
          <w:szCs w:val="22"/>
        </w:rPr>
        <w:t>intervention,</w:t>
      </w:r>
      <w:r w:rsidRPr="4C72D9C6">
        <w:rPr>
          <w:rFonts w:eastAsia="Arial" w:cs="Arial"/>
          <w:b w:val="0"/>
          <w:color w:val="000000" w:themeColor="text1"/>
          <w:sz w:val="22"/>
          <w:szCs w:val="22"/>
        </w:rPr>
        <w:t xml:space="preserve"> and review — </w:t>
      </w:r>
      <w:r w:rsidR="23E82549" w:rsidRPr="4C72D9C6">
        <w:rPr>
          <w:rFonts w:eastAsia="Arial" w:cs="Arial"/>
          <w:b w:val="0"/>
          <w:color w:val="000000" w:themeColor="text1"/>
          <w:sz w:val="22"/>
          <w:szCs w:val="22"/>
        </w:rPr>
        <w:t>dependent</w:t>
      </w:r>
      <w:r w:rsidRPr="4C72D9C6">
        <w:rPr>
          <w:rFonts w:eastAsia="Arial" w:cs="Arial"/>
          <w:b w:val="0"/>
          <w:color w:val="000000" w:themeColor="text1"/>
          <w:sz w:val="22"/>
          <w:szCs w:val="22"/>
        </w:rPr>
        <w:t xml:space="preserve"> on teacher awareness and home–school collaboration. Empirical studies confirm that such collaboration supports earlier recognition and reduces escalation of behavioural difficulties (Storebø et al., 2016; Palacios-Ariza et al., 2025). Boys aged 5–11 are more often referred for externalising behaviours, making this age-and-gender focus especially relevant (NHS Digital, 2022).</w:t>
      </w:r>
    </w:p>
    <w:p w14:paraId="26A879BB" w14:textId="77777777" w:rsidR="0038721B" w:rsidRPr="0010749A" w:rsidRDefault="0038721B" w:rsidP="4C72D9C6">
      <w:pPr>
        <w:pStyle w:val="Heading1"/>
        <w:spacing w:line="360" w:lineRule="auto"/>
        <w:ind w:left="0"/>
        <w:rPr>
          <w:rFonts w:eastAsia="Arial" w:cs="Arial"/>
          <w:b w:val="0"/>
          <w:color w:val="000000" w:themeColor="text1"/>
          <w:sz w:val="22"/>
          <w:szCs w:val="22"/>
        </w:rPr>
      </w:pPr>
    </w:p>
    <w:p w14:paraId="7CF794C2" w14:textId="77777777" w:rsidR="0010749A" w:rsidRDefault="0010749A" w:rsidP="4C72D9C6">
      <w:pPr>
        <w:pStyle w:val="Heading1"/>
        <w:spacing w:line="360" w:lineRule="auto"/>
        <w:ind w:left="0"/>
        <w:rPr>
          <w:rFonts w:eastAsia="Arial" w:cs="Arial"/>
          <w:b w:val="0"/>
          <w:color w:val="000000" w:themeColor="text1"/>
          <w:sz w:val="22"/>
          <w:szCs w:val="22"/>
        </w:rPr>
      </w:pPr>
      <w:r w:rsidRPr="4C72D9C6">
        <w:rPr>
          <w:rFonts w:eastAsia="Arial" w:cs="Arial"/>
          <w:b w:val="0"/>
          <w:color w:val="000000" w:themeColor="text1"/>
          <w:sz w:val="22"/>
          <w:szCs w:val="22"/>
        </w:rPr>
        <w:t>Recent UK policy initiatives aim to strengthen early cornerstones. The NHS Long Term Plan (2019) commits to expanding community-based neurodevelopmental support. Meanwhile, charities like ADHD Foundation and YoungMinds continue advocating for earlier screening, improved teacher training, and reduced stigma. Yet implementation stays inconsistent: underfunded services, training gaps, and regional disparities limit access to prompt diagnosis and support (National Audit Office, 2024; House of Commons Education Committee, 2022).</w:t>
      </w:r>
    </w:p>
    <w:p w14:paraId="4ADEE3C7" w14:textId="77777777" w:rsidR="00324E9B" w:rsidRPr="0010749A" w:rsidRDefault="00324E9B" w:rsidP="4C72D9C6">
      <w:pPr>
        <w:pStyle w:val="Heading1"/>
        <w:spacing w:line="360" w:lineRule="auto"/>
        <w:ind w:left="0"/>
        <w:rPr>
          <w:rFonts w:eastAsia="Arial" w:cs="Arial"/>
          <w:b w:val="0"/>
          <w:color w:val="000000" w:themeColor="text1"/>
          <w:sz w:val="22"/>
          <w:szCs w:val="22"/>
        </w:rPr>
      </w:pPr>
    </w:p>
    <w:p w14:paraId="1CB98B3F" w14:textId="534A6870" w:rsidR="00324E9B" w:rsidRDefault="0010749A" w:rsidP="4C72D9C6">
      <w:pPr>
        <w:pStyle w:val="Heading1"/>
        <w:spacing w:line="360" w:lineRule="auto"/>
        <w:ind w:left="0"/>
        <w:rPr>
          <w:rFonts w:eastAsia="Arial" w:cs="Arial"/>
          <w:bCs/>
          <w:color w:val="000000" w:themeColor="text1"/>
          <w:sz w:val="22"/>
          <w:szCs w:val="22"/>
        </w:rPr>
      </w:pPr>
      <w:r w:rsidRPr="4C72D9C6">
        <w:rPr>
          <w:rFonts w:eastAsia="Arial" w:cs="Arial"/>
          <w:bCs/>
          <w:color w:val="000000" w:themeColor="text1"/>
          <w:sz w:val="22"/>
          <w:szCs w:val="22"/>
        </w:rPr>
        <w:t>2.6 Conclusion</w:t>
      </w:r>
    </w:p>
    <w:p w14:paraId="1D0F7123" w14:textId="3561C51F" w:rsidR="00876236" w:rsidRDefault="0010749A" w:rsidP="4C72D9C6">
      <w:pPr>
        <w:pStyle w:val="Heading1"/>
        <w:spacing w:line="360" w:lineRule="auto"/>
        <w:ind w:left="0"/>
        <w:rPr>
          <w:rFonts w:eastAsia="Arial" w:cs="Arial"/>
          <w:b w:val="0"/>
          <w:color w:val="000000" w:themeColor="text1"/>
          <w:sz w:val="22"/>
          <w:szCs w:val="22"/>
        </w:rPr>
      </w:pPr>
      <w:r w:rsidRPr="4C72D9C6">
        <w:rPr>
          <w:rFonts w:eastAsia="Arial" w:cs="Arial"/>
          <w:b w:val="0"/>
          <w:color w:val="000000" w:themeColor="text1"/>
          <w:sz w:val="22"/>
          <w:szCs w:val="22"/>
        </w:rPr>
        <w:t>This chapter reviewed key literature on the early identification of ADHD and its influence on children’s learning and classroom behaviour. It outlined how ideas about ADHD have developed—from early views that framed it as a behavioural problem to current understanding of it as a complex neurodevelopmental condition shaped by both biological and environmental factors (Faraone et al., 2021; Cortese et al., 2023).</w:t>
      </w:r>
    </w:p>
    <w:p w14:paraId="098C30EE" w14:textId="74740BED" w:rsidR="0010749A" w:rsidRDefault="0010749A" w:rsidP="4C72D9C6">
      <w:pPr>
        <w:pStyle w:val="Heading1"/>
        <w:spacing w:line="360" w:lineRule="auto"/>
        <w:ind w:left="0"/>
        <w:rPr>
          <w:rFonts w:eastAsia="Arial" w:cs="Arial"/>
          <w:b w:val="0"/>
          <w:color w:val="000000" w:themeColor="text1"/>
          <w:sz w:val="22"/>
          <w:szCs w:val="22"/>
        </w:rPr>
      </w:pPr>
      <w:r w:rsidRPr="4C72D9C6">
        <w:rPr>
          <w:rFonts w:eastAsia="Arial" w:cs="Arial"/>
          <w:b w:val="0"/>
          <w:color w:val="000000" w:themeColor="text1"/>
          <w:sz w:val="22"/>
          <w:szCs w:val="22"/>
        </w:rPr>
        <w:t>The discussion of major theories, including the Biopsychosocial and Ecological Systems models, showed that children’s experiences of ADHD are influenced by multiple interacting elements such as family relationships, school settings and wider social contexts (Engel, 1977; Bronfenbrenner, 1979).</w:t>
      </w:r>
    </w:p>
    <w:p w14:paraId="7D4B7CEC" w14:textId="77777777" w:rsidR="00324E9B" w:rsidRPr="0010749A" w:rsidRDefault="00324E9B" w:rsidP="4C72D9C6">
      <w:pPr>
        <w:pStyle w:val="Heading1"/>
        <w:spacing w:line="360" w:lineRule="auto"/>
        <w:ind w:left="0"/>
        <w:rPr>
          <w:rFonts w:eastAsia="Arial" w:cs="Arial"/>
          <w:b w:val="0"/>
          <w:color w:val="000000" w:themeColor="text1"/>
          <w:sz w:val="22"/>
          <w:szCs w:val="22"/>
        </w:rPr>
      </w:pPr>
    </w:p>
    <w:p w14:paraId="623DC52B" w14:textId="44E5D606" w:rsidR="0010749A" w:rsidRDefault="0010749A" w:rsidP="4C72D9C6">
      <w:pPr>
        <w:pStyle w:val="Heading1"/>
        <w:spacing w:line="360" w:lineRule="auto"/>
        <w:ind w:left="0"/>
        <w:rPr>
          <w:rFonts w:eastAsia="Arial" w:cs="Arial"/>
          <w:b w:val="0"/>
          <w:color w:val="000000" w:themeColor="text1"/>
          <w:sz w:val="22"/>
          <w:szCs w:val="22"/>
        </w:rPr>
      </w:pPr>
      <w:r w:rsidRPr="4C72D9C6">
        <w:rPr>
          <w:rFonts w:eastAsia="Arial" w:cs="Arial"/>
          <w:b w:val="0"/>
          <w:color w:val="000000" w:themeColor="text1"/>
          <w:sz w:val="22"/>
          <w:szCs w:val="22"/>
        </w:rPr>
        <w:t xml:space="preserve">The review of international and UK evidence highlighted that early recognition and multi-agency working improve long-term </w:t>
      </w:r>
      <w:r w:rsidR="00324E9B" w:rsidRPr="4C72D9C6">
        <w:rPr>
          <w:rFonts w:eastAsia="Arial" w:cs="Arial"/>
          <w:b w:val="0"/>
          <w:color w:val="000000" w:themeColor="text1"/>
          <w:sz w:val="22"/>
          <w:szCs w:val="22"/>
        </w:rPr>
        <w:t>outcomes but</w:t>
      </w:r>
      <w:r w:rsidRPr="4C72D9C6">
        <w:rPr>
          <w:rFonts w:eastAsia="Arial" w:cs="Arial"/>
          <w:b w:val="0"/>
          <w:color w:val="000000" w:themeColor="text1"/>
          <w:sz w:val="22"/>
          <w:szCs w:val="22"/>
        </w:rPr>
        <w:t xml:space="preserve"> delays in assessment and gaps in teacher training still present major challenges (Uygun et al., 2025; NICE, 2018; DfE &amp; DHSC, 2015). Overall, this literature suggests that a joined-up approach between education, health and families is essential for meaningful early support.</w:t>
      </w:r>
    </w:p>
    <w:p w14:paraId="6859524C" w14:textId="77777777" w:rsidR="00876236" w:rsidRPr="0010749A" w:rsidRDefault="00876236" w:rsidP="4C72D9C6">
      <w:pPr>
        <w:pStyle w:val="Heading1"/>
        <w:spacing w:line="360" w:lineRule="auto"/>
        <w:ind w:left="0"/>
        <w:rPr>
          <w:rFonts w:eastAsia="Arial" w:cs="Arial"/>
          <w:b w:val="0"/>
          <w:color w:val="000000" w:themeColor="text1"/>
          <w:sz w:val="22"/>
          <w:szCs w:val="22"/>
        </w:rPr>
      </w:pPr>
    </w:p>
    <w:p w14:paraId="407ABDAE" w14:textId="3ADE1DDF" w:rsidR="00880B2D" w:rsidRPr="000B32F1" w:rsidRDefault="0010749A" w:rsidP="4C72D9C6">
      <w:pPr>
        <w:pStyle w:val="Heading1"/>
        <w:ind w:left="0"/>
        <w:rPr>
          <w:rFonts w:eastAsia="Arial" w:cs="Arial"/>
          <w:b w:val="0"/>
          <w:color w:val="000000" w:themeColor="text1"/>
          <w:sz w:val="22"/>
          <w:szCs w:val="22"/>
        </w:rPr>
        <w:sectPr w:rsidR="00880B2D" w:rsidRPr="000B32F1">
          <w:footerReference w:type="default" r:id="rId12"/>
          <w:pgSz w:w="11906" w:h="16838"/>
          <w:pgMar w:top="1440" w:right="1440" w:bottom="1440" w:left="1440" w:header="708" w:footer="708" w:gutter="0"/>
          <w:cols w:space="708"/>
          <w:docGrid w:linePitch="360"/>
        </w:sectPr>
      </w:pPr>
      <w:r w:rsidRPr="4C72D9C6">
        <w:rPr>
          <w:rFonts w:eastAsia="Arial" w:cs="Arial"/>
          <w:b w:val="0"/>
          <w:color w:val="000000" w:themeColor="text1"/>
          <w:sz w:val="22"/>
          <w:szCs w:val="22"/>
        </w:rPr>
        <w:t>The next chapter builds on these findings by outlining the research design and methods used to explore how early ADHD diagnosis affects the educational experiences of boys a</w:t>
      </w:r>
      <w:r w:rsidR="321FFC6A" w:rsidRPr="4C72D9C6">
        <w:rPr>
          <w:rFonts w:eastAsia="Arial" w:cs="Arial"/>
          <w:b w:val="0"/>
          <w:color w:val="000000" w:themeColor="text1"/>
          <w:sz w:val="22"/>
          <w:szCs w:val="22"/>
        </w:rPr>
        <w:t>g</w:t>
      </w:r>
      <w:r w:rsidR="08C4900B" w:rsidRPr="4C72D9C6">
        <w:rPr>
          <w:rFonts w:eastAsia="Arial" w:cs="Arial"/>
          <w:b w:val="0"/>
          <w:color w:val="000000" w:themeColor="text1"/>
          <w:sz w:val="22"/>
          <w:szCs w:val="22"/>
        </w:rPr>
        <w:t>e</w:t>
      </w:r>
      <w:r w:rsidR="321FFC6A" w:rsidRPr="4C72D9C6">
        <w:rPr>
          <w:rFonts w:eastAsia="Arial" w:cs="Arial"/>
          <w:b w:val="0"/>
          <w:color w:val="000000" w:themeColor="text1"/>
          <w:sz w:val="22"/>
          <w:szCs w:val="22"/>
        </w:rPr>
        <w:t xml:space="preserve"> </w:t>
      </w:r>
      <w:r w:rsidRPr="4C72D9C6">
        <w:rPr>
          <w:rFonts w:eastAsia="Arial" w:cs="Arial"/>
          <w:b w:val="0"/>
          <w:color w:val="000000" w:themeColor="text1"/>
          <w:sz w:val="22"/>
          <w:szCs w:val="22"/>
        </w:rPr>
        <w:t>5</w:t>
      </w:r>
      <w:r w:rsidR="612D80B2" w:rsidRPr="4C72D9C6">
        <w:rPr>
          <w:rFonts w:eastAsia="Arial" w:cs="Arial"/>
          <w:b w:val="0"/>
          <w:color w:val="000000" w:themeColor="text1"/>
          <w:sz w:val="22"/>
          <w:szCs w:val="22"/>
        </w:rPr>
        <w:t xml:space="preserve"> </w:t>
      </w:r>
      <w:r w:rsidRPr="4C72D9C6">
        <w:rPr>
          <w:rFonts w:eastAsia="Arial" w:cs="Arial"/>
          <w:b w:val="0"/>
          <w:color w:val="000000" w:themeColor="text1"/>
          <w:sz w:val="22"/>
          <w:szCs w:val="22"/>
        </w:rPr>
        <w:t>–</w:t>
      </w:r>
      <w:r w:rsidR="4DD9B5ED" w:rsidRPr="4C72D9C6">
        <w:rPr>
          <w:rFonts w:eastAsia="Arial" w:cs="Arial"/>
          <w:b w:val="0"/>
          <w:color w:val="000000" w:themeColor="text1"/>
          <w:sz w:val="22"/>
          <w:szCs w:val="22"/>
        </w:rPr>
        <w:t xml:space="preserve"> </w:t>
      </w:r>
      <w:r w:rsidRPr="4C72D9C6">
        <w:rPr>
          <w:rFonts w:eastAsia="Arial" w:cs="Arial"/>
          <w:b w:val="0"/>
          <w:color w:val="000000" w:themeColor="text1"/>
          <w:sz w:val="22"/>
          <w:szCs w:val="22"/>
        </w:rPr>
        <w:t>11 in UK primary schools</w:t>
      </w:r>
      <w:r w:rsidR="099F93D0" w:rsidRPr="4C72D9C6">
        <w:rPr>
          <w:rFonts w:eastAsia="Arial" w:cs="Arial"/>
          <w:b w:val="0"/>
          <w:color w:val="000000" w:themeColor="text1"/>
          <w:sz w:val="22"/>
          <w:szCs w:val="22"/>
        </w:rPr>
        <w:t>.</w:t>
      </w:r>
    </w:p>
    <w:p w14:paraId="64A5E280" w14:textId="2512AA54" w:rsidR="4C72D9C6" w:rsidRDefault="00292A36" w:rsidP="4C72D9C6">
      <w:pPr>
        <w:pStyle w:val="Heading1"/>
        <w:spacing w:line="360" w:lineRule="auto"/>
        <w:ind w:left="0"/>
        <w:rPr>
          <w:rFonts w:eastAsia="Arial" w:cs="Arial"/>
          <w:color w:val="000000" w:themeColor="text1"/>
          <w:sz w:val="22"/>
          <w:szCs w:val="22"/>
        </w:rPr>
      </w:pPr>
      <w:r w:rsidRPr="4C72D9C6">
        <w:rPr>
          <w:rFonts w:eastAsia="Arial" w:cs="Arial"/>
          <w:color w:val="000000" w:themeColor="text1"/>
          <w:sz w:val="22"/>
          <w:szCs w:val="22"/>
        </w:rPr>
        <w:t xml:space="preserve">CHAPTER 3 – </w:t>
      </w:r>
      <w:r w:rsidR="00E325CF" w:rsidRPr="4C72D9C6">
        <w:rPr>
          <w:rFonts w:eastAsia="Arial" w:cs="Arial"/>
          <w:color w:val="000000" w:themeColor="text1"/>
          <w:sz w:val="22"/>
          <w:szCs w:val="22"/>
        </w:rPr>
        <w:t xml:space="preserve">Methods and Search Strategy </w:t>
      </w:r>
    </w:p>
    <w:p w14:paraId="7B17E795" w14:textId="77777777" w:rsidR="00323936" w:rsidRPr="00323936" w:rsidRDefault="00323936" w:rsidP="4C72D9C6">
      <w:pPr>
        <w:spacing w:before="100" w:beforeAutospacing="1" w:after="100" w:afterAutospacing="1"/>
        <w:jc w:val="left"/>
        <w:outlineLvl w:val="2"/>
        <w:rPr>
          <w:rFonts w:ascii="Arial" w:eastAsia="Arial" w:hAnsi="Arial" w:cs="Arial"/>
          <w:b/>
          <w:bCs/>
          <w:color w:val="000000" w:themeColor="text1"/>
          <w:kern w:val="0"/>
          <w:lang w:eastAsia="en-GB"/>
          <w14:ligatures w14:val="none"/>
        </w:rPr>
      </w:pPr>
      <w:r w:rsidRPr="4C72D9C6">
        <w:rPr>
          <w:rFonts w:ascii="Arial" w:eastAsia="Arial" w:hAnsi="Arial" w:cs="Arial"/>
          <w:b/>
          <w:bCs/>
          <w:color w:val="000000" w:themeColor="text1"/>
          <w:kern w:val="0"/>
          <w:lang w:eastAsia="en-GB"/>
          <w14:ligatures w14:val="none"/>
        </w:rPr>
        <w:t>3.1 Introduction</w:t>
      </w:r>
    </w:p>
    <w:p w14:paraId="5F1C318B" w14:textId="77777777" w:rsidR="00323936" w:rsidRPr="00323936" w:rsidRDefault="00323936"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This chapter explains how the research was conducted using a desk-based, secondary method, building on the academic poster produced earlier in the project. The purpose of this chapter is to outline how evidence was found, selected, confirmed, and analysed to explore how early ADHD diagnosis influences the educational performance and classroom behaviour of White British boys aged 5–11 in UK primary schools.</w:t>
      </w:r>
    </w:p>
    <w:p w14:paraId="0495CB9B" w14:textId="21399794" w:rsidR="00323936" w:rsidRPr="00323936" w:rsidRDefault="00323936"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The methodological design supports the aims set out in Chapter 1 and builds on the critical literature reviewed in Chapter 2. A structured, transparent approach ensures academic rigour and replicability while reflecting ethical research principles appropriate to secondary analysis.</w:t>
      </w:r>
    </w:p>
    <w:p w14:paraId="37E0300E" w14:textId="340D22A5" w:rsidR="4C72D9C6" w:rsidRDefault="4C72D9C6" w:rsidP="4C72D9C6">
      <w:pPr>
        <w:spacing w:beforeAutospacing="1" w:afterAutospacing="1"/>
        <w:jc w:val="left"/>
        <w:rPr>
          <w:rFonts w:ascii="Arial" w:eastAsia="Arial" w:hAnsi="Arial" w:cs="Arial"/>
          <w:color w:val="000000" w:themeColor="text1"/>
          <w:lang w:eastAsia="en-GB"/>
        </w:rPr>
      </w:pPr>
    </w:p>
    <w:p w14:paraId="01B0A4D9" w14:textId="77777777" w:rsidR="00323936" w:rsidRPr="00323936" w:rsidRDefault="00323936" w:rsidP="4C72D9C6">
      <w:pPr>
        <w:spacing w:before="100" w:beforeAutospacing="1" w:after="100" w:afterAutospacing="1"/>
        <w:jc w:val="left"/>
        <w:outlineLvl w:val="2"/>
        <w:rPr>
          <w:rFonts w:ascii="Arial" w:eastAsia="Arial" w:hAnsi="Arial" w:cs="Arial"/>
          <w:b/>
          <w:bCs/>
          <w:color w:val="000000" w:themeColor="text1"/>
          <w:kern w:val="0"/>
          <w:lang w:eastAsia="en-GB"/>
          <w14:ligatures w14:val="none"/>
        </w:rPr>
      </w:pPr>
      <w:r w:rsidRPr="4C72D9C6">
        <w:rPr>
          <w:rFonts w:ascii="Arial" w:eastAsia="Arial" w:hAnsi="Arial" w:cs="Arial"/>
          <w:b/>
          <w:bCs/>
          <w:color w:val="000000" w:themeColor="text1"/>
          <w:kern w:val="0"/>
          <w:lang w:eastAsia="en-GB"/>
          <w14:ligatures w14:val="none"/>
        </w:rPr>
        <w:t>3.2 Search Strategy</w:t>
      </w:r>
    </w:p>
    <w:p w14:paraId="46EBC348" w14:textId="32BDF24D" w:rsidR="00323936" w:rsidRPr="00323936" w:rsidRDefault="00323936"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 xml:space="preserve">A systematic, structured search strategy </w:t>
      </w:r>
      <w:bookmarkStart w:id="27" w:name="_Int_qtds1Xv3"/>
      <w:r w:rsidRPr="4C72D9C6">
        <w:rPr>
          <w:rFonts w:ascii="Arial" w:eastAsia="Arial" w:hAnsi="Arial" w:cs="Arial"/>
          <w:color w:val="000000" w:themeColor="text1"/>
          <w:kern w:val="0"/>
          <w:lang w:eastAsia="en-GB"/>
          <w14:ligatures w14:val="none"/>
        </w:rPr>
        <w:t>was used</w:t>
      </w:r>
      <w:bookmarkEnd w:id="27"/>
      <w:r w:rsidRPr="4C72D9C6">
        <w:rPr>
          <w:rFonts w:ascii="Arial" w:eastAsia="Arial" w:hAnsi="Arial" w:cs="Arial"/>
          <w:color w:val="000000" w:themeColor="text1"/>
          <w:kern w:val="0"/>
          <w:lang w:eastAsia="en-GB"/>
          <w14:ligatures w14:val="none"/>
        </w:rPr>
        <w:t xml:space="preserve"> to name relevant peer-reviewed studies, national reports, and policy documents published between 2015 and 2025. Search terms </w:t>
      </w:r>
      <w:bookmarkStart w:id="28" w:name="_Int_3p15IbjU"/>
      <w:r w:rsidRPr="4C72D9C6">
        <w:rPr>
          <w:rFonts w:ascii="Arial" w:eastAsia="Arial" w:hAnsi="Arial" w:cs="Arial"/>
          <w:color w:val="000000" w:themeColor="text1"/>
          <w:kern w:val="0"/>
          <w:lang w:eastAsia="en-GB"/>
          <w14:ligatures w14:val="none"/>
        </w:rPr>
        <w:t>were drawn</w:t>
      </w:r>
      <w:bookmarkEnd w:id="28"/>
      <w:r w:rsidRPr="4C72D9C6">
        <w:rPr>
          <w:rFonts w:ascii="Arial" w:eastAsia="Arial" w:hAnsi="Arial" w:cs="Arial"/>
          <w:color w:val="000000" w:themeColor="text1"/>
          <w:kern w:val="0"/>
          <w:lang w:eastAsia="en-GB"/>
          <w14:ligatures w14:val="none"/>
        </w:rPr>
        <w:t xml:space="preserve"> from the project title and aims, focusing on ADHD, early diagnosis, classroom behaviour, educational outcomes, boys, UK, and CAMHS.</w:t>
      </w:r>
    </w:p>
    <w:p w14:paraId="5DAF8509" w14:textId="77777777" w:rsidR="00323936" w:rsidRPr="00323936" w:rsidRDefault="00323936"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Boolean operators were applied to refine results:</w:t>
      </w:r>
    </w:p>
    <w:p w14:paraId="318F88FB" w14:textId="77777777" w:rsidR="00323936" w:rsidRPr="00323936" w:rsidRDefault="00323936" w:rsidP="4C72D9C6">
      <w:pPr>
        <w:numPr>
          <w:ilvl w:val="0"/>
          <w:numId w:val="115"/>
        </w:num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“ADHD” AND “early diagnosis”</w:t>
      </w:r>
    </w:p>
    <w:p w14:paraId="6A86CF6F" w14:textId="77777777" w:rsidR="00323936" w:rsidRPr="00323936" w:rsidRDefault="00323936" w:rsidP="4C72D9C6">
      <w:pPr>
        <w:numPr>
          <w:ilvl w:val="0"/>
          <w:numId w:val="115"/>
        </w:num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“ADHD” AND (“education” OR “school performance”)</w:t>
      </w:r>
    </w:p>
    <w:p w14:paraId="76A50D53" w14:textId="1D54F9C8" w:rsidR="00323936" w:rsidRPr="00323936" w:rsidRDefault="00323936" w:rsidP="4C72D9C6">
      <w:pPr>
        <w:numPr>
          <w:ilvl w:val="0"/>
          <w:numId w:val="115"/>
        </w:num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“ADHD” AND “boys” AND “UK primary schools”</w:t>
      </w:r>
    </w:p>
    <w:p w14:paraId="30A56140" w14:textId="4D5D8218" w:rsidR="00323936" w:rsidRPr="00323936" w:rsidRDefault="00323936"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Synonyms such as early identification, neurodevelopmental disorder, and behavioural outcomes were also used to capture broader terminology. The search process was recorded systematically to ensure consistency and transparency.</w:t>
      </w:r>
    </w:p>
    <w:p w14:paraId="6F7F2504" w14:textId="23D9F6BA" w:rsidR="00323936" w:rsidRPr="00323936" w:rsidRDefault="00323936"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Figure 1. Search Process Flowchart: A visual representation of the structured search stages from keyword identification through screening, validation, and thematic coding.</w:t>
      </w:r>
    </w:p>
    <w:p w14:paraId="78A0F8D0" w14:textId="31A21642" w:rsidR="00323936" w:rsidRPr="00323936" w:rsidRDefault="00323936" w:rsidP="4C72D9C6">
      <w:pPr>
        <w:spacing w:after="0"/>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Figure 1. Search Process Flowchart</w:t>
      </w:r>
    </w:p>
    <w:p w14:paraId="52762E2F" w14:textId="6008A172" w:rsidR="00323936" w:rsidRPr="00323936" w:rsidRDefault="00323936"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 xml:space="preserve"> </w:t>
      </w:r>
      <w:r w:rsidR="00BF1B3D" w:rsidRPr="00323936">
        <w:rPr>
          <w:rFonts w:asciiTheme="minorHAnsi" w:hAnsiTheme="minorHAnsi"/>
          <w:noProof/>
          <w:sz w:val="24"/>
          <w:szCs w:val="24"/>
          <w:lang w:eastAsia="en-GB"/>
        </w:rPr>
        <w:drawing>
          <wp:anchor distT="0" distB="0" distL="114300" distR="114300" simplePos="0" relativeHeight="251658242" behindDoc="0" locked="0" layoutInCell="1" allowOverlap="1" wp14:anchorId="4626855B" wp14:editId="3687B74C">
            <wp:simplePos x="0" y="0"/>
            <wp:positionH relativeFrom="column">
              <wp:posOffset>0</wp:posOffset>
            </wp:positionH>
            <wp:positionV relativeFrom="paragraph">
              <wp:posOffset>346075</wp:posOffset>
            </wp:positionV>
            <wp:extent cx="1587158" cy="1949812"/>
            <wp:effectExtent l="0" t="0" r="0" b="0"/>
            <wp:wrapTopAndBottom/>
            <wp:docPr id="4441962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813359" name=""/>
                    <pic:cNvPicPr/>
                  </pic:nvPicPr>
                  <pic:blipFill>
                    <a:blip r:embed="rId13"/>
                    <a:stretch>
                      <a:fillRect/>
                    </a:stretch>
                  </pic:blipFill>
                  <pic:spPr>
                    <a:xfrm>
                      <a:off x="0" y="0"/>
                      <a:ext cx="1587158" cy="1949812"/>
                    </a:xfrm>
                    <a:prstGeom prst="rect">
                      <a:avLst/>
                    </a:prstGeom>
                  </pic:spPr>
                </pic:pic>
              </a:graphicData>
            </a:graphic>
            <wp14:sizeRelH relativeFrom="margin">
              <wp14:pctWidth>0</wp14:pctWidth>
            </wp14:sizeRelH>
            <wp14:sizeRelV relativeFrom="margin">
              <wp14:pctHeight>0</wp14:pctHeight>
            </wp14:sizeRelV>
          </wp:anchor>
        </w:drawing>
      </w:r>
    </w:p>
    <w:p w14:paraId="63DD2B7E" w14:textId="3705B060" w:rsidR="00BF1B3D" w:rsidRDefault="00BF1B3D" w:rsidP="4C72D9C6">
      <w:pPr>
        <w:spacing w:after="0"/>
        <w:jc w:val="left"/>
        <w:rPr>
          <w:rFonts w:ascii="Arial" w:eastAsia="Arial" w:hAnsi="Arial" w:cs="Arial"/>
          <w:color w:val="000000" w:themeColor="text1"/>
          <w:kern w:val="0"/>
          <w:lang w:eastAsia="en-GB"/>
          <w14:ligatures w14:val="none"/>
        </w:rPr>
      </w:pPr>
    </w:p>
    <w:p w14:paraId="75FA9ADA" w14:textId="77777777" w:rsidR="00BF1B3D" w:rsidRPr="00323936" w:rsidRDefault="00BF1B3D" w:rsidP="4C72D9C6">
      <w:pPr>
        <w:spacing w:after="0"/>
        <w:jc w:val="left"/>
        <w:rPr>
          <w:rFonts w:ascii="Arial" w:eastAsia="Arial" w:hAnsi="Arial" w:cs="Arial"/>
          <w:color w:val="000000" w:themeColor="text1"/>
          <w:kern w:val="0"/>
          <w:lang w:eastAsia="en-GB"/>
          <w14:ligatures w14:val="none"/>
        </w:rPr>
      </w:pPr>
    </w:p>
    <w:p w14:paraId="38BF3520" w14:textId="77777777" w:rsidR="00323936" w:rsidRPr="00323936" w:rsidRDefault="00323936" w:rsidP="4C72D9C6">
      <w:pPr>
        <w:spacing w:before="100" w:beforeAutospacing="1" w:after="100" w:afterAutospacing="1"/>
        <w:jc w:val="left"/>
        <w:outlineLvl w:val="2"/>
        <w:rPr>
          <w:rFonts w:ascii="Arial" w:eastAsia="Arial" w:hAnsi="Arial" w:cs="Arial"/>
          <w:b/>
          <w:bCs/>
          <w:color w:val="000000" w:themeColor="text1"/>
          <w:kern w:val="0"/>
          <w:lang w:eastAsia="en-GB"/>
          <w14:ligatures w14:val="none"/>
        </w:rPr>
      </w:pPr>
      <w:r w:rsidRPr="4C72D9C6">
        <w:rPr>
          <w:rFonts w:ascii="Arial" w:eastAsia="Arial" w:hAnsi="Arial" w:cs="Arial"/>
          <w:b/>
          <w:bCs/>
          <w:color w:val="000000" w:themeColor="text1"/>
          <w:kern w:val="0"/>
          <w:lang w:eastAsia="en-GB"/>
          <w14:ligatures w14:val="none"/>
        </w:rPr>
        <w:t>3.3 Searching for Information</w:t>
      </w:r>
    </w:p>
    <w:p w14:paraId="50FF83A5" w14:textId="77777777" w:rsidR="00323936" w:rsidRPr="00323936" w:rsidRDefault="00323936"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Databases and academic platforms were selected for their credibility, accessibility, and relevance to health and education. Searches were conducted primarily through:</w:t>
      </w:r>
    </w:p>
    <w:p w14:paraId="756A33C5" w14:textId="408CDE9E" w:rsidR="00323936" w:rsidRPr="00323936" w:rsidRDefault="00323936" w:rsidP="4C72D9C6">
      <w:pPr>
        <w:numPr>
          <w:ilvl w:val="0"/>
          <w:numId w:val="116"/>
        </w:num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 xml:space="preserve">UWTSD Library </w:t>
      </w:r>
      <w:r w:rsidR="20FCE11E" w:rsidRPr="4C72D9C6">
        <w:rPr>
          <w:rFonts w:ascii="Arial" w:eastAsia="Arial" w:hAnsi="Arial" w:cs="Arial"/>
          <w:color w:val="000000" w:themeColor="text1"/>
          <w:kern w:val="0"/>
          <w:lang w:eastAsia="en-GB"/>
          <w14:ligatures w14:val="none"/>
        </w:rPr>
        <w:t>ProQuest Central</w:t>
      </w:r>
      <w:r w:rsidRPr="4C72D9C6">
        <w:rPr>
          <w:rFonts w:ascii="Arial" w:eastAsia="Arial" w:hAnsi="Arial" w:cs="Arial"/>
          <w:color w:val="000000" w:themeColor="text1"/>
          <w:kern w:val="0"/>
          <w:lang w:eastAsia="en-GB"/>
          <w14:ligatures w14:val="none"/>
        </w:rPr>
        <w:t xml:space="preserve"> (for access to peer-reviewed academic journals)</w:t>
      </w:r>
    </w:p>
    <w:p w14:paraId="0650FCD0" w14:textId="77777777" w:rsidR="00323936" w:rsidRPr="00323936" w:rsidRDefault="00323936" w:rsidP="4C72D9C6">
      <w:pPr>
        <w:numPr>
          <w:ilvl w:val="0"/>
          <w:numId w:val="116"/>
        </w:num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Google Scholar (to widen scope and include grey literature)</w:t>
      </w:r>
    </w:p>
    <w:p w14:paraId="6BFF6EC8" w14:textId="77777777" w:rsidR="00323936" w:rsidRPr="00323936" w:rsidRDefault="00323936" w:rsidP="4C72D9C6">
      <w:pPr>
        <w:numPr>
          <w:ilvl w:val="0"/>
          <w:numId w:val="116"/>
        </w:num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ScienceDirect and Taylor &amp; Francis Online (for psychology and education-related journals)</w:t>
      </w:r>
    </w:p>
    <w:p w14:paraId="4149E9D7" w14:textId="77777777" w:rsidR="00323936" w:rsidRPr="00323936" w:rsidRDefault="00323936" w:rsidP="4C72D9C6">
      <w:pPr>
        <w:numPr>
          <w:ilvl w:val="0"/>
          <w:numId w:val="116"/>
        </w:num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NHS Digital and GOV.UK (for policy, legislation, and statistical data)</w:t>
      </w:r>
    </w:p>
    <w:p w14:paraId="4B9CA842" w14:textId="77777777" w:rsidR="00323936" w:rsidRPr="00323936" w:rsidRDefault="00323936"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53EFCCEF" w14:textId="77777777" w:rsidR="00323936" w:rsidRPr="00323936" w:rsidRDefault="00323936"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PubMed was considered but excluded, as its clinical focus and medical terminology were less relevant to the educational and psychosocial dimensions of this dissertation. Filters were applied to restrict results to English-language studies published between 2015–2025 and, where possible, to UK-based contexts.</w:t>
      </w:r>
    </w:p>
    <w:p w14:paraId="3195C850" w14:textId="77777777" w:rsidR="00323936" w:rsidRPr="00323936" w:rsidRDefault="00323936"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A Source Tracking Table (Appendix A) was used to record the title, author, year, method, and relevance of each study. A Results Summary Table (Appendix B1) captures the main findings, strengths and limitations, research methods, and coded keywords for each reviewed source. A Thematic Analysis Summary Table (Appendix B2) presents coded patterns and emerging themes generated during the analysis.</w:t>
      </w:r>
    </w:p>
    <w:p w14:paraId="5A327695" w14:textId="77777777" w:rsidR="00323936" w:rsidRPr="00323936" w:rsidRDefault="00323936"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5CFC23F2" w14:textId="77777777" w:rsidR="00323936" w:rsidRPr="00323936" w:rsidRDefault="00323936" w:rsidP="4C72D9C6">
      <w:pPr>
        <w:spacing w:before="100" w:beforeAutospacing="1" w:after="100" w:afterAutospacing="1"/>
        <w:jc w:val="left"/>
        <w:outlineLvl w:val="2"/>
        <w:rPr>
          <w:rFonts w:ascii="Arial" w:eastAsia="Arial" w:hAnsi="Arial" w:cs="Arial"/>
          <w:b/>
          <w:bCs/>
          <w:color w:val="000000" w:themeColor="text1"/>
          <w:kern w:val="0"/>
          <w:lang w:eastAsia="en-GB"/>
          <w14:ligatures w14:val="none"/>
        </w:rPr>
      </w:pPr>
      <w:r w:rsidRPr="4C72D9C6">
        <w:rPr>
          <w:rFonts w:ascii="Arial" w:eastAsia="Arial" w:hAnsi="Arial" w:cs="Arial"/>
          <w:b/>
          <w:bCs/>
          <w:color w:val="000000" w:themeColor="text1"/>
          <w:kern w:val="0"/>
          <w:lang w:eastAsia="en-GB"/>
          <w14:ligatures w14:val="none"/>
        </w:rPr>
        <w:t>3.4 Research Validation</w:t>
      </w:r>
    </w:p>
    <w:p w14:paraId="4FFBD161" w14:textId="77777777" w:rsidR="00323936" w:rsidRPr="00323936" w:rsidRDefault="00323936"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Validation of sources followed a critical screening process to ensure that only high-quality, credible materials were included. Articles were first reviewed using their title, abstract, and conclusion to assess alignment with the research question and goals. Full-text screening was then conducted to confirm methodological rigour and relevance to the study’s population—White British boys aged 5–11 diagnosed with ADHD.</w:t>
      </w:r>
    </w:p>
    <w:p w14:paraId="0A9C679C" w14:textId="77777777" w:rsidR="00323936" w:rsidRPr="00323936" w:rsidRDefault="00323936"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The CRAAP Test (Currency, Relevance, Authority, Accuracy, and Purpose) guided this quality-assurance process. Priority was given to recent, peer-reviewed publications (2015–2025) to ensure that evidence reflects current UK education and health contexts. Policy documents from NICE (2018; reviewed 2025), NHS England (2025) and DfE/DHSC (2015) were also included to show legislative and practice-based relevance.</w:t>
      </w:r>
    </w:p>
    <w:p w14:paraId="2D3F7855" w14:textId="77777777" w:rsidR="00323936" w:rsidRPr="00323936" w:rsidRDefault="00323936"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Each shortlisted article was appraised using the CRAAP criteria to confirm that the literature selected for this study was reliable, current, and academically credible (see Appendix B1). An example of this decision-making process included the exclusion of older or non-UK studies that did not align with the UK education system, ensuring that the review kept contextual integrity and directly supported the theoretical foundation shown in Chapters 1 and 2.</w:t>
      </w:r>
    </w:p>
    <w:p w14:paraId="4BAAE09E" w14:textId="49CEAC91" w:rsidR="4C72D9C6" w:rsidRDefault="4C72D9C6" w:rsidP="4C72D9C6">
      <w:pPr>
        <w:spacing w:beforeAutospacing="1" w:afterAutospacing="1"/>
        <w:jc w:val="left"/>
        <w:rPr>
          <w:rFonts w:ascii="Arial" w:eastAsia="Arial" w:hAnsi="Arial" w:cs="Arial"/>
          <w:b/>
          <w:bCs/>
          <w:color w:val="000000" w:themeColor="text1"/>
          <w:lang w:eastAsia="en-GB"/>
        </w:rPr>
      </w:pPr>
    </w:p>
    <w:p w14:paraId="25E0CBA9" w14:textId="77777777" w:rsidR="00323936" w:rsidRPr="00323936" w:rsidRDefault="00323936" w:rsidP="4C72D9C6">
      <w:pPr>
        <w:spacing w:before="100" w:beforeAutospacing="1" w:after="100" w:afterAutospacing="1"/>
        <w:jc w:val="left"/>
        <w:outlineLvl w:val="2"/>
        <w:rPr>
          <w:rFonts w:ascii="Arial" w:eastAsia="Arial" w:hAnsi="Arial" w:cs="Arial"/>
          <w:b/>
          <w:bCs/>
          <w:color w:val="000000" w:themeColor="text1"/>
          <w:kern w:val="0"/>
          <w:lang w:eastAsia="en-GB"/>
          <w14:ligatures w14:val="none"/>
        </w:rPr>
      </w:pPr>
      <w:r w:rsidRPr="4C72D9C6">
        <w:rPr>
          <w:rFonts w:ascii="Arial" w:eastAsia="Arial" w:hAnsi="Arial" w:cs="Arial"/>
          <w:b/>
          <w:bCs/>
          <w:color w:val="000000" w:themeColor="text1"/>
          <w:kern w:val="0"/>
          <w:lang w:eastAsia="en-GB"/>
          <w14:ligatures w14:val="none"/>
        </w:rPr>
        <w:t>3.5 Inclusion and Exclusion Criteria</w:t>
      </w:r>
    </w:p>
    <w:p w14:paraId="3BF1E4E4" w14:textId="77777777" w:rsidR="00323936" w:rsidRPr="00323936" w:rsidRDefault="00323936"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 xml:space="preserve">To </w:t>
      </w:r>
      <w:bookmarkStart w:id="29" w:name="_Int_HGtkRpHM"/>
      <w:r w:rsidRPr="4C72D9C6">
        <w:rPr>
          <w:rFonts w:ascii="Arial" w:eastAsia="Arial" w:hAnsi="Arial" w:cs="Arial"/>
          <w:color w:val="000000" w:themeColor="text1"/>
          <w:kern w:val="0"/>
          <w:lang w:eastAsia="en-GB"/>
          <w14:ligatures w14:val="none"/>
        </w:rPr>
        <w:t>maintain</w:t>
      </w:r>
      <w:bookmarkEnd w:id="29"/>
      <w:r w:rsidRPr="4C72D9C6">
        <w:rPr>
          <w:rFonts w:ascii="Arial" w:eastAsia="Arial" w:hAnsi="Arial" w:cs="Arial"/>
          <w:color w:val="000000" w:themeColor="text1"/>
          <w:kern w:val="0"/>
          <w:lang w:eastAsia="en-GB"/>
          <w14:ligatures w14:val="none"/>
        </w:rPr>
        <w:t xml:space="preserve"> methodological rigour, clear inclusion and exclusion parameters were proved to ensure that only the most relevant and credible literature informed the review. These criteria supported a systematic approach, reducing bias and enhancing the reliability of the findings. The selected studies reflected current UK educational and healthcare contexts while staying closely aligned with the project’s aim of examining early ADHD diagnosis in boys aged 5–11.</w:t>
      </w:r>
    </w:p>
    <w:p w14:paraId="49E6D824" w14:textId="77777777" w:rsidR="00323936" w:rsidRPr="00323936" w:rsidRDefault="00323936"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i/>
          <w:iCs/>
          <w:color w:val="000000" w:themeColor="text1"/>
          <w:kern w:val="0"/>
          <w:lang w:eastAsia="en-GB"/>
          <w14:ligatures w14:val="none"/>
        </w:rPr>
        <w:t>Inclusion Criteria</w:t>
      </w:r>
      <w:r w:rsidRPr="4C72D9C6">
        <w:rPr>
          <w:rFonts w:ascii="Arial" w:eastAsia="Arial" w:hAnsi="Arial" w:cs="Arial"/>
          <w:color w:val="000000" w:themeColor="text1"/>
          <w:kern w:val="0"/>
          <w:lang w:eastAsia="en-GB"/>
          <w14:ligatures w14:val="none"/>
        </w:rPr>
        <w:t>:</w:t>
      </w:r>
    </w:p>
    <w:p w14:paraId="37FECAB3" w14:textId="77777777" w:rsidR="00323936" w:rsidRPr="00323936" w:rsidRDefault="00323936" w:rsidP="4C72D9C6">
      <w:pPr>
        <w:numPr>
          <w:ilvl w:val="0"/>
          <w:numId w:val="117"/>
        </w:num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Peer-reviewed studies published 2015–2025</w:t>
      </w:r>
    </w:p>
    <w:p w14:paraId="44B304E7" w14:textId="77777777" w:rsidR="00323936" w:rsidRPr="00323936" w:rsidRDefault="00323936" w:rsidP="4C72D9C6">
      <w:pPr>
        <w:numPr>
          <w:ilvl w:val="0"/>
          <w:numId w:val="117"/>
        </w:num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Research focused on children aged 5–11</w:t>
      </w:r>
    </w:p>
    <w:p w14:paraId="22CFDD86" w14:textId="77777777" w:rsidR="00323936" w:rsidRPr="00323936" w:rsidRDefault="00323936" w:rsidP="4C72D9C6">
      <w:pPr>
        <w:numPr>
          <w:ilvl w:val="0"/>
          <w:numId w:val="117"/>
        </w:num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UK-based or comparable Western education systems</w:t>
      </w:r>
    </w:p>
    <w:p w14:paraId="1B721BB9" w14:textId="77777777" w:rsidR="00323936" w:rsidRPr="00323936" w:rsidRDefault="00323936" w:rsidP="4C72D9C6">
      <w:pPr>
        <w:numPr>
          <w:ilvl w:val="0"/>
          <w:numId w:val="117"/>
        </w:num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Sources addressing ADHD diagnosis, education, or behaviour</w:t>
      </w:r>
    </w:p>
    <w:p w14:paraId="039E4AF9" w14:textId="77777777" w:rsidR="00323936" w:rsidRPr="00323936" w:rsidRDefault="00323936" w:rsidP="4C72D9C6">
      <w:pPr>
        <w:numPr>
          <w:ilvl w:val="0"/>
          <w:numId w:val="117"/>
        </w:num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National policy and guidance documents (e.g., NICE, DfE, NHS England)</w:t>
      </w:r>
    </w:p>
    <w:p w14:paraId="6AAEDFDC" w14:textId="77777777" w:rsidR="00323936" w:rsidRPr="00323936" w:rsidRDefault="00323936" w:rsidP="4C72D9C6">
      <w:pPr>
        <w:spacing w:before="100" w:beforeAutospacing="1" w:after="100" w:afterAutospacing="1"/>
        <w:jc w:val="left"/>
        <w:rPr>
          <w:rFonts w:ascii="Arial" w:eastAsia="Arial" w:hAnsi="Arial" w:cs="Arial"/>
          <w:i/>
          <w:iCs/>
          <w:color w:val="000000" w:themeColor="text1"/>
          <w:kern w:val="0"/>
          <w:lang w:eastAsia="en-GB"/>
          <w14:ligatures w14:val="none"/>
        </w:rPr>
      </w:pPr>
      <w:r w:rsidRPr="4C72D9C6">
        <w:rPr>
          <w:rFonts w:ascii="Arial" w:eastAsia="Arial" w:hAnsi="Arial" w:cs="Arial"/>
          <w:i/>
          <w:iCs/>
          <w:color w:val="000000" w:themeColor="text1"/>
          <w:kern w:val="0"/>
          <w:lang w:eastAsia="en-GB"/>
          <w14:ligatures w14:val="none"/>
        </w:rPr>
        <w:t>Exclusion Criteria:</w:t>
      </w:r>
    </w:p>
    <w:p w14:paraId="51CEFDF8" w14:textId="77777777" w:rsidR="00323936" w:rsidRPr="00323936" w:rsidRDefault="00323936" w:rsidP="4C72D9C6">
      <w:pPr>
        <w:numPr>
          <w:ilvl w:val="0"/>
          <w:numId w:val="118"/>
        </w:num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Articles not written in English</w:t>
      </w:r>
    </w:p>
    <w:p w14:paraId="0CF20763" w14:textId="77777777" w:rsidR="00323936" w:rsidRPr="00323936" w:rsidRDefault="00323936" w:rsidP="4C72D9C6">
      <w:pPr>
        <w:numPr>
          <w:ilvl w:val="0"/>
          <w:numId w:val="118"/>
        </w:num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Studies older than 2015 unless historically significant</w:t>
      </w:r>
    </w:p>
    <w:p w14:paraId="3C1210D8" w14:textId="77777777" w:rsidR="00323936" w:rsidRPr="00323936" w:rsidRDefault="00323936" w:rsidP="4C72D9C6">
      <w:pPr>
        <w:numPr>
          <w:ilvl w:val="0"/>
          <w:numId w:val="118"/>
        </w:num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Non-academic blogs, commercial websites, or opinion pieces</w:t>
      </w:r>
    </w:p>
    <w:p w14:paraId="1C1D0AEF" w14:textId="77777777" w:rsidR="00323936" w:rsidRPr="00323936" w:rsidRDefault="00323936" w:rsidP="4C72D9C6">
      <w:pPr>
        <w:numPr>
          <w:ilvl w:val="0"/>
          <w:numId w:val="118"/>
        </w:num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Clinical-only studies without educational or behavioural relevance</w:t>
      </w:r>
    </w:p>
    <w:p w14:paraId="21392BD9" w14:textId="5BC189C5" w:rsidR="00323936" w:rsidRPr="00323936" w:rsidRDefault="00323936" w:rsidP="4C72D9C6">
      <w:pPr>
        <w:spacing w:after="0"/>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A full summary of the inclusion and exclusion parameters applied during the review process is provided in</w:t>
      </w:r>
      <w:r w:rsidR="00CD38B5" w:rsidRPr="4C72D9C6">
        <w:rPr>
          <w:rFonts w:ascii="Arial" w:eastAsia="Arial" w:hAnsi="Arial" w:cs="Arial"/>
          <w:color w:val="000000" w:themeColor="text1"/>
          <w:kern w:val="0"/>
          <w:lang w:eastAsia="en-GB"/>
          <w14:ligatures w14:val="none"/>
        </w:rPr>
        <w:t xml:space="preserve"> </w:t>
      </w:r>
      <w:r w:rsidRPr="4C72D9C6">
        <w:rPr>
          <w:rFonts w:ascii="Arial" w:eastAsia="Arial" w:hAnsi="Arial" w:cs="Arial"/>
          <w:color w:val="000000" w:themeColor="text1"/>
          <w:kern w:val="0"/>
          <w:lang w:eastAsia="en-GB"/>
          <w14:ligatures w14:val="none"/>
        </w:rPr>
        <w:t>Appendix C.</w:t>
      </w:r>
    </w:p>
    <w:p w14:paraId="2953E013" w14:textId="77777777" w:rsidR="00323936" w:rsidRPr="00323936" w:rsidRDefault="00323936" w:rsidP="4C72D9C6">
      <w:pPr>
        <w:spacing w:after="0"/>
        <w:jc w:val="left"/>
        <w:rPr>
          <w:rFonts w:ascii="Arial" w:eastAsia="Arial" w:hAnsi="Arial" w:cs="Arial"/>
          <w:color w:val="000000" w:themeColor="text1"/>
          <w:kern w:val="0"/>
          <w:lang w:eastAsia="en-GB"/>
          <w14:ligatures w14:val="none"/>
        </w:rPr>
      </w:pPr>
    </w:p>
    <w:p w14:paraId="11C8143E" w14:textId="77777777" w:rsidR="00323936" w:rsidRPr="00323936" w:rsidRDefault="00323936" w:rsidP="4C72D9C6">
      <w:pPr>
        <w:spacing w:before="100" w:beforeAutospacing="1" w:after="100" w:afterAutospacing="1"/>
        <w:jc w:val="left"/>
        <w:outlineLvl w:val="2"/>
        <w:rPr>
          <w:rFonts w:ascii="Arial" w:eastAsia="Arial" w:hAnsi="Arial" w:cs="Arial"/>
          <w:b/>
          <w:bCs/>
          <w:color w:val="000000" w:themeColor="text1"/>
          <w:kern w:val="0"/>
          <w:lang w:eastAsia="en-GB"/>
          <w14:ligatures w14:val="none"/>
        </w:rPr>
      </w:pPr>
      <w:r w:rsidRPr="4C72D9C6">
        <w:rPr>
          <w:rFonts w:ascii="Arial" w:eastAsia="Arial" w:hAnsi="Arial" w:cs="Arial"/>
          <w:b/>
          <w:bCs/>
          <w:color w:val="000000" w:themeColor="text1"/>
          <w:kern w:val="0"/>
          <w:lang w:eastAsia="en-GB"/>
          <w14:ligatures w14:val="none"/>
        </w:rPr>
        <w:t>3.6 Analysing Research</w:t>
      </w:r>
    </w:p>
    <w:p w14:paraId="43BD521C" w14:textId="77777777" w:rsidR="00323936" w:rsidRPr="00323936" w:rsidRDefault="00323936"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A thematic coding approach was used to analyse the selected studies. Each article was examined in detail to show recurring ideas such as early intervention, teacher awareness, parental engagement, waiting-time inequalities, and policy barriers. Initial codes were refined and grouped into four overarching themes reflecting the multi-dimensional nature of ADHD:</w:t>
      </w:r>
    </w:p>
    <w:p w14:paraId="5103CFDE" w14:textId="77777777" w:rsidR="00323936" w:rsidRPr="00323936" w:rsidRDefault="00323936" w:rsidP="4C72D9C6">
      <w:pPr>
        <w:numPr>
          <w:ilvl w:val="0"/>
          <w:numId w:val="119"/>
        </w:num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Early diagnosis and access to support</w:t>
      </w:r>
    </w:p>
    <w:p w14:paraId="1A4A4D5E" w14:textId="77777777" w:rsidR="00323936" w:rsidRPr="00323936" w:rsidRDefault="00323936" w:rsidP="4C72D9C6">
      <w:pPr>
        <w:numPr>
          <w:ilvl w:val="0"/>
          <w:numId w:val="119"/>
        </w:num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Teacher awareness and classroom practice</w:t>
      </w:r>
    </w:p>
    <w:p w14:paraId="2F86E132" w14:textId="77777777" w:rsidR="00323936" w:rsidRPr="00323936" w:rsidRDefault="00323936" w:rsidP="4C72D9C6">
      <w:pPr>
        <w:numPr>
          <w:ilvl w:val="0"/>
          <w:numId w:val="119"/>
        </w:num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Multi-agency collaboration and family involvement</w:t>
      </w:r>
    </w:p>
    <w:p w14:paraId="647A1108" w14:textId="77777777" w:rsidR="00323936" w:rsidRPr="00323936" w:rsidRDefault="00323936" w:rsidP="4C72D9C6">
      <w:pPr>
        <w:numPr>
          <w:ilvl w:val="0"/>
          <w:numId w:val="119"/>
        </w:num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Socio-economic and regional inequalities</w:t>
      </w:r>
    </w:p>
    <w:p w14:paraId="39EC3FE4" w14:textId="77777777" w:rsidR="00323936" w:rsidRPr="00323936" w:rsidRDefault="00323936"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375BDB74" w14:textId="0E89E9CD" w:rsidR="00323936" w:rsidRPr="00323936" w:rsidRDefault="00323936" w:rsidP="4C72D9C6">
      <w:pPr>
        <w:spacing w:after="0"/>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A full summary of the thematic analysis, including supporting sources and key findings, is provided in</w:t>
      </w:r>
      <w:r w:rsidR="005D627F" w:rsidRPr="4C72D9C6">
        <w:rPr>
          <w:rFonts w:ascii="Arial" w:eastAsia="Arial" w:hAnsi="Arial" w:cs="Arial"/>
          <w:color w:val="000000" w:themeColor="text1"/>
          <w:kern w:val="0"/>
          <w:lang w:eastAsia="en-GB"/>
          <w14:ligatures w14:val="none"/>
        </w:rPr>
        <w:t xml:space="preserve"> </w:t>
      </w:r>
      <w:r w:rsidRPr="4C72D9C6">
        <w:rPr>
          <w:rFonts w:ascii="Arial" w:eastAsia="Arial" w:hAnsi="Arial" w:cs="Arial"/>
          <w:color w:val="000000" w:themeColor="text1"/>
          <w:kern w:val="0"/>
          <w:lang w:eastAsia="en-GB"/>
          <w14:ligatures w14:val="none"/>
        </w:rPr>
        <w:t>Appendix B2 (Thematic Analysis Summary Table).</w:t>
      </w:r>
    </w:p>
    <w:p w14:paraId="525033C7" w14:textId="7513AA84" w:rsidR="00AA1E7E" w:rsidRDefault="00AA1E7E" w:rsidP="4C72D9C6">
      <w:pPr>
        <w:pStyle w:val="p1"/>
        <w:spacing w:line="360" w:lineRule="auto"/>
        <w:rPr>
          <w:rStyle w:val="s1"/>
          <w:rFonts w:ascii="Arial" w:eastAsia="Arial" w:hAnsi="Arial" w:cs="Arial"/>
          <w:color w:val="000000" w:themeColor="text1"/>
          <w:sz w:val="22"/>
          <w:szCs w:val="22"/>
        </w:rPr>
      </w:pPr>
      <w:r w:rsidRPr="4C72D9C6">
        <w:rPr>
          <w:rStyle w:val="s1"/>
          <w:rFonts w:ascii="Arial" w:eastAsia="Arial" w:hAnsi="Arial" w:cs="Arial"/>
          <w:color w:val="000000" w:themeColor="text1"/>
          <w:sz w:val="22"/>
          <w:szCs w:val="22"/>
        </w:rPr>
        <w:t>Figure 2 below shows how early ADHD diagnosis leads to prompt interventions, better academic performance, and emotional wellbeing, supporting inclusion in UK primary schools. It also reflects key policy frameworks such as the SEND Code of Practice (2015) and the Equality Act (2010), which guide early identification and fair support.”</w:t>
      </w:r>
    </w:p>
    <w:p w14:paraId="1FC644F6" w14:textId="67362D3A" w:rsidR="00323936" w:rsidRPr="00323936" w:rsidRDefault="00E345D7"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 xml:space="preserve">                          </w:t>
      </w:r>
      <w:r w:rsidR="0097206F" w:rsidRPr="4C72D9C6">
        <w:rPr>
          <w:rFonts w:ascii="Arial" w:eastAsia="Arial" w:hAnsi="Arial" w:cs="Arial"/>
          <w:color w:val="000000" w:themeColor="text1"/>
          <w:kern w:val="0"/>
          <w:lang w:eastAsia="en-GB"/>
          <w14:ligatures w14:val="none"/>
        </w:rPr>
        <w:t xml:space="preserve">                  Figure 2</w:t>
      </w:r>
    </w:p>
    <w:p w14:paraId="145048E4" w14:textId="77777777" w:rsidR="00323936" w:rsidRPr="00323936" w:rsidRDefault="00323936" w:rsidP="4C72D9C6">
      <w:pPr>
        <w:spacing w:before="100" w:beforeAutospacing="1" w:after="100" w:afterAutospacing="1"/>
        <w:jc w:val="left"/>
        <w:rPr>
          <w:rFonts w:ascii="Arial" w:eastAsia="Arial" w:hAnsi="Arial" w:cs="Arial"/>
          <w:color w:val="000000" w:themeColor="text1"/>
          <w:kern w:val="0"/>
          <w:lang w:eastAsia="en-GB"/>
          <w14:ligatures w14:val="none"/>
        </w:rPr>
      </w:pPr>
      <w:r w:rsidRPr="00323936">
        <w:rPr>
          <w:rFonts w:ascii="Times New Roman" w:hAnsi="Times New Roman" w:cs="Times New Roman"/>
          <w:noProof/>
          <w:kern w:val="0"/>
          <w:sz w:val="24"/>
          <w:szCs w:val="24"/>
          <w:lang w:eastAsia="en-GB"/>
        </w:rPr>
        <mc:AlternateContent>
          <mc:Choice Requires="wps">
            <w:drawing>
              <wp:anchor distT="0" distB="0" distL="114300" distR="114300" simplePos="0" relativeHeight="251658241" behindDoc="0" locked="0" layoutInCell="1" allowOverlap="1" wp14:anchorId="0CC91227" wp14:editId="18CA0AA2">
                <wp:simplePos x="0" y="0"/>
                <wp:positionH relativeFrom="column">
                  <wp:posOffset>215900</wp:posOffset>
                </wp:positionH>
                <wp:positionV relativeFrom="paragraph">
                  <wp:posOffset>73025</wp:posOffset>
                </wp:positionV>
                <wp:extent cx="5295265" cy="492760"/>
                <wp:effectExtent l="0" t="0" r="19685" b="21590"/>
                <wp:wrapNone/>
                <wp:docPr id="1461279441" name="Text Box 2"/>
                <wp:cNvGraphicFramePr/>
                <a:graphic xmlns:a="http://schemas.openxmlformats.org/drawingml/2006/main">
                  <a:graphicData uri="http://schemas.microsoft.com/office/word/2010/wordprocessingShape">
                    <wps:wsp>
                      <wps:cNvSpPr txBox="1"/>
                      <wps:spPr>
                        <a:xfrm>
                          <a:off x="0" y="0"/>
                          <a:ext cx="5295265" cy="492760"/>
                        </a:xfrm>
                        <a:prstGeom prst="rect">
                          <a:avLst/>
                        </a:prstGeom>
                        <a:solidFill>
                          <a:schemeClr val="lt1"/>
                        </a:solidFill>
                        <a:ln w="6350">
                          <a:solidFill>
                            <a:prstClr val="black"/>
                          </a:solidFill>
                        </a:ln>
                      </wps:spPr>
                      <wps:txbx>
                        <w:txbxContent>
                          <w:p w14:paraId="5CF9981B" w14:textId="77777777" w:rsidR="00323936" w:rsidRPr="00504A14" w:rsidRDefault="00323936">
                            <w:pPr>
                              <w:rPr>
                                <w:b/>
                                <w:bCs/>
                              </w:rPr>
                            </w:pPr>
                            <w:r w:rsidRPr="00504A14">
                              <w:rPr>
                                <w:b/>
                                <w:bCs/>
                              </w:rPr>
                              <w:t>Early ADHD Diagnosis → Early Intervention → Improved Academic Performance → Emotional Wellbeing → Inclusion &amp; Equality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shapetype id="_x0000_t202" coordsize="21600,21600" o:spt="202" path="m,l,21600r21600,l21600,xe" w14:anchorId="0CC91227">
                <v:stroke joinstyle="miter"/>
                <v:path gradientshapeok="t" o:connecttype="rect"/>
              </v:shapetype>
              <v:shape id="Text Box 2" style="position:absolute;margin-left:17pt;margin-top:5.75pt;width:416.95pt;height:38.8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26"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">
                <v:textbox>
                  <w:txbxContent>
                    <w:p w:rsidRPr="00504A14" w:rsidR="00323936" w:rsidRDefault="00323936" w14:paraId="5CF9981B" w14:textId="77777777">
                      <w:pPr>
                        <w:rPr>
                          <w:b/>
                          <w:bCs/>
                        </w:rPr>
                      </w:pPr>
                      <w:r w:rsidRPr="00504A14">
                        <w:rPr>
                          <w:b/>
                          <w:bCs/>
                        </w:rPr>
                        <w:t>Early ADHD Diagnosis → Early Intervention → Improved Academic Performance → Emotional Wellbeing → Inclusion &amp; Equality</w:t>
                      </w:r>
                    </w:p>
                  </w:txbxContent>
                </v:textbox>
              </v:shape>
            </w:pict>
          </mc:Fallback>
        </mc:AlternateContent>
      </w:r>
      <w:r w:rsidRPr="4C72D9C6">
        <w:rPr>
          <w:rFonts w:ascii="Arial" w:eastAsia="Arial" w:hAnsi="Arial" w:cs="Arial"/>
          <w:color w:val="000000" w:themeColor="text1"/>
          <w:kern w:val="0"/>
          <w:lang w:eastAsia="en-GB"/>
          <w14:ligatures w14:val="none"/>
        </w:rPr>
        <w:t xml:space="preserve"> </w:t>
      </w:r>
    </w:p>
    <w:p w14:paraId="2E7CD8F8" w14:textId="329070C7" w:rsidR="00323936" w:rsidRPr="00323936" w:rsidRDefault="00323936"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069C6DED" w14:textId="77777777" w:rsidR="00323936" w:rsidRPr="00323936" w:rsidRDefault="00323936"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5F41163A" w14:textId="2CF64214" w:rsidR="4C72D9C6" w:rsidRDefault="4C72D9C6" w:rsidP="4C72D9C6">
      <w:pPr>
        <w:spacing w:beforeAutospacing="1" w:afterAutospacing="1"/>
        <w:jc w:val="left"/>
        <w:rPr>
          <w:rFonts w:ascii="Arial" w:eastAsia="Arial" w:hAnsi="Arial" w:cs="Arial"/>
          <w:color w:val="000000" w:themeColor="text1"/>
          <w:lang w:eastAsia="en-GB"/>
        </w:rPr>
      </w:pPr>
    </w:p>
    <w:p w14:paraId="3A31D52F" w14:textId="77777777" w:rsidR="00323936" w:rsidRPr="00323936" w:rsidRDefault="00323936" w:rsidP="4C72D9C6">
      <w:pPr>
        <w:spacing w:after="0"/>
        <w:jc w:val="left"/>
        <w:rPr>
          <w:rFonts w:ascii="Arial" w:eastAsia="Arial" w:hAnsi="Arial" w:cs="Arial"/>
          <w:color w:val="000000" w:themeColor="text1"/>
          <w:kern w:val="0"/>
          <w:lang w:eastAsia="en-GB"/>
          <w14:ligatures w14:val="none"/>
        </w:rPr>
      </w:pPr>
    </w:p>
    <w:p w14:paraId="24CC311F" w14:textId="77777777" w:rsidR="00323936" w:rsidRPr="00323936" w:rsidRDefault="00323936" w:rsidP="4C72D9C6">
      <w:pPr>
        <w:spacing w:before="100" w:beforeAutospacing="1" w:after="100" w:afterAutospacing="1"/>
        <w:jc w:val="left"/>
        <w:outlineLvl w:val="2"/>
        <w:rPr>
          <w:rFonts w:ascii="Arial" w:eastAsia="Arial" w:hAnsi="Arial" w:cs="Arial"/>
          <w:b/>
          <w:bCs/>
          <w:color w:val="000000" w:themeColor="text1"/>
          <w:kern w:val="0"/>
          <w:lang w:eastAsia="en-GB"/>
          <w14:ligatures w14:val="none"/>
        </w:rPr>
      </w:pPr>
      <w:r w:rsidRPr="4C72D9C6">
        <w:rPr>
          <w:rFonts w:ascii="Arial" w:eastAsia="Arial" w:hAnsi="Arial" w:cs="Arial"/>
          <w:b/>
          <w:bCs/>
          <w:color w:val="000000" w:themeColor="text1"/>
          <w:kern w:val="0"/>
          <w:lang w:eastAsia="en-GB"/>
          <w14:ligatures w14:val="none"/>
        </w:rPr>
        <w:t>3.7 Ethical Considerations</w:t>
      </w:r>
    </w:p>
    <w:p w14:paraId="4885479B" w14:textId="77777777" w:rsidR="00323936" w:rsidRPr="00323936" w:rsidRDefault="00323936"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As this project is entirely based on secondary research, no direct involvement with human participants took place. Ethical integrity was kept through correct citation, transparent evaluation of sources, and compliance with the University of Wales Trinity Saint David’s Research Ethics Framework and the ethical guidelines of BERA (2018).</w:t>
      </w:r>
    </w:p>
    <w:p w14:paraId="3C18DAE1" w14:textId="77777777" w:rsidR="00323936" w:rsidRPr="00323936" w:rsidRDefault="00323936" w:rsidP="4C72D9C6">
      <w:pPr>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lang w:eastAsia="en-GB"/>
        </w:rPr>
        <w:t xml:space="preserve">All materials were obtained from publicly available or institutionally licensed databases. Every effort was made to prevent play, bias, and selective interpretation of findings. The study also adhered to data protection and academic integrity standards, </w:t>
      </w:r>
      <w:r w:rsidRPr="4C72D9C6">
        <w:rPr>
          <w:rFonts w:ascii="Arial" w:eastAsia="Arial" w:hAnsi="Arial" w:cs="Arial"/>
          <w:color w:val="000000" w:themeColor="text1"/>
          <w:kern w:val="0"/>
          <w:lang w:eastAsia="en-GB"/>
          <w14:ligatures w14:val="none"/>
        </w:rPr>
        <w:t>The study also adhered to data protection and academic integrity standards, ensuring respect for intellectual property and a fair, balanced analysis of the literature.</w:t>
      </w:r>
    </w:p>
    <w:p w14:paraId="2091ADDA" w14:textId="77777777" w:rsidR="00323936" w:rsidRPr="00323936" w:rsidRDefault="00323936"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0FC73BF2" w14:textId="77777777" w:rsidR="00323936" w:rsidRPr="00323936" w:rsidRDefault="00323936" w:rsidP="4C72D9C6">
      <w:pPr>
        <w:spacing w:after="0"/>
        <w:jc w:val="left"/>
        <w:rPr>
          <w:rFonts w:ascii="Arial" w:eastAsia="Arial" w:hAnsi="Arial" w:cs="Arial"/>
          <w:color w:val="000000" w:themeColor="text1"/>
          <w:kern w:val="0"/>
          <w:lang w:eastAsia="en-GB"/>
          <w14:ligatures w14:val="none"/>
        </w:rPr>
      </w:pPr>
    </w:p>
    <w:p w14:paraId="69536BC8" w14:textId="77777777" w:rsidR="00323936" w:rsidRPr="00323936" w:rsidRDefault="00323936" w:rsidP="4C72D9C6">
      <w:pPr>
        <w:spacing w:before="100" w:beforeAutospacing="1" w:after="100" w:afterAutospacing="1"/>
        <w:jc w:val="left"/>
        <w:outlineLvl w:val="2"/>
        <w:rPr>
          <w:rFonts w:ascii="Arial" w:eastAsia="Arial" w:hAnsi="Arial" w:cs="Arial"/>
          <w:b/>
          <w:bCs/>
          <w:color w:val="000000" w:themeColor="text1"/>
          <w:kern w:val="0"/>
          <w:lang w:eastAsia="en-GB"/>
          <w14:ligatures w14:val="none"/>
        </w:rPr>
      </w:pPr>
      <w:r w:rsidRPr="4C72D9C6">
        <w:rPr>
          <w:rFonts w:ascii="Arial" w:eastAsia="Arial" w:hAnsi="Arial" w:cs="Arial"/>
          <w:b/>
          <w:bCs/>
          <w:color w:val="000000" w:themeColor="text1"/>
          <w:kern w:val="0"/>
          <w:lang w:eastAsia="en-GB"/>
          <w14:ligatures w14:val="none"/>
        </w:rPr>
        <w:t>3.8 Conclusion</w:t>
      </w:r>
    </w:p>
    <w:p w14:paraId="405AD2B0" w14:textId="77777777" w:rsidR="00323936" w:rsidRPr="00323936" w:rsidRDefault="00323936"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This chapter outlined the methodological approach used to conduct this literature-based investigation into early ADHD diagnosis and its influence on boys’ educational experiences. It explained how relevant sources were systematically searched, confirmed, and analysed using thematic coding to ensure reliability and transparency.</w:t>
      </w:r>
    </w:p>
    <w:p w14:paraId="77518D84" w14:textId="77777777" w:rsidR="00323936" w:rsidRPr="00323936" w:rsidRDefault="00323936"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By combining structured review techniques with visual mapping tools, the process ensures that the findings presented in Chapter 4 are both evidence-based and aligned with the project’s overarching aim—to examine how early recognition and coordinated intervention can improve educational outcomes for children with ADHD within the UK context.</w:t>
      </w:r>
    </w:p>
    <w:p w14:paraId="0EAEEA28" w14:textId="77777777" w:rsidR="00323936" w:rsidRPr="00323936" w:rsidRDefault="00323936"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73898CB8" w14:textId="3B45E7B7" w:rsidR="001F19A6" w:rsidRPr="00FF5B5D" w:rsidRDefault="001F19A6" w:rsidP="4C72D9C6">
      <w:pPr>
        <w:rPr>
          <w:rFonts w:ascii="Arial" w:eastAsia="Arial" w:hAnsi="Arial" w:cs="Arial"/>
          <w:color w:val="000000" w:themeColor="text1"/>
        </w:rPr>
      </w:pPr>
    </w:p>
    <w:p w14:paraId="6C4734E6" w14:textId="1D7880FE" w:rsidR="4C72D9C6" w:rsidRDefault="4C72D9C6" w:rsidP="4C72D9C6">
      <w:pPr>
        <w:rPr>
          <w:rFonts w:ascii="Arial" w:eastAsia="Arial" w:hAnsi="Arial" w:cs="Arial"/>
          <w:color w:val="000000" w:themeColor="text1"/>
        </w:rPr>
      </w:pPr>
    </w:p>
    <w:p w14:paraId="1D313CC5" w14:textId="5654F4EF" w:rsidR="00DE0913" w:rsidRDefault="001C3AF6" w:rsidP="4C72D9C6">
      <w:pPr>
        <w:pStyle w:val="Heading1"/>
        <w:spacing w:line="360" w:lineRule="auto"/>
        <w:ind w:left="0"/>
        <w:rPr>
          <w:rFonts w:eastAsia="Arial" w:cs="Arial"/>
          <w:color w:val="000000" w:themeColor="text1"/>
          <w:sz w:val="22"/>
          <w:szCs w:val="22"/>
        </w:rPr>
      </w:pPr>
      <w:r w:rsidRPr="4C72D9C6">
        <w:rPr>
          <w:rFonts w:eastAsia="Arial" w:cs="Arial"/>
          <w:color w:val="000000" w:themeColor="text1"/>
          <w:sz w:val="22"/>
          <w:szCs w:val="22"/>
        </w:rPr>
        <w:t>C</w:t>
      </w:r>
      <w:r w:rsidR="00636D9A" w:rsidRPr="4C72D9C6">
        <w:rPr>
          <w:rFonts w:eastAsia="Arial" w:cs="Arial"/>
          <w:color w:val="000000" w:themeColor="text1"/>
          <w:sz w:val="22"/>
          <w:szCs w:val="22"/>
        </w:rPr>
        <w:t>HAPTER</w:t>
      </w:r>
      <w:r w:rsidRPr="4C72D9C6">
        <w:rPr>
          <w:rFonts w:eastAsia="Arial" w:cs="Arial"/>
          <w:color w:val="000000" w:themeColor="text1"/>
          <w:sz w:val="22"/>
          <w:szCs w:val="22"/>
        </w:rPr>
        <w:t xml:space="preserve"> 4 </w:t>
      </w:r>
      <w:r w:rsidR="00D55989" w:rsidRPr="4C72D9C6">
        <w:rPr>
          <w:rFonts w:eastAsia="Arial" w:cs="Arial"/>
          <w:color w:val="000000" w:themeColor="text1"/>
          <w:sz w:val="22"/>
          <w:szCs w:val="22"/>
        </w:rPr>
        <w:t>-</w:t>
      </w:r>
    </w:p>
    <w:p w14:paraId="77670E8E" w14:textId="4EEF49E1" w:rsidR="4C72D9C6" w:rsidRDefault="4C72D9C6" w:rsidP="4C72D9C6">
      <w:pPr>
        <w:pStyle w:val="Heading1"/>
        <w:spacing w:line="360" w:lineRule="auto"/>
        <w:ind w:left="0"/>
        <w:rPr>
          <w:rFonts w:eastAsia="Arial" w:cs="Arial"/>
          <w:color w:val="000000" w:themeColor="text1"/>
          <w:sz w:val="22"/>
          <w:szCs w:val="22"/>
        </w:rPr>
      </w:pPr>
    </w:p>
    <w:p w14:paraId="35BDB88D" w14:textId="77777777" w:rsidR="007F17BE" w:rsidRPr="007F17BE" w:rsidRDefault="007F17BE" w:rsidP="4C72D9C6">
      <w:pPr>
        <w:keepNext/>
        <w:keepLines/>
        <w:spacing w:before="80" w:after="40"/>
        <w:jc w:val="left"/>
        <w:outlineLvl w:val="3"/>
        <w:rPr>
          <w:rFonts w:ascii="Arial" w:eastAsia="Arial" w:hAnsi="Arial" w:cs="Arial"/>
          <w:b/>
          <w:bCs/>
          <w:color w:val="000000" w:themeColor="text1"/>
          <w:kern w:val="0"/>
          <w:lang w:eastAsia="en-GB"/>
          <w14:ligatures w14:val="none"/>
        </w:rPr>
      </w:pPr>
      <w:r w:rsidRPr="4C72D9C6">
        <w:rPr>
          <w:rFonts w:ascii="Arial" w:eastAsia="Arial" w:hAnsi="Arial" w:cs="Arial"/>
          <w:b/>
          <w:bCs/>
          <w:color w:val="000000" w:themeColor="text1"/>
          <w:kern w:val="0"/>
          <w:lang w:eastAsia="en-GB"/>
          <w14:ligatures w14:val="none"/>
        </w:rPr>
        <w:t>4.1 Introduction to Findings and Analytical Framework</w:t>
      </w:r>
    </w:p>
    <w:p w14:paraId="4A5DBCBC" w14:textId="77777777" w:rsidR="007F17BE" w:rsidRPr="007F17BE" w:rsidRDefault="007F17BE"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This chapter presents the findings and analysis of the literature reviewed, drawing together the evidence gathered through the systematic process outlined in Chapter 3. The focus is to interpret how early diagnosis of Attention-Deficit/Hyperactivity Disorder (ADHD) influences educational performance and classroom behaviour in White British boys aged 5–11 within UK primary schools. The discussion critically examines both the benefits and the limitations of early identification, highlighting how diagnostic timing, teacher competence, and multi-agency coordination intersect to shape learning outcomes.</w:t>
      </w:r>
    </w:p>
    <w:p w14:paraId="091E4507" w14:textId="77777777" w:rsidR="007F17BE" w:rsidRPr="007F17BE" w:rsidRDefault="007F17BE"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694AD104" w14:textId="77777777" w:rsidR="007F17BE" w:rsidRPr="007F17BE" w:rsidRDefault="007F17BE"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The analytical process builds upon the search strategy and validation methods presented in Figure 1 (Search Process Flowchart, Chapter 3.2) and the conceptual framework shown in Figure 2 (Chapter 3.6). Figure 1 illustrated how studies were found and filtered through structured database searches, while Figure 2 provided a visual pathway linking early diagnosis → targeted intervention → improved academic performance → enhanced emotional wellbeing → inclusion and equality. These frameworks ensured that the present analysis remained methodologically transparent and conceptually consistent with the dissertation’s aim.</w:t>
      </w:r>
    </w:p>
    <w:p w14:paraId="76417E7C" w14:textId="77777777" w:rsidR="007F17BE" w:rsidRPr="007F17BE" w:rsidRDefault="007F17BE"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499E5ACD" w14:textId="77777777" w:rsidR="007F17BE" w:rsidRPr="007F17BE" w:rsidRDefault="007F17BE"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The analysis is structured around four inter-connected themes, each drawn from the coded findings presented in Appendix B2 (Thematic Analysis Results Summary Table).</w:t>
      </w:r>
    </w:p>
    <w:p w14:paraId="5B0E38C5" w14:textId="77777777" w:rsidR="007F17BE" w:rsidRPr="007F17BE" w:rsidRDefault="007F17BE" w:rsidP="4C72D9C6">
      <w:pPr>
        <w:numPr>
          <w:ilvl w:val="0"/>
          <w:numId w:val="120"/>
        </w:num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Theme 1 – Early Diagnosis and Access to Support: explores how prompt identification and referral to services such as CAMHS or school SEN teams influence educational and behavioural outcomes.</w:t>
      </w:r>
    </w:p>
    <w:p w14:paraId="4BA4D6A6" w14:textId="77777777" w:rsidR="007F17BE" w:rsidRPr="007F17BE" w:rsidRDefault="007F17BE" w:rsidP="4C72D9C6">
      <w:pPr>
        <w:numPr>
          <w:ilvl w:val="0"/>
          <w:numId w:val="120"/>
        </w:num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Theme 2 – Teacher Awareness and Classroom Practice: examines how levels of teacher training and confidence affect early recognition and inclusive classroom strategies.</w:t>
      </w:r>
    </w:p>
    <w:p w14:paraId="0DCB8C87" w14:textId="77777777" w:rsidR="007F17BE" w:rsidRPr="007F17BE" w:rsidRDefault="007F17BE" w:rsidP="4C72D9C6">
      <w:pPr>
        <w:numPr>
          <w:ilvl w:val="0"/>
          <w:numId w:val="120"/>
        </w:num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Theme 3 – Multi-agency Collaboration and Family Involvement: considers the impact of partnership between schools, parents, and health professionals on continuity of care.</w:t>
      </w:r>
    </w:p>
    <w:p w14:paraId="54DAD1F0" w14:textId="77777777" w:rsidR="007F17BE" w:rsidRPr="007F17BE" w:rsidRDefault="007F17BE" w:rsidP="4C72D9C6">
      <w:pPr>
        <w:numPr>
          <w:ilvl w:val="0"/>
          <w:numId w:val="120"/>
        </w:num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Theme 4 – Socio-economic and Regional Inequalities: evaluates how deprivation and geographic variation shape access to assessment and intervention quality.</w:t>
      </w:r>
    </w:p>
    <w:p w14:paraId="69B4B52F" w14:textId="77777777" w:rsidR="007F17BE" w:rsidRPr="007F17BE" w:rsidRDefault="007F17BE"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5497B379" w14:textId="77777777" w:rsidR="007F17BE" w:rsidRPr="007F17BE" w:rsidRDefault="007F17BE"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These thematic categories, originally coded and summarised in Appendix B2, form the analytical foundation of this chapter, enabling the findings to be interpreted within the wider conceptual and policy contexts shown in earlier chapters. Together, they reflect how early ADHD diagnosis is not only a clinical or educational issue but also an indicator of social equity and system responsiveness within UK child services.</w:t>
      </w:r>
    </w:p>
    <w:p w14:paraId="5ACD1C45" w14:textId="77777777" w:rsidR="007F17BE" w:rsidRPr="007F17BE" w:rsidRDefault="007F17BE"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3A7576B4" w14:textId="1CC5DF27" w:rsidR="000029EE" w:rsidRPr="007F17BE" w:rsidRDefault="007F17BE"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Each theme is examined in turn, supported by evidence from peer-reviewed literature, national policy documents, and international research. The chapter therefore moves beyond mere description to apply a critical, interpretative analysis that integrates theoretical insight with real-world educational practice. This ensures continuity from the methodological rationale in Chapter 3 toward the development of an evidence-based discussion of how prompt recognition and coordinated intervention can enhance the educational experiences of boys with ADHD in UK primary schools.</w:t>
      </w:r>
    </w:p>
    <w:p w14:paraId="5AAC7835" w14:textId="55FE8653" w:rsidR="006C573C" w:rsidRDefault="001C3AF6" w:rsidP="4C72D9C6">
      <w:pPr>
        <w:pStyle w:val="Heading2"/>
        <w:rPr>
          <w:rFonts w:ascii="Arial" w:eastAsia="Arial" w:hAnsi="Arial" w:cs="Arial"/>
          <w:b/>
          <w:bCs/>
          <w:color w:val="000000" w:themeColor="text1"/>
          <w:sz w:val="22"/>
          <w:szCs w:val="22"/>
        </w:rPr>
      </w:pPr>
      <w:r w:rsidRPr="4C72D9C6">
        <w:rPr>
          <w:rFonts w:ascii="Arial" w:eastAsia="Arial" w:hAnsi="Arial" w:cs="Arial"/>
          <w:b/>
          <w:bCs/>
          <w:color w:val="000000" w:themeColor="text1"/>
          <w:sz w:val="22"/>
          <w:szCs w:val="22"/>
        </w:rPr>
        <w:t xml:space="preserve">4.2 – Thematic </w:t>
      </w:r>
      <w:r w:rsidR="64551BF3" w:rsidRPr="4C72D9C6">
        <w:rPr>
          <w:rFonts w:ascii="Arial" w:eastAsia="Arial" w:hAnsi="Arial" w:cs="Arial"/>
          <w:b/>
          <w:bCs/>
          <w:color w:val="000000" w:themeColor="text1"/>
          <w:sz w:val="22"/>
          <w:szCs w:val="22"/>
        </w:rPr>
        <w:t>Analysis Definition of Thematic Analysis</w:t>
      </w:r>
    </w:p>
    <w:p w14:paraId="4F579D3C" w14:textId="1114E13B" w:rsidR="006C573C" w:rsidRDefault="006C573C" w:rsidP="4C72D9C6">
      <w:pPr>
        <w:pStyle w:val="p1"/>
        <w:spacing w:line="360" w:lineRule="auto"/>
        <w:rPr>
          <w:rStyle w:val="s1"/>
          <w:rFonts w:ascii="Arial" w:eastAsia="Arial" w:hAnsi="Arial" w:cs="Arial"/>
          <w:color w:val="000000" w:themeColor="text1"/>
          <w:sz w:val="22"/>
          <w:szCs w:val="22"/>
        </w:rPr>
      </w:pPr>
      <w:r w:rsidRPr="4C72D9C6">
        <w:rPr>
          <w:rStyle w:val="s1"/>
          <w:rFonts w:ascii="Arial" w:eastAsia="Arial" w:hAnsi="Arial" w:cs="Arial"/>
          <w:color w:val="000000" w:themeColor="text1"/>
          <w:sz w:val="22"/>
          <w:szCs w:val="22"/>
        </w:rPr>
        <w:t xml:space="preserve">Thematic analysis is a method used to organise and interpret patterns within research. Braun and Clarke (2006) describe it as a flexible approach that helps researchers </w:t>
      </w:r>
      <w:r w:rsidR="005F4551" w:rsidRPr="4C72D9C6">
        <w:rPr>
          <w:rStyle w:val="s1"/>
          <w:rFonts w:ascii="Arial" w:eastAsia="Arial" w:hAnsi="Arial" w:cs="Arial"/>
          <w:color w:val="000000" w:themeColor="text1"/>
          <w:sz w:val="22"/>
          <w:szCs w:val="22"/>
        </w:rPr>
        <w:t>find</w:t>
      </w:r>
      <w:r w:rsidRPr="4C72D9C6">
        <w:rPr>
          <w:rStyle w:val="s1"/>
          <w:rFonts w:ascii="Arial" w:eastAsia="Arial" w:hAnsi="Arial" w:cs="Arial"/>
          <w:color w:val="000000" w:themeColor="text1"/>
          <w:sz w:val="22"/>
          <w:szCs w:val="22"/>
        </w:rPr>
        <w:t xml:space="preserve"> repeated ideas, common </w:t>
      </w:r>
      <w:r w:rsidR="0009124B" w:rsidRPr="4C72D9C6">
        <w:rPr>
          <w:rStyle w:val="s1"/>
          <w:rFonts w:ascii="Arial" w:eastAsia="Arial" w:hAnsi="Arial" w:cs="Arial"/>
          <w:color w:val="000000" w:themeColor="text1"/>
          <w:sz w:val="22"/>
          <w:szCs w:val="22"/>
        </w:rPr>
        <w:t>issues,</w:t>
      </w:r>
      <w:r w:rsidRPr="4C72D9C6">
        <w:rPr>
          <w:rStyle w:val="s1"/>
          <w:rFonts w:ascii="Arial" w:eastAsia="Arial" w:hAnsi="Arial" w:cs="Arial"/>
          <w:color w:val="000000" w:themeColor="text1"/>
          <w:sz w:val="22"/>
          <w:szCs w:val="22"/>
        </w:rPr>
        <w:t xml:space="preserve"> and shared meanings across </w:t>
      </w:r>
      <w:r w:rsidR="001A4C8C" w:rsidRPr="4C72D9C6">
        <w:rPr>
          <w:rStyle w:val="s1"/>
          <w:rFonts w:ascii="Arial" w:eastAsia="Arial" w:hAnsi="Arial" w:cs="Arial"/>
          <w:color w:val="000000" w:themeColor="text1"/>
          <w:sz w:val="22"/>
          <w:szCs w:val="22"/>
        </w:rPr>
        <w:t>various sources</w:t>
      </w:r>
      <w:r w:rsidRPr="4C72D9C6">
        <w:rPr>
          <w:rStyle w:val="s1"/>
          <w:rFonts w:ascii="Arial" w:eastAsia="Arial" w:hAnsi="Arial" w:cs="Arial"/>
          <w:color w:val="000000" w:themeColor="text1"/>
          <w:sz w:val="22"/>
          <w:szCs w:val="22"/>
        </w:rPr>
        <w:t xml:space="preserve">. This method works well for secondary research because it allows </w:t>
      </w:r>
      <w:r w:rsidR="001A4C8C" w:rsidRPr="4C72D9C6">
        <w:rPr>
          <w:rStyle w:val="s1"/>
          <w:rFonts w:ascii="Arial" w:eastAsia="Arial" w:hAnsi="Arial" w:cs="Arial"/>
          <w:color w:val="000000" w:themeColor="text1"/>
          <w:sz w:val="22"/>
          <w:szCs w:val="22"/>
        </w:rPr>
        <w:t>substantial amounts</w:t>
      </w:r>
      <w:r w:rsidRPr="4C72D9C6">
        <w:rPr>
          <w:rStyle w:val="s1"/>
          <w:rFonts w:ascii="Arial" w:eastAsia="Arial" w:hAnsi="Arial" w:cs="Arial"/>
          <w:color w:val="000000" w:themeColor="text1"/>
          <w:sz w:val="22"/>
          <w:szCs w:val="22"/>
        </w:rPr>
        <w:t xml:space="preserve"> of literature to be broken down into manageable sections, making it easier to spot the most important themes linked to the research aim.</w:t>
      </w:r>
    </w:p>
    <w:p w14:paraId="4D83A0F5" w14:textId="03842F4C" w:rsidR="006C573C" w:rsidRDefault="006C573C" w:rsidP="4C72D9C6">
      <w:pPr>
        <w:pStyle w:val="p2"/>
        <w:spacing w:line="360" w:lineRule="auto"/>
        <w:rPr>
          <w:rStyle w:val="s1"/>
          <w:rFonts w:ascii="Arial" w:eastAsia="Arial" w:hAnsi="Arial" w:cs="Arial"/>
          <w:color w:val="000000" w:themeColor="text1"/>
          <w:sz w:val="22"/>
          <w:szCs w:val="22"/>
        </w:rPr>
      </w:pPr>
      <w:r w:rsidRPr="4C72D9C6">
        <w:rPr>
          <w:rStyle w:val="s1"/>
          <w:rFonts w:ascii="Arial" w:eastAsia="Arial" w:hAnsi="Arial" w:cs="Arial"/>
          <w:color w:val="000000" w:themeColor="text1"/>
          <w:sz w:val="22"/>
          <w:szCs w:val="22"/>
        </w:rPr>
        <w:t xml:space="preserve">For this study, the reviewed articles were read </w:t>
      </w:r>
      <w:r w:rsidR="0009124B" w:rsidRPr="4C72D9C6">
        <w:rPr>
          <w:rStyle w:val="s1"/>
          <w:rFonts w:ascii="Arial" w:eastAsia="Arial" w:hAnsi="Arial" w:cs="Arial"/>
          <w:color w:val="000000" w:themeColor="text1"/>
          <w:sz w:val="22"/>
          <w:szCs w:val="22"/>
        </w:rPr>
        <w:t>closely,</w:t>
      </w:r>
      <w:r w:rsidRPr="4C72D9C6">
        <w:rPr>
          <w:rStyle w:val="s1"/>
          <w:rFonts w:ascii="Arial" w:eastAsia="Arial" w:hAnsi="Arial" w:cs="Arial"/>
          <w:color w:val="000000" w:themeColor="text1"/>
          <w:sz w:val="22"/>
          <w:szCs w:val="22"/>
        </w:rPr>
        <w:t xml:space="preserve"> and initial codes were created based on recurring topics such as early diagnosis, teacher understanding, service pathways, and inequalities. These codes were then grouped into broader themes, which are shown in </w:t>
      </w:r>
      <w:r w:rsidRPr="4C72D9C6">
        <w:rPr>
          <w:rStyle w:val="s2"/>
          <w:rFonts w:ascii="Arial" w:eastAsia="Arial" w:hAnsi="Arial" w:cs="Arial"/>
          <w:color w:val="000000" w:themeColor="text1"/>
          <w:sz w:val="22"/>
          <w:szCs w:val="22"/>
        </w:rPr>
        <w:t>Appendix B1 (Results Summary Table)</w:t>
      </w:r>
      <w:r w:rsidRPr="4C72D9C6">
        <w:rPr>
          <w:rStyle w:val="s1"/>
          <w:rFonts w:ascii="Arial" w:eastAsia="Arial" w:hAnsi="Arial" w:cs="Arial"/>
          <w:color w:val="000000" w:themeColor="text1"/>
          <w:sz w:val="22"/>
          <w:szCs w:val="22"/>
        </w:rPr>
        <w:t xml:space="preserve"> and </w:t>
      </w:r>
      <w:r w:rsidRPr="4C72D9C6">
        <w:rPr>
          <w:rStyle w:val="s2"/>
          <w:rFonts w:ascii="Arial" w:eastAsia="Arial" w:hAnsi="Arial" w:cs="Arial"/>
          <w:color w:val="000000" w:themeColor="text1"/>
          <w:sz w:val="22"/>
          <w:szCs w:val="22"/>
        </w:rPr>
        <w:t>Appendix B2 (Thematic Analysis Summary Table)</w:t>
      </w:r>
      <w:r w:rsidRPr="4C72D9C6">
        <w:rPr>
          <w:rStyle w:val="s1"/>
          <w:rFonts w:ascii="Arial" w:eastAsia="Arial" w:hAnsi="Arial" w:cs="Arial"/>
          <w:color w:val="000000" w:themeColor="text1"/>
          <w:sz w:val="22"/>
          <w:szCs w:val="22"/>
        </w:rPr>
        <w:t>. These tables helped ensure the coding was consistent and transparent.</w:t>
      </w:r>
    </w:p>
    <w:p w14:paraId="3F57F38A" w14:textId="77777777" w:rsidR="006C573C" w:rsidRDefault="006C573C" w:rsidP="4C72D9C6">
      <w:pPr>
        <w:pStyle w:val="p2"/>
        <w:spacing w:line="360" w:lineRule="auto"/>
        <w:rPr>
          <w:rStyle w:val="s1"/>
          <w:rFonts w:ascii="Arial" w:eastAsia="Arial" w:hAnsi="Arial" w:cs="Arial"/>
          <w:color w:val="000000" w:themeColor="text1"/>
          <w:sz w:val="22"/>
          <w:szCs w:val="22"/>
        </w:rPr>
      </w:pPr>
      <w:r w:rsidRPr="4C72D9C6">
        <w:rPr>
          <w:rStyle w:val="s1"/>
          <w:rFonts w:ascii="Arial" w:eastAsia="Arial" w:hAnsi="Arial" w:cs="Arial"/>
          <w:color w:val="000000" w:themeColor="text1"/>
          <w:sz w:val="22"/>
          <w:szCs w:val="22"/>
        </w:rPr>
        <w:t>Using thematic analysis also has limitations. Because it relies on the researcher interpreting the literature, there is always a risk of bias, and themes may be influenced by what the researcher notices more strongly. However, linking the themes clearly back to the research question, and using a wide range of peer-reviewed sources, helps to strengthen the credibility of the analysis.</w:t>
      </w:r>
    </w:p>
    <w:p w14:paraId="1CF39A9E" w14:textId="77777777" w:rsidR="00FE1386" w:rsidRPr="00FF5B5D" w:rsidRDefault="00FE1386" w:rsidP="4C72D9C6">
      <w:pPr>
        <w:ind w:left="720"/>
        <w:rPr>
          <w:rFonts w:ascii="Arial" w:eastAsia="Arial" w:hAnsi="Arial" w:cs="Arial"/>
          <w:color w:val="000000" w:themeColor="text1"/>
        </w:rPr>
      </w:pPr>
    </w:p>
    <w:p w14:paraId="269070F3" w14:textId="1AA578BD" w:rsidR="00D016EC" w:rsidRPr="00D016EC" w:rsidRDefault="00DE60E6" w:rsidP="4C72D9C6">
      <w:pPr>
        <w:pStyle w:val="Heading1"/>
        <w:spacing w:line="360" w:lineRule="auto"/>
        <w:ind w:left="0"/>
        <w:rPr>
          <w:rFonts w:eastAsia="Arial" w:cs="Arial"/>
          <w:bCs/>
          <w:color w:val="000000" w:themeColor="text1"/>
          <w:sz w:val="22"/>
          <w:szCs w:val="22"/>
        </w:rPr>
      </w:pPr>
      <w:r w:rsidRPr="4C72D9C6">
        <w:rPr>
          <w:rFonts w:eastAsia="Arial" w:cs="Arial"/>
          <w:bCs/>
          <w:color w:val="000000" w:themeColor="text1"/>
          <w:kern w:val="36"/>
          <w:sz w:val="22"/>
          <w:szCs w:val="22"/>
          <w:lang w:bidi="ar-SA"/>
        </w:rPr>
        <w:t xml:space="preserve">4.3 – </w:t>
      </w:r>
      <w:r w:rsidR="00D016EC" w:rsidRPr="4C72D9C6">
        <w:rPr>
          <w:rFonts w:eastAsia="Arial" w:cs="Arial"/>
          <w:bCs/>
          <w:color w:val="000000" w:themeColor="text1"/>
          <w:kern w:val="36"/>
          <w:sz w:val="22"/>
          <w:szCs w:val="22"/>
          <w:lang w:bidi="ar-SA"/>
        </w:rPr>
        <w:t>Early Diagnosis and Access to Support</w:t>
      </w:r>
      <w:r w:rsidR="778E0EEB" w:rsidRPr="4C72D9C6">
        <w:rPr>
          <w:rFonts w:eastAsia="Arial" w:cs="Arial"/>
          <w:bCs/>
          <w:color w:val="000000" w:themeColor="text1"/>
          <w:kern w:val="36"/>
          <w:sz w:val="22"/>
          <w:szCs w:val="22"/>
          <w:lang w:bidi="ar-SA"/>
        </w:rPr>
        <w:t xml:space="preserve"> </w:t>
      </w:r>
      <w:r w:rsidR="0088225D" w:rsidRPr="4C72D9C6">
        <w:rPr>
          <w:rFonts w:eastAsia="Arial" w:cs="Arial"/>
          <w:bCs/>
          <w:color w:val="000000" w:themeColor="text1"/>
          <w:sz w:val="22"/>
          <w:szCs w:val="22"/>
        </w:rPr>
        <w:t>Definition of the Theme</w:t>
      </w:r>
    </w:p>
    <w:p w14:paraId="4BE0E441" w14:textId="3708ED82" w:rsidR="0088225D" w:rsidRPr="0088225D" w:rsidRDefault="0088225D"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 xml:space="preserve">Early diagnosis refers to the </w:t>
      </w:r>
      <w:r w:rsidR="009955F4" w:rsidRPr="4C72D9C6">
        <w:rPr>
          <w:rFonts w:ascii="Arial" w:eastAsia="Arial" w:hAnsi="Arial" w:cs="Arial"/>
          <w:color w:val="000000" w:themeColor="text1"/>
          <w:kern w:val="0"/>
          <w:lang w:eastAsia="en-GB"/>
          <w14:ligatures w14:val="none"/>
        </w:rPr>
        <w:t>prompt</w:t>
      </w:r>
      <w:r w:rsidRPr="4C72D9C6">
        <w:rPr>
          <w:rFonts w:ascii="Arial" w:eastAsia="Arial" w:hAnsi="Arial" w:cs="Arial"/>
          <w:color w:val="000000" w:themeColor="text1"/>
          <w:kern w:val="0"/>
          <w:lang w:eastAsia="en-GB"/>
          <w14:ligatures w14:val="none"/>
        </w:rPr>
        <w:t xml:space="preserve"> recognition and formal identification of Attention-Deficit/Hyperactivity Disorder (ADHD) during the </w:t>
      </w:r>
      <w:bookmarkStart w:id="30" w:name="_Int_hmHlygZQ"/>
      <w:r w:rsidR="009955F4" w:rsidRPr="4C72D9C6">
        <w:rPr>
          <w:rFonts w:ascii="Arial" w:eastAsia="Arial" w:hAnsi="Arial" w:cs="Arial"/>
          <w:color w:val="000000" w:themeColor="text1"/>
          <w:kern w:val="0"/>
          <w:lang w:eastAsia="en-GB"/>
          <w14:ligatures w14:val="none"/>
        </w:rPr>
        <w:t>initial</w:t>
      </w:r>
      <w:bookmarkEnd w:id="30"/>
      <w:r w:rsidR="009955F4" w:rsidRPr="4C72D9C6">
        <w:rPr>
          <w:rFonts w:ascii="Arial" w:eastAsia="Arial" w:hAnsi="Arial" w:cs="Arial"/>
          <w:color w:val="000000" w:themeColor="text1"/>
          <w:kern w:val="0"/>
          <w:lang w:eastAsia="en-GB"/>
          <w14:ligatures w14:val="none"/>
        </w:rPr>
        <w:t xml:space="preserve"> stages</w:t>
      </w:r>
      <w:r w:rsidRPr="4C72D9C6">
        <w:rPr>
          <w:rFonts w:ascii="Arial" w:eastAsia="Arial" w:hAnsi="Arial" w:cs="Arial"/>
          <w:color w:val="000000" w:themeColor="text1"/>
          <w:kern w:val="0"/>
          <w:lang w:eastAsia="en-GB"/>
          <w14:ligatures w14:val="none"/>
        </w:rPr>
        <w:t xml:space="preserve"> of a child’s education, typically before the end of Key Stage 2 (age 11). Within UK policy, early identification is embedded in the SEND Code of Practice (DfE &amp; DHSC, 2015), which emphasises early recognition, proactive assessment, and coordinated planning. “Access to support” refers to the availability, timeliness, and quality of intervention and assessment services—</w:t>
      </w:r>
      <w:r w:rsidR="009955F4" w:rsidRPr="4C72D9C6">
        <w:rPr>
          <w:rFonts w:ascii="Arial" w:eastAsia="Arial" w:hAnsi="Arial" w:cs="Arial"/>
          <w:color w:val="000000" w:themeColor="text1"/>
          <w:kern w:val="0"/>
          <w:lang w:eastAsia="en-GB"/>
          <w14:ligatures w14:val="none"/>
        </w:rPr>
        <w:t>through</w:t>
      </w:r>
      <w:r w:rsidRPr="4C72D9C6">
        <w:rPr>
          <w:rFonts w:ascii="Arial" w:eastAsia="Arial" w:hAnsi="Arial" w:cs="Arial"/>
          <w:color w:val="000000" w:themeColor="text1"/>
          <w:kern w:val="0"/>
          <w:lang w:eastAsia="en-GB"/>
          <w14:ligatures w14:val="none"/>
        </w:rPr>
        <w:t xml:space="preserve"> schools, CAMHS, and multi-agency networks—which collectively shape a child’s ability to </w:t>
      </w:r>
      <w:r w:rsidR="009955F4" w:rsidRPr="4C72D9C6">
        <w:rPr>
          <w:rFonts w:ascii="Arial" w:eastAsia="Arial" w:hAnsi="Arial" w:cs="Arial"/>
          <w:color w:val="000000" w:themeColor="text1"/>
          <w:kern w:val="0"/>
          <w:lang w:eastAsia="en-GB"/>
          <w14:ligatures w14:val="none"/>
        </w:rPr>
        <w:t>take part</w:t>
      </w:r>
      <w:r w:rsidRPr="4C72D9C6">
        <w:rPr>
          <w:rFonts w:ascii="Arial" w:eastAsia="Arial" w:hAnsi="Arial" w:cs="Arial"/>
          <w:color w:val="000000" w:themeColor="text1"/>
          <w:kern w:val="0"/>
          <w:lang w:eastAsia="en-GB"/>
          <w14:ligatures w14:val="none"/>
        </w:rPr>
        <w:t xml:space="preserve"> effectively in education.</w:t>
      </w:r>
    </w:p>
    <w:p w14:paraId="218ED781" w14:textId="2D556B36" w:rsidR="00B44B91" w:rsidRPr="00631506" w:rsidRDefault="0088225D"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 xml:space="preserve">The theme is particularly relevant for White British boys, who statistically receive ADHD diagnoses more </w:t>
      </w:r>
      <w:r w:rsidR="00535AD8" w:rsidRPr="4C72D9C6">
        <w:rPr>
          <w:rFonts w:ascii="Arial" w:eastAsia="Arial" w:hAnsi="Arial" w:cs="Arial"/>
          <w:color w:val="000000" w:themeColor="text1"/>
          <w:kern w:val="0"/>
          <w:lang w:eastAsia="en-GB"/>
          <w14:ligatures w14:val="none"/>
        </w:rPr>
        <w:t>often</w:t>
      </w:r>
      <w:r w:rsidRPr="4C72D9C6">
        <w:rPr>
          <w:rFonts w:ascii="Arial" w:eastAsia="Arial" w:hAnsi="Arial" w:cs="Arial"/>
          <w:color w:val="000000" w:themeColor="text1"/>
          <w:kern w:val="0"/>
          <w:lang w:eastAsia="en-GB"/>
          <w14:ligatures w14:val="none"/>
        </w:rPr>
        <w:t xml:space="preserve"> and earlier than girls or children from other ethnic groups (Sayal et al., 2018). However, </w:t>
      </w:r>
      <w:r w:rsidR="0E4A3EEC" w:rsidRPr="4C72D9C6">
        <w:rPr>
          <w:rFonts w:ascii="Arial" w:eastAsia="Arial" w:hAnsi="Arial" w:cs="Arial"/>
          <w:color w:val="000000" w:themeColor="text1"/>
          <w:kern w:val="0"/>
          <w:lang w:eastAsia="en-GB"/>
          <w14:ligatures w14:val="none"/>
        </w:rPr>
        <w:t>prompt</w:t>
      </w:r>
      <w:r w:rsidR="00535AD8" w:rsidRPr="4C72D9C6">
        <w:rPr>
          <w:rFonts w:ascii="Arial" w:eastAsia="Arial" w:hAnsi="Arial" w:cs="Arial"/>
          <w:color w:val="000000" w:themeColor="text1"/>
          <w:kern w:val="0"/>
          <w:lang w:eastAsia="en-GB"/>
          <w14:ligatures w14:val="none"/>
        </w:rPr>
        <w:t xml:space="preserve"> access</w:t>
      </w:r>
      <w:r w:rsidRPr="4C72D9C6">
        <w:rPr>
          <w:rFonts w:ascii="Arial" w:eastAsia="Arial" w:hAnsi="Arial" w:cs="Arial"/>
          <w:color w:val="000000" w:themeColor="text1"/>
          <w:kern w:val="0"/>
          <w:lang w:eastAsia="en-GB"/>
          <w14:ligatures w14:val="none"/>
        </w:rPr>
        <w:t xml:space="preserve"> to services is neither consistent nor </w:t>
      </w:r>
      <w:r w:rsidR="638CB85E" w:rsidRPr="4C72D9C6">
        <w:rPr>
          <w:rFonts w:ascii="Arial" w:eastAsia="Arial" w:hAnsi="Arial" w:cs="Arial"/>
          <w:color w:val="000000" w:themeColor="text1"/>
          <w:kern w:val="0"/>
          <w:lang w:eastAsia="en-GB"/>
          <w14:ligatures w14:val="none"/>
        </w:rPr>
        <w:t>fair</w:t>
      </w:r>
      <w:r w:rsidRPr="4C72D9C6">
        <w:rPr>
          <w:rFonts w:ascii="Arial" w:eastAsia="Arial" w:hAnsi="Arial" w:cs="Arial"/>
          <w:color w:val="000000" w:themeColor="text1"/>
          <w:kern w:val="0"/>
          <w:lang w:eastAsia="en-GB"/>
          <w14:ligatures w14:val="none"/>
        </w:rPr>
        <w:t>, making this a central issue for educational outcomes.</w:t>
      </w:r>
    </w:p>
    <w:p w14:paraId="6D86B582" w14:textId="77777777" w:rsidR="00B44B91" w:rsidRPr="0088225D" w:rsidRDefault="00B44B91" w:rsidP="4C72D9C6">
      <w:pPr>
        <w:spacing w:after="0"/>
        <w:jc w:val="left"/>
        <w:rPr>
          <w:rFonts w:ascii="Arial" w:eastAsia="Arial" w:hAnsi="Arial" w:cs="Arial"/>
          <w:color w:val="000000" w:themeColor="text1"/>
          <w:kern w:val="0"/>
          <w:lang w:eastAsia="en-GB"/>
          <w14:ligatures w14:val="none"/>
        </w:rPr>
      </w:pPr>
    </w:p>
    <w:p w14:paraId="0F23F9C6" w14:textId="0C9750A6" w:rsidR="0088225D" w:rsidRPr="00631506" w:rsidRDefault="0088225D" w:rsidP="4C72D9C6">
      <w:pPr>
        <w:spacing w:before="100" w:beforeAutospacing="1" w:after="100" w:afterAutospacing="1"/>
        <w:jc w:val="left"/>
        <w:outlineLvl w:val="1"/>
        <w:rPr>
          <w:rFonts w:ascii="Arial" w:eastAsia="Arial" w:hAnsi="Arial" w:cs="Arial"/>
          <w:b/>
          <w:bCs/>
          <w:color w:val="000000" w:themeColor="text1"/>
          <w:kern w:val="0"/>
          <w:lang w:eastAsia="en-GB"/>
          <w14:ligatures w14:val="none"/>
        </w:rPr>
      </w:pPr>
      <w:r w:rsidRPr="4C72D9C6">
        <w:rPr>
          <w:rFonts w:ascii="Arial" w:eastAsia="Arial" w:hAnsi="Arial" w:cs="Arial"/>
          <w:b/>
          <w:bCs/>
          <w:color w:val="000000" w:themeColor="text1"/>
          <w:kern w:val="0"/>
          <w:lang w:eastAsia="en-GB"/>
          <w14:ligatures w14:val="none"/>
        </w:rPr>
        <w:t>Background and Context</w:t>
      </w:r>
    </w:p>
    <w:p w14:paraId="7231D18E" w14:textId="43B3EF2D" w:rsidR="0088225D" w:rsidRPr="0088225D" w:rsidRDefault="0088225D"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 xml:space="preserve">Historically, ADHD was viewed </w:t>
      </w:r>
      <w:r w:rsidR="00B44B91" w:rsidRPr="4C72D9C6">
        <w:rPr>
          <w:rFonts w:ascii="Arial" w:eastAsia="Arial" w:hAnsi="Arial" w:cs="Arial"/>
          <w:color w:val="000000" w:themeColor="text1"/>
          <w:kern w:val="0"/>
          <w:lang w:eastAsia="en-GB"/>
          <w14:ligatures w14:val="none"/>
        </w:rPr>
        <w:t>as</w:t>
      </w:r>
      <w:r w:rsidRPr="4C72D9C6">
        <w:rPr>
          <w:rFonts w:ascii="Arial" w:eastAsia="Arial" w:hAnsi="Arial" w:cs="Arial"/>
          <w:color w:val="000000" w:themeColor="text1"/>
          <w:kern w:val="0"/>
          <w:lang w:eastAsia="en-GB"/>
          <w14:ligatures w14:val="none"/>
        </w:rPr>
        <w:t xml:space="preserve"> a behavioural problem rather than a neurodevelopmental condition, resulting in many children—particularly boys—being labelled as “disruptive” rather than identified with unmet needs (Cooper, 2021). The shift towards understanding ADHD as neurodevelopmental, reflected in DSM-5-TR (APA, 2022) and ICD-11 (WHO, 2022), increased emphasis on early and </w:t>
      </w:r>
      <w:r w:rsidR="555833AB" w:rsidRPr="4C72D9C6">
        <w:rPr>
          <w:rFonts w:ascii="Arial" w:eastAsia="Arial" w:hAnsi="Arial" w:cs="Arial"/>
          <w:color w:val="000000" w:themeColor="text1"/>
          <w:kern w:val="0"/>
          <w:lang w:eastAsia="en-GB"/>
          <w14:ligatures w14:val="none"/>
        </w:rPr>
        <w:t>exact</w:t>
      </w:r>
      <w:r w:rsidRPr="4C72D9C6">
        <w:rPr>
          <w:rFonts w:ascii="Arial" w:eastAsia="Arial" w:hAnsi="Arial" w:cs="Arial"/>
          <w:color w:val="000000" w:themeColor="text1"/>
          <w:kern w:val="0"/>
          <w:lang w:eastAsia="en-GB"/>
          <w14:ligatures w14:val="none"/>
        </w:rPr>
        <w:t xml:space="preserve"> diagnosis.</w:t>
      </w:r>
    </w:p>
    <w:p w14:paraId="7C41305D" w14:textId="77777777" w:rsidR="0088225D" w:rsidRPr="0088225D" w:rsidRDefault="0088225D"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6BE962AF" w14:textId="45CC4B09" w:rsidR="0088225D" w:rsidRPr="0088225D" w:rsidRDefault="0088225D"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 xml:space="preserve">Despite this, access to assessment and intervention across the UK </w:t>
      </w:r>
      <w:r w:rsidR="00DE3934" w:rsidRPr="4C72D9C6">
        <w:rPr>
          <w:rFonts w:ascii="Arial" w:eastAsia="Arial" w:hAnsi="Arial" w:cs="Arial"/>
          <w:color w:val="000000" w:themeColor="text1"/>
          <w:kern w:val="0"/>
          <w:lang w:eastAsia="en-GB"/>
          <w14:ligatures w14:val="none"/>
        </w:rPr>
        <w:t>is still</w:t>
      </w:r>
      <w:r w:rsidRPr="4C72D9C6">
        <w:rPr>
          <w:rFonts w:ascii="Arial" w:eastAsia="Arial" w:hAnsi="Arial" w:cs="Arial"/>
          <w:color w:val="000000" w:themeColor="text1"/>
          <w:kern w:val="0"/>
          <w:lang w:eastAsia="en-GB"/>
          <w14:ligatures w14:val="none"/>
        </w:rPr>
        <w:t xml:space="preserve"> inconsistent. The Children’s Commissioner (2023) found significant regional variation in referral-to-treatment times, with some families waiting over two years for CAMHS assessment. This contradicts the early-intervention ethos outlined in the Children and Families Act 2014, which mandates coordinated support between education, </w:t>
      </w:r>
      <w:r w:rsidR="00B44B91" w:rsidRPr="4C72D9C6">
        <w:rPr>
          <w:rFonts w:ascii="Arial" w:eastAsia="Arial" w:hAnsi="Arial" w:cs="Arial"/>
          <w:color w:val="000000" w:themeColor="text1"/>
          <w:kern w:val="0"/>
          <w:lang w:eastAsia="en-GB"/>
          <w14:ligatures w14:val="none"/>
        </w:rPr>
        <w:t>health,</w:t>
      </w:r>
      <w:r w:rsidRPr="4C72D9C6">
        <w:rPr>
          <w:rFonts w:ascii="Arial" w:eastAsia="Arial" w:hAnsi="Arial" w:cs="Arial"/>
          <w:color w:val="000000" w:themeColor="text1"/>
          <w:kern w:val="0"/>
          <w:lang w:eastAsia="en-GB"/>
          <w14:ligatures w14:val="none"/>
        </w:rPr>
        <w:t xml:space="preserve"> and care services.</w:t>
      </w:r>
    </w:p>
    <w:p w14:paraId="737BBA00" w14:textId="77777777" w:rsidR="0088225D" w:rsidRPr="0088225D" w:rsidRDefault="0088225D"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6C9B7787" w14:textId="1ECE2226" w:rsidR="0088225D" w:rsidRPr="0088225D" w:rsidRDefault="0088225D"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 xml:space="preserve">White British boys are often </w:t>
      </w:r>
      <w:r w:rsidR="00DE3934" w:rsidRPr="4C72D9C6">
        <w:rPr>
          <w:rFonts w:ascii="Arial" w:eastAsia="Arial" w:hAnsi="Arial" w:cs="Arial"/>
          <w:color w:val="000000" w:themeColor="text1"/>
          <w:kern w:val="0"/>
          <w:lang w:eastAsia="en-GB"/>
          <w14:ligatures w14:val="none"/>
        </w:rPr>
        <w:t>shown</w:t>
      </w:r>
      <w:r w:rsidRPr="4C72D9C6">
        <w:rPr>
          <w:rFonts w:ascii="Arial" w:eastAsia="Arial" w:hAnsi="Arial" w:cs="Arial"/>
          <w:color w:val="000000" w:themeColor="text1"/>
          <w:kern w:val="0"/>
          <w:lang w:eastAsia="en-GB"/>
          <w14:ligatures w14:val="none"/>
        </w:rPr>
        <w:t xml:space="preserve"> earlier because their symptoms—particularly hyperactivity—manifest visibly in classroom environments (NHS Digital, 2022). However, visibility does not automatically lead to </w:t>
      </w:r>
      <w:bookmarkStart w:id="31" w:name="_Int_WnfGxfQS"/>
      <w:r w:rsidRPr="4C72D9C6">
        <w:rPr>
          <w:rFonts w:ascii="Arial" w:eastAsia="Arial" w:hAnsi="Arial" w:cs="Arial"/>
          <w:color w:val="000000" w:themeColor="text1"/>
          <w:kern w:val="0"/>
          <w:lang w:eastAsia="en-GB"/>
          <w14:ligatures w14:val="none"/>
        </w:rPr>
        <w:t>timely</w:t>
      </w:r>
      <w:bookmarkEnd w:id="31"/>
      <w:r w:rsidRPr="4C72D9C6">
        <w:rPr>
          <w:rFonts w:ascii="Arial" w:eastAsia="Arial" w:hAnsi="Arial" w:cs="Arial"/>
          <w:color w:val="000000" w:themeColor="text1"/>
          <w:kern w:val="0"/>
          <w:lang w:eastAsia="en-GB"/>
          <w14:ligatures w14:val="none"/>
        </w:rPr>
        <w:t xml:space="preserve"> support. Many are placed in cycles of punishment, exclusion, or reduced curriculum time while awaiting formal diagnosis.</w:t>
      </w:r>
    </w:p>
    <w:p w14:paraId="234554AE" w14:textId="4C2F4709" w:rsidR="0088225D" w:rsidRPr="0088225D" w:rsidRDefault="0088225D" w:rsidP="4C72D9C6">
      <w:pPr>
        <w:spacing w:after="0"/>
        <w:jc w:val="left"/>
        <w:rPr>
          <w:rFonts w:ascii="Arial" w:eastAsia="Arial" w:hAnsi="Arial" w:cs="Arial"/>
          <w:color w:val="000000" w:themeColor="text1"/>
          <w:kern w:val="0"/>
          <w:lang w:eastAsia="en-GB"/>
          <w14:ligatures w14:val="none"/>
        </w:rPr>
      </w:pPr>
    </w:p>
    <w:p w14:paraId="48757831" w14:textId="2252D158" w:rsidR="0088225D" w:rsidRPr="00300D77" w:rsidRDefault="0088225D" w:rsidP="4C72D9C6">
      <w:pPr>
        <w:spacing w:before="100" w:beforeAutospacing="1" w:after="100" w:afterAutospacing="1"/>
        <w:jc w:val="left"/>
        <w:outlineLvl w:val="1"/>
        <w:rPr>
          <w:rFonts w:ascii="Arial" w:eastAsia="Arial" w:hAnsi="Arial" w:cs="Arial"/>
          <w:b/>
          <w:bCs/>
          <w:color w:val="000000" w:themeColor="text1"/>
          <w:kern w:val="0"/>
          <w:lang w:eastAsia="en-GB"/>
          <w14:ligatures w14:val="none"/>
        </w:rPr>
      </w:pPr>
      <w:r w:rsidRPr="4C72D9C6">
        <w:rPr>
          <w:rFonts w:ascii="Arial" w:eastAsia="Arial" w:hAnsi="Arial" w:cs="Arial"/>
          <w:b/>
          <w:bCs/>
          <w:color w:val="000000" w:themeColor="text1"/>
          <w:kern w:val="0"/>
          <w:lang w:eastAsia="en-GB"/>
          <w14:ligatures w14:val="none"/>
        </w:rPr>
        <w:t>Relevance to the Research Question</w:t>
      </w:r>
    </w:p>
    <w:p w14:paraId="17D09C07" w14:textId="0D8DA6A1" w:rsidR="0088225D" w:rsidRPr="0088225D" w:rsidRDefault="0088225D"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This theme is central to answering the project’s research question:</w:t>
      </w:r>
    </w:p>
    <w:p w14:paraId="147FC21C" w14:textId="2CD19574" w:rsidR="0088225D" w:rsidRPr="0088225D" w:rsidRDefault="0088225D"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“What impact does early ADHD diagnosis have on the educational performance and classroom behaviour of White British boys aged 5–11 in UK primary schools?”</w:t>
      </w:r>
    </w:p>
    <w:p w14:paraId="0446742F" w14:textId="77777777" w:rsidR="0088225D" w:rsidRPr="0088225D" w:rsidRDefault="0088225D"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If diagnosis is early and support is accessed quickly, outcomes typically include:</w:t>
      </w:r>
    </w:p>
    <w:p w14:paraId="1DE3D18B" w14:textId="77777777" w:rsidR="0088225D" w:rsidRPr="0088225D" w:rsidRDefault="0088225D" w:rsidP="4C72D9C6">
      <w:pPr>
        <w:numPr>
          <w:ilvl w:val="0"/>
          <w:numId w:val="99"/>
        </w:num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improved engagement with learning</w:t>
      </w:r>
    </w:p>
    <w:p w14:paraId="47EA8A40" w14:textId="77777777" w:rsidR="0088225D" w:rsidRPr="0088225D" w:rsidRDefault="0088225D" w:rsidP="4C72D9C6">
      <w:pPr>
        <w:numPr>
          <w:ilvl w:val="0"/>
          <w:numId w:val="99"/>
        </w:num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reduced disruptive incidents</w:t>
      </w:r>
    </w:p>
    <w:p w14:paraId="0BC6A167" w14:textId="77777777" w:rsidR="0088225D" w:rsidRPr="0088225D" w:rsidRDefault="0088225D" w:rsidP="4C72D9C6">
      <w:pPr>
        <w:numPr>
          <w:ilvl w:val="0"/>
          <w:numId w:val="99"/>
        </w:num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fewer informal or formal exclusions</w:t>
      </w:r>
    </w:p>
    <w:p w14:paraId="5E2AB253" w14:textId="77777777" w:rsidR="0088225D" w:rsidRPr="0088225D" w:rsidRDefault="0088225D" w:rsidP="4C72D9C6">
      <w:pPr>
        <w:numPr>
          <w:ilvl w:val="0"/>
          <w:numId w:val="99"/>
        </w:num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greater emotional regulation</w:t>
      </w:r>
    </w:p>
    <w:p w14:paraId="2708060D" w14:textId="77777777" w:rsidR="0088225D" w:rsidRPr="0088225D" w:rsidRDefault="0088225D" w:rsidP="4C72D9C6">
      <w:pPr>
        <w:numPr>
          <w:ilvl w:val="0"/>
          <w:numId w:val="99"/>
        </w:num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better relationships with peers and teachers</w:t>
      </w:r>
    </w:p>
    <w:p w14:paraId="79DCE9C6" w14:textId="77777777" w:rsidR="0088225D" w:rsidRPr="0088225D" w:rsidRDefault="0088225D"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2B0154F4" w14:textId="77777777" w:rsidR="0088225D" w:rsidRPr="0088225D" w:rsidRDefault="0088225D"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Conversely, delayed diagnosis or poor support access can result in:</w:t>
      </w:r>
    </w:p>
    <w:p w14:paraId="6D24F06D" w14:textId="77777777" w:rsidR="0088225D" w:rsidRPr="0088225D" w:rsidRDefault="0088225D" w:rsidP="4C72D9C6">
      <w:pPr>
        <w:numPr>
          <w:ilvl w:val="0"/>
          <w:numId w:val="100"/>
        </w:num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academic underachievement</w:t>
      </w:r>
    </w:p>
    <w:p w14:paraId="3D2872FE" w14:textId="77777777" w:rsidR="0088225D" w:rsidRPr="0088225D" w:rsidRDefault="0088225D" w:rsidP="4C72D9C6">
      <w:pPr>
        <w:numPr>
          <w:ilvl w:val="0"/>
          <w:numId w:val="100"/>
        </w:num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persistent behavioural difficulties</w:t>
      </w:r>
    </w:p>
    <w:p w14:paraId="53D05B9B" w14:textId="77777777" w:rsidR="0088225D" w:rsidRPr="0088225D" w:rsidRDefault="0088225D" w:rsidP="4C72D9C6">
      <w:pPr>
        <w:numPr>
          <w:ilvl w:val="0"/>
          <w:numId w:val="100"/>
        </w:num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increased stigma</w:t>
      </w:r>
    </w:p>
    <w:p w14:paraId="7B572145" w14:textId="77777777" w:rsidR="0088225D" w:rsidRPr="0088225D" w:rsidRDefault="0088225D" w:rsidP="4C72D9C6">
      <w:pPr>
        <w:numPr>
          <w:ilvl w:val="0"/>
          <w:numId w:val="100"/>
        </w:num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reduced self-esteem</w:t>
      </w:r>
    </w:p>
    <w:p w14:paraId="58A45DB5" w14:textId="77777777" w:rsidR="0088225D" w:rsidRPr="0088225D" w:rsidRDefault="0088225D" w:rsidP="4C72D9C6">
      <w:pPr>
        <w:numPr>
          <w:ilvl w:val="0"/>
          <w:numId w:val="100"/>
        </w:num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breakdown in home-school relationships</w:t>
      </w:r>
    </w:p>
    <w:p w14:paraId="34ABDC85" w14:textId="77777777" w:rsidR="0088225D" w:rsidRPr="0088225D" w:rsidRDefault="0088225D"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4037A625" w14:textId="77777777" w:rsidR="0088225D" w:rsidRPr="0088225D" w:rsidRDefault="0088225D"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Thus, early diagnosis is not only a clinical issue—it is an educational equality issue.</w:t>
      </w:r>
    </w:p>
    <w:p w14:paraId="31EDAC63" w14:textId="6D114FCC" w:rsidR="0088225D" w:rsidRPr="0088225D" w:rsidRDefault="0088225D" w:rsidP="4C72D9C6">
      <w:pPr>
        <w:spacing w:after="0"/>
        <w:jc w:val="left"/>
        <w:rPr>
          <w:rFonts w:ascii="Arial" w:eastAsia="Arial" w:hAnsi="Arial" w:cs="Arial"/>
          <w:color w:val="000000" w:themeColor="text1"/>
          <w:kern w:val="0"/>
          <w:lang w:eastAsia="en-GB"/>
          <w14:ligatures w14:val="none"/>
        </w:rPr>
      </w:pPr>
    </w:p>
    <w:p w14:paraId="05FB2EBB" w14:textId="77777777" w:rsidR="0088225D" w:rsidRPr="00300D77" w:rsidRDefault="0088225D" w:rsidP="4C72D9C6">
      <w:pPr>
        <w:spacing w:before="100" w:beforeAutospacing="1" w:after="100" w:afterAutospacing="1"/>
        <w:jc w:val="left"/>
        <w:outlineLvl w:val="1"/>
        <w:rPr>
          <w:rFonts w:ascii="Arial" w:eastAsia="Arial" w:hAnsi="Arial" w:cs="Arial"/>
          <w:i/>
          <w:iCs/>
          <w:color w:val="000000" w:themeColor="text1"/>
          <w:kern w:val="0"/>
          <w:lang w:eastAsia="en-GB"/>
          <w14:ligatures w14:val="none"/>
        </w:rPr>
      </w:pPr>
      <w:r w:rsidRPr="4C72D9C6">
        <w:rPr>
          <w:rFonts w:ascii="Arial" w:eastAsia="Arial" w:hAnsi="Arial" w:cs="Arial"/>
          <w:i/>
          <w:iCs/>
          <w:color w:val="000000" w:themeColor="text1"/>
          <w:kern w:val="0"/>
          <w:lang w:eastAsia="en-GB"/>
          <w14:ligatures w14:val="none"/>
        </w:rPr>
        <w:t>Statistical Evidence</w:t>
      </w:r>
    </w:p>
    <w:p w14:paraId="103C6A78" w14:textId="77777777" w:rsidR="0088225D" w:rsidRPr="0088225D" w:rsidRDefault="0088225D"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78CD2959" w14:textId="77777777" w:rsidR="0088225D" w:rsidRPr="0088225D" w:rsidRDefault="0088225D"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Recent national data shows:</w:t>
      </w:r>
    </w:p>
    <w:p w14:paraId="71B83E87" w14:textId="77777777" w:rsidR="0088225D" w:rsidRPr="0088225D" w:rsidRDefault="0088225D" w:rsidP="4C72D9C6">
      <w:pPr>
        <w:numPr>
          <w:ilvl w:val="0"/>
          <w:numId w:val="101"/>
        </w:num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1 in 20 (5%) UK school-aged children meet criteria for ADHD (NHS Digital, 2022).</w:t>
      </w:r>
    </w:p>
    <w:p w14:paraId="4443C358" w14:textId="77777777" w:rsidR="0088225D" w:rsidRPr="0088225D" w:rsidRDefault="0088225D" w:rsidP="4C72D9C6">
      <w:pPr>
        <w:numPr>
          <w:ilvl w:val="0"/>
          <w:numId w:val="101"/>
        </w:num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ADHD referrals for boys aged 6–10 are almost 3 times higher than girls (Sayal et al., 2018).</w:t>
      </w:r>
    </w:p>
    <w:p w14:paraId="76A9DC02" w14:textId="77777777" w:rsidR="0088225D" w:rsidRPr="0088225D" w:rsidRDefault="0088225D" w:rsidP="4C72D9C6">
      <w:pPr>
        <w:numPr>
          <w:ilvl w:val="0"/>
          <w:numId w:val="101"/>
        </w:num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Average CAMHS waiting times exceed 12–18 months, with some regions exceeding 24 months (Children’s Commissioner, 2023; Maciver et al., 2025).</w:t>
      </w:r>
    </w:p>
    <w:p w14:paraId="6D6A3F25" w14:textId="77777777" w:rsidR="0088225D" w:rsidRPr="0088225D" w:rsidRDefault="0088225D" w:rsidP="4C72D9C6">
      <w:pPr>
        <w:numPr>
          <w:ilvl w:val="0"/>
          <w:numId w:val="101"/>
        </w:num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Early intervention programmes reduce behavioural incidents by 32% and improve academic attainment by 15–20% (Ford et al., 2021).</w:t>
      </w:r>
    </w:p>
    <w:p w14:paraId="20056967" w14:textId="77777777" w:rsidR="0088225D" w:rsidRPr="0088225D" w:rsidRDefault="0088225D"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p>
    <w:p w14:paraId="0AA94ABF" w14:textId="7EDCCC8E" w:rsidR="0088225D" w:rsidRPr="0088225D" w:rsidRDefault="0088225D"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 xml:space="preserve">These statistics </w:t>
      </w:r>
      <w:bookmarkStart w:id="32" w:name="_Int_ehiBuD46"/>
      <w:r w:rsidRPr="072869EF">
        <w:rPr>
          <w:rFonts w:ascii="Arial" w:eastAsia="Arial" w:hAnsi="Arial" w:cs="Arial"/>
          <w:color w:val="000000" w:themeColor="text1"/>
          <w:kern w:val="0"/>
          <w:sz w:val="24"/>
          <w:szCs w:val="24"/>
          <w:lang w:eastAsia="en-GB"/>
          <w14:ligatures w14:val="none"/>
        </w:rPr>
        <w:t>demonstrate</w:t>
      </w:r>
      <w:bookmarkEnd w:id="32"/>
      <w:r w:rsidRPr="072869EF">
        <w:rPr>
          <w:rFonts w:ascii="Arial" w:eastAsia="Arial" w:hAnsi="Arial" w:cs="Arial"/>
          <w:color w:val="000000" w:themeColor="text1"/>
          <w:kern w:val="0"/>
          <w:sz w:val="24"/>
          <w:szCs w:val="24"/>
          <w:lang w:eastAsia="en-GB"/>
          <w14:ligatures w14:val="none"/>
        </w:rPr>
        <w:t xml:space="preserve"> why early recognition and </w:t>
      </w:r>
      <w:r w:rsidR="007E5B38" w:rsidRPr="072869EF">
        <w:rPr>
          <w:rFonts w:ascii="Arial" w:eastAsia="Arial" w:hAnsi="Arial" w:cs="Arial"/>
          <w:color w:val="000000" w:themeColor="text1"/>
          <w:kern w:val="0"/>
          <w:sz w:val="24"/>
          <w:szCs w:val="24"/>
          <w:lang w:eastAsia="en-GB"/>
          <w14:ligatures w14:val="none"/>
        </w:rPr>
        <w:t>advance access</w:t>
      </w:r>
      <w:r w:rsidRPr="072869EF">
        <w:rPr>
          <w:rFonts w:ascii="Arial" w:eastAsia="Arial" w:hAnsi="Arial" w:cs="Arial"/>
          <w:color w:val="000000" w:themeColor="text1"/>
          <w:kern w:val="0"/>
          <w:sz w:val="24"/>
          <w:szCs w:val="24"/>
          <w:lang w:eastAsia="en-GB"/>
          <w14:ligatures w14:val="none"/>
        </w:rPr>
        <w:t xml:space="preserve"> to support are fundamental to educational success.</w:t>
      </w:r>
    </w:p>
    <w:p w14:paraId="1BA528F4" w14:textId="68F07DA7" w:rsidR="0088225D" w:rsidRPr="0088225D" w:rsidRDefault="0088225D" w:rsidP="4C72D9C6">
      <w:pPr>
        <w:spacing w:after="0"/>
        <w:jc w:val="left"/>
        <w:rPr>
          <w:rFonts w:ascii="Arial" w:eastAsia="Arial" w:hAnsi="Arial" w:cs="Arial"/>
          <w:color w:val="000000" w:themeColor="text1"/>
          <w:kern w:val="0"/>
          <w:sz w:val="24"/>
          <w:szCs w:val="24"/>
          <w:lang w:eastAsia="en-GB"/>
          <w14:ligatures w14:val="none"/>
        </w:rPr>
      </w:pPr>
    </w:p>
    <w:p w14:paraId="0E7DAF11" w14:textId="791894FE" w:rsidR="0088225D" w:rsidRDefault="0088225D" w:rsidP="4C72D9C6">
      <w:pPr>
        <w:spacing w:before="100" w:beforeAutospacing="1" w:after="100" w:afterAutospacing="1"/>
        <w:jc w:val="left"/>
        <w:outlineLvl w:val="1"/>
        <w:rPr>
          <w:rFonts w:ascii="Arial" w:eastAsia="Arial" w:hAnsi="Arial" w:cs="Arial"/>
          <w:color w:val="000000" w:themeColor="text1"/>
          <w:kern w:val="0"/>
          <w:sz w:val="24"/>
          <w:szCs w:val="24"/>
          <w:lang w:eastAsia="en-GB"/>
          <w14:ligatures w14:val="none"/>
        </w:rPr>
      </w:pPr>
      <w:r w:rsidRPr="072869EF">
        <w:rPr>
          <w:rFonts w:ascii="Arial" w:eastAsia="Arial" w:hAnsi="Arial" w:cs="Arial"/>
          <w:i/>
          <w:color w:val="000000" w:themeColor="text1"/>
          <w:kern w:val="0"/>
          <w:sz w:val="24"/>
          <w:szCs w:val="24"/>
          <w:lang w:eastAsia="en-GB"/>
          <w14:ligatures w14:val="none"/>
        </w:rPr>
        <w:t>Theoretical Frameworks</w:t>
      </w:r>
      <w:r w:rsidR="00134692" w:rsidRPr="072869EF">
        <w:rPr>
          <w:rFonts w:ascii="Arial" w:eastAsia="Arial" w:hAnsi="Arial" w:cs="Arial"/>
          <w:i/>
          <w:color w:val="000000" w:themeColor="text1"/>
          <w:kern w:val="0"/>
          <w:sz w:val="24"/>
          <w:szCs w:val="24"/>
          <w:lang w:eastAsia="en-GB"/>
          <w14:ligatures w14:val="none"/>
        </w:rPr>
        <w:t xml:space="preserve"> </w:t>
      </w:r>
      <w:r w:rsidR="00134692" w:rsidRPr="072869EF">
        <w:rPr>
          <w:rFonts w:ascii="Arial" w:eastAsia="Arial" w:hAnsi="Arial" w:cs="Arial"/>
          <w:color w:val="000000" w:themeColor="text1"/>
          <w:kern w:val="0"/>
          <w:sz w:val="24"/>
          <w:szCs w:val="24"/>
          <w:lang w:eastAsia="en-GB"/>
          <w14:ligatures w14:val="none"/>
        </w:rPr>
        <w:t>–</w:t>
      </w:r>
    </w:p>
    <w:p w14:paraId="4EB39E74" w14:textId="52DD203D" w:rsidR="0088225D" w:rsidRPr="0088225D" w:rsidRDefault="0088225D"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Two theoretical perspectives underpin this theme:</w:t>
      </w:r>
    </w:p>
    <w:p w14:paraId="76368B76" w14:textId="7ED2DC74" w:rsidR="4C72D9C6" w:rsidRDefault="4C72D9C6" w:rsidP="4C72D9C6">
      <w:pPr>
        <w:spacing w:beforeAutospacing="1" w:afterAutospacing="1"/>
        <w:jc w:val="left"/>
        <w:rPr>
          <w:rFonts w:ascii="Arial" w:eastAsia="Arial" w:hAnsi="Arial" w:cs="Arial"/>
          <w:color w:val="000000" w:themeColor="text1"/>
          <w:sz w:val="24"/>
          <w:szCs w:val="24"/>
          <w:lang w:eastAsia="en-GB"/>
        </w:rPr>
      </w:pPr>
    </w:p>
    <w:p w14:paraId="3AD66945" w14:textId="2546CEDF" w:rsidR="0088225D" w:rsidRPr="00134692" w:rsidRDefault="0088225D" w:rsidP="4C72D9C6">
      <w:pPr>
        <w:spacing w:before="100" w:beforeAutospacing="1" w:after="100" w:afterAutospacing="1"/>
        <w:jc w:val="left"/>
        <w:outlineLvl w:val="2"/>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1. Developmental Psychopathology Perspective</w:t>
      </w:r>
    </w:p>
    <w:p w14:paraId="37ADC18F" w14:textId="012F3DA0" w:rsidR="0088225D" w:rsidRPr="0088225D" w:rsidRDefault="0088225D"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This framework argues that early behavioural difficulties escalate when unaddressed, leading to compounding academic and emotional problems (Cicchetti, 2016). Early diagnosis interrupts this negative trajectory.</w:t>
      </w:r>
    </w:p>
    <w:p w14:paraId="1FE75CFF" w14:textId="77777777" w:rsidR="0088225D" w:rsidRPr="0088225D" w:rsidRDefault="0088225D" w:rsidP="4C72D9C6">
      <w:pPr>
        <w:spacing w:before="100" w:beforeAutospacing="1" w:after="100" w:afterAutospacing="1"/>
        <w:jc w:val="left"/>
        <w:outlineLvl w:val="2"/>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2. Ecological Systems Theory (Bronfenbrenner, 1979)</w:t>
      </w:r>
    </w:p>
    <w:p w14:paraId="09E77882" w14:textId="77777777" w:rsidR="0088225D" w:rsidRPr="0088225D" w:rsidRDefault="0088225D"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p>
    <w:p w14:paraId="1006CCDA" w14:textId="77777777" w:rsidR="0088225D" w:rsidRPr="0088225D" w:rsidRDefault="0088225D"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ADHD outcomes depend on interactions between the child, school environment, family, and wider services. Early diagnosis strengthens the mesosystem (school–home–health communication), improving outcomes.</w:t>
      </w:r>
    </w:p>
    <w:p w14:paraId="6FED6E75" w14:textId="77777777" w:rsidR="0088225D" w:rsidRPr="0088225D" w:rsidRDefault="0088225D"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p>
    <w:p w14:paraId="02B35F3E" w14:textId="77777777" w:rsidR="0088225D" w:rsidRPr="0088225D" w:rsidRDefault="0088225D"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In this dissertation, these theories help explain why delays cause harm and why early intervention has a cumulative protective effect.</w:t>
      </w:r>
    </w:p>
    <w:p w14:paraId="36596DD2" w14:textId="7BB4FA3A" w:rsidR="0088225D" w:rsidRPr="0088225D" w:rsidRDefault="0088225D" w:rsidP="4C72D9C6">
      <w:pPr>
        <w:spacing w:after="0"/>
        <w:jc w:val="left"/>
        <w:rPr>
          <w:rFonts w:ascii="Arial" w:eastAsia="Arial" w:hAnsi="Arial" w:cs="Arial"/>
          <w:color w:val="000000" w:themeColor="text1"/>
          <w:kern w:val="0"/>
          <w:sz w:val="24"/>
          <w:szCs w:val="24"/>
          <w:lang w:eastAsia="en-GB"/>
          <w14:ligatures w14:val="none"/>
        </w:rPr>
      </w:pPr>
    </w:p>
    <w:p w14:paraId="1FD6CFC9" w14:textId="77777777" w:rsidR="0088225D" w:rsidRPr="00134692" w:rsidRDefault="0088225D" w:rsidP="4C72D9C6">
      <w:pPr>
        <w:spacing w:before="100" w:beforeAutospacing="1" w:after="100" w:afterAutospacing="1"/>
        <w:jc w:val="left"/>
        <w:outlineLvl w:val="1"/>
        <w:rPr>
          <w:rFonts w:ascii="Arial" w:eastAsia="Arial" w:hAnsi="Arial" w:cs="Arial"/>
          <w:b/>
          <w:color w:val="000000" w:themeColor="text1"/>
          <w:kern w:val="0"/>
          <w:sz w:val="24"/>
          <w:szCs w:val="24"/>
          <w:lang w:eastAsia="en-GB"/>
          <w14:ligatures w14:val="none"/>
        </w:rPr>
      </w:pPr>
      <w:r w:rsidRPr="072869EF">
        <w:rPr>
          <w:rFonts w:ascii="Arial" w:eastAsia="Arial" w:hAnsi="Arial" w:cs="Arial"/>
          <w:b/>
          <w:color w:val="000000" w:themeColor="text1"/>
          <w:kern w:val="0"/>
          <w:sz w:val="24"/>
          <w:szCs w:val="24"/>
          <w:lang w:eastAsia="en-GB"/>
          <w14:ligatures w14:val="none"/>
        </w:rPr>
        <w:t>Policies and Legislation</w:t>
      </w:r>
    </w:p>
    <w:p w14:paraId="0EEE08DF" w14:textId="77777777" w:rsidR="0088225D" w:rsidRPr="0088225D" w:rsidRDefault="0088225D"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p>
    <w:p w14:paraId="5CD704FD" w14:textId="77777777" w:rsidR="0088225D" w:rsidRPr="0088225D" w:rsidRDefault="0088225D"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Several UK frameworks reinforce the duty of early identification:</w:t>
      </w:r>
    </w:p>
    <w:p w14:paraId="3FE73DAB" w14:textId="77777777" w:rsidR="0088225D" w:rsidRPr="0088225D" w:rsidRDefault="0088225D" w:rsidP="4C72D9C6">
      <w:pPr>
        <w:numPr>
          <w:ilvl w:val="0"/>
          <w:numId w:val="102"/>
        </w:num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SEND Code of Practice (DfE &amp; DHSC, 2015) – requires early intervention and introduces the Assess–Plan–Do–Review cycle.</w:t>
      </w:r>
    </w:p>
    <w:p w14:paraId="2535A835" w14:textId="77777777" w:rsidR="0088225D" w:rsidRPr="0088225D" w:rsidRDefault="0088225D" w:rsidP="4C72D9C6">
      <w:pPr>
        <w:numPr>
          <w:ilvl w:val="0"/>
          <w:numId w:val="102"/>
        </w:num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Equality Act 2010 – ADHD can constitute a disability; schools must make reasonable adjustments.</w:t>
      </w:r>
    </w:p>
    <w:p w14:paraId="1682BFFD" w14:textId="77777777" w:rsidR="0088225D" w:rsidRPr="0088225D" w:rsidRDefault="0088225D" w:rsidP="4C72D9C6">
      <w:pPr>
        <w:numPr>
          <w:ilvl w:val="0"/>
          <w:numId w:val="102"/>
        </w:num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NICE Guideline NG87 (2018) – sets standards for assessment and early management.</w:t>
      </w:r>
    </w:p>
    <w:p w14:paraId="310C125F" w14:textId="77777777" w:rsidR="0088225D" w:rsidRPr="0088225D" w:rsidRDefault="0088225D" w:rsidP="4C72D9C6">
      <w:pPr>
        <w:numPr>
          <w:ilvl w:val="0"/>
          <w:numId w:val="102"/>
        </w:num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Children and Families Act 2014 – mandates integrated support and parent involvement.</w:t>
      </w:r>
    </w:p>
    <w:p w14:paraId="37298899" w14:textId="77777777" w:rsidR="0088225D" w:rsidRPr="0088225D" w:rsidRDefault="0088225D" w:rsidP="4C72D9C6">
      <w:pPr>
        <w:numPr>
          <w:ilvl w:val="0"/>
          <w:numId w:val="102"/>
        </w:num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NHS Long Term Plan (2019) – promises expanded mental-health support teams in schools.</w:t>
      </w:r>
    </w:p>
    <w:p w14:paraId="4F6A375D" w14:textId="77777777" w:rsidR="0088225D" w:rsidRPr="0088225D" w:rsidRDefault="0088225D"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p>
    <w:p w14:paraId="38DAC633" w14:textId="77777777" w:rsidR="0088225D" w:rsidRPr="0088225D" w:rsidRDefault="0088225D"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 xml:space="preserve">However, evidence </w:t>
      </w:r>
      <w:bookmarkStart w:id="33" w:name="_Int_JDoTsGug"/>
      <w:r w:rsidRPr="072869EF">
        <w:rPr>
          <w:rFonts w:ascii="Arial" w:eastAsia="Arial" w:hAnsi="Arial" w:cs="Arial"/>
          <w:color w:val="000000" w:themeColor="text1"/>
          <w:kern w:val="0"/>
          <w:sz w:val="24"/>
          <w:szCs w:val="24"/>
          <w:lang w:eastAsia="en-GB"/>
          <w14:ligatures w14:val="none"/>
        </w:rPr>
        <w:t>indicates</w:t>
      </w:r>
      <w:bookmarkEnd w:id="33"/>
      <w:r w:rsidRPr="072869EF">
        <w:rPr>
          <w:rFonts w:ascii="Arial" w:eastAsia="Arial" w:hAnsi="Arial" w:cs="Arial"/>
          <w:color w:val="000000" w:themeColor="text1"/>
          <w:kern w:val="0"/>
          <w:sz w:val="24"/>
          <w:szCs w:val="24"/>
          <w:lang w:eastAsia="en-GB"/>
          <w14:ligatures w14:val="none"/>
        </w:rPr>
        <w:t xml:space="preserve"> significant gaps between policy intentions and real-world practice.</w:t>
      </w:r>
    </w:p>
    <w:p w14:paraId="3BF25D15" w14:textId="34535372" w:rsidR="0088225D" w:rsidRPr="0088225D" w:rsidRDefault="0088225D" w:rsidP="4C72D9C6">
      <w:pPr>
        <w:spacing w:after="0"/>
        <w:jc w:val="left"/>
        <w:rPr>
          <w:rFonts w:ascii="Arial" w:eastAsia="Arial" w:hAnsi="Arial" w:cs="Arial"/>
          <w:color w:val="000000" w:themeColor="text1"/>
          <w:kern w:val="0"/>
          <w:sz w:val="24"/>
          <w:szCs w:val="24"/>
          <w:lang w:eastAsia="en-GB"/>
          <w14:ligatures w14:val="none"/>
        </w:rPr>
      </w:pPr>
    </w:p>
    <w:p w14:paraId="5BE9BE34" w14:textId="77777777" w:rsidR="0088225D" w:rsidRPr="00134692" w:rsidRDefault="0088225D" w:rsidP="4C72D9C6">
      <w:pPr>
        <w:spacing w:before="100" w:beforeAutospacing="1" w:after="100" w:afterAutospacing="1"/>
        <w:jc w:val="left"/>
        <w:outlineLvl w:val="1"/>
        <w:rPr>
          <w:rFonts w:ascii="Arial" w:eastAsia="Arial" w:hAnsi="Arial" w:cs="Arial"/>
          <w:b/>
          <w:color w:val="000000" w:themeColor="text1"/>
          <w:kern w:val="0"/>
          <w:sz w:val="24"/>
          <w:szCs w:val="24"/>
          <w:lang w:eastAsia="en-GB"/>
          <w14:ligatures w14:val="none"/>
        </w:rPr>
      </w:pPr>
      <w:r w:rsidRPr="072869EF">
        <w:rPr>
          <w:rFonts w:ascii="Arial" w:eastAsia="Arial" w:hAnsi="Arial" w:cs="Arial"/>
          <w:b/>
          <w:color w:val="000000" w:themeColor="text1"/>
          <w:kern w:val="0"/>
          <w:sz w:val="24"/>
          <w:szCs w:val="24"/>
          <w:lang w:eastAsia="en-GB"/>
          <w14:ligatures w14:val="none"/>
        </w:rPr>
        <w:t>Positive and Negative Implications</w:t>
      </w:r>
    </w:p>
    <w:p w14:paraId="3132A6FC" w14:textId="77777777" w:rsidR="0088225D" w:rsidRPr="0088225D" w:rsidRDefault="0088225D"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p>
    <w:p w14:paraId="7F3CE011" w14:textId="77777777" w:rsidR="0088225D" w:rsidRPr="0088225D" w:rsidRDefault="0088225D" w:rsidP="4C72D9C6">
      <w:pPr>
        <w:spacing w:before="100" w:beforeAutospacing="1" w:after="100" w:afterAutospacing="1"/>
        <w:jc w:val="left"/>
        <w:outlineLvl w:val="2"/>
        <w:rPr>
          <w:rFonts w:ascii="Arial" w:eastAsia="Arial" w:hAnsi="Arial" w:cs="Arial"/>
          <w:b/>
          <w:color w:val="000000" w:themeColor="text1"/>
          <w:kern w:val="0"/>
          <w:sz w:val="24"/>
          <w:szCs w:val="24"/>
          <w:lang w:eastAsia="en-GB"/>
          <w14:ligatures w14:val="none"/>
        </w:rPr>
      </w:pPr>
      <w:r w:rsidRPr="072869EF">
        <w:rPr>
          <w:rFonts w:ascii="Arial" w:eastAsia="Arial" w:hAnsi="Arial" w:cs="Arial"/>
          <w:b/>
          <w:color w:val="000000" w:themeColor="text1"/>
          <w:kern w:val="0"/>
          <w:sz w:val="24"/>
          <w:szCs w:val="24"/>
          <w:lang w:eastAsia="en-GB"/>
          <w14:ligatures w14:val="none"/>
        </w:rPr>
        <w:t>Positive Implications of Early Diagnosis</w:t>
      </w:r>
    </w:p>
    <w:p w14:paraId="5D6CFA2A" w14:textId="77777777" w:rsidR="0088225D" w:rsidRPr="0088225D" w:rsidRDefault="0088225D" w:rsidP="4C72D9C6">
      <w:pPr>
        <w:numPr>
          <w:ilvl w:val="0"/>
          <w:numId w:val="103"/>
        </w:num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Tailored interventions such as visual timetables, chunked tasks, and behavioural support can be put in place early.</w:t>
      </w:r>
    </w:p>
    <w:p w14:paraId="38C5FF31" w14:textId="37FD1DDF" w:rsidR="0088225D" w:rsidRPr="0088225D" w:rsidRDefault="0088225D" w:rsidP="4C72D9C6">
      <w:pPr>
        <w:numPr>
          <w:ilvl w:val="0"/>
          <w:numId w:val="103"/>
        </w:num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 xml:space="preserve">Improved attainment, especially in </w:t>
      </w:r>
      <w:r w:rsidR="007E5B38" w:rsidRPr="072869EF">
        <w:rPr>
          <w:rFonts w:ascii="Arial" w:eastAsia="Arial" w:hAnsi="Arial" w:cs="Arial"/>
          <w:color w:val="000000" w:themeColor="text1"/>
          <w:kern w:val="0"/>
          <w:sz w:val="24"/>
          <w:szCs w:val="24"/>
          <w:lang w:eastAsia="en-GB"/>
          <w14:ligatures w14:val="none"/>
        </w:rPr>
        <w:t>literacy when</w:t>
      </w:r>
      <w:r w:rsidRPr="072869EF">
        <w:rPr>
          <w:rFonts w:ascii="Arial" w:eastAsia="Arial" w:hAnsi="Arial" w:cs="Arial"/>
          <w:color w:val="000000" w:themeColor="text1"/>
          <w:kern w:val="0"/>
          <w:sz w:val="24"/>
          <w:szCs w:val="24"/>
          <w:lang w:eastAsia="en-GB"/>
          <w14:ligatures w14:val="none"/>
        </w:rPr>
        <w:t xml:space="preserve"> executive-function supports begin early (Fleming et al., 2020).</w:t>
      </w:r>
    </w:p>
    <w:p w14:paraId="1EDBBDCA" w14:textId="77777777" w:rsidR="0088225D" w:rsidRPr="0088225D" w:rsidRDefault="0088225D" w:rsidP="4C72D9C6">
      <w:pPr>
        <w:numPr>
          <w:ilvl w:val="0"/>
          <w:numId w:val="103"/>
        </w:num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Reduction in school exclusions, particularly for boys at risk of behavioural escalation.</w:t>
      </w:r>
    </w:p>
    <w:p w14:paraId="6F0CB0B1" w14:textId="77777777" w:rsidR="0088225D" w:rsidRPr="0088225D" w:rsidRDefault="0088225D" w:rsidP="4C72D9C6">
      <w:pPr>
        <w:numPr>
          <w:ilvl w:val="0"/>
          <w:numId w:val="103"/>
        </w:num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Better family–school collaboration, improving consistency of care.</w:t>
      </w:r>
    </w:p>
    <w:p w14:paraId="54E36CFC" w14:textId="77777777" w:rsidR="0088225D" w:rsidRPr="0088225D" w:rsidRDefault="0088225D"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p>
    <w:p w14:paraId="33D8F4F6" w14:textId="77777777" w:rsidR="0088225D" w:rsidRPr="0088225D" w:rsidRDefault="0088225D" w:rsidP="4C72D9C6">
      <w:pPr>
        <w:spacing w:before="100" w:beforeAutospacing="1" w:after="100" w:afterAutospacing="1"/>
        <w:jc w:val="left"/>
        <w:outlineLvl w:val="2"/>
        <w:rPr>
          <w:rFonts w:ascii="Arial" w:eastAsia="Arial" w:hAnsi="Arial" w:cs="Arial"/>
          <w:b/>
          <w:color w:val="000000" w:themeColor="text1"/>
          <w:kern w:val="0"/>
          <w:sz w:val="24"/>
          <w:szCs w:val="24"/>
          <w:lang w:eastAsia="en-GB"/>
          <w14:ligatures w14:val="none"/>
        </w:rPr>
      </w:pPr>
      <w:r w:rsidRPr="072869EF">
        <w:rPr>
          <w:rFonts w:ascii="Arial" w:eastAsia="Arial" w:hAnsi="Arial" w:cs="Arial"/>
          <w:b/>
          <w:color w:val="000000" w:themeColor="text1"/>
          <w:kern w:val="0"/>
          <w:sz w:val="24"/>
          <w:szCs w:val="24"/>
          <w:lang w:eastAsia="en-GB"/>
          <w14:ligatures w14:val="none"/>
        </w:rPr>
        <w:t>Negative Implications or Limitations</w:t>
      </w:r>
    </w:p>
    <w:p w14:paraId="253A4D0C" w14:textId="77777777" w:rsidR="0088225D" w:rsidRPr="0088225D" w:rsidRDefault="0088225D" w:rsidP="4C72D9C6">
      <w:pPr>
        <w:numPr>
          <w:ilvl w:val="0"/>
          <w:numId w:val="104"/>
        </w:num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Stigma: Some children, particularly boys, report being labelled negatively after diagnosis (Guo et al., 2024).</w:t>
      </w:r>
    </w:p>
    <w:p w14:paraId="48AA8A5E" w14:textId="77777777" w:rsidR="0088225D" w:rsidRPr="0088225D" w:rsidRDefault="0088225D" w:rsidP="4C72D9C6">
      <w:pPr>
        <w:numPr>
          <w:ilvl w:val="0"/>
          <w:numId w:val="104"/>
        </w:num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Over-diagnosis concerns: Critics argue that early diagnosis may medicalise normal developmental variation (Timimi, 2019).</w:t>
      </w:r>
    </w:p>
    <w:p w14:paraId="518B1D27" w14:textId="77777777" w:rsidR="0088225D" w:rsidRPr="0088225D" w:rsidRDefault="0088225D" w:rsidP="4C72D9C6">
      <w:pPr>
        <w:numPr>
          <w:ilvl w:val="0"/>
          <w:numId w:val="104"/>
        </w:num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Unequal access: Children from deprived areas face longer CAMHS waits (Children’s Commissioner, 2023).</w:t>
      </w:r>
    </w:p>
    <w:p w14:paraId="60EA3550" w14:textId="77777777" w:rsidR="0088225D" w:rsidRPr="0088225D" w:rsidRDefault="0088225D" w:rsidP="4C72D9C6">
      <w:pPr>
        <w:numPr>
          <w:ilvl w:val="0"/>
          <w:numId w:val="104"/>
        </w:num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Teacher variability: Without adequate training, early signs may be misread or missed entirely (Ford et al., 2021).</w:t>
      </w:r>
    </w:p>
    <w:p w14:paraId="140C173B" w14:textId="433DC8F6" w:rsidR="0088225D" w:rsidRPr="0088225D" w:rsidRDefault="0088225D" w:rsidP="4C72D9C6">
      <w:pPr>
        <w:spacing w:after="0"/>
        <w:jc w:val="left"/>
        <w:rPr>
          <w:rFonts w:ascii="Arial" w:eastAsia="Arial" w:hAnsi="Arial" w:cs="Arial"/>
          <w:color w:val="000000" w:themeColor="text1"/>
          <w:kern w:val="0"/>
          <w:sz w:val="24"/>
          <w:szCs w:val="24"/>
          <w:lang w:eastAsia="en-GB"/>
          <w14:ligatures w14:val="none"/>
        </w:rPr>
      </w:pPr>
    </w:p>
    <w:p w14:paraId="2EE3EBC1" w14:textId="77777777" w:rsidR="0088225D" w:rsidRPr="0088225D" w:rsidRDefault="0088225D" w:rsidP="4C72D9C6">
      <w:pPr>
        <w:spacing w:before="100" w:beforeAutospacing="1" w:after="100" w:afterAutospacing="1"/>
        <w:jc w:val="left"/>
        <w:outlineLvl w:val="1"/>
        <w:rPr>
          <w:rFonts w:ascii="Arial" w:eastAsia="Arial" w:hAnsi="Arial" w:cs="Arial"/>
          <w:b/>
          <w:color w:val="000000" w:themeColor="text1"/>
          <w:kern w:val="0"/>
          <w:sz w:val="24"/>
          <w:szCs w:val="24"/>
          <w:lang w:eastAsia="en-GB"/>
          <w14:ligatures w14:val="none"/>
        </w:rPr>
      </w:pPr>
      <w:r w:rsidRPr="072869EF">
        <w:rPr>
          <w:rFonts w:ascii="Arial" w:eastAsia="Arial" w:hAnsi="Arial" w:cs="Arial"/>
          <w:b/>
          <w:color w:val="000000" w:themeColor="text1"/>
          <w:kern w:val="0"/>
          <w:sz w:val="24"/>
          <w:szCs w:val="24"/>
          <w:lang w:eastAsia="en-GB"/>
          <w14:ligatures w14:val="none"/>
        </w:rPr>
        <w:t>Examples from Reviewed Studies</w:t>
      </w:r>
    </w:p>
    <w:p w14:paraId="16CC594A" w14:textId="2EE741ED" w:rsidR="0088225D" w:rsidRPr="0088225D" w:rsidRDefault="0088225D" w:rsidP="4C72D9C6">
      <w:pPr>
        <w:spacing w:before="100" w:beforeAutospacing="1" w:after="100" w:afterAutospacing="1"/>
        <w:jc w:val="left"/>
        <w:rPr>
          <w:rFonts w:ascii="Arial" w:eastAsia="Arial" w:hAnsi="Arial" w:cs="Arial"/>
          <w:b/>
          <w:color w:val="000000" w:themeColor="text1"/>
          <w:kern w:val="0"/>
          <w:sz w:val="24"/>
          <w:szCs w:val="24"/>
          <w:lang w:eastAsia="en-GB"/>
          <w14:ligatures w14:val="none"/>
        </w:rPr>
      </w:pPr>
      <w:r w:rsidRPr="072869EF">
        <w:rPr>
          <w:rFonts w:ascii="Arial" w:eastAsia="Arial" w:hAnsi="Arial" w:cs="Arial"/>
          <w:b/>
          <w:color w:val="000000" w:themeColor="text1"/>
          <w:kern w:val="0"/>
          <w:sz w:val="24"/>
          <w:szCs w:val="24"/>
          <w:lang w:eastAsia="en-GB"/>
          <w14:ligatures w14:val="none"/>
        </w:rPr>
        <w:t>Maciver et al. (2025)</w:t>
      </w:r>
    </w:p>
    <w:p w14:paraId="388A310B" w14:textId="77777777" w:rsidR="0088225D" w:rsidRPr="0088225D" w:rsidRDefault="0088225D"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p>
    <w:p w14:paraId="28883F93" w14:textId="18959EAC" w:rsidR="0088225D" w:rsidRPr="0088225D" w:rsidRDefault="0088225D"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 xml:space="preserve">Found that long waiting times predict worsened behaviour, higher parental stress, and lower academic engagement. This supports the argument that </w:t>
      </w:r>
      <w:bookmarkStart w:id="34" w:name="_Int_thSMTSRA"/>
      <w:r w:rsidR="007E5B38" w:rsidRPr="072869EF">
        <w:rPr>
          <w:rFonts w:ascii="Arial" w:eastAsia="Arial" w:hAnsi="Arial" w:cs="Arial"/>
          <w:color w:val="000000" w:themeColor="text1"/>
          <w:kern w:val="0"/>
          <w:sz w:val="24"/>
          <w:szCs w:val="24"/>
          <w:lang w:eastAsia="en-GB"/>
          <w14:ligatures w14:val="none"/>
        </w:rPr>
        <w:t>timely</w:t>
      </w:r>
      <w:bookmarkEnd w:id="34"/>
      <w:r w:rsidR="007E5B38" w:rsidRPr="072869EF">
        <w:rPr>
          <w:rFonts w:ascii="Arial" w:eastAsia="Arial" w:hAnsi="Arial" w:cs="Arial"/>
          <w:color w:val="000000" w:themeColor="text1"/>
          <w:kern w:val="0"/>
          <w:sz w:val="24"/>
          <w:szCs w:val="24"/>
          <w:lang w:eastAsia="en-GB"/>
          <w14:ligatures w14:val="none"/>
        </w:rPr>
        <w:t xml:space="preserve"> access</w:t>
      </w:r>
      <w:r w:rsidRPr="072869EF">
        <w:rPr>
          <w:rFonts w:ascii="Arial" w:eastAsia="Arial" w:hAnsi="Arial" w:cs="Arial"/>
          <w:color w:val="000000" w:themeColor="text1"/>
          <w:kern w:val="0"/>
          <w:sz w:val="24"/>
          <w:szCs w:val="24"/>
          <w:lang w:eastAsia="en-GB"/>
          <w14:ligatures w14:val="none"/>
        </w:rPr>
        <w:t xml:space="preserve"> is crucial.</w:t>
      </w:r>
    </w:p>
    <w:p w14:paraId="0DFBB64F" w14:textId="77777777" w:rsidR="0088225D" w:rsidRPr="0088225D" w:rsidRDefault="0088225D"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p>
    <w:p w14:paraId="0C8DA841" w14:textId="77777777" w:rsidR="0088225D" w:rsidRPr="0088225D" w:rsidRDefault="0088225D" w:rsidP="4C72D9C6">
      <w:pPr>
        <w:spacing w:before="100" w:beforeAutospacing="1" w:after="100" w:afterAutospacing="1"/>
        <w:jc w:val="left"/>
        <w:outlineLvl w:val="2"/>
        <w:rPr>
          <w:rFonts w:ascii="Arial" w:eastAsia="Arial" w:hAnsi="Arial" w:cs="Arial"/>
          <w:b/>
          <w:color w:val="000000" w:themeColor="text1"/>
          <w:kern w:val="0"/>
          <w:sz w:val="24"/>
          <w:szCs w:val="24"/>
          <w:lang w:eastAsia="en-GB"/>
          <w14:ligatures w14:val="none"/>
        </w:rPr>
      </w:pPr>
      <w:r w:rsidRPr="072869EF">
        <w:rPr>
          <w:rFonts w:ascii="Arial" w:eastAsia="Arial" w:hAnsi="Arial" w:cs="Arial"/>
          <w:b/>
          <w:color w:val="000000" w:themeColor="text1"/>
          <w:kern w:val="0"/>
          <w:sz w:val="24"/>
          <w:szCs w:val="24"/>
          <w:lang w:eastAsia="en-GB"/>
          <w14:ligatures w14:val="none"/>
        </w:rPr>
        <w:t>Ford et al. (2021)</w:t>
      </w:r>
    </w:p>
    <w:p w14:paraId="317C77E4" w14:textId="77777777" w:rsidR="0088225D" w:rsidRPr="0088225D" w:rsidRDefault="0088225D"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p>
    <w:p w14:paraId="0F103B1A" w14:textId="77777777" w:rsidR="0088225D" w:rsidRPr="0088225D" w:rsidRDefault="0088225D"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 xml:space="preserve">Showed that teacher training improves early identification and reduces inappropriate disciplinary actions. This </w:t>
      </w:r>
      <w:bookmarkStart w:id="35" w:name="_Int_zjwEGRvm"/>
      <w:r w:rsidRPr="072869EF">
        <w:rPr>
          <w:rFonts w:ascii="Arial" w:eastAsia="Arial" w:hAnsi="Arial" w:cs="Arial"/>
          <w:color w:val="000000" w:themeColor="text1"/>
          <w:kern w:val="0"/>
          <w:sz w:val="24"/>
          <w:szCs w:val="24"/>
          <w:lang w:eastAsia="en-GB"/>
          <w14:ligatures w14:val="none"/>
        </w:rPr>
        <w:t>demonstrates</w:t>
      </w:r>
      <w:bookmarkEnd w:id="35"/>
      <w:r w:rsidRPr="072869EF">
        <w:rPr>
          <w:rFonts w:ascii="Arial" w:eastAsia="Arial" w:hAnsi="Arial" w:cs="Arial"/>
          <w:color w:val="000000" w:themeColor="text1"/>
          <w:kern w:val="0"/>
          <w:sz w:val="24"/>
          <w:szCs w:val="24"/>
          <w:lang w:eastAsia="en-GB"/>
          <w14:ligatures w14:val="none"/>
        </w:rPr>
        <w:t xml:space="preserve"> how school-level support interacts with diagnosis.</w:t>
      </w:r>
    </w:p>
    <w:p w14:paraId="7CB7FCAE" w14:textId="77777777" w:rsidR="0088225D" w:rsidRPr="0088225D" w:rsidRDefault="0088225D"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p>
    <w:p w14:paraId="39658DCE" w14:textId="77777777" w:rsidR="0088225D" w:rsidRPr="0088225D" w:rsidRDefault="0088225D" w:rsidP="4C72D9C6">
      <w:pPr>
        <w:spacing w:before="100" w:beforeAutospacing="1" w:after="100" w:afterAutospacing="1"/>
        <w:jc w:val="left"/>
        <w:outlineLvl w:val="2"/>
        <w:rPr>
          <w:rFonts w:ascii="Arial" w:eastAsia="Arial" w:hAnsi="Arial" w:cs="Arial"/>
          <w:b/>
          <w:color w:val="000000" w:themeColor="text1"/>
          <w:kern w:val="0"/>
          <w:sz w:val="24"/>
          <w:szCs w:val="24"/>
          <w:lang w:eastAsia="en-GB"/>
          <w14:ligatures w14:val="none"/>
        </w:rPr>
      </w:pPr>
      <w:r w:rsidRPr="072869EF">
        <w:rPr>
          <w:rFonts w:ascii="Arial" w:eastAsia="Arial" w:hAnsi="Arial" w:cs="Arial"/>
          <w:b/>
          <w:color w:val="000000" w:themeColor="text1"/>
          <w:kern w:val="0"/>
          <w:sz w:val="24"/>
          <w:szCs w:val="24"/>
          <w:lang w:eastAsia="en-GB"/>
          <w14:ligatures w14:val="none"/>
        </w:rPr>
        <w:t>Fleming et al. (2020)</w:t>
      </w:r>
    </w:p>
    <w:p w14:paraId="07FDF593" w14:textId="77777777" w:rsidR="0088225D" w:rsidRPr="0088225D" w:rsidRDefault="0088225D"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p>
    <w:p w14:paraId="34C2C4CC" w14:textId="77777777" w:rsidR="0088225D" w:rsidRPr="0088225D" w:rsidRDefault="0088225D"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 xml:space="preserve">Reported that pupils diagnosed early made better progress in reading and writing than those diagnosed after Year 5, emphasising the role of </w:t>
      </w:r>
      <w:bookmarkStart w:id="36" w:name="_Int_CasLYtyi"/>
      <w:r w:rsidRPr="072869EF">
        <w:rPr>
          <w:rFonts w:ascii="Arial" w:eastAsia="Arial" w:hAnsi="Arial" w:cs="Arial"/>
          <w:color w:val="000000" w:themeColor="text1"/>
          <w:kern w:val="0"/>
          <w:sz w:val="24"/>
          <w:szCs w:val="24"/>
          <w:lang w:eastAsia="en-GB"/>
          <w14:ligatures w14:val="none"/>
        </w:rPr>
        <w:t>timely</w:t>
      </w:r>
      <w:bookmarkEnd w:id="36"/>
      <w:r w:rsidRPr="072869EF">
        <w:rPr>
          <w:rFonts w:ascii="Arial" w:eastAsia="Arial" w:hAnsi="Arial" w:cs="Arial"/>
          <w:color w:val="000000" w:themeColor="text1"/>
          <w:kern w:val="0"/>
          <w:sz w:val="24"/>
          <w:szCs w:val="24"/>
          <w:lang w:eastAsia="en-GB"/>
          <w14:ligatures w14:val="none"/>
        </w:rPr>
        <w:t xml:space="preserve"> intervention.</w:t>
      </w:r>
    </w:p>
    <w:p w14:paraId="2F048906" w14:textId="77777777" w:rsidR="0088225D" w:rsidRPr="0088225D" w:rsidRDefault="0088225D"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p>
    <w:p w14:paraId="5C096686" w14:textId="77777777" w:rsidR="0088225D" w:rsidRPr="0088225D" w:rsidRDefault="0088225D" w:rsidP="4C72D9C6">
      <w:pPr>
        <w:spacing w:before="100" w:beforeAutospacing="1" w:after="100" w:afterAutospacing="1"/>
        <w:jc w:val="left"/>
        <w:outlineLvl w:val="2"/>
        <w:rPr>
          <w:rFonts w:ascii="Arial" w:eastAsia="Arial" w:hAnsi="Arial" w:cs="Arial"/>
          <w:b/>
          <w:color w:val="000000" w:themeColor="text1"/>
          <w:kern w:val="0"/>
          <w:sz w:val="24"/>
          <w:szCs w:val="24"/>
          <w:lang w:eastAsia="en-GB"/>
          <w14:ligatures w14:val="none"/>
        </w:rPr>
      </w:pPr>
      <w:r w:rsidRPr="072869EF">
        <w:rPr>
          <w:rFonts w:ascii="Arial" w:eastAsia="Arial" w:hAnsi="Arial" w:cs="Arial"/>
          <w:b/>
          <w:color w:val="000000" w:themeColor="text1"/>
          <w:kern w:val="0"/>
          <w:sz w:val="24"/>
          <w:szCs w:val="24"/>
          <w:lang w:eastAsia="en-GB"/>
          <w14:ligatures w14:val="none"/>
        </w:rPr>
        <w:t>Children’s Commissioner (2023)</w:t>
      </w:r>
    </w:p>
    <w:p w14:paraId="6FAEF71F" w14:textId="77777777" w:rsidR="0088225D" w:rsidRPr="0088225D" w:rsidRDefault="0088225D"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p>
    <w:p w14:paraId="264B554D" w14:textId="77777777" w:rsidR="0088225D" w:rsidRPr="0088225D" w:rsidRDefault="0088225D"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Highlighted inequality—children in poorer regions wait significantly longer, undermining the principle of early diagnosis.</w:t>
      </w:r>
    </w:p>
    <w:p w14:paraId="33143A2C" w14:textId="77777777" w:rsidR="0088225D" w:rsidRPr="0088225D" w:rsidRDefault="0088225D"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p>
    <w:p w14:paraId="2A08839A" w14:textId="77777777" w:rsidR="0088225D" w:rsidRPr="0088225D" w:rsidRDefault="0088225D"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These examples strengthen the theme by providing empirical evidence and contrasting viewpoints.</w:t>
      </w:r>
    </w:p>
    <w:p w14:paraId="23AD67B7" w14:textId="7A88E335" w:rsidR="0088225D" w:rsidRPr="0088225D" w:rsidRDefault="0088225D" w:rsidP="4C72D9C6">
      <w:pPr>
        <w:spacing w:after="0"/>
        <w:jc w:val="left"/>
        <w:rPr>
          <w:rFonts w:ascii="Arial" w:eastAsia="Arial" w:hAnsi="Arial" w:cs="Arial"/>
          <w:color w:val="000000" w:themeColor="text1"/>
          <w:kern w:val="0"/>
          <w:sz w:val="24"/>
          <w:szCs w:val="24"/>
          <w:lang w:eastAsia="en-GB"/>
          <w14:ligatures w14:val="none"/>
        </w:rPr>
      </w:pPr>
    </w:p>
    <w:p w14:paraId="4E7096DF" w14:textId="77777777" w:rsidR="0088225D" w:rsidRPr="0088225D" w:rsidRDefault="0088225D" w:rsidP="4C72D9C6">
      <w:pPr>
        <w:spacing w:before="100" w:beforeAutospacing="1" w:after="100" w:afterAutospacing="1"/>
        <w:jc w:val="left"/>
        <w:outlineLvl w:val="1"/>
        <w:rPr>
          <w:rFonts w:ascii="Arial" w:eastAsia="Arial" w:hAnsi="Arial" w:cs="Arial"/>
          <w:b/>
          <w:color w:val="000000" w:themeColor="text1"/>
          <w:kern w:val="0"/>
          <w:sz w:val="24"/>
          <w:szCs w:val="24"/>
          <w:lang w:eastAsia="en-GB"/>
          <w14:ligatures w14:val="none"/>
        </w:rPr>
      </w:pPr>
      <w:r w:rsidRPr="072869EF">
        <w:rPr>
          <w:rFonts w:ascii="Arial" w:eastAsia="Arial" w:hAnsi="Arial" w:cs="Arial"/>
          <w:b/>
          <w:color w:val="000000" w:themeColor="text1"/>
          <w:kern w:val="0"/>
          <w:sz w:val="24"/>
          <w:szCs w:val="24"/>
          <w:lang w:eastAsia="en-GB"/>
          <w14:ligatures w14:val="none"/>
        </w:rPr>
        <w:t>Connections to Other Themes</w:t>
      </w:r>
    </w:p>
    <w:p w14:paraId="5058B61D" w14:textId="77777777" w:rsidR="0088225D" w:rsidRPr="0088225D" w:rsidRDefault="0088225D"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p>
    <w:p w14:paraId="764F4CD9" w14:textId="77777777" w:rsidR="0088225D" w:rsidRPr="0088225D" w:rsidRDefault="0088225D"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This theme links closely with:</w:t>
      </w:r>
    </w:p>
    <w:p w14:paraId="5B442AA0" w14:textId="5443D3C0" w:rsidR="0088225D" w:rsidRPr="0088225D" w:rsidRDefault="0088225D" w:rsidP="4C72D9C6">
      <w:pPr>
        <w:numPr>
          <w:ilvl w:val="0"/>
          <w:numId w:val="105"/>
        </w:num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 xml:space="preserve">Theme 2 (Teacher Awareness) – diagnosis is meaningless if teachers </w:t>
      </w:r>
      <w:r w:rsidR="2052E21A" w:rsidRPr="072869EF">
        <w:rPr>
          <w:rFonts w:ascii="Arial" w:eastAsia="Arial" w:hAnsi="Arial" w:cs="Arial"/>
          <w:color w:val="000000" w:themeColor="text1"/>
          <w:kern w:val="0"/>
          <w:sz w:val="24"/>
          <w:szCs w:val="24"/>
          <w:lang w:eastAsia="en-GB"/>
          <w14:ligatures w14:val="none"/>
        </w:rPr>
        <w:t>do not</w:t>
      </w:r>
      <w:r w:rsidRPr="072869EF">
        <w:rPr>
          <w:rFonts w:ascii="Arial" w:eastAsia="Arial" w:hAnsi="Arial" w:cs="Arial"/>
          <w:color w:val="000000" w:themeColor="text1"/>
          <w:kern w:val="0"/>
          <w:sz w:val="24"/>
          <w:szCs w:val="24"/>
          <w:lang w:eastAsia="en-GB"/>
          <w14:ligatures w14:val="none"/>
        </w:rPr>
        <w:t xml:space="preserve"> recognise symptoms.</w:t>
      </w:r>
    </w:p>
    <w:p w14:paraId="61241776" w14:textId="77777777" w:rsidR="0088225D" w:rsidRPr="0088225D" w:rsidRDefault="0088225D" w:rsidP="4C72D9C6">
      <w:pPr>
        <w:numPr>
          <w:ilvl w:val="0"/>
          <w:numId w:val="105"/>
        </w:num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Theme 3 (Multi-agency Working) – early diagnosis relies on communication between CAMHS, schools, and parents.</w:t>
      </w:r>
    </w:p>
    <w:p w14:paraId="40A4F3D1" w14:textId="77777777" w:rsidR="0088225D" w:rsidRPr="0088225D" w:rsidRDefault="0088225D" w:rsidP="4C72D9C6">
      <w:pPr>
        <w:numPr>
          <w:ilvl w:val="0"/>
          <w:numId w:val="105"/>
        </w:num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Theme 4 (Inequalities) – delays in diagnosis disproportionately affect certain demographics.</w:t>
      </w:r>
    </w:p>
    <w:p w14:paraId="132A6CA0" w14:textId="77777777" w:rsidR="0088225D" w:rsidRPr="0088225D" w:rsidRDefault="0088225D"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p>
    <w:p w14:paraId="5D95E57A" w14:textId="77777777" w:rsidR="0088225D" w:rsidRPr="0088225D" w:rsidRDefault="0088225D"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Thus, Theme 1 acts as the foundation for understanding the other themes.</w:t>
      </w:r>
    </w:p>
    <w:p w14:paraId="5A9171BB" w14:textId="54A46EDC" w:rsidR="0088225D" w:rsidRPr="0088225D" w:rsidRDefault="0088225D" w:rsidP="4C72D9C6">
      <w:pPr>
        <w:spacing w:after="0"/>
        <w:jc w:val="left"/>
        <w:rPr>
          <w:rFonts w:ascii="Arial" w:eastAsia="Arial" w:hAnsi="Arial" w:cs="Arial"/>
          <w:color w:val="000000" w:themeColor="text1"/>
          <w:kern w:val="0"/>
          <w:sz w:val="24"/>
          <w:szCs w:val="24"/>
          <w:lang w:eastAsia="en-GB"/>
          <w14:ligatures w14:val="none"/>
        </w:rPr>
      </w:pPr>
    </w:p>
    <w:p w14:paraId="5523E074" w14:textId="681D2CE5" w:rsidR="0088225D" w:rsidRPr="00CD3F75" w:rsidRDefault="004043DD" w:rsidP="4C72D9C6">
      <w:pPr>
        <w:spacing w:before="100" w:beforeAutospacing="1" w:after="100" w:afterAutospacing="1"/>
        <w:jc w:val="left"/>
        <w:outlineLvl w:val="1"/>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 xml:space="preserve">Summary </w:t>
      </w:r>
      <w:r w:rsidR="009061D4" w:rsidRPr="072869EF">
        <w:rPr>
          <w:rFonts w:ascii="Arial" w:eastAsia="Arial" w:hAnsi="Arial" w:cs="Arial"/>
          <w:color w:val="000000" w:themeColor="text1"/>
          <w:kern w:val="0"/>
          <w:sz w:val="24"/>
          <w:szCs w:val="24"/>
          <w:lang w:eastAsia="en-GB"/>
          <w14:ligatures w14:val="none"/>
        </w:rPr>
        <w:t xml:space="preserve">of Theme </w:t>
      </w:r>
    </w:p>
    <w:p w14:paraId="5C66B621" w14:textId="77777777" w:rsidR="0088225D" w:rsidRPr="0088225D" w:rsidRDefault="0088225D"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Early diagnosis and access to support significantly influence educational outcomes for White British boys aged 5–11. When diagnosis is prompt and support is coordinated, academic attainment improves, behavioural difficulties reduce, and long-term exclusion risks fall dramatically. However, inequities in waiting times, limited teacher training, and variable multi-agency communication continue to hinder effective early intervention. This theme shows that early diagnosis is not a standalone event but part of an interconnected system affecting educational and social outcomes.</w:t>
      </w:r>
    </w:p>
    <w:p w14:paraId="364CA829" w14:textId="0A7CE9F0" w:rsidR="00725580" w:rsidRPr="00DE60E6" w:rsidRDefault="00725580" w:rsidP="4C72D9C6">
      <w:pPr>
        <w:spacing w:before="100" w:beforeAutospacing="1" w:after="100" w:afterAutospacing="1"/>
        <w:jc w:val="left"/>
        <w:outlineLvl w:val="0"/>
        <w:rPr>
          <w:rFonts w:ascii="Arial" w:eastAsia="Arial" w:hAnsi="Arial" w:cs="Arial"/>
          <w:b/>
          <w:color w:val="000000" w:themeColor="text1"/>
          <w:kern w:val="36"/>
          <w:sz w:val="24"/>
          <w:szCs w:val="24"/>
          <w:lang w:eastAsia="en-GB"/>
          <w14:ligatures w14:val="none"/>
        </w:rPr>
      </w:pPr>
    </w:p>
    <w:p w14:paraId="12A151AE" w14:textId="77777777" w:rsidR="005A0DA5" w:rsidRPr="005A0DA5" w:rsidRDefault="005A0DA5" w:rsidP="4C72D9C6">
      <w:pPr>
        <w:spacing w:before="100" w:beforeAutospacing="1" w:after="100" w:afterAutospacing="1"/>
        <w:jc w:val="left"/>
        <w:outlineLvl w:val="0"/>
        <w:rPr>
          <w:rFonts w:ascii="Arial" w:eastAsia="Arial" w:hAnsi="Arial" w:cs="Arial"/>
          <w:b/>
          <w:color w:val="000000" w:themeColor="text1"/>
          <w:kern w:val="36"/>
          <w:sz w:val="24"/>
          <w:szCs w:val="24"/>
          <w:lang w:eastAsia="en-GB"/>
          <w14:ligatures w14:val="none"/>
        </w:rPr>
      </w:pPr>
      <w:r w:rsidRPr="072869EF">
        <w:rPr>
          <w:rFonts w:ascii="Arial" w:eastAsia="Arial" w:hAnsi="Arial" w:cs="Arial"/>
          <w:b/>
          <w:color w:val="000000" w:themeColor="text1"/>
          <w:kern w:val="36"/>
          <w:sz w:val="24"/>
          <w:szCs w:val="24"/>
          <w:lang w:eastAsia="en-GB"/>
          <w14:ligatures w14:val="none"/>
        </w:rPr>
        <w:t>4.4 Teacher Awareness and Classroom Practice</w:t>
      </w:r>
    </w:p>
    <w:p w14:paraId="0859E940" w14:textId="1967ABED" w:rsidR="005A0DA5" w:rsidRPr="005A0DA5" w:rsidRDefault="005A0DA5"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Definition of the Theme</w:t>
      </w:r>
    </w:p>
    <w:p w14:paraId="7C55F604" w14:textId="77777777" w:rsidR="005A0DA5" w:rsidRPr="005A0DA5" w:rsidRDefault="005A0DA5"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Teacher awareness refers to the ability of classroom staff to recognise early indicators of inattention, impulsivity, and hyperactivity and to interpret these behaviours in an informed way. Classroom practice includes the strategies, routines, and approaches teachers use to manage behaviour and support learning. In relation to ADHD, this theme concerns how teachers understand neurodevelopmental differences and how their daily decisions influence whether pupils receive the early help they need.</w:t>
      </w:r>
    </w:p>
    <w:p w14:paraId="08CBF962" w14:textId="77777777" w:rsidR="005A0DA5" w:rsidRPr="005A0DA5" w:rsidRDefault="005A0DA5" w:rsidP="4C72D9C6">
      <w:pPr>
        <w:spacing w:before="100" w:beforeAutospacing="1" w:after="100" w:afterAutospacing="1"/>
        <w:jc w:val="left"/>
        <w:rPr>
          <w:rFonts w:ascii="Arial" w:eastAsia="Arial" w:hAnsi="Arial" w:cs="Arial"/>
          <w:b/>
          <w:color w:val="000000" w:themeColor="text1"/>
          <w:kern w:val="0"/>
          <w:sz w:val="24"/>
          <w:szCs w:val="24"/>
          <w:lang w:eastAsia="en-GB"/>
          <w14:ligatures w14:val="none"/>
        </w:rPr>
      </w:pPr>
    </w:p>
    <w:p w14:paraId="142AD6BB" w14:textId="77777777" w:rsidR="005A0DA5" w:rsidRPr="005A0DA5" w:rsidRDefault="005A0DA5" w:rsidP="4C72D9C6">
      <w:pPr>
        <w:spacing w:before="100" w:beforeAutospacing="1" w:after="100" w:afterAutospacing="1"/>
        <w:jc w:val="left"/>
        <w:outlineLvl w:val="2"/>
        <w:rPr>
          <w:rFonts w:ascii="Arial" w:eastAsia="Arial" w:hAnsi="Arial" w:cs="Arial"/>
          <w:b/>
          <w:color w:val="000000" w:themeColor="text1"/>
          <w:kern w:val="0"/>
          <w:sz w:val="24"/>
          <w:szCs w:val="24"/>
          <w:lang w:eastAsia="en-GB"/>
          <w14:ligatures w14:val="none"/>
        </w:rPr>
      </w:pPr>
      <w:r w:rsidRPr="072869EF">
        <w:rPr>
          <w:rFonts w:ascii="Arial" w:eastAsia="Arial" w:hAnsi="Arial" w:cs="Arial"/>
          <w:b/>
          <w:color w:val="000000" w:themeColor="text1"/>
          <w:kern w:val="0"/>
          <w:sz w:val="24"/>
          <w:szCs w:val="24"/>
          <w:lang w:eastAsia="en-GB"/>
          <w14:ligatures w14:val="none"/>
        </w:rPr>
        <w:t>Background and Context</w:t>
      </w:r>
    </w:p>
    <w:p w14:paraId="26F7868C" w14:textId="2D055BE1" w:rsidR="005A0DA5" w:rsidRPr="005A0DA5" w:rsidRDefault="005A0DA5"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 xml:space="preserve">Teachers have historically been central in </w:t>
      </w:r>
      <w:r w:rsidR="00CD3F75" w:rsidRPr="072869EF">
        <w:rPr>
          <w:rFonts w:ascii="Arial" w:eastAsia="Arial" w:hAnsi="Arial" w:cs="Arial"/>
          <w:color w:val="000000" w:themeColor="text1"/>
          <w:kern w:val="0"/>
          <w:sz w:val="24"/>
          <w:szCs w:val="24"/>
          <w:lang w:eastAsia="en-GB"/>
          <w14:ligatures w14:val="none"/>
        </w:rPr>
        <w:t>finding</w:t>
      </w:r>
      <w:r w:rsidRPr="072869EF">
        <w:rPr>
          <w:rFonts w:ascii="Arial" w:eastAsia="Arial" w:hAnsi="Arial" w:cs="Arial"/>
          <w:color w:val="000000" w:themeColor="text1"/>
          <w:kern w:val="0"/>
          <w:sz w:val="24"/>
          <w:szCs w:val="24"/>
          <w:lang w:eastAsia="en-GB"/>
          <w14:ligatures w14:val="none"/>
        </w:rPr>
        <w:t xml:space="preserve"> emerging developmental concerns because the classroom is often the first structured environment where behavioural differences become visible. In the UK, the SEND Code of Practice (DfE &amp; DHSC, 2015) places teachers at the centre of the early identification cycle, requiring them to </w:t>
      </w:r>
      <w:bookmarkStart w:id="37" w:name="_Int_Fe3VIRtG"/>
      <w:r w:rsidRPr="072869EF">
        <w:rPr>
          <w:rFonts w:ascii="Arial" w:eastAsia="Arial" w:hAnsi="Arial" w:cs="Arial"/>
          <w:color w:val="000000" w:themeColor="text1"/>
          <w:kern w:val="0"/>
          <w:sz w:val="24"/>
          <w:szCs w:val="24"/>
          <w:lang w:eastAsia="en-GB"/>
          <w14:ligatures w14:val="none"/>
        </w:rPr>
        <w:t>observe</w:t>
      </w:r>
      <w:bookmarkEnd w:id="37"/>
      <w:r w:rsidRPr="072869EF">
        <w:rPr>
          <w:rFonts w:ascii="Arial" w:eastAsia="Arial" w:hAnsi="Arial" w:cs="Arial"/>
          <w:color w:val="000000" w:themeColor="text1"/>
          <w:kern w:val="0"/>
          <w:sz w:val="24"/>
          <w:szCs w:val="24"/>
          <w:lang w:eastAsia="en-GB"/>
          <w14:ligatures w14:val="none"/>
        </w:rPr>
        <w:t>, document, and adapt practice before escalation. However, research consistently highlights limited training, with many teachers reporting minimal preparation in ADHD-specific strategies (Ford et al., 2021). This leads to inconsistent responses and misunderstanding—particularly for White British boys aged 5–11 whose difficulties are often externalised and therefore misinterpreted as misconduct rather than neurodevelopmental need (Sayal et al., 2018).</w:t>
      </w:r>
    </w:p>
    <w:p w14:paraId="00F17058" w14:textId="77777777" w:rsidR="005A0DA5" w:rsidRPr="005A0DA5" w:rsidRDefault="005A0DA5"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p>
    <w:p w14:paraId="3D6C8B31" w14:textId="34ACD634" w:rsidR="1E03315E" w:rsidRDefault="1E03315E" w:rsidP="1E03315E">
      <w:pPr>
        <w:spacing w:beforeAutospacing="1" w:afterAutospacing="1"/>
        <w:jc w:val="left"/>
        <w:rPr>
          <w:rFonts w:ascii="Arial" w:eastAsia="Arial" w:hAnsi="Arial" w:cs="Arial"/>
          <w:color w:val="000000" w:themeColor="text1"/>
          <w:sz w:val="24"/>
          <w:szCs w:val="24"/>
          <w:lang w:eastAsia="en-GB"/>
        </w:rPr>
      </w:pPr>
    </w:p>
    <w:p w14:paraId="496F9E62" w14:textId="77777777" w:rsidR="005A0DA5" w:rsidRPr="005A0DA5" w:rsidRDefault="005A0DA5" w:rsidP="4C72D9C6">
      <w:pPr>
        <w:spacing w:before="100" w:beforeAutospacing="1" w:after="100" w:afterAutospacing="1"/>
        <w:jc w:val="left"/>
        <w:outlineLvl w:val="2"/>
        <w:rPr>
          <w:rFonts w:ascii="Arial" w:eastAsia="Arial" w:hAnsi="Arial" w:cs="Arial"/>
          <w:b/>
          <w:color w:val="000000" w:themeColor="text1"/>
          <w:kern w:val="0"/>
          <w:sz w:val="24"/>
          <w:szCs w:val="24"/>
          <w:lang w:eastAsia="en-GB"/>
          <w14:ligatures w14:val="none"/>
        </w:rPr>
      </w:pPr>
      <w:r w:rsidRPr="072869EF">
        <w:rPr>
          <w:rFonts w:ascii="Arial" w:eastAsia="Arial" w:hAnsi="Arial" w:cs="Arial"/>
          <w:b/>
          <w:color w:val="000000" w:themeColor="text1"/>
          <w:kern w:val="0"/>
          <w:sz w:val="24"/>
          <w:szCs w:val="24"/>
          <w:lang w:eastAsia="en-GB"/>
          <w14:ligatures w14:val="none"/>
        </w:rPr>
        <w:t>Relevance to the Research Question</w:t>
      </w:r>
    </w:p>
    <w:p w14:paraId="7E80EAE1" w14:textId="5850E0D7" w:rsidR="005A0DA5" w:rsidRPr="005A0DA5" w:rsidRDefault="005A0DA5"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 xml:space="preserve">This theme directly shapes the research question, which explores how early ADHD diagnosis affects educational performance and behaviour. Early diagnosis cannot occur without teachers noticing patterns, consulting parents, applying the “assess–plan–do–review” cycle, and </w:t>
      </w:r>
      <w:r w:rsidR="006C74D6" w:rsidRPr="072869EF">
        <w:rPr>
          <w:rFonts w:ascii="Arial" w:eastAsia="Arial" w:hAnsi="Arial" w:cs="Arial"/>
          <w:color w:val="000000" w:themeColor="text1"/>
          <w:kern w:val="0"/>
          <w:sz w:val="24"/>
          <w:szCs w:val="24"/>
          <w:lang w:eastAsia="en-GB"/>
          <w14:ligatures w14:val="none"/>
        </w:rPr>
        <w:t>starting</w:t>
      </w:r>
      <w:r w:rsidRPr="072869EF">
        <w:rPr>
          <w:rFonts w:ascii="Arial" w:eastAsia="Arial" w:hAnsi="Arial" w:cs="Arial"/>
          <w:color w:val="000000" w:themeColor="text1"/>
          <w:kern w:val="0"/>
          <w:sz w:val="24"/>
          <w:szCs w:val="24"/>
          <w:lang w:eastAsia="en-GB"/>
          <w14:ligatures w14:val="none"/>
        </w:rPr>
        <w:t xml:space="preserve"> referrals. Teacher awareness influences the timing of diagnosis, the support a child receives before assessment, the likelihood of exclusion, and the speed of intervention. Therefore, classroom practice is a major determinant of whether children access early, </w:t>
      </w:r>
      <w:r w:rsidR="006C74D6" w:rsidRPr="072869EF">
        <w:rPr>
          <w:rFonts w:ascii="Arial" w:eastAsia="Arial" w:hAnsi="Arial" w:cs="Arial"/>
          <w:color w:val="000000" w:themeColor="text1"/>
          <w:kern w:val="0"/>
          <w:sz w:val="24"/>
          <w:szCs w:val="24"/>
          <w:lang w:eastAsia="en-GB"/>
          <w14:ligatures w14:val="none"/>
        </w:rPr>
        <w:t>support</w:t>
      </w:r>
      <w:r w:rsidRPr="072869EF">
        <w:rPr>
          <w:rFonts w:ascii="Arial" w:eastAsia="Arial" w:hAnsi="Arial" w:cs="Arial"/>
          <w:color w:val="000000" w:themeColor="text1"/>
          <w:kern w:val="0"/>
          <w:sz w:val="24"/>
          <w:szCs w:val="24"/>
          <w:lang w:eastAsia="en-GB"/>
          <w14:ligatures w14:val="none"/>
        </w:rPr>
        <w:t>.</w:t>
      </w:r>
    </w:p>
    <w:p w14:paraId="32BFB6A5" w14:textId="77777777" w:rsidR="005A0DA5" w:rsidRPr="005A0DA5" w:rsidRDefault="005A0DA5"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p>
    <w:p w14:paraId="7FCEA9FC" w14:textId="77777777" w:rsidR="005A0DA5" w:rsidRPr="005A0DA5" w:rsidRDefault="005A0DA5" w:rsidP="4C72D9C6">
      <w:pPr>
        <w:spacing w:before="100" w:beforeAutospacing="1" w:after="100" w:afterAutospacing="1"/>
        <w:jc w:val="left"/>
        <w:outlineLvl w:val="2"/>
        <w:rPr>
          <w:rFonts w:ascii="Arial" w:eastAsia="Arial" w:hAnsi="Arial" w:cs="Arial"/>
          <w:b/>
          <w:color w:val="000000" w:themeColor="text1"/>
          <w:kern w:val="0"/>
          <w:sz w:val="24"/>
          <w:szCs w:val="24"/>
          <w:lang w:eastAsia="en-GB"/>
          <w14:ligatures w14:val="none"/>
        </w:rPr>
      </w:pPr>
      <w:r w:rsidRPr="072869EF">
        <w:rPr>
          <w:rFonts w:ascii="Arial" w:eastAsia="Arial" w:hAnsi="Arial" w:cs="Arial"/>
          <w:b/>
          <w:color w:val="000000" w:themeColor="text1"/>
          <w:kern w:val="0"/>
          <w:sz w:val="24"/>
          <w:szCs w:val="24"/>
          <w:lang w:eastAsia="en-GB"/>
          <w14:ligatures w14:val="none"/>
        </w:rPr>
        <w:t>Statistical Evidence</w:t>
      </w:r>
    </w:p>
    <w:p w14:paraId="07FBC648" w14:textId="56FE3A8D" w:rsidR="005A0DA5" w:rsidRPr="005A0DA5" w:rsidRDefault="005A0DA5"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Recent UK data shows how teacher-related factors shape ADHD identification. Approximately 70% of teachers report no formal training on ADHD (Ford et al., 2021). Two-thirds of neurodevelopmental referrals originate from schools (NHS Digital, 2022). Boys aged 5–11 are three times more likely to be referred for behavioural reasons that mirror ADHD symptoms (Klefsjö et al., 2021). Additionally, undiagnosed ADHD pupils are significantly more likely to experience sanctions and reduced academic engagement (Wright et al., 2023). These statistics highlight that teacher understanding directly influences school outcomes.</w:t>
      </w:r>
    </w:p>
    <w:p w14:paraId="60F25F6B" w14:textId="77777777" w:rsidR="005A0DA5" w:rsidRPr="005A0DA5" w:rsidRDefault="005A0DA5"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p>
    <w:p w14:paraId="4D436C9A" w14:textId="77777777" w:rsidR="005A0DA5" w:rsidRPr="005A0DA5" w:rsidRDefault="005A0DA5" w:rsidP="4C72D9C6">
      <w:pPr>
        <w:spacing w:before="100" w:beforeAutospacing="1" w:after="100" w:afterAutospacing="1"/>
        <w:jc w:val="left"/>
        <w:outlineLvl w:val="2"/>
        <w:rPr>
          <w:rFonts w:ascii="Arial" w:eastAsia="Arial" w:hAnsi="Arial" w:cs="Arial"/>
          <w:b/>
          <w:color w:val="000000" w:themeColor="text1"/>
          <w:kern w:val="0"/>
          <w:sz w:val="24"/>
          <w:szCs w:val="24"/>
          <w:lang w:eastAsia="en-GB"/>
          <w14:ligatures w14:val="none"/>
        </w:rPr>
      </w:pPr>
      <w:r w:rsidRPr="072869EF">
        <w:rPr>
          <w:rFonts w:ascii="Arial" w:eastAsia="Arial" w:hAnsi="Arial" w:cs="Arial"/>
          <w:b/>
          <w:color w:val="000000" w:themeColor="text1"/>
          <w:kern w:val="0"/>
          <w:sz w:val="24"/>
          <w:szCs w:val="24"/>
          <w:lang w:eastAsia="en-GB"/>
          <w14:ligatures w14:val="none"/>
        </w:rPr>
        <w:t>Theoretical Frameworks</w:t>
      </w:r>
    </w:p>
    <w:p w14:paraId="53EED4B6" w14:textId="3D3CFB6D" w:rsidR="005A0DA5" w:rsidRPr="005A0DA5" w:rsidRDefault="005A0DA5"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 xml:space="preserve">The Biopsychosocial Model (Engel, 1977) stresses that environmental factors—such as teacher responses—shape behavioural expression. Supportive, structured classroom environments reduce symptom severity, </w:t>
      </w:r>
      <w:r w:rsidR="00B711AB" w:rsidRPr="072869EF">
        <w:rPr>
          <w:rFonts w:ascii="Arial" w:eastAsia="Arial" w:hAnsi="Arial" w:cs="Arial"/>
          <w:color w:val="000000" w:themeColor="text1"/>
          <w:kern w:val="0"/>
          <w:sz w:val="24"/>
          <w:szCs w:val="24"/>
          <w:lang w:eastAsia="en-GB"/>
          <w14:ligatures w14:val="none"/>
        </w:rPr>
        <w:t>while</w:t>
      </w:r>
      <w:r w:rsidRPr="072869EF">
        <w:rPr>
          <w:rFonts w:ascii="Arial" w:eastAsia="Arial" w:hAnsi="Arial" w:cs="Arial"/>
          <w:color w:val="000000" w:themeColor="text1"/>
          <w:kern w:val="0"/>
          <w:sz w:val="24"/>
          <w:szCs w:val="24"/>
          <w:lang w:eastAsia="en-GB"/>
          <w14:ligatures w14:val="none"/>
        </w:rPr>
        <w:t xml:space="preserve"> punitive environments can escalate challenges. Bronfenbrenner’s Ecological Systems Theory (1979) emphasises the teacher’s role within the microsystem, influencing the child’s immediate development and shaping communication with parents and CAMHS at the mesosystem level. Behaviourist perspectives help explain why reward–sanction systems disadvantage ADHD pupils, who often struggle with delayed reward and impulse regulation. These frameworks illustrate how teacher awareness is not merely a matter of knowledge but a core </w:t>
      </w:r>
      <w:bookmarkStart w:id="38" w:name="_Int_nZ702NMq"/>
      <w:r w:rsidRPr="072869EF">
        <w:rPr>
          <w:rFonts w:ascii="Arial" w:eastAsia="Arial" w:hAnsi="Arial" w:cs="Arial"/>
          <w:color w:val="000000" w:themeColor="text1"/>
          <w:kern w:val="0"/>
          <w:sz w:val="24"/>
          <w:szCs w:val="24"/>
          <w:lang w:eastAsia="en-GB"/>
          <w14:ligatures w14:val="none"/>
        </w:rPr>
        <w:t>component</w:t>
      </w:r>
      <w:bookmarkEnd w:id="38"/>
      <w:r w:rsidRPr="072869EF">
        <w:rPr>
          <w:rFonts w:ascii="Arial" w:eastAsia="Arial" w:hAnsi="Arial" w:cs="Arial"/>
          <w:color w:val="000000" w:themeColor="text1"/>
          <w:kern w:val="0"/>
          <w:sz w:val="24"/>
          <w:szCs w:val="24"/>
          <w:lang w:eastAsia="en-GB"/>
          <w14:ligatures w14:val="none"/>
        </w:rPr>
        <w:t xml:space="preserve"> of the child’s developmental context.</w:t>
      </w:r>
    </w:p>
    <w:p w14:paraId="0C633AD0" w14:textId="77777777" w:rsidR="005A0DA5" w:rsidRPr="005A0DA5" w:rsidRDefault="005A0DA5"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p>
    <w:p w14:paraId="2DB25E87" w14:textId="06DC8807" w:rsidR="1E03315E" w:rsidRDefault="1E03315E" w:rsidP="1E03315E">
      <w:pPr>
        <w:spacing w:beforeAutospacing="1" w:afterAutospacing="1"/>
        <w:jc w:val="left"/>
        <w:rPr>
          <w:rFonts w:ascii="Arial" w:eastAsia="Arial" w:hAnsi="Arial" w:cs="Arial"/>
          <w:color w:val="000000" w:themeColor="text1"/>
          <w:sz w:val="24"/>
          <w:szCs w:val="24"/>
          <w:lang w:eastAsia="en-GB"/>
        </w:rPr>
      </w:pPr>
    </w:p>
    <w:p w14:paraId="7AD4B7C5" w14:textId="43A6756D" w:rsidR="1E03315E" w:rsidRDefault="1E03315E" w:rsidP="1E03315E">
      <w:pPr>
        <w:spacing w:beforeAutospacing="1" w:afterAutospacing="1"/>
        <w:jc w:val="left"/>
        <w:rPr>
          <w:rFonts w:ascii="Arial" w:eastAsia="Arial" w:hAnsi="Arial" w:cs="Arial"/>
          <w:color w:val="000000" w:themeColor="text1"/>
          <w:sz w:val="24"/>
          <w:szCs w:val="24"/>
          <w:lang w:eastAsia="en-GB"/>
        </w:rPr>
      </w:pPr>
    </w:p>
    <w:p w14:paraId="3FE6D1E4" w14:textId="77777777" w:rsidR="005A0DA5" w:rsidRPr="005A0DA5" w:rsidRDefault="005A0DA5" w:rsidP="4C72D9C6">
      <w:pPr>
        <w:spacing w:before="100" w:beforeAutospacing="1" w:after="100" w:afterAutospacing="1"/>
        <w:jc w:val="left"/>
        <w:outlineLvl w:val="2"/>
        <w:rPr>
          <w:rFonts w:ascii="Arial" w:eastAsia="Arial" w:hAnsi="Arial" w:cs="Arial"/>
          <w:b/>
          <w:color w:val="000000" w:themeColor="text1"/>
          <w:kern w:val="0"/>
          <w:sz w:val="24"/>
          <w:szCs w:val="24"/>
          <w:lang w:eastAsia="en-GB"/>
          <w14:ligatures w14:val="none"/>
        </w:rPr>
      </w:pPr>
      <w:r w:rsidRPr="072869EF">
        <w:rPr>
          <w:rFonts w:ascii="Arial" w:eastAsia="Arial" w:hAnsi="Arial" w:cs="Arial"/>
          <w:b/>
          <w:color w:val="000000" w:themeColor="text1"/>
          <w:kern w:val="0"/>
          <w:sz w:val="24"/>
          <w:szCs w:val="24"/>
          <w:lang w:eastAsia="en-GB"/>
          <w14:ligatures w14:val="none"/>
        </w:rPr>
        <w:t>Policy and Legislation</w:t>
      </w:r>
    </w:p>
    <w:p w14:paraId="150EE53B" w14:textId="77777777" w:rsidR="005A0DA5" w:rsidRPr="005A0DA5" w:rsidRDefault="005A0DA5"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The SEND Code of Practice (DfE &amp; DHSC, 2015) mandates early identification and inclusive practice. Inadequate teacher training undermines this statutory duty. NICE NG87 (2018) states that behavioural and classroom-based strategies should be provided as first-line support before medication is considered. The Equality Act 2010 requires schools to make reasonable adjustments for pupils whose learning is affected by ADHD symptoms. When teachers lack awareness, these legal obligations are often unmet, placing children at risk.</w:t>
      </w:r>
    </w:p>
    <w:p w14:paraId="777CD442" w14:textId="77777777" w:rsidR="005A0DA5" w:rsidRPr="005A0DA5" w:rsidRDefault="005A0DA5"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p>
    <w:p w14:paraId="0AE7E14A" w14:textId="77777777" w:rsidR="005A0DA5" w:rsidRPr="005A0DA5" w:rsidRDefault="005A0DA5" w:rsidP="4C72D9C6">
      <w:pPr>
        <w:spacing w:before="100" w:beforeAutospacing="1" w:after="100" w:afterAutospacing="1"/>
        <w:jc w:val="left"/>
        <w:outlineLvl w:val="2"/>
        <w:rPr>
          <w:rFonts w:ascii="Arial" w:eastAsia="Arial" w:hAnsi="Arial" w:cs="Arial"/>
          <w:b/>
          <w:color w:val="000000" w:themeColor="text1"/>
          <w:kern w:val="0"/>
          <w:sz w:val="24"/>
          <w:szCs w:val="24"/>
          <w:lang w:eastAsia="en-GB"/>
          <w14:ligatures w14:val="none"/>
        </w:rPr>
      </w:pPr>
      <w:r w:rsidRPr="072869EF">
        <w:rPr>
          <w:rFonts w:ascii="Arial" w:eastAsia="Arial" w:hAnsi="Arial" w:cs="Arial"/>
          <w:b/>
          <w:color w:val="000000" w:themeColor="text1"/>
          <w:kern w:val="0"/>
          <w:sz w:val="24"/>
          <w:szCs w:val="24"/>
          <w:lang w:eastAsia="en-GB"/>
          <w14:ligatures w14:val="none"/>
        </w:rPr>
        <w:t>Implications</w:t>
      </w:r>
    </w:p>
    <w:p w14:paraId="1B5AA0EC" w14:textId="77777777" w:rsidR="005A0DA5" w:rsidRPr="005A0DA5" w:rsidRDefault="005A0DA5"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Teacher awareness produces both positive and negative consequences depending on the level of training. When teacher understanding is strong, children receive early adjustments, behaviour stabilises, and academic engagement improves. Parents feel listened to, referrals occur earlier, and the overall stress on the child reduces. In contrast, low teacher awareness leads to misinterpretation of behaviour, delayed referrals, punitive sanctions, and widening attainment gaps. This disproportionately affects boys aged 5–11, who are often judged on visible behaviours rather than underlying need.</w:t>
      </w:r>
    </w:p>
    <w:p w14:paraId="7EDC4BBB" w14:textId="77777777" w:rsidR="005A0DA5" w:rsidRPr="005A0DA5" w:rsidRDefault="005A0DA5"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p>
    <w:p w14:paraId="64524881" w14:textId="77777777" w:rsidR="005A0DA5" w:rsidRPr="005A0DA5" w:rsidRDefault="005A0DA5" w:rsidP="4C72D9C6">
      <w:pPr>
        <w:spacing w:before="100" w:beforeAutospacing="1" w:after="100" w:afterAutospacing="1"/>
        <w:jc w:val="left"/>
        <w:outlineLvl w:val="2"/>
        <w:rPr>
          <w:rFonts w:ascii="Arial" w:eastAsia="Arial" w:hAnsi="Arial" w:cs="Arial"/>
          <w:b/>
          <w:color w:val="000000" w:themeColor="text1"/>
          <w:kern w:val="0"/>
          <w:sz w:val="24"/>
          <w:szCs w:val="24"/>
          <w:lang w:eastAsia="en-GB"/>
          <w14:ligatures w14:val="none"/>
        </w:rPr>
      </w:pPr>
      <w:r w:rsidRPr="072869EF">
        <w:rPr>
          <w:rFonts w:ascii="Arial" w:eastAsia="Arial" w:hAnsi="Arial" w:cs="Arial"/>
          <w:b/>
          <w:color w:val="000000" w:themeColor="text1"/>
          <w:kern w:val="0"/>
          <w:sz w:val="24"/>
          <w:szCs w:val="24"/>
          <w:lang w:eastAsia="en-GB"/>
          <w14:ligatures w14:val="none"/>
        </w:rPr>
        <w:t>Examples from Literature</w:t>
      </w:r>
    </w:p>
    <w:p w14:paraId="43B47B91" w14:textId="77777777" w:rsidR="005A0DA5" w:rsidRPr="005A0DA5" w:rsidRDefault="005A0DA5"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p>
    <w:p w14:paraId="7DF5496E" w14:textId="3A8277AE" w:rsidR="005A0DA5" w:rsidRPr="005A0DA5" w:rsidRDefault="005A0DA5"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 xml:space="preserve">Ford et al. (2021) show that teachers </w:t>
      </w:r>
      <w:r w:rsidR="00805D6A" w:rsidRPr="072869EF">
        <w:rPr>
          <w:rFonts w:ascii="Arial" w:eastAsia="Arial" w:hAnsi="Arial" w:cs="Arial"/>
          <w:color w:val="000000" w:themeColor="text1"/>
          <w:kern w:val="0"/>
          <w:sz w:val="24"/>
          <w:szCs w:val="24"/>
          <w:lang w:eastAsia="en-GB"/>
          <w14:ligatures w14:val="none"/>
        </w:rPr>
        <w:t>often</w:t>
      </w:r>
      <w:r w:rsidRPr="072869EF">
        <w:rPr>
          <w:rFonts w:ascii="Arial" w:eastAsia="Arial" w:hAnsi="Arial" w:cs="Arial"/>
          <w:color w:val="000000" w:themeColor="text1"/>
          <w:kern w:val="0"/>
          <w:sz w:val="24"/>
          <w:szCs w:val="24"/>
          <w:lang w:eastAsia="en-GB"/>
          <w14:ligatures w14:val="none"/>
        </w:rPr>
        <w:t xml:space="preserve"> misinterpret hyperactivity as wilful disobedience, contributing to overuse of sanctions rather than early support. Wright et al. (2023) report that undiagnosed ADHD pupils accumulate exclusion risks due to unmet needs. The SEND Code (DfE &amp; DHSC, 2015) further </w:t>
      </w:r>
      <w:r w:rsidR="00805D6A" w:rsidRPr="072869EF">
        <w:rPr>
          <w:rFonts w:ascii="Arial" w:eastAsia="Arial" w:hAnsi="Arial" w:cs="Arial"/>
          <w:color w:val="000000" w:themeColor="text1"/>
          <w:kern w:val="0"/>
          <w:sz w:val="24"/>
          <w:szCs w:val="24"/>
          <w:lang w:eastAsia="en-GB"/>
          <w14:ligatures w14:val="none"/>
        </w:rPr>
        <w:t>shows</w:t>
      </w:r>
      <w:r w:rsidRPr="072869EF">
        <w:rPr>
          <w:rFonts w:ascii="Arial" w:eastAsia="Arial" w:hAnsi="Arial" w:cs="Arial"/>
          <w:color w:val="000000" w:themeColor="text1"/>
          <w:kern w:val="0"/>
          <w:sz w:val="24"/>
          <w:szCs w:val="24"/>
          <w:lang w:eastAsia="en-GB"/>
          <w14:ligatures w14:val="none"/>
        </w:rPr>
        <w:t xml:space="preserve"> how teacher documentation forms a crucial evidence base for CAMHS referral. These examples </w:t>
      </w:r>
      <w:r w:rsidR="00805D6A" w:rsidRPr="072869EF">
        <w:rPr>
          <w:rFonts w:ascii="Arial" w:eastAsia="Arial" w:hAnsi="Arial" w:cs="Arial"/>
          <w:color w:val="000000" w:themeColor="text1"/>
          <w:kern w:val="0"/>
          <w:sz w:val="24"/>
          <w:szCs w:val="24"/>
          <w:lang w:eastAsia="en-GB"/>
          <w14:ligatures w14:val="none"/>
        </w:rPr>
        <w:t>prove</w:t>
      </w:r>
      <w:r w:rsidRPr="072869EF">
        <w:rPr>
          <w:rFonts w:ascii="Arial" w:eastAsia="Arial" w:hAnsi="Arial" w:cs="Arial"/>
          <w:color w:val="000000" w:themeColor="text1"/>
          <w:kern w:val="0"/>
          <w:sz w:val="24"/>
          <w:szCs w:val="24"/>
          <w:lang w:eastAsia="en-GB"/>
          <w14:ligatures w14:val="none"/>
        </w:rPr>
        <w:t xml:space="preserve"> how classroom practice </w:t>
      </w:r>
      <w:r w:rsidR="00805D6A" w:rsidRPr="072869EF">
        <w:rPr>
          <w:rFonts w:ascii="Arial" w:eastAsia="Arial" w:hAnsi="Arial" w:cs="Arial"/>
          <w:color w:val="000000" w:themeColor="text1"/>
          <w:kern w:val="0"/>
          <w:sz w:val="24"/>
          <w:szCs w:val="24"/>
          <w:lang w:eastAsia="en-GB"/>
          <w14:ligatures w14:val="none"/>
        </w:rPr>
        <w:t>decides</w:t>
      </w:r>
      <w:r w:rsidRPr="072869EF">
        <w:rPr>
          <w:rFonts w:ascii="Arial" w:eastAsia="Arial" w:hAnsi="Arial" w:cs="Arial"/>
          <w:color w:val="000000" w:themeColor="text1"/>
          <w:kern w:val="0"/>
          <w:sz w:val="24"/>
          <w:szCs w:val="24"/>
          <w:lang w:eastAsia="en-GB"/>
          <w14:ligatures w14:val="none"/>
        </w:rPr>
        <w:t xml:space="preserve"> whether early diagnosis leads to improved outcomes or ongoing difficulties.</w:t>
      </w:r>
    </w:p>
    <w:p w14:paraId="460F0668" w14:textId="77777777" w:rsidR="005A0DA5" w:rsidRPr="005A0DA5" w:rsidRDefault="005A0DA5"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p>
    <w:p w14:paraId="43124D11" w14:textId="2B3AE026" w:rsidR="005A0DA5" w:rsidRPr="00CA7734" w:rsidRDefault="005A0DA5" w:rsidP="4C72D9C6">
      <w:pPr>
        <w:spacing w:before="100" w:beforeAutospacing="1" w:after="100" w:afterAutospacing="1"/>
        <w:jc w:val="left"/>
        <w:outlineLvl w:val="2"/>
        <w:rPr>
          <w:rFonts w:ascii="Arial" w:eastAsia="Arial" w:hAnsi="Arial" w:cs="Arial"/>
          <w:b/>
          <w:color w:val="000000" w:themeColor="text1"/>
          <w:kern w:val="0"/>
          <w:sz w:val="24"/>
          <w:szCs w:val="24"/>
          <w:lang w:eastAsia="en-GB"/>
          <w14:ligatures w14:val="none"/>
        </w:rPr>
      </w:pPr>
      <w:r w:rsidRPr="072869EF">
        <w:rPr>
          <w:rFonts w:ascii="Arial" w:eastAsia="Arial" w:hAnsi="Arial" w:cs="Arial"/>
          <w:b/>
          <w:color w:val="000000" w:themeColor="text1"/>
          <w:kern w:val="0"/>
          <w:sz w:val="24"/>
          <w:szCs w:val="24"/>
          <w:lang w:eastAsia="en-GB"/>
          <w14:ligatures w14:val="none"/>
        </w:rPr>
        <w:t>Connections to Other Themes</w:t>
      </w:r>
    </w:p>
    <w:p w14:paraId="30236982" w14:textId="7F1ECDD7" w:rsidR="005A0DA5" w:rsidRPr="005A0DA5" w:rsidRDefault="005A0DA5"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 xml:space="preserve">This theme connects closely with Theme 1 (Early Diagnosis and Access to Support), because teacher recognition shapes the timing of referral. It also links with Theme 3 (Multi-Agency Collaboration), as communication between school, parents, and clinicians depends on </w:t>
      </w:r>
      <w:r w:rsidR="00805D6A" w:rsidRPr="072869EF">
        <w:rPr>
          <w:rFonts w:ascii="Arial" w:eastAsia="Arial" w:hAnsi="Arial" w:cs="Arial"/>
          <w:color w:val="000000" w:themeColor="text1"/>
          <w:kern w:val="0"/>
          <w:sz w:val="24"/>
          <w:szCs w:val="24"/>
          <w:lang w:eastAsia="en-GB"/>
          <w14:ligatures w14:val="none"/>
        </w:rPr>
        <w:t>exact</w:t>
      </w:r>
      <w:r w:rsidRPr="072869EF">
        <w:rPr>
          <w:rFonts w:ascii="Arial" w:eastAsia="Arial" w:hAnsi="Arial" w:cs="Arial"/>
          <w:color w:val="000000" w:themeColor="text1"/>
          <w:kern w:val="0"/>
          <w:sz w:val="24"/>
          <w:szCs w:val="24"/>
          <w:lang w:eastAsia="en-GB"/>
          <w14:ligatures w14:val="none"/>
        </w:rPr>
        <w:t xml:space="preserve"> teacher observation. Finally, it relates to Theme 4 (Social and Regional Inequalities</w:t>
      </w:r>
      <w:r w:rsidR="00805D6A" w:rsidRPr="072869EF">
        <w:rPr>
          <w:rFonts w:ascii="Arial" w:eastAsia="Arial" w:hAnsi="Arial" w:cs="Arial"/>
          <w:color w:val="000000" w:themeColor="text1"/>
          <w:kern w:val="0"/>
          <w:sz w:val="24"/>
          <w:szCs w:val="24"/>
          <w:lang w:eastAsia="en-GB"/>
          <w14:ligatures w14:val="none"/>
        </w:rPr>
        <w:t>) since</w:t>
      </w:r>
      <w:r w:rsidRPr="072869EF">
        <w:rPr>
          <w:rFonts w:ascii="Arial" w:eastAsia="Arial" w:hAnsi="Arial" w:cs="Arial"/>
          <w:color w:val="000000" w:themeColor="text1"/>
          <w:kern w:val="0"/>
          <w:sz w:val="24"/>
          <w:szCs w:val="24"/>
          <w:lang w:eastAsia="en-GB"/>
          <w14:ligatures w14:val="none"/>
        </w:rPr>
        <w:t xml:space="preserve"> access to high-quality teacher training differs widely across local authorities.</w:t>
      </w:r>
    </w:p>
    <w:p w14:paraId="3B39D7B4" w14:textId="77777777" w:rsidR="00636D9A" w:rsidRPr="00725580" w:rsidRDefault="00636D9A" w:rsidP="4C72D9C6">
      <w:pPr>
        <w:rPr>
          <w:rFonts w:ascii="Arial" w:eastAsia="Arial" w:hAnsi="Arial" w:cs="Arial"/>
          <w:color w:val="000000" w:themeColor="text1"/>
          <w:sz w:val="24"/>
          <w:szCs w:val="24"/>
        </w:rPr>
      </w:pPr>
    </w:p>
    <w:p w14:paraId="4B93F5CB" w14:textId="4F5C6B4C" w:rsidR="007063BA" w:rsidRPr="0091543A" w:rsidRDefault="007063BA" w:rsidP="4C72D9C6">
      <w:pPr>
        <w:pStyle w:val="Heading2"/>
        <w:rPr>
          <w:rFonts w:ascii="Arial" w:eastAsia="Arial" w:hAnsi="Arial" w:cs="Arial"/>
          <w:color w:val="000000" w:themeColor="text1"/>
          <w:szCs w:val="24"/>
        </w:rPr>
      </w:pPr>
    </w:p>
    <w:p w14:paraId="536F387F" w14:textId="6307C162" w:rsidR="007E083C" w:rsidRPr="00CA7734" w:rsidRDefault="001C3AF6" w:rsidP="5A7D486B">
      <w:pPr>
        <w:pStyle w:val="Heading1"/>
        <w:spacing w:line="360" w:lineRule="auto"/>
        <w:ind w:left="0"/>
        <w:rPr>
          <w:rFonts w:eastAsia="Arial" w:cs="Arial"/>
          <w:color w:val="000000" w:themeColor="text1"/>
          <w:kern w:val="36"/>
          <w:sz w:val="24"/>
          <w:szCs w:val="24"/>
          <w:lang w:bidi="ar-SA"/>
        </w:rPr>
      </w:pPr>
      <w:r w:rsidRPr="072869EF">
        <w:rPr>
          <w:rFonts w:eastAsia="Arial" w:cs="Arial"/>
          <w:color w:val="000000" w:themeColor="text1"/>
          <w:sz w:val="24"/>
          <w:szCs w:val="24"/>
        </w:rPr>
        <w:t xml:space="preserve">4.5 </w:t>
      </w:r>
      <w:r w:rsidR="00CA7734" w:rsidRPr="072869EF">
        <w:rPr>
          <w:rFonts w:eastAsia="Arial" w:cs="Arial"/>
          <w:color w:val="000000" w:themeColor="text1"/>
          <w:sz w:val="24"/>
          <w:szCs w:val="24"/>
        </w:rPr>
        <w:t>– Multi</w:t>
      </w:r>
      <w:r w:rsidR="007E083C" w:rsidRPr="072869EF">
        <w:rPr>
          <w:rFonts w:eastAsia="Arial" w:cs="Arial"/>
          <w:color w:val="000000" w:themeColor="text1"/>
          <w:kern w:val="36"/>
          <w:sz w:val="24"/>
          <w:szCs w:val="24"/>
          <w:lang w:bidi="ar-SA"/>
        </w:rPr>
        <w:t>-Agency Collaboration and Family Involvement</w:t>
      </w:r>
    </w:p>
    <w:p w14:paraId="3CADB6AC" w14:textId="7B6BAA1C" w:rsidR="001C3AF6" w:rsidRPr="00CA7734" w:rsidRDefault="00CA7734" w:rsidP="4C72D9C6">
      <w:pPr>
        <w:pStyle w:val="Heading2"/>
        <w:rPr>
          <w:rFonts w:ascii="Arial" w:eastAsia="Arial" w:hAnsi="Arial" w:cs="Arial"/>
          <w:color w:val="000000" w:themeColor="text1"/>
          <w:szCs w:val="24"/>
        </w:rPr>
      </w:pPr>
      <w:r w:rsidRPr="072869EF">
        <w:rPr>
          <w:rFonts w:ascii="Arial" w:eastAsia="Arial" w:hAnsi="Arial" w:cs="Arial"/>
          <w:color w:val="000000" w:themeColor="text1"/>
          <w:szCs w:val="24"/>
        </w:rPr>
        <w:t xml:space="preserve"> </w:t>
      </w:r>
    </w:p>
    <w:p w14:paraId="5D450E34" w14:textId="77777777" w:rsidR="00C31031" w:rsidRPr="00C31031" w:rsidRDefault="00C31031" w:rsidP="4C72D9C6">
      <w:pPr>
        <w:spacing w:before="100" w:beforeAutospacing="1" w:after="100" w:afterAutospacing="1"/>
        <w:jc w:val="left"/>
        <w:outlineLvl w:val="1"/>
        <w:rPr>
          <w:rFonts w:ascii="Arial" w:eastAsia="Arial" w:hAnsi="Arial" w:cs="Arial"/>
          <w:b/>
          <w:color w:val="000000" w:themeColor="text1"/>
          <w:kern w:val="0"/>
          <w:sz w:val="24"/>
          <w:szCs w:val="24"/>
          <w:lang w:eastAsia="en-GB"/>
          <w14:ligatures w14:val="none"/>
        </w:rPr>
      </w:pPr>
      <w:r w:rsidRPr="072869EF">
        <w:rPr>
          <w:rFonts w:ascii="Arial" w:eastAsia="Arial" w:hAnsi="Arial" w:cs="Arial"/>
          <w:b/>
          <w:color w:val="000000" w:themeColor="text1"/>
          <w:kern w:val="0"/>
          <w:sz w:val="24"/>
          <w:szCs w:val="24"/>
          <w:lang w:eastAsia="en-GB"/>
          <w14:ligatures w14:val="none"/>
        </w:rPr>
        <w:t>Definition of the Theme</w:t>
      </w:r>
    </w:p>
    <w:p w14:paraId="2ACDA6C3" w14:textId="1F9DE487" w:rsidR="00C31031" w:rsidRPr="00C31031" w:rsidRDefault="00C31031"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 xml:space="preserve">Multi-agency collaboration refers to coordinated working between education, health, social care, CAMHS, and families to support a child with </w:t>
      </w:r>
      <w:bookmarkStart w:id="39" w:name="_Int_e0MzBRX8"/>
      <w:r w:rsidRPr="072869EF">
        <w:rPr>
          <w:rFonts w:ascii="Arial" w:eastAsia="Arial" w:hAnsi="Arial" w:cs="Arial"/>
          <w:color w:val="000000" w:themeColor="text1"/>
          <w:kern w:val="0"/>
          <w:sz w:val="24"/>
          <w:szCs w:val="24"/>
          <w:lang w:eastAsia="en-GB"/>
          <w14:ligatures w14:val="none"/>
        </w:rPr>
        <w:t>additional</w:t>
      </w:r>
      <w:bookmarkEnd w:id="39"/>
      <w:r w:rsidRPr="072869EF">
        <w:rPr>
          <w:rFonts w:ascii="Arial" w:eastAsia="Arial" w:hAnsi="Arial" w:cs="Arial"/>
          <w:color w:val="000000" w:themeColor="text1"/>
          <w:kern w:val="0"/>
          <w:sz w:val="24"/>
          <w:szCs w:val="24"/>
          <w:lang w:eastAsia="en-GB"/>
          <w14:ligatures w14:val="none"/>
        </w:rPr>
        <w:t xml:space="preserve"> needs. In the context of ADHD, it involves information-sharing, joint assessment, and continuous support planning across professional boundaries. Family involvement refers to parents or carers being active partners in decision-making, early identification, behaviour support strategies, and educational planning. The SEND Code of Practice (DfE &amp; DHSC, 2015) explicitly frames parents as equal contributors in the “assess–plan–do–review” cycle, rather than passive recipients of professional decisions.</w:t>
      </w:r>
    </w:p>
    <w:p w14:paraId="2E83524B" w14:textId="77777777" w:rsidR="00C31031" w:rsidRPr="00C31031" w:rsidRDefault="00C31031"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p>
    <w:p w14:paraId="7EF8DDB6" w14:textId="77777777" w:rsidR="00C31031" w:rsidRPr="00C31031" w:rsidRDefault="00C31031"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Key terminology includes integrated care pathways, triangulated assessment, and co-production. These terms emphasise collective responsibility. Early diagnosis of ADHD should activate such pathways; however, evidence shows that inconsistent collaboration often delays access to interventions.</w:t>
      </w:r>
    </w:p>
    <w:p w14:paraId="2C5E807C" w14:textId="10BC48D2" w:rsidR="00C31031" w:rsidRPr="00C31031" w:rsidRDefault="00C31031" w:rsidP="4C72D9C6">
      <w:pPr>
        <w:spacing w:after="0"/>
        <w:jc w:val="left"/>
        <w:rPr>
          <w:rFonts w:ascii="Arial" w:eastAsia="Arial" w:hAnsi="Arial" w:cs="Arial"/>
          <w:color w:val="000000" w:themeColor="text1"/>
          <w:kern w:val="0"/>
          <w:sz w:val="24"/>
          <w:szCs w:val="24"/>
          <w:lang w:eastAsia="en-GB"/>
          <w14:ligatures w14:val="none"/>
        </w:rPr>
      </w:pPr>
    </w:p>
    <w:p w14:paraId="4073E825" w14:textId="77777777" w:rsidR="00C31031" w:rsidRPr="00C31031" w:rsidRDefault="00C31031" w:rsidP="4C72D9C6">
      <w:pPr>
        <w:spacing w:before="100" w:beforeAutospacing="1" w:after="100" w:afterAutospacing="1"/>
        <w:jc w:val="left"/>
        <w:outlineLvl w:val="1"/>
        <w:rPr>
          <w:rFonts w:ascii="Arial" w:eastAsia="Arial" w:hAnsi="Arial" w:cs="Arial"/>
          <w:b/>
          <w:color w:val="000000" w:themeColor="text1"/>
          <w:kern w:val="0"/>
          <w:sz w:val="24"/>
          <w:szCs w:val="24"/>
          <w:lang w:eastAsia="en-GB"/>
          <w14:ligatures w14:val="none"/>
        </w:rPr>
      </w:pPr>
      <w:r w:rsidRPr="072869EF">
        <w:rPr>
          <w:rFonts w:ascii="Arial" w:eastAsia="Arial" w:hAnsi="Arial" w:cs="Arial"/>
          <w:b/>
          <w:color w:val="000000" w:themeColor="text1"/>
          <w:kern w:val="0"/>
          <w:sz w:val="24"/>
          <w:szCs w:val="24"/>
          <w:lang w:eastAsia="en-GB"/>
          <w14:ligatures w14:val="none"/>
        </w:rPr>
        <w:t>Background Information</w:t>
      </w:r>
    </w:p>
    <w:p w14:paraId="399D97C7" w14:textId="77777777" w:rsidR="00C31031" w:rsidRPr="00C31031" w:rsidRDefault="00C31031"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p>
    <w:p w14:paraId="6DD479F1" w14:textId="4124C480" w:rsidR="00C31031" w:rsidRPr="00C31031" w:rsidRDefault="00C31031"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 xml:space="preserve">Historically, UK services supporting children with neurodevelopmental needs have </w:t>
      </w:r>
      <w:bookmarkStart w:id="40" w:name="_Int_BvpLVBpH"/>
      <w:r w:rsidRPr="072869EF">
        <w:rPr>
          <w:rFonts w:ascii="Arial" w:eastAsia="Arial" w:hAnsi="Arial" w:cs="Arial"/>
          <w:color w:val="000000" w:themeColor="text1"/>
          <w:kern w:val="0"/>
          <w:sz w:val="24"/>
          <w:szCs w:val="24"/>
          <w:lang w:eastAsia="en-GB"/>
          <w14:ligatures w14:val="none"/>
        </w:rPr>
        <w:t>operated</w:t>
      </w:r>
      <w:bookmarkEnd w:id="40"/>
      <w:r w:rsidRPr="072869EF">
        <w:rPr>
          <w:rFonts w:ascii="Arial" w:eastAsia="Arial" w:hAnsi="Arial" w:cs="Arial"/>
          <w:color w:val="000000" w:themeColor="text1"/>
          <w:kern w:val="0"/>
          <w:sz w:val="24"/>
          <w:szCs w:val="24"/>
          <w:lang w:eastAsia="en-GB"/>
          <w14:ligatures w14:val="none"/>
        </w:rPr>
        <w:t xml:space="preserve"> in silos. Ford et al. (2021) note that children were often passed between schools, </w:t>
      </w:r>
      <w:r w:rsidR="7F349595" w:rsidRPr="072869EF">
        <w:rPr>
          <w:rFonts w:ascii="Arial" w:eastAsia="Arial" w:hAnsi="Arial" w:cs="Arial"/>
          <w:color w:val="000000" w:themeColor="text1"/>
          <w:kern w:val="0"/>
          <w:sz w:val="24"/>
          <w:szCs w:val="24"/>
          <w:lang w:eastAsia="en-GB"/>
          <w14:ligatures w14:val="none"/>
        </w:rPr>
        <w:t>GPs,</w:t>
      </w:r>
      <w:r w:rsidRPr="072869EF">
        <w:rPr>
          <w:rFonts w:ascii="Arial" w:eastAsia="Arial" w:hAnsi="Arial" w:cs="Arial"/>
          <w:color w:val="000000" w:themeColor="text1"/>
          <w:kern w:val="0"/>
          <w:sz w:val="24"/>
          <w:szCs w:val="24"/>
          <w:lang w:eastAsia="en-GB"/>
          <w14:ligatures w14:val="none"/>
        </w:rPr>
        <w:t xml:space="preserve"> and CAMHS with limited communication, resulting in fragmented support. The Children and Families Act 2014 </w:t>
      </w:r>
      <w:r w:rsidR="009F050E" w:rsidRPr="072869EF">
        <w:rPr>
          <w:rFonts w:ascii="Arial" w:eastAsia="Arial" w:hAnsi="Arial" w:cs="Arial"/>
          <w:color w:val="000000" w:themeColor="text1"/>
          <w:kern w:val="0"/>
          <w:sz w:val="24"/>
          <w:szCs w:val="24"/>
          <w:lang w:eastAsia="en-GB"/>
          <w14:ligatures w14:val="none"/>
        </w:rPr>
        <w:t>tried</w:t>
      </w:r>
      <w:r w:rsidRPr="072869EF">
        <w:rPr>
          <w:rFonts w:ascii="Arial" w:eastAsia="Arial" w:hAnsi="Arial" w:cs="Arial"/>
          <w:color w:val="000000" w:themeColor="text1"/>
          <w:kern w:val="0"/>
          <w:sz w:val="24"/>
          <w:szCs w:val="24"/>
          <w:lang w:eastAsia="en-GB"/>
          <w14:ligatures w14:val="none"/>
        </w:rPr>
        <w:t xml:space="preserve"> to overcome this by merging education, health, and social care planning into EHCPs, yet many children—especially those without EHCPs—still depend on informal multi-agency cooperation.</w:t>
      </w:r>
    </w:p>
    <w:p w14:paraId="0B570BCA" w14:textId="77777777" w:rsidR="00C31031" w:rsidRPr="00C31031" w:rsidRDefault="00C31031"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p>
    <w:p w14:paraId="256BF3D0" w14:textId="77777777" w:rsidR="00C31031" w:rsidRPr="00C31031" w:rsidRDefault="00C31031"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 xml:space="preserve">Recent reforms, including the NHS Long Term Plan (2019) and the SEND Improvement Plan (DfE, 2023), emphasise earlier intervention, quicker referrals, and stronger school-CAMHS partnerships. However, national reviews (Children’s Commissioner, 2023; NAO, 2024) reveal that implementation is patchy. Many families report having to “fight” for support, </w:t>
      </w:r>
      <w:bookmarkStart w:id="41" w:name="_Int_gaziFtlO"/>
      <w:r w:rsidRPr="072869EF">
        <w:rPr>
          <w:rFonts w:ascii="Arial" w:eastAsia="Arial" w:hAnsi="Arial" w:cs="Arial"/>
          <w:color w:val="000000" w:themeColor="text1"/>
          <w:kern w:val="0"/>
          <w:sz w:val="24"/>
          <w:szCs w:val="24"/>
          <w:lang w:eastAsia="en-GB"/>
          <w14:ligatures w14:val="none"/>
        </w:rPr>
        <w:t>demonstrating</w:t>
      </w:r>
      <w:bookmarkEnd w:id="41"/>
      <w:r w:rsidRPr="072869EF">
        <w:rPr>
          <w:rFonts w:ascii="Arial" w:eastAsia="Arial" w:hAnsi="Arial" w:cs="Arial"/>
          <w:color w:val="000000" w:themeColor="text1"/>
          <w:kern w:val="0"/>
          <w:sz w:val="24"/>
          <w:szCs w:val="24"/>
          <w:lang w:eastAsia="en-GB"/>
          <w14:ligatures w14:val="none"/>
        </w:rPr>
        <w:t xml:space="preserve"> that multi-agency intentions do not always translate into practice.</w:t>
      </w:r>
    </w:p>
    <w:p w14:paraId="39754B94" w14:textId="4FC341B3" w:rsidR="00C31031" w:rsidRPr="00C31031" w:rsidRDefault="00C31031" w:rsidP="4C72D9C6">
      <w:pPr>
        <w:spacing w:after="0"/>
        <w:jc w:val="left"/>
        <w:rPr>
          <w:rFonts w:ascii="Arial" w:eastAsia="Arial" w:hAnsi="Arial" w:cs="Arial"/>
          <w:color w:val="000000" w:themeColor="text1"/>
          <w:kern w:val="0"/>
          <w:sz w:val="24"/>
          <w:szCs w:val="24"/>
          <w:lang w:eastAsia="en-GB"/>
          <w14:ligatures w14:val="none"/>
        </w:rPr>
      </w:pPr>
    </w:p>
    <w:p w14:paraId="63E13E83" w14:textId="77777777" w:rsidR="00C31031" w:rsidRPr="00C31031" w:rsidRDefault="00C31031" w:rsidP="4C72D9C6">
      <w:pPr>
        <w:spacing w:before="100" w:beforeAutospacing="1" w:after="100" w:afterAutospacing="1"/>
        <w:jc w:val="left"/>
        <w:outlineLvl w:val="1"/>
        <w:rPr>
          <w:rFonts w:ascii="Arial" w:eastAsia="Arial" w:hAnsi="Arial" w:cs="Arial"/>
          <w:b/>
          <w:color w:val="000000" w:themeColor="text1"/>
          <w:kern w:val="0"/>
          <w:sz w:val="24"/>
          <w:szCs w:val="24"/>
          <w:lang w:eastAsia="en-GB"/>
          <w14:ligatures w14:val="none"/>
        </w:rPr>
      </w:pPr>
      <w:r w:rsidRPr="072869EF">
        <w:rPr>
          <w:rFonts w:ascii="Arial" w:eastAsia="Arial" w:hAnsi="Arial" w:cs="Arial"/>
          <w:b/>
          <w:color w:val="000000" w:themeColor="text1"/>
          <w:kern w:val="0"/>
          <w:sz w:val="24"/>
          <w:szCs w:val="24"/>
          <w:lang w:eastAsia="en-GB"/>
          <w14:ligatures w14:val="none"/>
        </w:rPr>
        <w:t>Relevance to the Research Question</w:t>
      </w:r>
    </w:p>
    <w:p w14:paraId="532807F2" w14:textId="77777777" w:rsidR="00C31031" w:rsidRPr="00C31031" w:rsidRDefault="00C31031"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p>
    <w:p w14:paraId="41C5BF62" w14:textId="50FE7C95" w:rsidR="00C31031" w:rsidRPr="00C31031" w:rsidRDefault="00C31031"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 xml:space="preserve">This theme </w:t>
      </w:r>
      <w:r w:rsidR="00093369" w:rsidRPr="072869EF">
        <w:rPr>
          <w:rFonts w:ascii="Arial" w:eastAsia="Arial" w:hAnsi="Arial" w:cs="Arial"/>
          <w:color w:val="000000" w:themeColor="text1"/>
          <w:kern w:val="0"/>
          <w:sz w:val="24"/>
          <w:szCs w:val="24"/>
          <w:lang w:eastAsia="en-GB"/>
          <w14:ligatures w14:val="none"/>
        </w:rPr>
        <w:t>links</w:t>
      </w:r>
      <w:r w:rsidRPr="072869EF">
        <w:rPr>
          <w:rFonts w:ascii="Arial" w:eastAsia="Arial" w:hAnsi="Arial" w:cs="Arial"/>
          <w:color w:val="000000" w:themeColor="text1"/>
          <w:kern w:val="0"/>
          <w:sz w:val="24"/>
          <w:szCs w:val="24"/>
          <w:lang w:eastAsia="en-GB"/>
          <w14:ligatures w14:val="none"/>
        </w:rPr>
        <w:t xml:space="preserve"> to your research question because:</w:t>
      </w:r>
    </w:p>
    <w:p w14:paraId="5A4BDEBA" w14:textId="77777777" w:rsidR="00C31031" w:rsidRPr="00C31031" w:rsidRDefault="00C31031"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p>
    <w:p w14:paraId="2BAC7464" w14:textId="77777777" w:rsidR="00C31031" w:rsidRPr="00C31031" w:rsidRDefault="00C31031"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Early diagnosis only improves educational performance and behaviour when post-diagnostic support is coordinated and consistent.</w:t>
      </w:r>
    </w:p>
    <w:p w14:paraId="11F9EC9C" w14:textId="77777777" w:rsidR="00C31031" w:rsidRPr="00C31031" w:rsidRDefault="00C31031"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p>
    <w:p w14:paraId="3BF6CCB4" w14:textId="77777777" w:rsidR="00C31031" w:rsidRPr="00C31031" w:rsidRDefault="00C31031"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A child receiving an ADHD diagnosis at age 6, for example, may still struggle academically if:</w:t>
      </w:r>
    </w:p>
    <w:p w14:paraId="0617D96E" w14:textId="77777777" w:rsidR="00C31031" w:rsidRPr="00C31031" w:rsidRDefault="00C31031" w:rsidP="4C72D9C6">
      <w:pPr>
        <w:numPr>
          <w:ilvl w:val="0"/>
          <w:numId w:val="106"/>
        </w:num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the school does not liaise with CAMHS</w:t>
      </w:r>
    </w:p>
    <w:p w14:paraId="5BFD01BD" w14:textId="77777777" w:rsidR="00C31031" w:rsidRPr="00C31031" w:rsidRDefault="00C31031" w:rsidP="4C72D9C6">
      <w:pPr>
        <w:numPr>
          <w:ilvl w:val="0"/>
          <w:numId w:val="106"/>
        </w:num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parents receive no behavioural guidance</w:t>
      </w:r>
    </w:p>
    <w:p w14:paraId="14389305" w14:textId="77777777" w:rsidR="00C31031" w:rsidRPr="00C31031" w:rsidRDefault="00C31031" w:rsidP="4C72D9C6">
      <w:pPr>
        <w:numPr>
          <w:ilvl w:val="0"/>
          <w:numId w:val="106"/>
        </w:num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no communication exists between SENCO, GP, and teachers</w:t>
      </w:r>
    </w:p>
    <w:p w14:paraId="596CD4BF" w14:textId="77777777" w:rsidR="00C31031" w:rsidRPr="00C31031" w:rsidRDefault="00C31031" w:rsidP="4C72D9C6">
      <w:pPr>
        <w:numPr>
          <w:ilvl w:val="0"/>
          <w:numId w:val="106"/>
        </w:num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recommended interventions are not implemented consistently</w:t>
      </w:r>
    </w:p>
    <w:p w14:paraId="3F2A8A7D" w14:textId="77777777" w:rsidR="00C31031" w:rsidRPr="00C31031" w:rsidRDefault="00C31031"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p>
    <w:p w14:paraId="5E0FB4DA" w14:textId="77777777" w:rsidR="00C31031" w:rsidRPr="00C31031" w:rsidRDefault="00C31031"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Thus, exploring multi-agency working reveals whether early diagnosis leads to real change in the classroom for White British boys aged 5–11.</w:t>
      </w:r>
    </w:p>
    <w:p w14:paraId="1B99E810" w14:textId="6FFCC94B" w:rsidR="00C31031" w:rsidRPr="00C31031" w:rsidRDefault="00C31031" w:rsidP="4C72D9C6">
      <w:pPr>
        <w:spacing w:after="0"/>
        <w:jc w:val="left"/>
        <w:rPr>
          <w:rFonts w:ascii="Arial" w:eastAsia="Arial" w:hAnsi="Arial" w:cs="Arial"/>
          <w:color w:val="000000" w:themeColor="text1"/>
          <w:kern w:val="0"/>
          <w:sz w:val="24"/>
          <w:szCs w:val="24"/>
          <w:lang w:eastAsia="en-GB"/>
          <w14:ligatures w14:val="none"/>
        </w:rPr>
      </w:pPr>
    </w:p>
    <w:p w14:paraId="7A68719F" w14:textId="77777777" w:rsidR="00C31031" w:rsidRPr="00C31031" w:rsidRDefault="00C31031" w:rsidP="4C72D9C6">
      <w:pPr>
        <w:spacing w:before="100" w:beforeAutospacing="1" w:after="100" w:afterAutospacing="1"/>
        <w:jc w:val="left"/>
        <w:outlineLvl w:val="1"/>
        <w:rPr>
          <w:rFonts w:ascii="Arial" w:eastAsia="Arial" w:hAnsi="Arial" w:cs="Arial"/>
          <w:b/>
          <w:color w:val="000000" w:themeColor="text1"/>
          <w:kern w:val="0"/>
          <w:sz w:val="24"/>
          <w:szCs w:val="24"/>
          <w:lang w:eastAsia="en-GB"/>
          <w14:ligatures w14:val="none"/>
        </w:rPr>
      </w:pPr>
      <w:r w:rsidRPr="072869EF">
        <w:rPr>
          <w:rFonts w:ascii="Arial" w:eastAsia="Arial" w:hAnsi="Arial" w:cs="Arial"/>
          <w:b/>
          <w:color w:val="000000" w:themeColor="text1"/>
          <w:kern w:val="0"/>
          <w:sz w:val="24"/>
          <w:szCs w:val="24"/>
          <w:lang w:eastAsia="en-GB"/>
          <w14:ligatures w14:val="none"/>
        </w:rPr>
        <w:t>Statistical Information</w:t>
      </w:r>
    </w:p>
    <w:p w14:paraId="13DBC95D" w14:textId="77777777" w:rsidR="00C31031" w:rsidRPr="00C31031" w:rsidRDefault="00C31031" w:rsidP="4C72D9C6">
      <w:pPr>
        <w:numPr>
          <w:ilvl w:val="0"/>
          <w:numId w:val="107"/>
        </w:num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Only 34% of children diagnosed with ADHD receive integrated support involving school, CAMHS and family (NHS England, 2025).</w:t>
      </w:r>
    </w:p>
    <w:p w14:paraId="71C8BE23" w14:textId="77777777" w:rsidR="00C31031" w:rsidRPr="00C31031" w:rsidRDefault="00C31031" w:rsidP="4C72D9C6">
      <w:pPr>
        <w:numPr>
          <w:ilvl w:val="0"/>
          <w:numId w:val="107"/>
        </w:num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48% of parents report that agencies “rarely” share information effectively (NAO, 2024).</w:t>
      </w:r>
    </w:p>
    <w:p w14:paraId="3D333E40" w14:textId="77777777" w:rsidR="00C31031" w:rsidRPr="00C31031" w:rsidRDefault="00C31031" w:rsidP="4C72D9C6">
      <w:pPr>
        <w:numPr>
          <w:ilvl w:val="0"/>
          <w:numId w:val="107"/>
        </w:num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Children receiving coordinated multi-agency intervention show higher behavioural improvements and better literacy progress, compared to those relying solely on school-based strategies (Westwood et al., 2023).</w:t>
      </w:r>
    </w:p>
    <w:p w14:paraId="71E7E88D" w14:textId="77777777" w:rsidR="00C31031" w:rsidRPr="00C31031" w:rsidRDefault="00C31031" w:rsidP="4C72D9C6">
      <w:pPr>
        <w:numPr>
          <w:ilvl w:val="0"/>
          <w:numId w:val="107"/>
        </w:num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Delays in CAMHS communication contribute to longer behavioural escalations, often recorded as “persistent disruptive behaviour,” which disproportionately affects boys aged 5–11 (Fleming et al., 2020).</w:t>
      </w:r>
    </w:p>
    <w:p w14:paraId="68D1581D" w14:textId="77777777" w:rsidR="00C31031" w:rsidRPr="00C31031" w:rsidRDefault="00C31031"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p>
    <w:p w14:paraId="422E4A25" w14:textId="77777777" w:rsidR="00C31031" w:rsidRPr="00C31031" w:rsidRDefault="00C31031"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These statistics highlight a clear gap between policy expectations and lived experiences.</w:t>
      </w:r>
    </w:p>
    <w:p w14:paraId="04DF3FB7" w14:textId="69655863" w:rsidR="00C31031" w:rsidRPr="00C31031" w:rsidRDefault="00C31031" w:rsidP="4C72D9C6">
      <w:pPr>
        <w:spacing w:after="0"/>
        <w:jc w:val="left"/>
        <w:rPr>
          <w:rFonts w:ascii="Arial" w:eastAsia="Arial" w:hAnsi="Arial" w:cs="Arial"/>
          <w:color w:val="000000" w:themeColor="text1"/>
          <w:kern w:val="0"/>
          <w:sz w:val="24"/>
          <w:szCs w:val="24"/>
          <w:lang w:eastAsia="en-GB"/>
          <w14:ligatures w14:val="none"/>
        </w:rPr>
      </w:pPr>
    </w:p>
    <w:p w14:paraId="039C13E5" w14:textId="77777777" w:rsidR="00C31031" w:rsidRPr="00C31031" w:rsidRDefault="00C31031" w:rsidP="4C72D9C6">
      <w:pPr>
        <w:spacing w:before="100" w:beforeAutospacing="1" w:after="100" w:afterAutospacing="1"/>
        <w:jc w:val="left"/>
        <w:outlineLvl w:val="1"/>
        <w:rPr>
          <w:rFonts w:ascii="Arial" w:eastAsia="Arial" w:hAnsi="Arial" w:cs="Arial"/>
          <w:b/>
          <w:color w:val="000000" w:themeColor="text1"/>
          <w:kern w:val="0"/>
          <w:sz w:val="24"/>
          <w:szCs w:val="24"/>
          <w:lang w:eastAsia="en-GB"/>
          <w14:ligatures w14:val="none"/>
        </w:rPr>
      </w:pPr>
      <w:r w:rsidRPr="072869EF">
        <w:rPr>
          <w:rFonts w:ascii="Arial" w:eastAsia="Arial" w:hAnsi="Arial" w:cs="Arial"/>
          <w:b/>
          <w:color w:val="000000" w:themeColor="text1"/>
          <w:kern w:val="0"/>
          <w:sz w:val="24"/>
          <w:szCs w:val="24"/>
          <w:lang w:eastAsia="en-GB"/>
          <w14:ligatures w14:val="none"/>
        </w:rPr>
        <w:t>Theoretical Framework Connections</w:t>
      </w:r>
    </w:p>
    <w:p w14:paraId="15B3E573" w14:textId="77777777" w:rsidR="00C31031" w:rsidRPr="00C31031" w:rsidRDefault="00C31031"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p>
    <w:p w14:paraId="31763B87" w14:textId="77777777" w:rsidR="00C31031" w:rsidRPr="00C31031" w:rsidRDefault="00C31031"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Bronfenbrenner’s Ecological Systems Theory is highly relevant. It emphasises that a child’s development is shaped by interactions between the school, family, health professionals, and wider society. ADHD outcomes are stronger when the “microsystems” (school–home–health) communicate effectively.</w:t>
      </w:r>
    </w:p>
    <w:p w14:paraId="1FD68036" w14:textId="77777777" w:rsidR="00C31031" w:rsidRPr="00C31031" w:rsidRDefault="00C31031"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p>
    <w:p w14:paraId="03016D1D" w14:textId="286F895C" w:rsidR="00C31031" w:rsidRPr="00C31031" w:rsidRDefault="00C31031"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 xml:space="preserve">The Medical–Social Model Integration also applies. ADHD is medically diagnosed, but the social environment </w:t>
      </w:r>
      <w:r w:rsidR="00A7437E" w:rsidRPr="072869EF">
        <w:rPr>
          <w:rFonts w:ascii="Arial" w:eastAsia="Arial" w:hAnsi="Arial" w:cs="Arial"/>
          <w:color w:val="000000" w:themeColor="text1"/>
          <w:kern w:val="0"/>
          <w:sz w:val="24"/>
          <w:szCs w:val="24"/>
          <w:lang w:eastAsia="en-GB"/>
          <w14:ligatures w14:val="none"/>
        </w:rPr>
        <w:t>finds</w:t>
      </w:r>
      <w:r w:rsidRPr="072869EF">
        <w:rPr>
          <w:rFonts w:ascii="Arial" w:eastAsia="Arial" w:hAnsi="Arial" w:cs="Arial"/>
          <w:color w:val="000000" w:themeColor="text1"/>
          <w:kern w:val="0"/>
          <w:sz w:val="24"/>
          <w:szCs w:val="24"/>
          <w:lang w:eastAsia="en-GB"/>
          <w14:ligatures w14:val="none"/>
        </w:rPr>
        <w:t xml:space="preserve"> how the child functions in the classroom. Multi-agency working, therefore, bridges medical understanding and educational adaptation.</w:t>
      </w:r>
    </w:p>
    <w:p w14:paraId="68C3AEAD" w14:textId="29B927C7" w:rsidR="00C31031" w:rsidRPr="00C31031" w:rsidRDefault="00C31031" w:rsidP="4C72D9C6">
      <w:pPr>
        <w:spacing w:after="0"/>
        <w:jc w:val="left"/>
        <w:rPr>
          <w:rFonts w:ascii="Arial" w:eastAsia="Arial" w:hAnsi="Arial" w:cs="Arial"/>
          <w:color w:val="000000" w:themeColor="text1"/>
          <w:kern w:val="0"/>
          <w:sz w:val="24"/>
          <w:szCs w:val="24"/>
          <w:lang w:eastAsia="en-GB"/>
          <w14:ligatures w14:val="none"/>
        </w:rPr>
      </w:pPr>
    </w:p>
    <w:p w14:paraId="36110515" w14:textId="77777777" w:rsidR="00C31031" w:rsidRPr="00C31031" w:rsidRDefault="00C31031" w:rsidP="4C72D9C6">
      <w:pPr>
        <w:spacing w:before="100" w:beforeAutospacing="1" w:after="100" w:afterAutospacing="1"/>
        <w:jc w:val="left"/>
        <w:outlineLvl w:val="1"/>
        <w:rPr>
          <w:rFonts w:ascii="Arial" w:eastAsia="Arial" w:hAnsi="Arial" w:cs="Arial"/>
          <w:b/>
          <w:color w:val="000000" w:themeColor="text1"/>
          <w:kern w:val="0"/>
          <w:sz w:val="24"/>
          <w:szCs w:val="24"/>
          <w:lang w:eastAsia="en-GB"/>
          <w14:ligatures w14:val="none"/>
        </w:rPr>
      </w:pPr>
      <w:r w:rsidRPr="072869EF">
        <w:rPr>
          <w:rFonts w:ascii="Arial" w:eastAsia="Arial" w:hAnsi="Arial" w:cs="Arial"/>
          <w:b/>
          <w:color w:val="000000" w:themeColor="text1"/>
          <w:kern w:val="0"/>
          <w:sz w:val="24"/>
          <w:szCs w:val="24"/>
          <w:lang w:eastAsia="en-GB"/>
          <w14:ligatures w14:val="none"/>
        </w:rPr>
        <w:t>Policy and Legislation</w:t>
      </w:r>
    </w:p>
    <w:p w14:paraId="45FCC621" w14:textId="77777777" w:rsidR="00C31031" w:rsidRPr="00C31031" w:rsidRDefault="00C31031"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p>
    <w:p w14:paraId="0D49AF1E" w14:textId="77777777" w:rsidR="00C31031" w:rsidRPr="00C31031" w:rsidRDefault="00C31031"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Several UK policies explicitly require collaborative practice:</w:t>
      </w:r>
    </w:p>
    <w:p w14:paraId="5ECFBE2E" w14:textId="77777777" w:rsidR="00C31031" w:rsidRPr="00C31031" w:rsidRDefault="00C31031" w:rsidP="4C72D9C6">
      <w:pPr>
        <w:numPr>
          <w:ilvl w:val="0"/>
          <w:numId w:val="108"/>
        </w:num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SEND Code of Practice (2015): requires joint decision-making and integrated planning.</w:t>
      </w:r>
    </w:p>
    <w:p w14:paraId="62BFD1F6" w14:textId="77777777" w:rsidR="00C31031" w:rsidRPr="00C31031" w:rsidRDefault="00C31031" w:rsidP="4C72D9C6">
      <w:pPr>
        <w:numPr>
          <w:ilvl w:val="0"/>
          <w:numId w:val="108"/>
        </w:num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Children and Families Act (2014): legally mandates multi-agency working for children with SEN.</w:t>
      </w:r>
    </w:p>
    <w:p w14:paraId="73E6AFBE" w14:textId="77777777" w:rsidR="00C31031" w:rsidRPr="00C31031" w:rsidRDefault="00C31031" w:rsidP="4C72D9C6">
      <w:pPr>
        <w:numPr>
          <w:ilvl w:val="0"/>
          <w:numId w:val="108"/>
        </w:num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Equality Act (2010): schools must make reasonable adjustments, often requiring advice from multiple professionals.</w:t>
      </w:r>
    </w:p>
    <w:p w14:paraId="73F10302" w14:textId="77777777" w:rsidR="00C31031" w:rsidRPr="00C31031" w:rsidRDefault="00C31031" w:rsidP="4C72D9C6">
      <w:pPr>
        <w:numPr>
          <w:ilvl w:val="0"/>
          <w:numId w:val="108"/>
        </w:num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NICE Guidelines NG87 (2018): emphasise shared-care models between CAMHS, GPs, parents, and schools.</w:t>
      </w:r>
    </w:p>
    <w:p w14:paraId="000D4EA7" w14:textId="77777777" w:rsidR="00C31031" w:rsidRPr="00C31031" w:rsidRDefault="00C31031" w:rsidP="4C72D9C6">
      <w:pPr>
        <w:numPr>
          <w:ilvl w:val="0"/>
          <w:numId w:val="108"/>
        </w:num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NHS Long Term Plan (2019): promises school-based mental-health support teams to reduce referral delays.</w:t>
      </w:r>
    </w:p>
    <w:p w14:paraId="198F17F0" w14:textId="77777777" w:rsidR="00C31031" w:rsidRPr="00C31031" w:rsidRDefault="00C31031"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p>
    <w:p w14:paraId="21961FAB" w14:textId="77777777" w:rsidR="00C31031" w:rsidRPr="00C31031" w:rsidRDefault="00C31031"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However, national monitoring shows inconsistent compliance. Practices vary widely by geographical area (“postcode lottery”), meaning children’s access to coordinated support depends on where they live rather than clinical need (Children’s Commissioner, 2023).</w:t>
      </w:r>
    </w:p>
    <w:p w14:paraId="17499D36" w14:textId="24590499" w:rsidR="00C31031" w:rsidRPr="00C31031" w:rsidRDefault="00C31031" w:rsidP="4C72D9C6">
      <w:pPr>
        <w:spacing w:after="0"/>
        <w:jc w:val="left"/>
        <w:rPr>
          <w:rFonts w:ascii="Arial" w:eastAsia="Arial" w:hAnsi="Arial" w:cs="Arial"/>
          <w:color w:val="000000" w:themeColor="text1"/>
          <w:kern w:val="0"/>
          <w:sz w:val="24"/>
          <w:szCs w:val="24"/>
          <w:lang w:eastAsia="en-GB"/>
          <w14:ligatures w14:val="none"/>
        </w:rPr>
      </w:pPr>
    </w:p>
    <w:p w14:paraId="7E20E9DB" w14:textId="77777777" w:rsidR="00C31031" w:rsidRPr="00C31031" w:rsidRDefault="00C31031" w:rsidP="4C72D9C6">
      <w:pPr>
        <w:spacing w:before="100" w:beforeAutospacing="1" w:after="100" w:afterAutospacing="1"/>
        <w:jc w:val="left"/>
        <w:outlineLvl w:val="1"/>
        <w:rPr>
          <w:rFonts w:ascii="Arial" w:eastAsia="Arial" w:hAnsi="Arial" w:cs="Arial"/>
          <w:b/>
          <w:color w:val="000000" w:themeColor="text1"/>
          <w:kern w:val="0"/>
          <w:sz w:val="24"/>
          <w:szCs w:val="24"/>
          <w:lang w:eastAsia="en-GB"/>
          <w14:ligatures w14:val="none"/>
        </w:rPr>
      </w:pPr>
      <w:r w:rsidRPr="072869EF">
        <w:rPr>
          <w:rFonts w:ascii="Arial" w:eastAsia="Arial" w:hAnsi="Arial" w:cs="Arial"/>
          <w:b/>
          <w:color w:val="000000" w:themeColor="text1"/>
          <w:kern w:val="0"/>
          <w:sz w:val="24"/>
          <w:szCs w:val="24"/>
          <w:lang w:eastAsia="en-GB"/>
          <w14:ligatures w14:val="none"/>
        </w:rPr>
        <w:t>Implications (Positive and Negative)</w:t>
      </w:r>
    </w:p>
    <w:p w14:paraId="4FB878D2" w14:textId="77777777" w:rsidR="00C31031" w:rsidRPr="00C31031" w:rsidRDefault="00C31031"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p>
    <w:p w14:paraId="72FFF4EA" w14:textId="77777777" w:rsidR="00C31031" w:rsidRPr="00C31031" w:rsidRDefault="00C31031" w:rsidP="4C72D9C6">
      <w:pPr>
        <w:spacing w:before="100" w:beforeAutospacing="1" w:after="100" w:afterAutospacing="1"/>
        <w:jc w:val="left"/>
        <w:outlineLvl w:val="2"/>
        <w:rPr>
          <w:rFonts w:ascii="Arial" w:eastAsia="Arial" w:hAnsi="Arial" w:cs="Arial"/>
          <w:b/>
          <w:color w:val="000000" w:themeColor="text1"/>
          <w:kern w:val="0"/>
          <w:sz w:val="24"/>
          <w:szCs w:val="24"/>
          <w:lang w:eastAsia="en-GB"/>
          <w14:ligatures w14:val="none"/>
        </w:rPr>
      </w:pPr>
      <w:r w:rsidRPr="072869EF">
        <w:rPr>
          <w:rFonts w:ascii="Arial" w:eastAsia="Arial" w:hAnsi="Arial" w:cs="Arial"/>
          <w:b/>
          <w:color w:val="000000" w:themeColor="text1"/>
          <w:kern w:val="0"/>
          <w:sz w:val="24"/>
          <w:szCs w:val="24"/>
          <w:lang w:eastAsia="en-GB"/>
          <w14:ligatures w14:val="none"/>
        </w:rPr>
        <w:t>Positive Impacts</w:t>
      </w:r>
    </w:p>
    <w:p w14:paraId="6063B309" w14:textId="77777777" w:rsidR="00C31031" w:rsidRPr="00C31031" w:rsidRDefault="00C31031" w:rsidP="4C72D9C6">
      <w:pPr>
        <w:numPr>
          <w:ilvl w:val="0"/>
          <w:numId w:val="109"/>
        </w:num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Children receive consistent strategies at home and school.</w:t>
      </w:r>
    </w:p>
    <w:p w14:paraId="6BD84E0A" w14:textId="77777777" w:rsidR="00C31031" w:rsidRPr="00C31031" w:rsidRDefault="00C31031" w:rsidP="4C72D9C6">
      <w:pPr>
        <w:numPr>
          <w:ilvl w:val="0"/>
          <w:numId w:val="109"/>
        </w:num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Behaviour improves when messaging is aligned across settings.</w:t>
      </w:r>
    </w:p>
    <w:p w14:paraId="6436B371" w14:textId="77777777" w:rsidR="00C31031" w:rsidRPr="00C31031" w:rsidRDefault="00C31031" w:rsidP="4C72D9C6">
      <w:pPr>
        <w:numPr>
          <w:ilvl w:val="0"/>
          <w:numId w:val="109"/>
        </w:num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Families feel empowered rather than blamed or ignored.</w:t>
      </w:r>
    </w:p>
    <w:p w14:paraId="218EDFC7" w14:textId="77777777" w:rsidR="00C31031" w:rsidRPr="00C31031" w:rsidRDefault="00C31031" w:rsidP="4C72D9C6">
      <w:pPr>
        <w:numPr>
          <w:ilvl w:val="0"/>
          <w:numId w:val="109"/>
        </w:num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Schools develop clearer support plans, improving academic engagement.</w:t>
      </w:r>
    </w:p>
    <w:p w14:paraId="012B9416" w14:textId="77777777" w:rsidR="00C31031" w:rsidRPr="00C31031" w:rsidRDefault="00C31031"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p>
    <w:p w14:paraId="7FDCCBB5" w14:textId="77777777" w:rsidR="00C31031" w:rsidRPr="00C31031" w:rsidRDefault="00C31031" w:rsidP="4C72D9C6">
      <w:pPr>
        <w:spacing w:before="100" w:beforeAutospacing="1" w:after="100" w:afterAutospacing="1"/>
        <w:jc w:val="left"/>
        <w:outlineLvl w:val="2"/>
        <w:rPr>
          <w:rFonts w:ascii="Arial" w:eastAsia="Arial" w:hAnsi="Arial" w:cs="Arial"/>
          <w:b/>
          <w:color w:val="000000" w:themeColor="text1"/>
          <w:kern w:val="0"/>
          <w:sz w:val="24"/>
          <w:szCs w:val="24"/>
          <w:lang w:eastAsia="en-GB"/>
          <w14:ligatures w14:val="none"/>
        </w:rPr>
      </w:pPr>
      <w:r w:rsidRPr="072869EF">
        <w:rPr>
          <w:rFonts w:ascii="Arial" w:eastAsia="Arial" w:hAnsi="Arial" w:cs="Arial"/>
          <w:b/>
          <w:color w:val="000000" w:themeColor="text1"/>
          <w:kern w:val="0"/>
          <w:sz w:val="24"/>
          <w:szCs w:val="24"/>
          <w:lang w:eastAsia="en-GB"/>
          <w14:ligatures w14:val="none"/>
        </w:rPr>
        <w:t>Negative Impacts</w:t>
      </w:r>
    </w:p>
    <w:p w14:paraId="547FD60A" w14:textId="77777777" w:rsidR="00C31031" w:rsidRPr="00C31031" w:rsidRDefault="00C31031" w:rsidP="4C72D9C6">
      <w:pPr>
        <w:numPr>
          <w:ilvl w:val="0"/>
          <w:numId w:val="110"/>
        </w:num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When communication fails, early diagnosis does not translate into intervention.</w:t>
      </w:r>
    </w:p>
    <w:p w14:paraId="4743299B" w14:textId="77777777" w:rsidR="00C31031" w:rsidRPr="00C31031" w:rsidRDefault="00C31031" w:rsidP="4C72D9C6">
      <w:pPr>
        <w:numPr>
          <w:ilvl w:val="0"/>
          <w:numId w:val="110"/>
        </w:num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Parents describe stress navigating complex systems (“referral ping-pong”).</w:t>
      </w:r>
    </w:p>
    <w:p w14:paraId="769FEF54" w14:textId="77777777" w:rsidR="00C31031" w:rsidRPr="00C31031" w:rsidRDefault="00C31031" w:rsidP="4C72D9C6">
      <w:pPr>
        <w:numPr>
          <w:ilvl w:val="0"/>
          <w:numId w:val="110"/>
        </w:num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 xml:space="preserve">Lack of joined-up support increases exclusion risk for boys </w:t>
      </w:r>
      <w:r w:rsidR="2B0846F5" w:rsidRPr="072869EF">
        <w:rPr>
          <w:rFonts w:ascii="Arial" w:eastAsia="Arial" w:hAnsi="Arial" w:cs="Arial"/>
          <w:color w:val="000000" w:themeColor="text1"/>
          <w:kern w:val="0"/>
          <w:sz w:val="24"/>
          <w:szCs w:val="24"/>
          <w:lang w:eastAsia="en-GB"/>
          <w14:ligatures w14:val="none"/>
        </w:rPr>
        <w:t>showing</w:t>
      </w:r>
      <w:r w:rsidRPr="072869EF">
        <w:rPr>
          <w:rFonts w:ascii="Arial" w:eastAsia="Arial" w:hAnsi="Arial" w:cs="Arial"/>
          <w:color w:val="000000" w:themeColor="text1"/>
          <w:kern w:val="0"/>
          <w:sz w:val="24"/>
          <w:szCs w:val="24"/>
          <w:lang w:eastAsia="en-GB"/>
          <w14:ligatures w14:val="none"/>
        </w:rPr>
        <w:t xml:space="preserve"> externalising behaviour.</w:t>
      </w:r>
    </w:p>
    <w:p w14:paraId="70AD696A" w14:textId="0643EF54" w:rsidR="00C31031" w:rsidRPr="00C31031" w:rsidRDefault="00C31031" w:rsidP="4C72D9C6">
      <w:pPr>
        <w:numPr>
          <w:ilvl w:val="0"/>
          <w:numId w:val="110"/>
        </w:num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Teachers often report receiving CAMHS reports with “no practical strategies</w:t>
      </w:r>
      <w:r w:rsidR="39DC7015" w:rsidRPr="072869EF">
        <w:rPr>
          <w:rFonts w:ascii="Arial" w:eastAsia="Arial" w:hAnsi="Arial" w:cs="Arial"/>
          <w:color w:val="000000" w:themeColor="text1"/>
          <w:kern w:val="0"/>
          <w:sz w:val="24"/>
          <w:szCs w:val="24"/>
          <w:lang w:eastAsia="en-GB"/>
          <w14:ligatures w14:val="none"/>
        </w:rPr>
        <w:t>,”</w:t>
      </w:r>
      <w:r w:rsidRPr="072869EF">
        <w:rPr>
          <w:rFonts w:ascii="Arial" w:eastAsia="Arial" w:hAnsi="Arial" w:cs="Arial"/>
          <w:color w:val="000000" w:themeColor="text1"/>
          <w:kern w:val="0"/>
          <w:sz w:val="24"/>
          <w:szCs w:val="24"/>
          <w:lang w:eastAsia="en-GB"/>
          <w14:ligatures w14:val="none"/>
        </w:rPr>
        <w:t xml:space="preserve"> limiting the usefulness of diagnosis (Murray et al., 2023).</w:t>
      </w:r>
    </w:p>
    <w:p w14:paraId="47B20A1C" w14:textId="77777777" w:rsidR="00C31031" w:rsidRPr="00C31031" w:rsidRDefault="00C31031"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p>
    <w:p w14:paraId="143A9EBB" w14:textId="77777777" w:rsidR="00C31031" w:rsidRPr="00C31031" w:rsidRDefault="00C31031"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These implications reinforce that diagnosis alone is insufficient without collaborative action.</w:t>
      </w:r>
    </w:p>
    <w:p w14:paraId="27E81525" w14:textId="67A44787" w:rsidR="00C31031" w:rsidRPr="00C31031" w:rsidRDefault="00C31031" w:rsidP="4C72D9C6">
      <w:pPr>
        <w:spacing w:after="0"/>
        <w:jc w:val="left"/>
        <w:rPr>
          <w:rFonts w:ascii="Arial" w:eastAsia="Arial" w:hAnsi="Arial" w:cs="Arial"/>
          <w:color w:val="000000" w:themeColor="text1"/>
          <w:kern w:val="0"/>
          <w:sz w:val="24"/>
          <w:szCs w:val="24"/>
          <w:lang w:eastAsia="en-GB"/>
          <w14:ligatures w14:val="none"/>
        </w:rPr>
      </w:pPr>
    </w:p>
    <w:p w14:paraId="0D80028A" w14:textId="77777777" w:rsidR="00C31031" w:rsidRPr="00C31031" w:rsidRDefault="00C31031" w:rsidP="4C72D9C6">
      <w:pPr>
        <w:spacing w:before="100" w:beforeAutospacing="1" w:after="100" w:afterAutospacing="1"/>
        <w:jc w:val="left"/>
        <w:outlineLvl w:val="1"/>
        <w:rPr>
          <w:rFonts w:ascii="Arial" w:eastAsia="Arial" w:hAnsi="Arial" w:cs="Arial"/>
          <w:b/>
          <w:color w:val="000000" w:themeColor="text1"/>
          <w:kern w:val="0"/>
          <w:sz w:val="24"/>
          <w:szCs w:val="24"/>
          <w:lang w:eastAsia="en-GB"/>
          <w14:ligatures w14:val="none"/>
        </w:rPr>
      </w:pPr>
      <w:r w:rsidRPr="072869EF">
        <w:rPr>
          <w:rFonts w:ascii="Arial" w:eastAsia="Arial" w:hAnsi="Arial" w:cs="Arial"/>
          <w:b/>
          <w:color w:val="000000" w:themeColor="text1"/>
          <w:kern w:val="0"/>
          <w:sz w:val="24"/>
          <w:szCs w:val="24"/>
          <w:lang w:eastAsia="en-GB"/>
          <w14:ligatures w14:val="none"/>
        </w:rPr>
        <w:t>Examples from Research Articles</w:t>
      </w:r>
    </w:p>
    <w:p w14:paraId="02EE104C" w14:textId="77777777" w:rsidR="00C31031" w:rsidRPr="00C31031" w:rsidRDefault="00C31031"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p>
    <w:p w14:paraId="01F3F4E0" w14:textId="77777777" w:rsidR="00C31031" w:rsidRPr="00C31031" w:rsidRDefault="00C31031"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 xml:space="preserve">Maciver et al. (2025) found that long CAMHS delays created breakdowns in communication, meaning early concerns raised by teachers did not link to </w:t>
      </w:r>
      <w:bookmarkStart w:id="42" w:name="_Int_kkzh4Th0"/>
      <w:r w:rsidRPr="072869EF">
        <w:rPr>
          <w:rFonts w:ascii="Arial" w:eastAsia="Arial" w:hAnsi="Arial" w:cs="Arial"/>
          <w:color w:val="000000" w:themeColor="text1"/>
          <w:kern w:val="0"/>
          <w:sz w:val="24"/>
          <w:szCs w:val="24"/>
          <w:lang w:eastAsia="en-GB"/>
          <w14:ligatures w14:val="none"/>
        </w:rPr>
        <w:t>timely</w:t>
      </w:r>
      <w:bookmarkEnd w:id="42"/>
      <w:r w:rsidRPr="072869EF">
        <w:rPr>
          <w:rFonts w:ascii="Arial" w:eastAsia="Arial" w:hAnsi="Arial" w:cs="Arial"/>
          <w:color w:val="000000" w:themeColor="text1"/>
          <w:kern w:val="0"/>
          <w:sz w:val="24"/>
          <w:szCs w:val="24"/>
          <w:lang w:eastAsia="en-GB"/>
          <w14:ligatures w14:val="none"/>
        </w:rPr>
        <w:t xml:space="preserve"> specialist input. This hindered behaviour management and added strain on families.</w:t>
      </w:r>
    </w:p>
    <w:p w14:paraId="0705F0E0" w14:textId="77777777" w:rsidR="00C31031" w:rsidRPr="00C31031" w:rsidRDefault="00C31031"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p>
    <w:p w14:paraId="09F66E08" w14:textId="77777777" w:rsidR="00C31031" w:rsidRPr="00C31031" w:rsidRDefault="00C31031"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 xml:space="preserve">Westwood et al. (2023) showed that outcomes were strongest when parents were trained to use consistent routines at home, and teachers mirrored these strategies in school. This co-produced approach reduced calling-out behaviours and helped </w:t>
      </w:r>
      <w:bookmarkStart w:id="43" w:name="_Int_5gii2Kcz"/>
      <w:r w:rsidRPr="072869EF">
        <w:rPr>
          <w:rFonts w:ascii="Arial" w:eastAsia="Arial" w:hAnsi="Arial" w:cs="Arial"/>
          <w:color w:val="000000" w:themeColor="text1"/>
          <w:kern w:val="0"/>
          <w:sz w:val="24"/>
          <w:szCs w:val="24"/>
          <w:lang w:eastAsia="en-GB"/>
          <w14:ligatures w14:val="none"/>
        </w:rPr>
        <w:t>maintain</w:t>
      </w:r>
      <w:bookmarkEnd w:id="43"/>
      <w:r w:rsidRPr="072869EF">
        <w:rPr>
          <w:rFonts w:ascii="Arial" w:eastAsia="Arial" w:hAnsi="Arial" w:cs="Arial"/>
          <w:color w:val="000000" w:themeColor="text1"/>
          <w:kern w:val="0"/>
          <w:sz w:val="24"/>
          <w:szCs w:val="24"/>
          <w:lang w:eastAsia="en-GB"/>
          <w14:ligatures w14:val="none"/>
        </w:rPr>
        <w:t xml:space="preserve"> focus during literacy tasks.</w:t>
      </w:r>
    </w:p>
    <w:p w14:paraId="4DE7DEA6" w14:textId="77777777" w:rsidR="00C31031" w:rsidRPr="00C31031" w:rsidRDefault="00C31031"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p>
    <w:p w14:paraId="5355615C" w14:textId="77777777" w:rsidR="00C31031" w:rsidRPr="00C31031" w:rsidRDefault="00C31031"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Wright et al. (2023) highlighted that teachers often rely on their own interpretation due to limited CAMHS guidance, leading to inconsistent classroom responses. Their findings support the argument that multi-agency support is essential for translating diagnosis into practical classroom changes.</w:t>
      </w:r>
    </w:p>
    <w:p w14:paraId="0D84F2FF" w14:textId="77777777" w:rsidR="00C31031" w:rsidRPr="00C31031" w:rsidRDefault="00C31031"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p>
    <w:p w14:paraId="406ADBAE" w14:textId="5877A81C" w:rsidR="00C31031" w:rsidRPr="00C31031" w:rsidRDefault="00C31031"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 xml:space="preserve">Together, these examples </w:t>
      </w:r>
      <w:r w:rsidR="001F07F4" w:rsidRPr="072869EF">
        <w:rPr>
          <w:rFonts w:ascii="Arial" w:eastAsia="Arial" w:hAnsi="Arial" w:cs="Arial"/>
          <w:color w:val="000000" w:themeColor="text1"/>
          <w:kern w:val="0"/>
          <w:sz w:val="24"/>
          <w:szCs w:val="24"/>
          <w:lang w:eastAsia="en-GB"/>
          <w14:ligatures w14:val="none"/>
        </w:rPr>
        <w:t>prove</w:t>
      </w:r>
      <w:r w:rsidRPr="072869EF">
        <w:rPr>
          <w:rFonts w:ascii="Arial" w:eastAsia="Arial" w:hAnsi="Arial" w:cs="Arial"/>
          <w:color w:val="000000" w:themeColor="text1"/>
          <w:kern w:val="0"/>
          <w:sz w:val="24"/>
          <w:szCs w:val="24"/>
          <w:lang w:eastAsia="en-GB"/>
          <w14:ligatures w14:val="none"/>
        </w:rPr>
        <w:t xml:space="preserve"> the direct relevance of this theme to your research aim.</w:t>
      </w:r>
    </w:p>
    <w:p w14:paraId="5E7A8125" w14:textId="648BE487" w:rsidR="00C31031" w:rsidRPr="00C31031" w:rsidRDefault="00C31031" w:rsidP="4C72D9C6">
      <w:pPr>
        <w:spacing w:after="0"/>
        <w:jc w:val="left"/>
        <w:rPr>
          <w:rFonts w:ascii="Arial" w:eastAsia="Arial" w:hAnsi="Arial" w:cs="Arial"/>
          <w:color w:val="000000" w:themeColor="text1"/>
          <w:kern w:val="0"/>
          <w:sz w:val="24"/>
          <w:szCs w:val="24"/>
          <w:lang w:eastAsia="en-GB"/>
          <w14:ligatures w14:val="none"/>
        </w:rPr>
      </w:pPr>
    </w:p>
    <w:p w14:paraId="1CB9479A" w14:textId="77777777" w:rsidR="00C31031" w:rsidRPr="00C31031" w:rsidRDefault="00C31031" w:rsidP="4C72D9C6">
      <w:pPr>
        <w:spacing w:before="100" w:beforeAutospacing="1" w:after="100" w:afterAutospacing="1"/>
        <w:jc w:val="left"/>
        <w:outlineLvl w:val="1"/>
        <w:rPr>
          <w:rFonts w:ascii="Arial" w:eastAsia="Arial" w:hAnsi="Arial" w:cs="Arial"/>
          <w:b/>
          <w:color w:val="000000" w:themeColor="text1"/>
          <w:kern w:val="0"/>
          <w:sz w:val="24"/>
          <w:szCs w:val="24"/>
          <w:lang w:eastAsia="en-GB"/>
          <w14:ligatures w14:val="none"/>
        </w:rPr>
      </w:pPr>
      <w:r w:rsidRPr="072869EF">
        <w:rPr>
          <w:rFonts w:ascii="Arial" w:eastAsia="Arial" w:hAnsi="Arial" w:cs="Arial"/>
          <w:b/>
          <w:color w:val="000000" w:themeColor="text1"/>
          <w:kern w:val="0"/>
          <w:sz w:val="24"/>
          <w:szCs w:val="24"/>
          <w:lang w:eastAsia="en-GB"/>
          <w14:ligatures w14:val="none"/>
        </w:rPr>
        <w:t>Connections to Other Themes</w:t>
      </w:r>
    </w:p>
    <w:p w14:paraId="0AFCACA6" w14:textId="77777777" w:rsidR="00C31031" w:rsidRPr="00C31031" w:rsidRDefault="00C31031" w:rsidP="4C72D9C6">
      <w:pPr>
        <w:numPr>
          <w:ilvl w:val="0"/>
          <w:numId w:val="111"/>
        </w:num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Theme 1 (Early Diagnosis): Early identification is only effective when agencies share information and respond promptly.</w:t>
      </w:r>
    </w:p>
    <w:p w14:paraId="1A781DA5" w14:textId="77777777" w:rsidR="00C31031" w:rsidRPr="00C31031" w:rsidRDefault="00C31031" w:rsidP="4C72D9C6">
      <w:pPr>
        <w:numPr>
          <w:ilvl w:val="0"/>
          <w:numId w:val="111"/>
        </w:num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Theme 2 (Teacher Awareness): Teacher training increases the quality of collaboration because professionals communicate more confidently with parents and CAMHS.</w:t>
      </w:r>
    </w:p>
    <w:p w14:paraId="0D160568" w14:textId="77777777" w:rsidR="00C31031" w:rsidRPr="00C31031" w:rsidRDefault="00C31031" w:rsidP="4C72D9C6">
      <w:pPr>
        <w:numPr>
          <w:ilvl w:val="0"/>
          <w:numId w:val="111"/>
        </w:num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Theme 4 (Socio-Economic Inequalities): Deprivation shapes access to multi-agency services—wealthier areas tend to have stronger partnerships.</w:t>
      </w:r>
    </w:p>
    <w:p w14:paraId="20DA1EAE" w14:textId="77777777" w:rsidR="00C31031" w:rsidRPr="00C31031" w:rsidRDefault="00C31031"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p>
    <w:p w14:paraId="6AD7C004" w14:textId="77777777" w:rsidR="00C31031" w:rsidRPr="00C31031" w:rsidRDefault="00C31031" w:rsidP="4C72D9C6">
      <w:pPr>
        <w:spacing w:before="100" w:beforeAutospacing="1" w:after="100" w:afterAutospacing="1"/>
        <w:jc w:val="left"/>
        <w:rPr>
          <w:rFonts w:ascii="Arial" w:eastAsia="Arial" w:hAnsi="Arial" w:cs="Arial"/>
          <w:color w:val="000000" w:themeColor="text1"/>
          <w:kern w:val="0"/>
          <w:sz w:val="24"/>
          <w:szCs w:val="24"/>
          <w:lang w:eastAsia="en-GB"/>
          <w14:ligatures w14:val="none"/>
        </w:rPr>
      </w:pPr>
      <w:r w:rsidRPr="072869EF">
        <w:rPr>
          <w:rFonts w:ascii="Arial" w:eastAsia="Arial" w:hAnsi="Arial" w:cs="Arial"/>
          <w:color w:val="000000" w:themeColor="text1"/>
          <w:kern w:val="0"/>
          <w:sz w:val="24"/>
          <w:szCs w:val="24"/>
          <w:lang w:eastAsia="en-GB"/>
          <w14:ligatures w14:val="none"/>
        </w:rPr>
        <w:t>This theme forms the “bridge” between diagnosis, school practice, and wider social structures.</w:t>
      </w:r>
    </w:p>
    <w:p w14:paraId="0D8B4DA0" w14:textId="77777777" w:rsidR="00636D9A" w:rsidRPr="00CA7734" w:rsidRDefault="00636D9A" w:rsidP="4C72D9C6">
      <w:pPr>
        <w:pStyle w:val="Heading1"/>
        <w:spacing w:line="360" w:lineRule="auto"/>
        <w:rPr>
          <w:rFonts w:eastAsia="Arial" w:cs="Arial"/>
          <w:color w:val="000000" w:themeColor="text1"/>
          <w:sz w:val="24"/>
          <w:szCs w:val="24"/>
        </w:rPr>
      </w:pPr>
    </w:p>
    <w:p w14:paraId="0B7345EE" w14:textId="3553C2A2" w:rsidR="001C3AF6" w:rsidRPr="00FF5B5D" w:rsidRDefault="001C3AF6" w:rsidP="4C72D9C6">
      <w:pPr>
        <w:pStyle w:val="Heading2"/>
        <w:rPr>
          <w:rFonts w:ascii="Arial" w:eastAsia="Arial" w:hAnsi="Arial" w:cs="Arial"/>
          <w:b/>
          <w:color w:val="000000" w:themeColor="text1"/>
          <w:szCs w:val="24"/>
        </w:rPr>
      </w:pPr>
      <w:r w:rsidRPr="072869EF">
        <w:rPr>
          <w:rFonts w:ascii="Arial" w:eastAsia="Arial" w:hAnsi="Arial" w:cs="Arial"/>
          <w:b/>
          <w:color w:val="000000" w:themeColor="text1"/>
          <w:szCs w:val="24"/>
        </w:rPr>
        <w:t>4.6 – Chapter Conclusion</w:t>
      </w:r>
    </w:p>
    <w:p w14:paraId="3861FFD6" w14:textId="6E817023" w:rsidR="00211184" w:rsidRPr="00FF5B5D" w:rsidRDefault="00B54340" w:rsidP="4C72D9C6">
      <w:pPr>
        <w:pStyle w:val="p1"/>
        <w:spacing w:line="360" w:lineRule="auto"/>
        <w:rPr>
          <w:rStyle w:val="s1"/>
          <w:rFonts w:ascii="Arial" w:eastAsia="Arial" w:hAnsi="Arial" w:cs="Arial"/>
          <w:color w:val="000000" w:themeColor="text1"/>
        </w:rPr>
      </w:pPr>
      <w:r w:rsidRPr="072869EF">
        <w:rPr>
          <w:rStyle w:val="s1"/>
          <w:rFonts w:ascii="Arial" w:eastAsia="Arial" w:hAnsi="Arial" w:cs="Arial"/>
          <w:color w:val="000000" w:themeColor="text1"/>
        </w:rPr>
        <w:t xml:space="preserve">This </w:t>
      </w:r>
      <w:bookmarkStart w:id="44" w:name="_Int_F2jvkUQ6"/>
      <w:r w:rsidRPr="072869EF">
        <w:rPr>
          <w:rStyle w:val="s1"/>
          <w:rFonts w:ascii="Arial" w:eastAsia="Arial" w:hAnsi="Arial" w:cs="Arial"/>
          <w:color w:val="000000" w:themeColor="text1"/>
        </w:rPr>
        <w:t xml:space="preserve">chapter </w:t>
      </w:r>
      <w:r w:rsidR="00160842" w:rsidRPr="072869EF">
        <w:rPr>
          <w:rStyle w:val="s1"/>
          <w:rFonts w:ascii="Arial" w:eastAsia="Arial" w:hAnsi="Arial" w:cs="Arial"/>
          <w:color w:val="000000" w:themeColor="text1"/>
        </w:rPr>
        <w:t>ana</w:t>
      </w:r>
      <w:r w:rsidR="000829B7" w:rsidRPr="072869EF">
        <w:rPr>
          <w:rStyle w:val="s1"/>
          <w:rFonts w:ascii="Arial" w:eastAsia="Arial" w:hAnsi="Arial" w:cs="Arial"/>
          <w:color w:val="000000" w:themeColor="text1"/>
        </w:rPr>
        <w:t xml:space="preserve">lytically </w:t>
      </w:r>
      <w:r w:rsidRPr="072869EF">
        <w:rPr>
          <w:rStyle w:val="s1"/>
          <w:rFonts w:ascii="Arial" w:eastAsia="Arial" w:hAnsi="Arial" w:cs="Arial"/>
          <w:color w:val="000000" w:themeColor="text1"/>
        </w:rPr>
        <w:t>examined</w:t>
      </w:r>
      <w:bookmarkEnd w:id="44"/>
      <w:r w:rsidRPr="072869EF">
        <w:rPr>
          <w:rStyle w:val="s1"/>
          <w:rFonts w:ascii="Arial" w:eastAsia="Arial" w:hAnsi="Arial" w:cs="Arial"/>
          <w:color w:val="000000" w:themeColor="text1"/>
        </w:rPr>
        <w:t xml:space="preserve"> the key factors shaping how early ADHD diagnosis affects the educational experiences of White British boys aged 5–11. The analysis showed that while early identification can be beneficial, the impact is highly dependent on the quality and timing of support that follows. </w:t>
      </w:r>
      <w:r w:rsidRPr="072869EF">
        <w:rPr>
          <w:rStyle w:val="s2"/>
          <w:rFonts w:ascii="Arial" w:eastAsia="Arial" w:hAnsi="Arial" w:cs="Arial"/>
          <w:color w:val="000000" w:themeColor="text1"/>
        </w:rPr>
        <w:t>Theme 1</w:t>
      </w:r>
      <w:r w:rsidRPr="072869EF">
        <w:rPr>
          <w:rStyle w:val="s1"/>
          <w:rFonts w:ascii="Arial" w:eastAsia="Arial" w:hAnsi="Arial" w:cs="Arial"/>
          <w:color w:val="000000" w:themeColor="text1"/>
        </w:rPr>
        <w:t xml:space="preserve"> highlighted that early assessment only improves outcomes when services are accessible and responsive, which is far from consistent across regions. </w:t>
      </w:r>
      <w:r w:rsidRPr="072869EF">
        <w:rPr>
          <w:rStyle w:val="s2"/>
          <w:rFonts w:ascii="Arial" w:eastAsia="Arial" w:hAnsi="Arial" w:cs="Arial"/>
          <w:color w:val="000000" w:themeColor="text1"/>
        </w:rPr>
        <w:t>Theme 2</w:t>
      </w:r>
      <w:r w:rsidRPr="072869EF">
        <w:rPr>
          <w:rStyle w:val="s1"/>
          <w:rFonts w:ascii="Arial" w:eastAsia="Arial" w:hAnsi="Arial" w:cs="Arial"/>
          <w:color w:val="000000" w:themeColor="text1"/>
        </w:rPr>
        <w:t xml:space="preserve"> </w:t>
      </w:r>
      <w:r w:rsidR="000829B7" w:rsidRPr="072869EF">
        <w:rPr>
          <w:rStyle w:val="s1"/>
          <w:rFonts w:ascii="Arial" w:eastAsia="Arial" w:hAnsi="Arial" w:cs="Arial"/>
          <w:color w:val="000000" w:themeColor="text1"/>
        </w:rPr>
        <w:t>showed</w:t>
      </w:r>
      <w:r w:rsidRPr="072869EF">
        <w:rPr>
          <w:rStyle w:val="s1"/>
          <w:rFonts w:ascii="Arial" w:eastAsia="Arial" w:hAnsi="Arial" w:cs="Arial"/>
          <w:color w:val="000000" w:themeColor="text1"/>
        </w:rPr>
        <w:t xml:space="preserve"> that teachers </w:t>
      </w:r>
      <w:bookmarkStart w:id="45" w:name="_Int_flw2FwrY"/>
      <w:r w:rsidRPr="072869EF">
        <w:rPr>
          <w:rStyle w:val="s1"/>
          <w:rFonts w:ascii="Arial" w:eastAsia="Arial" w:hAnsi="Arial" w:cs="Arial"/>
          <w:color w:val="000000" w:themeColor="text1"/>
        </w:rPr>
        <w:t>remain</w:t>
      </w:r>
      <w:bookmarkEnd w:id="45"/>
      <w:r w:rsidRPr="072869EF">
        <w:rPr>
          <w:rStyle w:val="s1"/>
          <w:rFonts w:ascii="Arial" w:eastAsia="Arial" w:hAnsi="Arial" w:cs="Arial"/>
          <w:color w:val="000000" w:themeColor="text1"/>
        </w:rPr>
        <w:t xml:space="preserve"> central to early recognition, yet limited specialist training continues to create uneven classroom responses. </w:t>
      </w:r>
      <w:r w:rsidRPr="072869EF">
        <w:rPr>
          <w:rStyle w:val="s2"/>
          <w:rFonts w:ascii="Arial" w:eastAsia="Arial" w:hAnsi="Arial" w:cs="Arial"/>
          <w:color w:val="000000" w:themeColor="text1"/>
        </w:rPr>
        <w:t>Theme 3</w:t>
      </w:r>
      <w:r w:rsidRPr="072869EF">
        <w:rPr>
          <w:rStyle w:val="s1"/>
          <w:rFonts w:ascii="Arial" w:eastAsia="Arial" w:hAnsi="Arial" w:cs="Arial"/>
          <w:color w:val="000000" w:themeColor="text1"/>
        </w:rPr>
        <w:t xml:space="preserve"> revealed that effective multi-agency collaboration is essential for sustained progress, but in practice these partnerships are often fragmented, particularly where communication between schools, families and CAMHS is weak. </w:t>
      </w:r>
      <w:r w:rsidRPr="072869EF">
        <w:rPr>
          <w:rStyle w:val="s2"/>
          <w:rFonts w:ascii="Arial" w:eastAsia="Arial" w:hAnsi="Arial" w:cs="Arial"/>
          <w:color w:val="000000" w:themeColor="text1"/>
        </w:rPr>
        <w:t>Theme 4</w:t>
      </w:r>
      <w:r w:rsidRPr="072869EF">
        <w:rPr>
          <w:rStyle w:val="s1"/>
          <w:rFonts w:ascii="Arial" w:eastAsia="Arial" w:hAnsi="Arial" w:cs="Arial"/>
          <w:color w:val="000000" w:themeColor="text1"/>
        </w:rPr>
        <w:t xml:space="preserve"> showed that wider socio-economic conditions significantly shape access to diagnosis and intervention, reinforcing structural inequalit</w:t>
      </w:r>
      <w:r w:rsidR="3525D5D1" w:rsidRPr="072869EF">
        <w:rPr>
          <w:rStyle w:val="s1"/>
          <w:rFonts w:ascii="Arial" w:eastAsia="Arial" w:hAnsi="Arial" w:cs="Arial"/>
          <w:color w:val="000000" w:themeColor="text1"/>
        </w:rPr>
        <w:t>ies.</w:t>
      </w:r>
    </w:p>
    <w:p w14:paraId="330747B3" w14:textId="5D865A87" w:rsidR="0E3AB6F0" w:rsidRDefault="0E3AB6F0" w:rsidP="072869EF">
      <w:pPr>
        <w:pStyle w:val="p1"/>
        <w:spacing w:line="360" w:lineRule="auto"/>
        <w:rPr>
          <w:rStyle w:val="s1"/>
          <w:rFonts w:ascii="Arial" w:eastAsia="Arial" w:hAnsi="Arial" w:cs="Arial"/>
          <w:b/>
          <w:bCs/>
          <w:color w:val="000000" w:themeColor="text1"/>
        </w:rPr>
      </w:pPr>
    </w:p>
    <w:p w14:paraId="343337D6" w14:textId="43F87BC4" w:rsidR="1E03315E" w:rsidRDefault="1E03315E" w:rsidP="1E03315E">
      <w:pPr>
        <w:pStyle w:val="p1"/>
        <w:spacing w:line="360" w:lineRule="auto"/>
        <w:rPr>
          <w:rStyle w:val="s1"/>
          <w:rFonts w:ascii="Arial" w:eastAsia="Arial" w:hAnsi="Arial" w:cs="Arial"/>
          <w:b/>
          <w:bCs/>
          <w:color w:val="000000" w:themeColor="text1"/>
        </w:rPr>
      </w:pPr>
    </w:p>
    <w:p w14:paraId="7D62005E" w14:textId="65416EDF" w:rsidR="614A4FB2" w:rsidRDefault="5C8C45B7" w:rsidP="072869EF">
      <w:pPr>
        <w:pStyle w:val="p1"/>
        <w:spacing w:line="360" w:lineRule="auto"/>
        <w:rPr>
          <w:rStyle w:val="s1"/>
          <w:rFonts w:ascii="Arial" w:eastAsia="Arial" w:hAnsi="Arial" w:cs="Arial"/>
          <w:b/>
          <w:bCs/>
          <w:color w:val="000000" w:themeColor="text1"/>
          <w:sz w:val="28"/>
          <w:szCs w:val="28"/>
        </w:rPr>
      </w:pPr>
      <w:r w:rsidRPr="072869EF">
        <w:rPr>
          <w:rStyle w:val="s1"/>
          <w:rFonts w:ascii="Arial" w:eastAsia="Arial" w:hAnsi="Arial" w:cs="Arial"/>
          <w:b/>
          <w:bCs/>
          <w:color w:val="000000" w:themeColor="text1"/>
        </w:rPr>
        <w:t>Chapter 5 – Discussion &amp; R</w:t>
      </w:r>
      <w:r w:rsidR="4350C6E9" w:rsidRPr="072869EF">
        <w:rPr>
          <w:rStyle w:val="s1"/>
          <w:rFonts w:ascii="Arial" w:eastAsia="Arial" w:hAnsi="Arial" w:cs="Arial"/>
          <w:b/>
          <w:bCs/>
          <w:color w:val="000000" w:themeColor="text1"/>
        </w:rPr>
        <w:t>ecommendations</w:t>
      </w:r>
    </w:p>
    <w:p w14:paraId="593C748C" w14:textId="237D6490" w:rsidR="35EE01A3" w:rsidRDefault="35EE01A3" w:rsidP="072869EF">
      <w:pPr>
        <w:pStyle w:val="p1"/>
        <w:spacing w:line="360" w:lineRule="auto"/>
        <w:rPr>
          <w:rStyle w:val="s1"/>
          <w:rFonts w:ascii="Arial" w:eastAsia="Arial" w:hAnsi="Arial" w:cs="Arial"/>
          <w:b/>
          <w:bCs/>
          <w:color w:val="000000" w:themeColor="text1"/>
        </w:rPr>
      </w:pPr>
      <w:r w:rsidRPr="072869EF">
        <w:rPr>
          <w:rStyle w:val="s1"/>
          <w:rFonts w:ascii="Arial" w:eastAsia="Arial" w:hAnsi="Arial" w:cs="Arial"/>
          <w:b/>
          <w:bCs/>
          <w:color w:val="000000" w:themeColor="text1"/>
        </w:rPr>
        <w:t>5.1 Introduction</w:t>
      </w:r>
    </w:p>
    <w:p w14:paraId="7F1D547C" w14:textId="3971E008" w:rsidR="35EE01A3" w:rsidRDefault="35EE01A3" w:rsidP="072869EF">
      <w:pPr>
        <w:pStyle w:val="p1"/>
        <w:spacing w:line="360" w:lineRule="auto"/>
        <w:rPr>
          <w:rStyle w:val="s1"/>
          <w:rFonts w:ascii="Arial" w:eastAsia="Arial" w:hAnsi="Arial" w:cs="Arial"/>
          <w:color w:val="000000" w:themeColor="text1"/>
        </w:rPr>
      </w:pPr>
      <w:r w:rsidRPr="072869EF">
        <w:rPr>
          <w:rStyle w:val="s1"/>
          <w:rFonts w:ascii="Arial" w:eastAsia="Arial" w:hAnsi="Arial" w:cs="Arial"/>
          <w:color w:val="000000" w:themeColor="text1"/>
        </w:rPr>
        <w:t xml:space="preserve">This chapter presents three practical, evidence-based recommendations informed by the themes </w:t>
      </w:r>
      <w:bookmarkStart w:id="46" w:name="_Int_cuGa1IV1"/>
      <w:r w:rsidRPr="072869EF">
        <w:rPr>
          <w:rStyle w:val="s1"/>
          <w:rFonts w:ascii="Arial" w:eastAsia="Arial" w:hAnsi="Arial" w:cs="Arial"/>
          <w:color w:val="000000" w:themeColor="text1"/>
        </w:rPr>
        <w:t>identified</w:t>
      </w:r>
      <w:bookmarkEnd w:id="46"/>
      <w:r w:rsidRPr="072869EF">
        <w:rPr>
          <w:rStyle w:val="s1"/>
          <w:rFonts w:ascii="Arial" w:eastAsia="Arial" w:hAnsi="Arial" w:cs="Arial"/>
          <w:color w:val="000000" w:themeColor="text1"/>
        </w:rPr>
        <w:t xml:space="preserve"> in Chapter 4. The recommendations respond directly to the gaps highlighted in the literature </w:t>
      </w:r>
      <w:bookmarkStart w:id="47" w:name="_Int_eAhwfbzT"/>
      <w:r w:rsidRPr="072869EF">
        <w:rPr>
          <w:rStyle w:val="s1"/>
          <w:rFonts w:ascii="Arial" w:eastAsia="Arial" w:hAnsi="Arial" w:cs="Arial"/>
          <w:color w:val="000000" w:themeColor="text1"/>
        </w:rPr>
        <w:t>regarding</w:t>
      </w:r>
      <w:bookmarkEnd w:id="47"/>
      <w:r w:rsidRPr="072869EF">
        <w:rPr>
          <w:rStyle w:val="s1"/>
          <w:rFonts w:ascii="Arial" w:eastAsia="Arial" w:hAnsi="Arial" w:cs="Arial"/>
          <w:color w:val="000000" w:themeColor="text1"/>
        </w:rPr>
        <w:t xml:space="preserve"> early ADHD diagnosis for White British boys aged 5–11 in UK primary schools. Each recommendation is justified using current policy, empirical findings, and the structural challenges </w:t>
      </w:r>
      <w:bookmarkStart w:id="48" w:name="_Int_UBMgEfo9"/>
      <w:r w:rsidRPr="072869EF">
        <w:rPr>
          <w:rStyle w:val="s1"/>
          <w:rFonts w:ascii="Arial" w:eastAsia="Arial" w:hAnsi="Arial" w:cs="Arial"/>
          <w:color w:val="000000" w:themeColor="text1"/>
        </w:rPr>
        <w:t>identified</w:t>
      </w:r>
      <w:bookmarkEnd w:id="48"/>
      <w:r w:rsidRPr="072869EF">
        <w:rPr>
          <w:rStyle w:val="s1"/>
          <w:rFonts w:ascii="Arial" w:eastAsia="Arial" w:hAnsi="Arial" w:cs="Arial"/>
          <w:color w:val="000000" w:themeColor="text1"/>
        </w:rPr>
        <w:t xml:space="preserve"> earlier. The discussion also evaluates feasibility, potential barriers, and realistic strategies for implementation within real-world educational and health settings. These recommendations aim to strengthen early identification pathways, improve teacher competence, and enhance multi-agency collaboration, aligning with statutory duties under the Children and Families Act (2014), the SEND Code of Practice (2015), and the Equality Act (2010). Together, they provide a structured and critical foundation for improving practice, reducing inequalities, and promoting more </w:t>
      </w:r>
      <w:bookmarkStart w:id="49" w:name="_Int_7Y6ZyLJ6"/>
      <w:r w:rsidRPr="072869EF">
        <w:rPr>
          <w:rStyle w:val="s1"/>
          <w:rFonts w:ascii="Arial" w:eastAsia="Arial" w:hAnsi="Arial" w:cs="Arial"/>
          <w:color w:val="000000" w:themeColor="text1"/>
        </w:rPr>
        <w:t>timely</w:t>
      </w:r>
      <w:bookmarkEnd w:id="49"/>
      <w:r w:rsidRPr="072869EF">
        <w:rPr>
          <w:rStyle w:val="s1"/>
          <w:rFonts w:ascii="Arial" w:eastAsia="Arial" w:hAnsi="Arial" w:cs="Arial"/>
          <w:color w:val="000000" w:themeColor="text1"/>
        </w:rPr>
        <w:t xml:space="preserve"> interventions for children with ADHD in UK primary schools.</w:t>
      </w:r>
    </w:p>
    <w:p w14:paraId="034D082A" w14:textId="52D1D8E0" w:rsidR="072869EF" w:rsidRDefault="072869EF" w:rsidP="072869EF">
      <w:pPr>
        <w:pStyle w:val="p1"/>
        <w:spacing w:line="360" w:lineRule="auto"/>
        <w:rPr>
          <w:rStyle w:val="s1"/>
          <w:rFonts w:ascii="Arial" w:eastAsia="Arial" w:hAnsi="Arial" w:cs="Arial"/>
          <w:color w:val="000000" w:themeColor="text1"/>
        </w:rPr>
      </w:pPr>
    </w:p>
    <w:p w14:paraId="14863C7B" w14:textId="19958492" w:rsidR="35EE01A3" w:rsidRDefault="35EE01A3" w:rsidP="072869EF">
      <w:pPr>
        <w:pStyle w:val="p1"/>
        <w:spacing w:line="360" w:lineRule="auto"/>
        <w:rPr>
          <w:rStyle w:val="s1"/>
          <w:rFonts w:ascii="Arial" w:eastAsia="Arial" w:hAnsi="Arial" w:cs="Arial"/>
          <w:b/>
          <w:bCs/>
          <w:color w:val="000000" w:themeColor="text1"/>
          <w:sz w:val="28"/>
          <w:szCs w:val="28"/>
        </w:rPr>
      </w:pPr>
      <w:r w:rsidRPr="072869EF">
        <w:rPr>
          <w:rStyle w:val="s1"/>
          <w:rFonts w:ascii="Arial" w:eastAsia="Arial" w:hAnsi="Arial" w:cs="Arial"/>
          <w:b/>
          <w:bCs/>
          <w:color w:val="000000" w:themeColor="text1"/>
        </w:rPr>
        <w:t>5.2</w:t>
      </w:r>
      <w:r w:rsidR="611024AA" w:rsidRPr="072869EF">
        <w:rPr>
          <w:rStyle w:val="s1"/>
          <w:rFonts w:ascii="Arial" w:eastAsia="Arial" w:hAnsi="Arial" w:cs="Arial"/>
          <w:b/>
          <w:bCs/>
          <w:color w:val="000000" w:themeColor="text1"/>
        </w:rPr>
        <w:t xml:space="preserve"> </w:t>
      </w:r>
      <w:r w:rsidR="2B8625A8" w:rsidRPr="072869EF">
        <w:rPr>
          <w:rStyle w:val="s1"/>
          <w:rFonts w:ascii="Arial" w:eastAsia="Arial" w:hAnsi="Arial" w:cs="Arial"/>
          <w:b/>
          <w:bCs/>
          <w:color w:val="000000" w:themeColor="text1"/>
        </w:rPr>
        <w:t>Recommendations</w:t>
      </w:r>
    </w:p>
    <w:p w14:paraId="17EAF1D1" w14:textId="50DDCD93" w:rsidR="072869EF" w:rsidRDefault="072869EF" w:rsidP="072869EF">
      <w:pPr>
        <w:pStyle w:val="p1"/>
        <w:spacing w:line="360" w:lineRule="auto"/>
        <w:rPr>
          <w:rStyle w:val="s1"/>
          <w:rFonts w:ascii="Arial" w:eastAsia="Arial" w:hAnsi="Arial" w:cs="Arial"/>
          <w:b/>
          <w:bCs/>
          <w:color w:val="000000" w:themeColor="text1"/>
        </w:rPr>
      </w:pPr>
    </w:p>
    <w:p w14:paraId="707CE01C" w14:textId="07A2407C" w:rsidR="35EE01A3" w:rsidRDefault="35EE01A3" w:rsidP="072869EF">
      <w:pPr>
        <w:pStyle w:val="p1"/>
        <w:spacing w:line="360" w:lineRule="auto"/>
        <w:rPr>
          <w:rStyle w:val="s1"/>
          <w:rFonts w:ascii="Arial" w:eastAsia="Arial" w:hAnsi="Arial" w:cs="Arial"/>
          <w:i/>
          <w:iCs/>
          <w:color w:val="000000" w:themeColor="text1"/>
        </w:rPr>
      </w:pPr>
      <w:r w:rsidRPr="072869EF">
        <w:rPr>
          <w:rStyle w:val="s1"/>
          <w:rFonts w:ascii="Arial" w:eastAsia="Arial" w:hAnsi="Arial" w:cs="Arial"/>
          <w:i/>
          <w:iCs/>
          <w:color w:val="000000" w:themeColor="text1"/>
        </w:rPr>
        <w:t>Recommendation1: Mandatory ADHD-Specific Training for All Primary School Teachers</w:t>
      </w:r>
    </w:p>
    <w:p w14:paraId="062935F1" w14:textId="69019138" w:rsidR="35EE01A3" w:rsidRDefault="35EE01A3" w:rsidP="072869EF">
      <w:pPr>
        <w:pStyle w:val="p1"/>
        <w:spacing w:line="360" w:lineRule="auto"/>
        <w:rPr>
          <w:rStyle w:val="s1"/>
          <w:rFonts w:ascii="Arial" w:eastAsia="Arial" w:hAnsi="Arial" w:cs="Arial"/>
          <w:color w:val="000000" w:themeColor="text1"/>
          <w:sz w:val="28"/>
          <w:szCs w:val="28"/>
        </w:rPr>
      </w:pPr>
      <w:r w:rsidRPr="072869EF">
        <w:rPr>
          <w:rStyle w:val="s1"/>
          <w:rFonts w:ascii="Arial" w:eastAsia="Arial" w:hAnsi="Arial" w:cs="Arial"/>
          <w:color w:val="000000" w:themeColor="text1"/>
        </w:rPr>
        <w:t xml:space="preserve">It is recommended that all primary school teachers receive mandatory ADHD-specific training as part of both </w:t>
      </w:r>
      <w:bookmarkStart w:id="50" w:name="_Int_ZuPtvLlS"/>
      <w:r w:rsidRPr="072869EF">
        <w:rPr>
          <w:rStyle w:val="s1"/>
          <w:rFonts w:ascii="Arial" w:eastAsia="Arial" w:hAnsi="Arial" w:cs="Arial"/>
          <w:color w:val="000000" w:themeColor="text1"/>
        </w:rPr>
        <w:t>initial</w:t>
      </w:r>
      <w:bookmarkEnd w:id="50"/>
      <w:r w:rsidRPr="072869EF">
        <w:rPr>
          <w:rStyle w:val="s1"/>
          <w:rFonts w:ascii="Arial" w:eastAsia="Arial" w:hAnsi="Arial" w:cs="Arial"/>
          <w:color w:val="000000" w:themeColor="text1"/>
        </w:rPr>
        <w:t xml:space="preserve"> teacher training (ITT) and ongoing professional development. This training should focus on early behavioural recognition, classroom management strategies, and working effectively with families and external agencies.</w:t>
      </w:r>
    </w:p>
    <w:p w14:paraId="22B6107B" w14:textId="3BEC5639" w:rsidR="35EE01A3" w:rsidRDefault="35EE01A3" w:rsidP="072869EF">
      <w:pPr>
        <w:pStyle w:val="p1"/>
        <w:spacing w:line="360" w:lineRule="auto"/>
        <w:rPr>
          <w:rStyle w:val="s1"/>
          <w:rFonts w:ascii="Arial" w:eastAsia="Arial" w:hAnsi="Arial" w:cs="Arial"/>
          <w:color w:val="000000" w:themeColor="text1"/>
          <w:sz w:val="28"/>
          <w:szCs w:val="28"/>
        </w:rPr>
      </w:pPr>
      <w:r w:rsidRPr="072869EF">
        <w:rPr>
          <w:rStyle w:val="s1"/>
          <w:rFonts w:ascii="Arial" w:eastAsia="Arial" w:hAnsi="Arial" w:cs="Arial"/>
          <w:color w:val="000000" w:themeColor="text1"/>
        </w:rPr>
        <w:t>Justification &amp; Feasibility</w:t>
      </w:r>
    </w:p>
    <w:p w14:paraId="43D7D1CF" w14:textId="447DD674" w:rsidR="35EE01A3" w:rsidRDefault="35EE01A3" w:rsidP="072869EF">
      <w:pPr>
        <w:pStyle w:val="p1"/>
        <w:spacing w:line="360" w:lineRule="auto"/>
        <w:rPr>
          <w:rStyle w:val="s1"/>
          <w:rFonts w:ascii="Arial" w:eastAsia="Arial" w:hAnsi="Arial" w:cs="Arial"/>
          <w:color w:val="000000" w:themeColor="text1"/>
          <w:sz w:val="28"/>
          <w:szCs w:val="28"/>
        </w:rPr>
      </w:pPr>
      <w:r w:rsidRPr="072869EF">
        <w:rPr>
          <w:rStyle w:val="s1"/>
          <w:rFonts w:ascii="Arial" w:eastAsia="Arial" w:hAnsi="Arial" w:cs="Arial"/>
          <w:color w:val="000000" w:themeColor="text1"/>
        </w:rPr>
        <w:t xml:space="preserve">Findings from Chapter 4 showed that limited teacher awareness is a major barrier to early identification, with many boys showing symptoms being misunderstood as “misbehaviour” rather than neurodevelopmental need. Increased teacher competence is strongly linked to earlier referral, reduced classroom conflict, and more effective SEN support. This recommendation aligns with the SEND Code of Practice (2015), which requires teachers to be able to </w:t>
      </w:r>
      <w:bookmarkStart w:id="51" w:name="_Int_EIkyLQum"/>
      <w:r w:rsidRPr="072869EF">
        <w:rPr>
          <w:rStyle w:val="s1"/>
          <w:rFonts w:ascii="Arial" w:eastAsia="Arial" w:hAnsi="Arial" w:cs="Arial"/>
          <w:color w:val="000000" w:themeColor="text1"/>
        </w:rPr>
        <w:t>identify</w:t>
      </w:r>
      <w:bookmarkEnd w:id="51"/>
      <w:r w:rsidRPr="072869EF">
        <w:rPr>
          <w:rStyle w:val="s1"/>
          <w:rFonts w:ascii="Arial" w:eastAsia="Arial" w:hAnsi="Arial" w:cs="Arial"/>
          <w:color w:val="000000" w:themeColor="text1"/>
        </w:rPr>
        <w:t xml:space="preserve"> emerging difficulties and implement graduated responses. It is </w:t>
      </w:r>
      <w:bookmarkStart w:id="52" w:name="_Int_Fyfyz1ZF"/>
      <w:r w:rsidRPr="072869EF">
        <w:rPr>
          <w:rStyle w:val="s1"/>
          <w:rFonts w:ascii="Arial" w:eastAsia="Arial" w:hAnsi="Arial" w:cs="Arial"/>
          <w:color w:val="000000" w:themeColor="text1"/>
        </w:rPr>
        <w:t>feasible</w:t>
      </w:r>
      <w:bookmarkEnd w:id="52"/>
      <w:r w:rsidRPr="072869EF">
        <w:rPr>
          <w:rStyle w:val="s1"/>
          <w:rFonts w:ascii="Arial" w:eastAsia="Arial" w:hAnsi="Arial" w:cs="Arial"/>
          <w:color w:val="000000" w:themeColor="text1"/>
        </w:rPr>
        <w:t xml:space="preserve"> because national frameworks already exist, such as the DfE Teacher Training Framework and NASEN training modules, which can be adapted to include mandatory ADHD content. The NHS Long Term Plan (2019) also highlights schools as key partners in early identification, making this recommendation </w:t>
      </w:r>
      <w:bookmarkStart w:id="53" w:name="_Int_IcqldvCM"/>
      <w:r w:rsidRPr="072869EF">
        <w:rPr>
          <w:rStyle w:val="s1"/>
          <w:rFonts w:ascii="Arial" w:eastAsia="Arial" w:hAnsi="Arial" w:cs="Arial"/>
          <w:color w:val="000000" w:themeColor="text1"/>
        </w:rPr>
        <w:t>timely</w:t>
      </w:r>
      <w:bookmarkEnd w:id="53"/>
      <w:r w:rsidRPr="072869EF">
        <w:rPr>
          <w:rStyle w:val="s1"/>
          <w:rFonts w:ascii="Arial" w:eastAsia="Arial" w:hAnsi="Arial" w:cs="Arial"/>
          <w:color w:val="000000" w:themeColor="text1"/>
        </w:rPr>
        <w:t xml:space="preserve"> and </w:t>
      </w:r>
      <w:r w:rsidR="326F2AA6" w:rsidRPr="072869EF">
        <w:rPr>
          <w:rStyle w:val="s1"/>
          <w:rFonts w:ascii="Arial" w:eastAsia="Arial" w:hAnsi="Arial" w:cs="Arial"/>
          <w:color w:val="000000" w:themeColor="text1"/>
        </w:rPr>
        <w:t>system aligned</w:t>
      </w:r>
      <w:r w:rsidRPr="072869EF">
        <w:rPr>
          <w:rStyle w:val="s1"/>
          <w:rFonts w:ascii="Arial" w:eastAsia="Arial" w:hAnsi="Arial" w:cs="Arial"/>
          <w:color w:val="000000" w:themeColor="text1"/>
        </w:rPr>
        <w:t>.</w:t>
      </w:r>
    </w:p>
    <w:p w14:paraId="2D097EA4" w14:textId="5EAA9E14" w:rsidR="35EE01A3" w:rsidRDefault="35EE01A3" w:rsidP="072869EF">
      <w:pPr>
        <w:pStyle w:val="p1"/>
        <w:spacing w:line="360" w:lineRule="auto"/>
        <w:rPr>
          <w:rStyle w:val="s1"/>
          <w:rFonts w:ascii="Arial" w:eastAsia="Arial" w:hAnsi="Arial" w:cs="Arial"/>
          <w:b/>
          <w:bCs/>
          <w:color w:val="000000" w:themeColor="text1"/>
        </w:rPr>
      </w:pPr>
      <w:r w:rsidRPr="072869EF">
        <w:rPr>
          <w:rStyle w:val="s1"/>
          <w:rFonts w:ascii="Arial" w:eastAsia="Arial" w:hAnsi="Arial" w:cs="Arial"/>
          <w:b/>
          <w:bCs/>
          <w:color w:val="000000" w:themeColor="text1"/>
        </w:rPr>
        <w:t>Barriers &amp; Limitations</w:t>
      </w:r>
    </w:p>
    <w:p w14:paraId="3373FF11" w14:textId="41D2EF82" w:rsidR="35EE01A3" w:rsidRDefault="35EE01A3" w:rsidP="072869EF">
      <w:pPr>
        <w:pStyle w:val="p1"/>
        <w:spacing w:line="360" w:lineRule="auto"/>
        <w:rPr>
          <w:rStyle w:val="s1"/>
          <w:rFonts w:ascii="Arial" w:eastAsia="Arial" w:hAnsi="Arial" w:cs="Arial"/>
          <w:color w:val="000000" w:themeColor="text1"/>
          <w:sz w:val="28"/>
          <w:szCs w:val="28"/>
        </w:rPr>
      </w:pPr>
      <w:r w:rsidRPr="072869EF">
        <w:rPr>
          <w:rStyle w:val="s1"/>
          <w:rFonts w:ascii="Arial" w:eastAsia="Arial" w:hAnsi="Arial" w:cs="Arial"/>
          <w:color w:val="000000" w:themeColor="text1"/>
        </w:rPr>
        <w:t xml:space="preserve">A key limitation is school capacity. Teachers already face workload pressures, and mandatory training may initially be perceived as an </w:t>
      </w:r>
      <w:r w:rsidR="26CA2665" w:rsidRPr="1E03315E">
        <w:rPr>
          <w:rStyle w:val="s1"/>
          <w:rFonts w:ascii="Arial" w:eastAsia="Arial" w:hAnsi="Arial" w:cs="Arial"/>
          <w:color w:val="000000" w:themeColor="text1"/>
        </w:rPr>
        <w:t>added</w:t>
      </w:r>
      <w:r w:rsidRPr="072869EF">
        <w:rPr>
          <w:rStyle w:val="s1"/>
          <w:rFonts w:ascii="Arial" w:eastAsia="Arial" w:hAnsi="Arial" w:cs="Arial"/>
          <w:color w:val="000000" w:themeColor="text1"/>
        </w:rPr>
        <w:t xml:space="preserve"> burden. Another barrier is inconsistency in school budgets, meaning some settings may struggle to access high-quality training. Variation in school leadership priorities may also affect uptake.</w:t>
      </w:r>
    </w:p>
    <w:p w14:paraId="34233D45" w14:textId="5C4C9927" w:rsidR="35EE01A3" w:rsidRDefault="35EE01A3" w:rsidP="072869EF">
      <w:pPr>
        <w:pStyle w:val="p1"/>
        <w:spacing w:line="360" w:lineRule="auto"/>
        <w:rPr>
          <w:rStyle w:val="s1"/>
          <w:rFonts w:ascii="Arial" w:eastAsia="Arial" w:hAnsi="Arial" w:cs="Arial"/>
          <w:b/>
          <w:bCs/>
          <w:color w:val="000000" w:themeColor="text1"/>
        </w:rPr>
      </w:pPr>
      <w:r w:rsidRPr="072869EF">
        <w:rPr>
          <w:rStyle w:val="s1"/>
          <w:rFonts w:ascii="Arial" w:eastAsia="Arial" w:hAnsi="Arial" w:cs="Arial"/>
          <w:b/>
          <w:bCs/>
          <w:color w:val="000000" w:themeColor="text1"/>
        </w:rPr>
        <w:t>Overcoming Challenges</w:t>
      </w:r>
    </w:p>
    <w:p w14:paraId="20D97BA3" w14:textId="29B3EBBD" w:rsidR="35EE01A3" w:rsidRDefault="35EE01A3" w:rsidP="072869EF">
      <w:pPr>
        <w:pStyle w:val="p1"/>
        <w:spacing w:line="360" w:lineRule="auto"/>
        <w:rPr>
          <w:rStyle w:val="s1"/>
          <w:rFonts w:ascii="Arial" w:eastAsia="Arial" w:hAnsi="Arial" w:cs="Arial"/>
          <w:color w:val="000000" w:themeColor="text1"/>
          <w:sz w:val="28"/>
          <w:szCs w:val="28"/>
        </w:rPr>
      </w:pPr>
      <w:r w:rsidRPr="072869EF">
        <w:rPr>
          <w:rStyle w:val="s1"/>
          <w:rFonts w:ascii="Arial" w:eastAsia="Arial" w:hAnsi="Arial" w:cs="Arial"/>
          <w:color w:val="000000" w:themeColor="text1"/>
        </w:rPr>
        <w:t xml:space="preserve">Barriers can be reduced by embedding ADHD training into existing CPD requirements, meaning it does not create </w:t>
      </w:r>
      <w:bookmarkStart w:id="54" w:name="_Int_ATnRhYyy"/>
      <w:r w:rsidRPr="072869EF">
        <w:rPr>
          <w:rStyle w:val="s1"/>
          <w:rFonts w:ascii="Arial" w:eastAsia="Arial" w:hAnsi="Arial" w:cs="Arial"/>
          <w:color w:val="000000" w:themeColor="text1"/>
        </w:rPr>
        <w:t>additional</w:t>
      </w:r>
      <w:bookmarkEnd w:id="54"/>
      <w:r w:rsidRPr="072869EF">
        <w:rPr>
          <w:rStyle w:val="s1"/>
          <w:rFonts w:ascii="Arial" w:eastAsia="Arial" w:hAnsi="Arial" w:cs="Arial"/>
          <w:color w:val="000000" w:themeColor="text1"/>
        </w:rPr>
        <w:t xml:space="preserve"> workload. Funding can be supported through DfE professional development grants or local authority inclusion budgets, ensuring </w:t>
      </w:r>
      <w:bookmarkStart w:id="55" w:name="_Int_JNGzjN4Q"/>
      <w:r w:rsidRPr="072869EF">
        <w:rPr>
          <w:rStyle w:val="s1"/>
          <w:rFonts w:ascii="Arial" w:eastAsia="Arial" w:hAnsi="Arial" w:cs="Arial"/>
          <w:color w:val="000000" w:themeColor="text1"/>
        </w:rPr>
        <w:t>equitable</w:t>
      </w:r>
      <w:bookmarkEnd w:id="55"/>
      <w:r w:rsidRPr="072869EF">
        <w:rPr>
          <w:rStyle w:val="s1"/>
          <w:rFonts w:ascii="Arial" w:eastAsia="Arial" w:hAnsi="Arial" w:cs="Arial"/>
          <w:color w:val="000000" w:themeColor="text1"/>
        </w:rPr>
        <w:t xml:space="preserve"> access. Schools can also adopt hybrid models, combining online modules with in-person workshops. Linking training to statutory duties (Equality Act 2010; SEND Code 2015) increases compliance and ensures long-term sustainability. Strengthening teacher knowledge directly supports early diagnosis, consistent with Themes 1 and 2 of Chapter 4.</w:t>
      </w:r>
    </w:p>
    <w:p w14:paraId="6FC0F0EE" w14:textId="6F9E5653" w:rsidR="072869EF" w:rsidRDefault="072869EF" w:rsidP="072869EF">
      <w:pPr>
        <w:pStyle w:val="p1"/>
        <w:spacing w:line="360" w:lineRule="auto"/>
        <w:rPr>
          <w:rStyle w:val="s1"/>
          <w:rFonts w:ascii="Arial" w:eastAsia="Arial" w:hAnsi="Arial" w:cs="Arial"/>
          <w:color w:val="000000" w:themeColor="text1"/>
        </w:rPr>
      </w:pPr>
    </w:p>
    <w:p w14:paraId="78C6D11A" w14:textId="6D6DE515" w:rsidR="35EE01A3" w:rsidRDefault="35EE01A3" w:rsidP="072869EF">
      <w:pPr>
        <w:pStyle w:val="p1"/>
        <w:spacing w:line="360" w:lineRule="auto"/>
        <w:rPr>
          <w:rStyle w:val="s1"/>
          <w:rFonts w:ascii="Arial" w:eastAsia="Arial" w:hAnsi="Arial" w:cs="Arial"/>
          <w:i/>
          <w:iCs/>
          <w:color w:val="000000" w:themeColor="text1"/>
        </w:rPr>
      </w:pPr>
      <w:r w:rsidRPr="072869EF">
        <w:rPr>
          <w:rStyle w:val="s1"/>
          <w:rFonts w:ascii="Arial" w:eastAsia="Arial" w:hAnsi="Arial" w:cs="Arial"/>
          <w:i/>
          <w:iCs/>
          <w:color w:val="000000" w:themeColor="text1"/>
        </w:rPr>
        <w:t>Recommendation 2: Introduce Early Screening Pathways Within Schools in Partnership With CAMHS</w:t>
      </w:r>
    </w:p>
    <w:p w14:paraId="3C4C21F2" w14:textId="7045DDD3" w:rsidR="35EE01A3" w:rsidRDefault="35EE01A3" w:rsidP="072869EF">
      <w:pPr>
        <w:pStyle w:val="p1"/>
        <w:spacing w:line="360" w:lineRule="auto"/>
        <w:rPr>
          <w:rStyle w:val="s1"/>
          <w:rFonts w:ascii="Arial" w:eastAsia="Arial" w:hAnsi="Arial" w:cs="Arial"/>
          <w:color w:val="000000" w:themeColor="text1"/>
          <w:sz w:val="28"/>
          <w:szCs w:val="28"/>
        </w:rPr>
      </w:pPr>
      <w:r w:rsidRPr="072869EF">
        <w:rPr>
          <w:rStyle w:val="s1"/>
          <w:rFonts w:ascii="Arial" w:eastAsia="Arial" w:hAnsi="Arial" w:cs="Arial"/>
          <w:color w:val="000000" w:themeColor="text1"/>
        </w:rPr>
        <w:t xml:space="preserve">It </w:t>
      </w:r>
      <w:bookmarkStart w:id="56" w:name="_Int_tlwCmlEk"/>
      <w:r w:rsidRPr="072869EF">
        <w:rPr>
          <w:rStyle w:val="s1"/>
          <w:rFonts w:ascii="Arial" w:eastAsia="Arial" w:hAnsi="Arial" w:cs="Arial"/>
          <w:color w:val="000000" w:themeColor="text1"/>
        </w:rPr>
        <w:t>is recommended</w:t>
      </w:r>
      <w:bookmarkEnd w:id="56"/>
      <w:r w:rsidRPr="072869EF">
        <w:rPr>
          <w:rStyle w:val="s1"/>
          <w:rFonts w:ascii="Arial" w:eastAsia="Arial" w:hAnsi="Arial" w:cs="Arial"/>
          <w:color w:val="000000" w:themeColor="text1"/>
        </w:rPr>
        <w:t xml:space="preserve"> that all primary schools </w:t>
      </w:r>
      <w:r w:rsidR="53A01DD7" w:rsidRPr="1E03315E">
        <w:rPr>
          <w:rStyle w:val="s1"/>
          <w:rFonts w:ascii="Arial" w:eastAsia="Arial" w:hAnsi="Arial" w:cs="Arial"/>
          <w:color w:val="000000" w:themeColor="text1"/>
        </w:rPr>
        <w:t>set up</w:t>
      </w:r>
      <w:r w:rsidRPr="072869EF">
        <w:rPr>
          <w:rStyle w:val="s1"/>
          <w:rFonts w:ascii="Arial" w:eastAsia="Arial" w:hAnsi="Arial" w:cs="Arial"/>
          <w:color w:val="000000" w:themeColor="text1"/>
        </w:rPr>
        <w:t xml:space="preserve"> early ADHD screening pathways in partnership with CAMHS and local authority SEND teams. These pathways should include structured teacher observations, parental questionnaires, and rapid referral routes for children displaying persistent ADHD characteristics.</w:t>
      </w:r>
    </w:p>
    <w:p w14:paraId="538FE6F4" w14:textId="5E22DD28" w:rsidR="35EE01A3" w:rsidRDefault="35EE01A3" w:rsidP="072869EF">
      <w:pPr>
        <w:pStyle w:val="p1"/>
        <w:spacing w:line="360" w:lineRule="auto"/>
        <w:rPr>
          <w:rStyle w:val="s1"/>
          <w:rFonts w:ascii="Arial" w:eastAsia="Arial" w:hAnsi="Arial" w:cs="Arial"/>
          <w:color w:val="000000" w:themeColor="text1"/>
          <w:sz w:val="28"/>
          <w:szCs w:val="28"/>
        </w:rPr>
      </w:pPr>
      <w:r w:rsidRPr="072869EF">
        <w:rPr>
          <w:rStyle w:val="s1"/>
          <w:rFonts w:ascii="Arial" w:eastAsia="Arial" w:hAnsi="Arial" w:cs="Arial"/>
          <w:color w:val="000000" w:themeColor="text1"/>
        </w:rPr>
        <w:t>Justification &amp; Feasibility</w:t>
      </w:r>
    </w:p>
    <w:p w14:paraId="40129709" w14:textId="7FE23410" w:rsidR="35EE01A3" w:rsidRDefault="35EE01A3" w:rsidP="072869EF">
      <w:pPr>
        <w:pStyle w:val="p1"/>
        <w:spacing w:line="360" w:lineRule="auto"/>
        <w:rPr>
          <w:rStyle w:val="s1"/>
          <w:rFonts w:ascii="Arial" w:eastAsia="Arial" w:hAnsi="Arial" w:cs="Arial"/>
          <w:color w:val="000000" w:themeColor="text1"/>
          <w:sz w:val="28"/>
          <w:szCs w:val="28"/>
        </w:rPr>
      </w:pPr>
      <w:r w:rsidRPr="072869EF">
        <w:rPr>
          <w:rStyle w:val="s1"/>
          <w:rFonts w:ascii="Arial" w:eastAsia="Arial" w:hAnsi="Arial" w:cs="Arial"/>
          <w:color w:val="000000" w:themeColor="text1"/>
        </w:rPr>
        <w:t xml:space="preserve">Chapter 4 identified Theme 1 — early diagnosis and access to support — as a critical area. Evidence consistently showed that long CAMHS waiting times and inconsistent referral practices delay diagnosis for many boys aged 5–11. Introducing structured screening within schools </w:t>
      </w:r>
      <w:bookmarkStart w:id="57" w:name="_Int_6BWKhrFu"/>
      <w:r w:rsidRPr="072869EF">
        <w:rPr>
          <w:rStyle w:val="s1"/>
          <w:rFonts w:ascii="Arial" w:eastAsia="Arial" w:hAnsi="Arial" w:cs="Arial"/>
          <w:color w:val="000000" w:themeColor="text1"/>
        </w:rPr>
        <w:t>provides</w:t>
      </w:r>
      <w:bookmarkEnd w:id="57"/>
      <w:r w:rsidRPr="072869EF">
        <w:rPr>
          <w:rStyle w:val="s1"/>
          <w:rFonts w:ascii="Arial" w:eastAsia="Arial" w:hAnsi="Arial" w:cs="Arial"/>
          <w:color w:val="000000" w:themeColor="text1"/>
        </w:rPr>
        <w:t xml:space="preserve"> a consistent way to </w:t>
      </w:r>
      <w:bookmarkStart w:id="58" w:name="_Int_SCGb1LZm"/>
      <w:r w:rsidRPr="072869EF">
        <w:rPr>
          <w:rStyle w:val="s1"/>
          <w:rFonts w:ascii="Arial" w:eastAsia="Arial" w:hAnsi="Arial" w:cs="Arial"/>
          <w:color w:val="000000" w:themeColor="text1"/>
        </w:rPr>
        <w:t>identify</w:t>
      </w:r>
      <w:bookmarkEnd w:id="58"/>
      <w:r w:rsidRPr="072869EF">
        <w:rPr>
          <w:rStyle w:val="s1"/>
          <w:rFonts w:ascii="Arial" w:eastAsia="Arial" w:hAnsi="Arial" w:cs="Arial"/>
          <w:color w:val="000000" w:themeColor="text1"/>
        </w:rPr>
        <w:t xml:space="preserve"> concerns early and prevents delays caused by non-standardised processes. This recommendation aligns with NICE Guidelines (2018) on early recognition of ADHD and the Children and Families Act (2014), which emphasises early intervention. Feasibility is supported by the existing use of screening tools in many local authorities and by national frameworks encouraging closer school-CAMHS collaboration. Additionally, with increasing digital pathways in the NHS, schools can adopt online referral systems to streamline communication.</w:t>
      </w:r>
    </w:p>
    <w:p w14:paraId="26A2D3A6" w14:textId="37F8BE20" w:rsidR="35EE01A3" w:rsidRDefault="35EE01A3" w:rsidP="072869EF">
      <w:pPr>
        <w:pStyle w:val="p1"/>
        <w:spacing w:line="360" w:lineRule="auto"/>
        <w:rPr>
          <w:rStyle w:val="s1"/>
          <w:rFonts w:ascii="Arial" w:eastAsia="Arial" w:hAnsi="Arial" w:cs="Arial"/>
          <w:b/>
          <w:bCs/>
          <w:color w:val="000000" w:themeColor="text1"/>
        </w:rPr>
      </w:pPr>
      <w:r w:rsidRPr="072869EF">
        <w:rPr>
          <w:rStyle w:val="s1"/>
          <w:rFonts w:ascii="Arial" w:eastAsia="Arial" w:hAnsi="Arial" w:cs="Arial"/>
          <w:b/>
          <w:bCs/>
          <w:color w:val="000000" w:themeColor="text1"/>
        </w:rPr>
        <w:t>Barriers &amp; Limitations</w:t>
      </w:r>
    </w:p>
    <w:p w14:paraId="6D0E12B1" w14:textId="0BF437F8" w:rsidR="35EE01A3" w:rsidRDefault="35EE01A3" w:rsidP="072869EF">
      <w:pPr>
        <w:pStyle w:val="p1"/>
        <w:spacing w:line="360" w:lineRule="auto"/>
        <w:rPr>
          <w:rStyle w:val="s1"/>
          <w:rFonts w:ascii="Arial" w:eastAsia="Arial" w:hAnsi="Arial" w:cs="Arial"/>
          <w:color w:val="000000" w:themeColor="text1"/>
          <w:sz w:val="28"/>
          <w:szCs w:val="28"/>
        </w:rPr>
      </w:pPr>
      <w:r w:rsidRPr="072869EF">
        <w:rPr>
          <w:rStyle w:val="s1"/>
          <w:rFonts w:ascii="Arial" w:eastAsia="Arial" w:hAnsi="Arial" w:cs="Arial"/>
          <w:color w:val="000000" w:themeColor="text1"/>
        </w:rPr>
        <w:t>The main barrier is the current pressure on CAMHS services, which may limit their availability to support early screening initiatives. Schools may also lack staff with confidence to administer structured observations. Additionally, some parents may resist screening due to stigma around diagnoses.</w:t>
      </w:r>
    </w:p>
    <w:p w14:paraId="47CDD055" w14:textId="39C87F06" w:rsidR="35EE01A3" w:rsidRDefault="35EE01A3" w:rsidP="072869EF">
      <w:pPr>
        <w:pStyle w:val="p1"/>
        <w:spacing w:line="360" w:lineRule="auto"/>
        <w:rPr>
          <w:rStyle w:val="s1"/>
          <w:rFonts w:ascii="Arial" w:eastAsia="Arial" w:hAnsi="Arial" w:cs="Arial"/>
          <w:b/>
          <w:bCs/>
          <w:color w:val="000000" w:themeColor="text1"/>
        </w:rPr>
      </w:pPr>
      <w:r w:rsidRPr="072869EF">
        <w:rPr>
          <w:rStyle w:val="s1"/>
          <w:rFonts w:ascii="Arial" w:eastAsia="Arial" w:hAnsi="Arial" w:cs="Arial"/>
          <w:b/>
          <w:bCs/>
          <w:color w:val="000000" w:themeColor="text1"/>
        </w:rPr>
        <w:t>Overcoming Challenges</w:t>
      </w:r>
    </w:p>
    <w:p w14:paraId="1AA9E581" w14:textId="4979827A" w:rsidR="35EE01A3" w:rsidRDefault="35EE01A3" w:rsidP="072869EF">
      <w:pPr>
        <w:pStyle w:val="p1"/>
        <w:spacing w:line="360" w:lineRule="auto"/>
        <w:rPr>
          <w:rStyle w:val="s1"/>
          <w:rFonts w:ascii="Arial" w:eastAsia="Arial" w:hAnsi="Arial" w:cs="Arial"/>
          <w:color w:val="000000" w:themeColor="text1"/>
          <w:sz w:val="28"/>
          <w:szCs w:val="28"/>
        </w:rPr>
      </w:pPr>
      <w:r w:rsidRPr="072869EF">
        <w:rPr>
          <w:rStyle w:val="s1"/>
          <w:rFonts w:ascii="Arial" w:eastAsia="Arial" w:hAnsi="Arial" w:cs="Arial"/>
          <w:color w:val="000000" w:themeColor="text1"/>
        </w:rPr>
        <w:t xml:space="preserve">Barriers can be reduced by using trained SENCOs or </w:t>
      </w:r>
      <w:bookmarkStart w:id="59" w:name="_Int_tIRqWUaY"/>
      <w:r w:rsidRPr="072869EF">
        <w:rPr>
          <w:rStyle w:val="s1"/>
          <w:rFonts w:ascii="Arial" w:eastAsia="Arial" w:hAnsi="Arial" w:cs="Arial"/>
          <w:color w:val="000000" w:themeColor="text1"/>
        </w:rPr>
        <w:t>designated</w:t>
      </w:r>
      <w:bookmarkEnd w:id="59"/>
      <w:r w:rsidRPr="072869EF">
        <w:rPr>
          <w:rStyle w:val="s1"/>
          <w:rFonts w:ascii="Arial" w:eastAsia="Arial" w:hAnsi="Arial" w:cs="Arial"/>
          <w:color w:val="000000" w:themeColor="text1"/>
        </w:rPr>
        <w:t xml:space="preserve"> mental health leads to carry out </w:t>
      </w:r>
      <w:r w:rsidR="175C988C" w:rsidRPr="072869EF">
        <w:rPr>
          <w:rStyle w:val="s1"/>
          <w:rFonts w:ascii="Arial" w:eastAsia="Arial" w:hAnsi="Arial" w:cs="Arial"/>
          <w:color w:val="000000" w:themeColor="text1"/>
        </w:rPr>
        <w:t>first</w:t>
      </w:r>
      <w:r w:rsidRPr="072869EF">
        <w:rPr>
          <w:rStyle w:val="s1"/>
          <w:rFonts w:ascii="Arial" w:eastAsia="Arial" w:hAnsi="Arial" w:cs="Arial"/>
          <w:color w:val="000000" w:themeColor="text1"/>
        </w:rPr>
        <w:t xml:space="preserve"> observations, limiting reliance on external staff. CAMHS involvement can be targeted to moderate/high-risk cases. Parent concerns can be managed through clear communication, emphasising the benefits of early recognition and alignment with statutory rights under the Equality Act (2010). Early screening strengthens identification, reduces inequalities </w:t>
      </w:r>
      <w:bookmarkStart w:id="60" w:name="_Int_2anuVhTm"/>
      <w:r w:rsidRPr="072869EF">
        <w:rPr>
          <w:rStyle w:val="s1"/>
          <w:rFonts w:ascii="Arial" w:eastAsia="Arial" w:hAnsi="Arial" w:cs="Arial"/>
          <w:color w:val="000000" w:themeColor="text1"/>
        </w:rPr>
        <w:t>identified</w:t>
      </w:r>
      <w:bookmarkEnd w:id="60"/>
      <w:r w:rsidRPr="072869EF">
        <w:rPr>
          <w:rStyle w:val="s1"/>
          <w:rFonts w:ascii="Arial" w:eastAsia="Arial" w:hAnsi="Arial" w:cs="Arial"/>
          <w:color w:val="000000" w:themeColor="text1"/>
        </w:rPr>
        <w:t xml:space="preserve"> in Theme 4, and ensures boys receive </w:t>
      </w:r>
      <w:bookmarkStart w:id="61" w:name="_Int_rendf1Vi"/>
      <w:r w:rsidRPr="072869EF">
        <w:rPr>
          <w:rStyle w:val="s1"/>
          <w:rFonts w:ascii="Arial" w:eastAsia="Arial" w:hAnsi="Arial" w:cs="Arial"/>
          <w:color w:val="000000" w:themeColor="text1"/>
        </w:rPr>
        <w:t>timely</w:t>
      </w:r>
      <w:bookmarkEnd w:id="61"/>
      <w:r w:rsidRPr="072869EF">
        <w:rPr>
          <w:rStyle w:val="s1"/>
          <w:rFonts w:ascii="Arial" w:eastAsia="Arial" w:hAnsi="Arial" w:cs="Arial"/>
          <w:color w:val="000000" w:themeColor="text1"/>
        </w:rPr>
        <w:t xml:space="preserve"> support.</w:t>
      </w:r>
    </w:p>
    <w:p w14:paraId="36B83E5C" w14:textId="4961849A" w:rsidR="072869EF" w:rsidRDefault="072869EF" w:rsidP="072869EF">
      <w:pPr>
        <w:pStyle w:val="p1"/>
        <w:spacing w:line="360" w:lineRule="auto"/>
        <w:rPr>
          <w:rStyle w:val="s1"/>
          <w:rFonts w:ascii="Arial" w:eastAsia="Arial" w:hAnsi="Arial" w:cs="Arial"/>
          <w:color w:val="000000" w:themeColor="text1"/>
        </w:rPr>
      </w:pPr>
    </w:p>
    <w:p w14:paraId="6703AB55" w14:textId="65ACE2E9" w:rsidR="35EE01A3" w:rsidRDefault="35EE01A3" w:rsidP="072869EF">
      <w:pPr>
        <w:pStyle w:val="p1"/>
        <w:spacing w:line="360" w:lineRule="auto"/>
        <w:rPr>
          <w:rStyle w:val="s1"/>
          <w:rFonts w:ascii="Arial" w:eastAsia="Arial" w:hAnsi="Arial" w:cs="Arial"/>
          <w:i/>
          <w:iCs/>
          <w:color w:val="000000" w:themeColor="text1"/>
        </w:rPr>
      </w:pPr>
      <w:r w:rsidRPr="072869EF">
        <w:rPr>
          <w:rStyle w:val="s1"/>
          <w:rFonts w:ascii="Arial" w:eastAsia="Arial" w:hAnsi="Arial" w:cs="Arial"/>
          <w:i/>
          <w:iCs/>
          <w:color w:val="000000" w:themeColor="text1"/>
        </w:rPr>
        <w:t>Recommendation 3: Strengthen Multi-Agency Collaboration Through a Local ADHD Support Framewor</w:t>
      </w:r>
      <w:r w:rsidR="774A688F" w:rsidRPr="072869EF">
        <w:rPr>
          <w:rStyle w:val="s1"/>
          <w:rFonts w:ascii="Arial" w:eastAsia="Arial" w:hAnsi="Arial" w:cs="Arial"/>
          <w:i/>
          <w:iCs/>
          <w:color w:val="000000" w:themeColor="text1"/>
        </w:rPr>
        <w:t>k</w:t>
      </w:r>
    </w:p>
    <w:p w14:paraId="7562EECA" w14:textId="4EA51B04" w:rsidR="35EE01A3" w:rsidRDefault="35EE01A3" w:rsidP="072869EF">
      <w:pPr>
        <w:pStyle w:val="p1"/>
        <w:spacing w:line="360" w:lineRule="auto"/>
        <w:rPr>
          <w:rStyle w:val="s1"/>
          <w:rFonts w:ascii="Arial" w:eastAsia="Arial" w:hAnsi="Arial" w:cs="Arial"/>
          <w:color w:val="000000" w:themeColor="text1"/>
          <w:sz w:val="28"/>
          <w:szCs w:val="28"/>
        </w:rPr>
      </w:pPr>
      <w:r w:rsidRPr="072869EF">
        <w:rPr>
          <w:rStyle w:val="s1"/>
          <w:rFonts w:ascii="Arial" w:eastAsia="Arial" w:hAnsi="Arial" w:cs="Arial"/>
          <w:color w:val="000000" w:themeColor="text1"/>
        </w:rPr>
        <w:t>It is recommended that local authorities develop a multi-agency ADHD Support Framework that brings together primary schools, CAMHS, educational psychologists, and family support services. The framework should outline shared responsibilities, clear communication pathways, and coordinated intervention plans.</w:t>
      </w:r>
    </w:p>
    <w:p w14:paraId="5C4F765D" w14:textId="53550351" w:rsidR="35EE01A3" w:rsidRDefault="35EE01A3" w:rsidP="072869EF">
      <w:pPr>
        <w:pStyle w:val="p1"/>
        <w:spacing w:line="360" w:lineRule="auto"/>
        <w:rPr>
          <w:rStyle w:val="s1"/>
          <w:rFonts w:ascii="Arial" w:eastAsia="Arial" w:hAnsi="Arial" w:cs="Arial"/>
          <w:color w:val="000000" w:themeColor="text1"/>
          <w:sz w:val="28"/>
          <w:szCs w:val="28"/>
        </w:rPr>
      </w:pPr>
      <w:r w:rsidRPr="072869EF">
        <w:rPr>
          <w:rStyle w:val="s1"/>
          <w:rFonts w:ascii="Arial" w:eastAsia="Arial" w:hAnsi="Arial" w:cs="Arial"/>
          <w:color w:val="000000" w:themeColor="text1"/>
        </w:rPr>
        <w:t>Justification &amp; Feasibility</w:t>
      </w:r>
    </w:p>
    <w:p w14:paraId="0878AC15" w14:textId="69277FA0" w:rsidR="35EE01A3" w:rsidRDefault="35EE01A3" w:rsidP="072869EF">
      <w:pPr>
        <w:pStyle w:val="p1"/>
        <w:spacing w:line="360" w:lineRule="auto"/>
        <w:rPr>
          <w:rStyle w:val="s1"/>
          <w:rFonts w:ascii="Arial" w:eastAsia="Arial" w:hAnsi="Arial" w:cs="Arial"/>
          <w:color w:val="000000" w:themeColor="text1"/>
          <w:sz w:val="28"/>
          <w:szCs w:val="28"/>
        </w:rPr>
      </w:pPr>
      <w:r w:rsidRPr="072869EF">
        <w:rPr>
          <w:rStyle w:val="s1"/>
          <w:rFonts w:ascii="Arial" w:eastAsia="Arial" w:hAnsi="Arial" w:cs="Arial"/>
          <w:color w:val="000000" w:themeColor="text1"/>
        </w:rPr>
        <w:t xml:space="preserve">Chapter 4 highlighted Theme 3 — multi-agency collaboration — as essential for ensuring continuity of care. Evidence shows that fragmented communication between schools and health services contributes to late diagnosis, inconsistent support, and parental frustration. A formalised local framework aligns with statutory expectations in the SEND Code of Practice (2015), which requires “joint commissioning arrangements” between education, health, and social care. Local authorities already have statutory duties to coordinate EHCP processes, making an ADHD-specific collaboration model </w:t>
      </w:r>
      <w:bookmarkStart w:id="62" w:name="_Int_imfjFZ7I"/>
      <w:r w:rsidRPr="072869EF">
        <w:rPr>
          <w:rStyle w:val="s1"/>
          <w:rFonts w:ascii="Arial" w:eastAsia="Arial" w:hAnsi="Arial" w:cs="Arial"/>
          <w:color w:val="000000" w:themeColor="text1"/>
        </w:rPr>
        <w:t>a feasible</w:t>
      </w:r>
      <w:bookmarkEnd w:id="62"/>
      <w:r w:rsidRPr="072869EF">
        <w:rPr>
          <w:rStyle w:val="s1"/>
          <w:rFonts w:ascii="Arial" w:eastAsia="Arial" w:hAnsi="Arial" w:cs="Arial"/>
          <w:color w:val="000000" w:themeColor="text1"/>
        </w:rPr>
        <w:t xml:space="preserve"> extension. The Children Act (2004) and Working Together to Safeguard Children (2018) further emphasise interagency cooperation, providing legal grounding for implementation.</w:t>
      </w:r>
    </w:p>
    <w:p w14:paraId="0AD8AA78" w14:textId="3588A849" w:rsidR="580E28D7" w:rsidRDefault="580E28D7" w:rsidP="580E28D7">
      <w:pPr>
        <w:pStyle w:val="p1"/>
        <w:spacing w:line="360" w:lineRule="auto"/>
        <w:rPr>
          <w:rStyle w:val="s1"/>
          <w:rFonts w:ascii="Arial" w:eastAsia="Arial" w:hAnsi="Arial" w:cs="Arial"/>
          <w:color w:val="000000" w:themeColor="text1"/>
        </w:rPr>
      </w:pPr>
    </w:p>
    <w:p w14:paraId="28CD16D2" w14:textId="75EC4EAB" w:rsidR="35EE01A3" w:rsidRDefault="35EE01A3" w:rsidP="072869EF">
      <w:pPr>
        <w:pStyle w:val="p1"/>
        <w:spacing w:line="360" w:lineRule="auto"/>
        <w:rPr>
          <w:rStyle w:val="s1"/>
          <w:rFonts w:ascii="Arial" w:eastAsia="Arial" w:hAnsi="Arial" w:cs="Arial"/>
          <w:b/>
          <w:bCs/>
          <w:color w:val="000000" w:themeColor="text1"/>
        </w:rPr>
      </w:pPr>
      <w:r w:rsidRPr="072869EF">
        <w:rPr>
          <w:rStyle w:val="s1"/>
          <w:rFonts w:ascii="Arial" w:eastAsia="Arial" w:hAnsi="Arial" w:cs="Arial"/>
          <w:b/>
          <w:bCs/>
          <w:color w:val="000000" w:themeColor="text1"/>
        </w:rPr>
        <w:t>Barriers &amp; Limitations</w:t>
      </w:r>
    </w:p>
    <w:p w14:paraId="19851E29" w14:textId="152798A7" w:rsidR="35EE01A3" w:rsidRDefault="35EE01A3" w:rsidP="072869EF">
      <w:pPr>
        <w:pStyle w:val="p1"/>
        <w:spacing w:line="360" w:lineRule="auto"/>
        <w:rPr>
          <w:rStyle w:val="s1"/>
          <w:rFonts w:ascii="Arial" w:eastAsia="Arial" w:hAnsi="Arial" w:cs="Arial"/>
          <w:color w:val="000000" w:themeColor="text1"/>
          <w:sz w:val="28"/>
          <w:szCs w:val="28"/>
        </w:rPr>
      </w:pPr>
      <w:r w:rsidRPr="072869EF">
        <w:rPr>
          <w:rStyle w:val="s1"/>
          <w:rFonts w:ascii="Arial" w:eastAsia="Arial" w:hAnsi="Arial" w:cs="Arial"/>
          <w:color w:val="000000" w:themeColor="text1"/>
        </w:rPr>
        <w:t xml:space="preserve">The most significant barrier is variation in local authority resources. Some regions may lack educational psychologists or CAMHS capacity, limiting full collaboration. Additionally, professional boundaries and differing organisational cultures can slow progress. Families in deprived areas may also face </w:t>
      </w:r>
      <w:r w:rsidR="3F17FEC5" w:rsidRPr="072869EF">
        <w:rPr>
          <w:rStyle w:val="s1"/>
          <w:rFonts w:ascii="Arial" w:eastAsia="Arial" w:hAnsi="Arial" w:cs="Arial"/>
          <w:color w:val="000000" w:themeColor="text1"/>
        </w:rPr>
        <w:t>added</w:t>
      </w:r>
      <w:r w:rsidRPr="072869EF">
        <w:rPr>
          <w:rStyle w:val="s1"/>
          <w:rFonts w:ascii="Arial" w:eastAsia="Arial" w:hAnsi="Arial" w:cs="Arial"/>
          <w:color w:val="000000" w:themeColor="text1"/>
        </w:rPr>
        <w:t xml:space="preserve"> engagement challenges.</w:t>
      </w:r>
    </w:p>
    <w:p w14:paraId="3EF50E72" w14:textId="1EBB73A6" w:rsidR="35EE01A3" w:rsidRDefault="35EE01A3" w:rsidP="072869EF">
      <w:pPr>
        <w:pStyle w:val="p1"/>
        <w:spacing w:line="360" w:lineRule="auto"/>
        <w:rPr>
          <w:rStyle w:val="s1"/>
          <w:rFonts w:ascii="Arial" w:eastAsia="Arial" w:hAnsi="Arial" w:cs="Arial"/>
          <w:b/>
          <w:bCs/>
          <w:color w:val="000000" w:themeColor="text1"/>
        </w:rPr>
      </w:pPr>
      <w:r w:rsidRPr="072869EF">
        <w:rPr>
          <w:rStyle w:val="s1"/>
          <w:rFonts w:ascii="Arial" w:eastAsia="Arial" w:hAnsi="Arial" w:cs="Arial"/>
          <w:b/>
          <w:bCs/>
          <w:color w:val="000000" w:themeColor="text1"/>
        </w:rPr>
        <w:t>Overcoming Challenges</w:t>
      </w:r>
    </w:p>
    <w:p w14:paraId="66B60B63" w14:textId="1EFBB8F4" w:rsidR="35EE01A3" w:rsidRDefault="35EE01A3" w:rsidP="072869EF">
      <w:pPr>
        <w:pStyle w:val="p1"/>
        <w:spacing w:line="360" w:lineRule="auto"/>
        <w:rPr>
          <w:rStyle w:val="s1"/>
          <w:rFonts w:ascii="Arial" w:eastAsia="Arial" w:hAnsi="Arial" w:cs="Arial"/>
          <w:color w:val="000000" w:themeColor="text1"/>
          <w:sz w:val="28"/>
          <w:szCs w:val="28"/>
        </w:rPr>
      </w:pPr>
      <w:r w:rsidRPr="072869EF">
        <w:rPr>
          <w:rStyle w:val="s1"/>
          <w:rFonts w:ascii="Arial" w:eastAsia="Arial" w:hAnsi="Arial" w:cs="Arial"/>
          <w:color w:val="000000" w:themeColor="text1"/>
        </w:rPr>
        <w:t xml:space="preserve">These barriers can be addressed by adopting phased </w:t>
      </w:r>
      <w:r w:rsidR="42DC9887" w:rsidRPr="072869EF">
        <w:rPr>
          <w:rStyle w:val="s1"/>
          <w:rFonts w:ascii="Arial" w:eastAsia="Arial" w:hAnsi="Arial" w:cs="Arial"/>
          <w:color w:val="000000" w:themeColor="text1"/>
        </w:rPr>
        <w:t>rollouts</w:t>
      </w:r>
      <w:r w:rsidRPr="072869EF">
        <w:rPr>
          <w:rStyle w:val="s1"/>
          <w:rFonts w:ascii="Arial" w:eastAsia="Arial" w:hAnsi="Arial" w:cs="Arial"/>
          <w:color w:val="000000" w:themeColor="text1"/>
        </w:rPr>
        <w:t xml:space="preserve">, beginning with schools with the highest ADHD prevalence. Local authorities can use digital multi-agency panels to reduce meeting times and improve communication. Joint training sessions can improve professional relationships and reduce role confusion. Support for parents can be strengthened through family workers and digital information hubs. A clear local ADHD framework directly addresses inequalities </w:t>
      </w:r>
      <w:bookmarkStart w:id="63" w:name="_Int_qQ7zceeN"/>
      <w:r w:rsidRPr="072869EF">
        <w:rPr>
          <w:rStyle w:val="s1"/>
          <w:rFonts w:ascii="Arial" w:eastAsia="Arial" w:hAnsi="Arial" w:cs="Arial"/>
          <w:color w:val="000000" w:themeColor="text1"/>
        </w:rPr>
        <w:t>identified</w:t>
      </w:r>
      <w:bookmarkEnd w:id="63"/>
      <w:r w:rsidRPr="072869EF">
        <w:rPr>
          <w:rStyle w:val="s1"/>
          <w:rFonts w:ascii="Arial" w:eastAsia="Arial" w:hAnsi="Arial" w:cs="Arial"/>
          <w:color w:val="000000" w:themeColor="text1"/>
        </w:rPr>
        <w:t xml:space="preserve"> under Theme 4 and enhances continuity of care across services.</w:t>
      </w:r>
    </w:p>
    <w:p w14:paraId="37CBDD70" w14:textId="34A490EE" w:rsidR="072869EF" w:rsidRDefault="072869EF" w:rsidP="072869EF">
      <w:pPr>
        <w:pStyle w:val="p1"/>
        <w:spacing w:line="360" w:lineRule="auto"/>
        <w:rPr>
          <w:rStyle w:val="s1"/>
          <w:rFonts w:ascii="Arial" w:eastAsia="Arial" w:hAnsi="Arial" w:cs="Arial"/>
          <w:color w:val="000000" w:themeColor="text1"/>
        </w:rPr>
      </w:pPr>
    </w:p>
    <w:p w14:paraId="4B3C10D2" w14:textId="4BE7CD72" w:rsidR="35EE01A3" w:rsidRDefault="35EE01A3" w:rsidP="072869EF">
      <w:pPr>
        <w:pStyle w:val="p1"/>
        <w:spacing w:line="360" w:lineRule="auto"/>
        <w:rPr>
          <w:rStyle w:val="s1"/>
          <w:rFonts w:ascii="Arial" w:eastAsia="Arial" w:hAnsi="Arial" w:cs="Arial"/>
          <w:b/>
          <w:bCs/>
          <w:color w:val="000000" w:themeColor="text1"/>
        </w:rPr>
      </w:pPr>
      <w:r w:rsidRPr="072869EF">
        <w:rPr>
          <w:rStyle w:val="s1"/>
          <w:rFonts w:ascii="Arial" w:eastAsia="Arial" w:hAnsi="Arial" w:cs="Arial"/>
          <w:b/>
          <w:bCs/>
          <w:color w:val="000000" w:themeColor="text1"/>
        </w:rPr>
        <w:t>5.3 Conclusion</w:t>
      </w:r>
    </w:p>
    <w:p w14:paraId="67E6C3FA" w14:textId="70D8B004" w:rsidR="35EE01A3" w:rsidRDefault="35EE01A3" w:rsidP="580E28D7">
      <w:pPr>
        <w:pStyle w:val="p1"/>
        <w:spacing w:line="360" w:lineRule="auto"/>
        <w:rPr>
          <w:rStyle w:val="s1"/>
          <w:rFonts w:ascii="Arial" w:eastAsia="Arial" w:hAnsi="Arial" w:cs="Arial"/>
          <w:color w:val="000000" w:themeColor="text1"/>
          <w:sz w:val="28"/>
          <w:szCs w:val="28"/>
        </w:rPr>
      </w:pPr>
      <w:r w:rsidRPr="072869EF">
        <w:rPr>
          <w:rStyle w:val="s1"/>
          <w:rFonts w:ascii="Arial" w:eastAsia="Arial" w:hAnsi="Arial" w:cs="Arial"/>
          <w:color w:val="000000" w:themeColor="text1"/>
        </w:rPr>
        <w:t>This chapter presented three evidence-based recommendations designed to improve early ADHD identification and support for White British boys aged 5–11 in UK primary schools. Each recommendation was grounded in the findings of Chapter 4 and aligned with national policy expectations, including the SEND Code of Practice (2015), Equality Act (2010), NICE Guidelines (2018), and the Children and Families Act (2014). By strengthening teacher knowledge, creating structured early screening pathways, and improving multi-agency collaboration, these recommendations provide realistic and achievable steps for reducing diagnostic delays and supporting children more effectively.</w:t>
      </w:r>
    </w:p>
    <w:p w14:paraId="24768A48" w14:textId="1514E91A" w:rsidR="35EE01A3" w:rsidRDefault="35EE01A3" w:rsidP="072869EF">
      <w:pPr>
        <w:pStyle w:val="p1"/>
        <w:spacing w:line="360" w:lineRule="auto"/>
        <w:rPr>
          <w:rStyle w:val="s1"/>
          <w:rFonts w:ascii="Arial" w:eastAsia="Arial" w:hAnsi="Arial" w:cs="Arial"/>
          <w:color w:val="000000" w:themeColor="text1"/>
        </w:rPr>
      </w:pPr>
      <w:r w:rsidRPr="072869EF">
        <w:rPr>
          <w:rStyle w:val="s1"/>
          <w:rFonts w:ascii="Arial" w:eastAsia="Arial" w:hAnsi="Arial" w:cs="Arial"/>
          <w:color w:val="000000" w:themeColor="text1"/>
        </w:rPr>
        <w:t xml:space="preserve"> While each proposal presents practical challenges — including funding, staff capacity, and systemic inequalities — the solutions offered </w:t>
      </w:r>
      <w:r w:rsidR="5C4B511B" w:rsidRPr="072869EF">
        <w:rPr>
          <w:rStyle w:val="s1"/>
          <w:rFonts w:ascii="Arial" w:eastAsia="Arial" w:hAnsi="Arial" w:cs="Arial"/>
          <w:color w:val="000000" w:themeColor="text1"/>
        </w:rPr>
        <w:t>prove</w:t>
      </w:r>
      <w:r w:rsidRPr="072869EF">
        <w:rPr>
          <w:rStyle w:val="s1"/>
          <w:rFonts w:ascii="Arial" w:eastAsia="Arial" w:hAnsi="Arial" w:cs="Arial"/>
          <w:color w:val="000000" w:themeColor="text1"/>
        </w:rPr>
        <w:t xml:space="preserve"> how these barriers can </w:t>
      </w:r>
      <w:bookmarkStart w:id="64" w:name="_Int_v2Mt8Xax"/>
      <w:r w:rsidRPr="072869EF">
        <w:rPr>
          <w:rStyle w:val="s1"/>
          <w:rFonts w:ascii="Arial" w:eastAsia="Arial" w:hAnsi="Arial" w:cs="Arial"/>
          <w:color w:val="000000" w:themeColor="text1"/>
        </w:rPr>
        <w:t>be mitigated</w:t>
      </w:r>
      <w:bookmarkEnd w:id="64"/>
      <w:r w:rsidRPr="072869EF">
        <w:rPr>
          <w:rStyle w:val="s1"/>
          <w:rFonts w:ascii="Arial" w:eastAsia="Arial" w:hAnsi="Arial" w:cs="Arial"/>
          <w:color w:val="000000" w:themeColor="text1"/>
        </w:rPr>
        <w:t xml:space="preserve"> within real-world settings. Collectively, these recommendations contribute to more </w:t>
      </w:r>
      <w:r w:rsidR="05DEA2D4" w:rsidRPr="072869EF">
        <w:rPr>
          <w:rStyle w:val="s1"/>
          <w:rFonts w:ascii="Arial" w:eastAsia="Arial" w:hAnsi="Arial" w:cs="Arial"/>
          <w:color w:val="000000" w:themeColor="text1"/>
        </w:rPr>
        <w:t>fair</w:t>
      </w:r>
      <w:r w:rsidRPr="072869EF">
        <w:rPr>
          <w:rStyle w:val="s1"/>
          <w:rFonts w:ascii="Arial" w:eastAsia="Arial" w:hAnsi="Arial" w:cs="Arial"/>
          <w:color w:val="000000" w:themeColor="text1"/>
        </w:rPr>
        <w:t xml:space="preserve"> access to assessment, earlier intervention, and improved educational outcomes for children with ADHD, reinforcing the broader aim of promoting inclusive and responsive primary education across the UK.</w:t>
      </w:r>
    </w:p>
    <w:p w14:paraId="1418DC63" w14:textId="4BBD3506" w:rsidR="0061613E" w:rsidRPr="00116CB1" w:rsidRDefault="0061613E" w:rsidP="00162C12">
      <w:pPr>
        <w:pStyle w:val="p1"/>
        <w:spacing w:line="360" w:lineRule="auto"/>
        <w:rPr>
          <w:rFonts w:ascii="Arial" w:hAnsi="Arial" w:cs="Arial"/>
          <w:sz w:val="22"/>
          <w:szCs w:val="22"/>
        </w:rPr>
      </w:pPr>
      <w:r w:rsidRPr="00116CB1">
        <w:rPr>
          <w:rStyle w:val="s1"/>
          <w:rFonts w:ascii="Arial" w:hAnsi="Arial" w:cs="Arial"/>
          <w:sz w:val="22"/>
          <w:szCs w:val="22"/>
        </w:rPr>
        <w:t xml:space="preserve">A further implication </w:t>
      </w:r>
      <w:r w:rsidR="00925577" w:rsidRPr="00116CB1">
        <w:rPr>
          <w:rStyle w:val="s1"/>
          <w:rFonts w:ascii="Arial" w:hAnsi="Arial" w:cs="Arial"/>
          <w:sz w:val="22"/>
          <w:szCs w:val="22"/>
        </w:rPr>
        <w:t>appearing</w:t>
      </w:r>
      <w:r w:rsidRPr="00116CB1">
        <w:rPr>
          <w:rStyle w:val="s1"/>
          <w:rFonts w:ascii="Arial" w:hAnsi="Arial" w:cs="Arial"/>
          <w:sz w:val="22"/>
          <w:szCs w:val="22"/>
        </w:rPr>
        <w:t xml:space="preserve"> from the review is the need for a more consistent national framework that reduces postcode variation. For example, some local authorities, such as Birmingham and Manchester, have introduced structured teacher-led behavioural monitoring tools that </w:t>
      </w:r>
      <w:r w:rsidR="00925577" w:rsidRPr="00116CB1">
        <w:rPr>
          <w:rStyle w:val="s1"/>
          <w:rFonts w:ascii="Arial" w:hAnsi="Arial" w:cs="Arial"/>
          <w:sz w:val="22"/>
          <w:szCs w:val="22"/>
        </w:rPr>
        <w:t>speed up</w:t>
      </w:r>
      <w:r w:rsidRPr="00116CB1">
        <w:rPr>
          <w:rStyle w:val="s1"/>
          <w:rFonts w:ascii="Arial" w:hAnsi="Arial" w:cs="Arial"/>
          <w:sz w:val="22"/>
          <w:szCs w:val="22"/>
        </w:rPr>
        <w:t xml:space="preserve"> referrals by providing CAMHS with clearer evidence at the point of triage. In contrast, other regions rely solely on parental reports and ad-hoc observations, which often prolong assessment times. This disparity illustrates how children with similar needs can experience significantly different diagnostic journeys simply based on where they attend school. A national, standardised early-screening protocol would therefore provide greater fairness and reduce inequality.</w:t>
      </w:r>
    </w:p>
    <w:p w14:paraId="18CB8A20" w14:textId="77777777" w:rsidR="0061613E" w:rsidRPr="00116CB1" w:rsidRDefault="0061613E" w:rsidP="00162C12">
      <w:pPr>
        <w:pStyle w:val="p2"/>
        <w:spacing w:line="360" w:lineRule="auto"/>
        <w:rPr>
          <w:rFonts w:ascii="Arial" w:hAnsi="Arial" w:cs="Arial"/>
          <w:sz w:val="22"/>
          <w:szCs w:val="22"/>
        </w:rPr>
      </w:pPr>
    </w:p>
    <w:p w14:paraId="537E9E07" w14:textId="77777777" w:rsidR="0061613E" w:rsidRPr="00116CB1" w:rsidRDefault="0061613E" w:rsidP="00162C12">
      <w:pPr>
        <w:pStyle w:val="p1"/>
        <w:spacing w:line="360" w:lineRule="auto"/>
        <w:rPr>
          <w:rFonts w:ascii="Arial" w:hAnsi="Arial" w:cs="Arial"/>
          <w:sz w:val="22"/>
          <w:szCs w:val="22"/>
        </w:rPr>
      </w:pPr>
      <w:r w:rsidRPr="00116CB1">
        <w:rPr>
          <w:rStyle w:val="s1"/>
          <w:rFonts w:ascii="Arial" w:hAnsi="Arial" w:cs="Arial"/>
          <w:sz w:val="22"/>
          <w:szCs w:val="22"/>
        </w:rPr>
        <w:t xml:space="preserve">The findings also underscore the importance of adopting a more holistic, family-centred model of support. Research has shown that families </w:t>
      </w:r>
      <w:bookmarkStart w:id="65" w:name="_Int_tFVRXejG"/>
      <w:r w:rsidRPr="00116CB1">
        <w:rPr>
          <w:rStyle w:val="s1"/>
          <w:rFonts w:ascii="Arial" w:hAnsi="Arial" w:cs="Arial"/>
          <w:sz w:val="22"/>
          <w:szCs w:val="22"/>
        </w:rPr>
        <w:t>frequently</w:t>
      </w:r>
      <w:bookmarkEnd w:id="65"/>
      <w:r w:rsidRPr="00116CB1">
        <w:rPr>
          <w:rStyle w:val="s1"/>
          <w:rFonts w:ascii="Arial" w:hAnsi="Arial" w:cs="Arial"/>
          <w:sz w:val="22"/>
          <w:szCs w:val="22"/>
        </w:rPr>
        <w:t xml:space="preserve"> experience frustration during long waits, not only because of delays, but because they often feel excluded from decision-making. For instance, studies documenting parents’ experiences highlight cases where behaviour plans </w:t>
      </w:r>
      <w:bookmarkStart w:id="66" w:name="_Int_yqtmQ1za"/>
      <w:r w:rsidRPr="00116CB1">
        <w:rPr>
          <w:rStyle w:val="s1"/>
          <w:rFonts w:ascii="Arial" w:hAnsi="Arial" w:cs="Arial"/>
          <w:sz w:val="22"/>
          <w:szCs w:val="22"/>
        </w:rPr>
        <w:t>were implemented</w:t>
      </w:r>
      <w:bookmarkEnd w:id="66"/>
      <w:r w:rsidRPr="00116CB1">
        <w:rPr>
          <w:rStyle w:val="s1"/>
          <w:rFonts w:ascii="Arial" w:hAnsi="Arial" w:cs="Arial"/>
          <w:sz w:val="22"/>
          <w:szCs w:val="22"/>
        </w:rPr>
        <w:t xml:space="preserve"> in school without clear explanations or follow-up, leading to inconsistency between home and classroom strategies. Integrating regular parent feedback meetings, shared digital behaviour logs, and clear guidance on home–school collaboration could strengthen trust and continuity of care.</w:t>
      </w:r>
    </w:p>
    <w:p w14:paraId="3B81596C" w14:textId="77777777" w:rsidR="0061613E" w:rsidRPr="00116CB1" w:rsidRDefault="0061613E" w:rsidP="00162C12">
      <w:pPr>
        <w:pStyle w:val="p2"/>
        <w:spacing w:line="360" w:lineRule="auto"/>
        <w:rPr>
          <w:rFonts w:ascii="Arial" w:hAnsi="Arial" w:cs="Arial"/>
          <w:sz w:val="22"/>
          <w:szCs w:val="22"/>
        </w:rPr>
      </w:pPr>
    </w:p>
    <w:p w14:paraId="6C5046C5" w14:textId="4F3F9799" w:rsidR="0061613E" w:rsidRPr="00116CB1" w:rsidRDefault="0061613E" w:rsidP="00162C12">
      <w:pPr>
        <w:pStyle w:val="p1"/>
        <w:spacing w:line="360" w:lineRule="auto"/>
        <w:rPr>
          <w:rFonts w:ascii="Arial" w:hAnsi="Arial" w:cs="Arial"/>
          <w:sz w:val="22"/>
          <w:szCs w:val="22"/>
        </w:rPr>
      </w:pPr>
      <w:r w:rsidRPr="372807E5">
        <w:rPr>
          <w:rStyle w:val="s1"/>
          <w:rFonts w:ascii="Arial" w:hAnsi="Arial" w:cs="Arial"/>
          <w:sz w:val="22"/>
          <w:szCs w:val="22"/>
        </w:rPr>
        <w:t xml:space="preserve">There is also scope for future research to consider the experiences of children themselves, an area that </w:t>
      </w:r>
      <w:bookmarkStart w:id="67" w:name="_Int_8geB1Wnq"/>
      <w:r w:rsidR="00925577" w:rsidRPr="372807E5">
        <w:rPr>
          <w:rStyle w:val="s1"/>
          <w:rFonts w:ascii="Arial" w:hAnsi="Arial" w:cs="Arial"/>
          <w:sz w:val="22"/>
          <w:szCs w:val="22"/>
        </w:rPr>
        <w:t>is still</w:t>
      </w:r>
      <w:r w:rsidRPr="372807E5">
        <w:rPr>
          <w:rStyle w:val="s1"/>
          <w:rFonts w:ascii="Arial" w:hAnsi="Arial" w:cs="Arial"/>
          <w:sz w:val="22"/>
          <w:szCs w:val="22"/>
        </w:rPr>
        <w:t xml:space="preserve"> underrepresented</w:t>
      </w:r>
      <w:bookmarkEnd w:id="67"/>
      <w:r w:rsidRPr="372807E5">
        <w:rPr>
          <w:rStyle w:val="s1"/>
          <w:rFonts w:ascii="Arial" w:hAnsi="Arial" w:cs="Arial"/>
          <w:sz w:val="22"/>
          <w:szCs w:val="22"/>
        </w:rPr>
        <w:t>. While current evidence focuses heavily on teacher and parent perspectives, children’s own accounts of classroom challenges, coping strategies, and stigma could offer valuable insights for designing more inclusive environments. Prioritising child voice would not only strengthen ethical practice but also align with the Children and Families Act’s emphasis on participation and person-centred support.</w:t>
      </w:r>
    </w:p>
    <w:p w14:paraId="5EB7D8CB" w14:textId="77777777" w:rsidR="0061613E" w:rsidRPr="00116CB1" w:rsidRDefault="0061613E" w:rsidP="00162C12">
      <w:pPr>
        <w:pStyle w:val="p2"/>
        <w:spacing w:line="360" w:lineRule="auto"/>
        <w:rPr>
          <w:rFonts w:ascii="Arial" w:hAnsi="Arial" w:cs="Arial"/>
          <w:sz w:val="22"/>
          <w:szCs w:val="22"/>
        </w:rPr>
      </w:pPr>
    </w:p>
    <w:p w14:paraId="4E04CCDF" w14:textId="394A016D" w:rsidR="0061613E" w:rsidRPr="00116CB1" w:rsidRDefault="0061613E" w:rsidP="00162C12">
      <w:pPr>
        <w:pStyle w:val="p1"/>
        <w:spacing w:line="360" w:lineRule="auto"/>
        <w:rPr>
          <w:rFonts w:ascii="Arial" w:hAnsi="Arial" w:cs="Arial"/>
          <w:sz w:val="22"/>
          <w:szCs w:val="22"/>
        </w:rPr>
      </w:pPr>
      <w:r w:rsidRPr="00116CB1">
        <w:rPr>
          <w:rStyle w:val="s1"/>
          <w:rFonts w:ascii="Arial" w:hAnsi="Arial" w:cs="Arial"/>
          <w:sz w:val="22"/>
          <w:szCs w:val="22"/>
        </w:rPr>
        <w:t xml:space="preserve">Overall, these </w:t>
      </w:r>
      <w:r w:rsidR="0068434E" w:rsidRPr="00116CB1">
        <w:rPr>
          <w:rStyle w:val="s1"/>
          <w:rFonts w:ascii="Arial" w:hAnsi="Arial" w:cs="Arial"/>
          <w:sz w:val="22"/>
          <w:szCs w:val="22"/>
        </w:rPr>
        <w:t>added</w:t>
      </w:r>
      <w:r w:rsidRPr="00116CB1">
        <w:rPr>
          <w:rStyle w:val="s1"/>
          <w:rFonts w:ascii="Arial" w:hAnsi="Arial" w:cs="Arial"/>
          <w:sz w:val="22"/>
          <w:szCs w:val="22"/>
        </w:rPr>
        <w:t xml:space="preserve"> considerations highlight the need for reforms that </w:t>
      </w:r>
      <w:bookmarkStart w:id="68" w:name="_Int_xhu1RdVc"/>
      <w:r w:rsidRPr="00116CB1">
        <w:rPr>
          <w:rStyle w:val="s1"/>
          <w:rFonts w:ascii="Arial" w:hAnsi="Arial" w:cs="Arial"/>
          <w:sz w:val="22"/>
          <w:szCs w:val="22"/>
        </w:rPr>
        <w:t>are coordinated</w:t>
      </w:r>
      <w:bookmarkEnd w:id="68"/>
      <w:r w:rsidRPr="00116CB1">
        <w:rPr>
          <w:rStyle w:val="s1"/>
          <w:rFonts w:ascii="Arial" w:hAnsi="Arial" w:cs="Arial"/>
          <w:sz w:val="22"/>
          <w:szCs w:val="22"/>
        </w:rPr>
        <w:t xml:space="preserve">, </w:t>
      </w:r>
      <w:r w:rsidR="0068434E" w:rsidRPr="00116CB1">
        <w:rPr>
          <w:rStyle w:val="s1"/>
          <w:rFonts w:ascii="Arial" w:hAnsi="Arial" w:cs="Arial"/>
          <w:sz w:val="22"/>
          <w:szCs w:val="22"/>
        </w:rPr>
        <w:t>fair</w:t>
      </w:r>
      <w:r w:rsidRPr="00116CB1">
        <w:rPr>
          <w:rStyle w:val="s1"/>
          <w:rFonts w:ascii="Arial" w:hAnsi="Arial" w:cs="Arial"/>
          <w:sz w:val="22"/>
          <w:szCs w:val="22"/>
        </w:rPr>
        <w:t xml:space="preserve"> and informed by real-world experiences across the entire school and family ecosystem.</w:t>
      </w:r>
    </w:p>
    <w:p w14:paraId="7B144F6D" w14:textId="77777777" w:rsidR="0061613E" w:rsidRDefault="0061613E" w:rsidP="072869EF">
      <w:pPr>
        <w:pStyle w:val="p1"/>
        <w:spacing w:line="360" w:lineRule="auto"/>
        <w:rPr>
          <w:rStyle w:val="s1"/>
          <w:rFonts w:ascii="Arial" w:eastAsia="Arial" w:hAnsi="Arial" w:cs="Arial"/>
          <w:color w:val="000000" w:themeColor="text1"/>
          <w:sz w:val="28"/>
          <w:szCs w:val="28"/>
        </w:rPr>
      </w:pPr>
    </w:p>
    <w:p w14:paraId="36B22802" w14:textId="13CEE6D6" w:rsidR="072869EF" w:rsidRDefault="072869EF" w:rsidP="072869EF">
      <w:pPr>
        <w:pStyle w:val="p1"/>
        <w:spacing w:line="360" w:lineRule="auto"/>
        <w:rPr>
          <w:rStyle w:val="s1"/>
          <w:rFonts w:ascii="Arial" w:eastAsia="Arial" w:hAnsi="Arial" w:cs="Arial"/>
          <w:color w:val="000000" w:themeColor="text1"/>
          <w:sz w:val="22"/>
          <w:szCs w:val="22"/>
        </w:rPr>
      </w:pPr>
    </w:p>
    <w:p w14:paraId="41D80A3F" w14:textId="743564A8" w:rsidR="00211184" w:rsidRPr="00FF5B5D" w:rsidRDefault="00211184" w:rsidP="4C72D9C6">
      <w:pPr>
        <w:pStyle w:val="p1"/>
        <w:spacing w:line="360" w:lineRule="auto"/>
        <w:rPr>
          <w:rStyle w:val="s1"/>
          <w:rFonts w:ascii="Arial" w:eastAsia="Arial" w:hAnsi="Arial" w:cs="Arial"/>
          <w:color w:val="000000" w:themeColor="text1"/>
          <w:sz w:val="22"/>
          <w:szCs w:val="22"/>
        </w:rPr>
      </w:pPr>
    </w:p>
    <w:p w14:paraId="6F3157B1" w14:textId="78B60905" w:rsidR="00211184" w:rsidRPr="00FF5B5D" w:rsidRDefault="00211184" w:rsidP="4C72D9C6">
      <w:pPr>
        <w:pStyle w:val="p1"/>
        <w:spacing w:line="360" w:lineRule="auto"/>
        <w:rPr>
          <w:rStyle w:val="s1"/>
          <w:rFonts w:ascii="Arial" w:eastAsia="Arial" w:hAnsi="Arial" w:cs="Arial"/>
          <w:color w:val="000000" w:themeColor="text1"/>
          <w:sz w:val="22"/>
          <w:szCs w:val="22"/>
        </w:rPr>
      </w:pPr>
    </w:p>
    <w:p w14:paraId="1A0C5A2A" w14:textId="0539221B" w:rsidR="00211184" w:rsidRPr="00FF5B5D" w:rsidRDefault="00211184" w:rsidP="4C72D9C6">
      <w:pPr>
        <w:pStyle w:val="p1"/>
        <w:spacing w:line="360" w:lineRule="auto"/>
        <w:rPr>
          <w:rStyle w:val="s1"/>
          <w:rFonts w:ascii="Arial" w:eastAsia="Arial" w:hAnsi="Arial" w:cs="Arial"/>
          <w:color w:val="000000" w:themeColor="text1"/>
          <w:sz w:val="22"/>
          <w:szCs w:val="22"/>
        </w:rPr>
      </w:pPr>
    </w:p>
    <w:p w14:paraId="3C12189D" w14:textId="567B07C3" w:rsidR="00211184" w:rsidRPr="00FF5B5D" w:rsidRDefault="00211184" w:rsidP="4C72D9C6">
      <w:pPr>
        <w:pStyle w:val="p1"/>
        <w:spacing w:line="360" w:lineRule="auto"/>
        <w:rPr>
          <w:rStyle w:val="s1"/>
          <w:rFonts w:ascii="Arial" w:eastAsia="Arial" w:hAnsi="Arial" w:cs="Arial"/>
          <w:color w:val="000000" w:themeColor="text1"/>
          <w:sz w:val="22"/>
          <w:szCs w:val="22"/>
        </w:rPr>
      </w:pPr>
    </w:p>
    <w:p w14:paraId="0EE26682" w14:textId="0B546A4B" w:rsidR="00211184" w:rsidRPr="00FF5B5D" w:rsidRDefault="00211184" w:rsidP="4C72D9C6">
      <w:pPr>
        <w:pStyle w:val="p1"/>
        <w:spacing w:line="360" w:lineRule="auto"/>
        <w:rPr>
          <w:rStyle w:val="s1"/>
          <w:rFonts w:ascii="Arial" w:eastAsia="Arial" w:hAnsi="Arial" w:cs="Arial"/>
          <w:color w:val="000000" w:themeColor="text1"/>
          <w:sz w:val="22"/>
          <w:szCs w:val="22"/>
        </w:rPr>
      </w:pPr>
    </w:p>
    <w:p w14:paraId="24DA8262" w14:textId="54B8B82D" w:rsidR="00211184" w:rsidRPr="00FF5B5D" w:rsidRDefault="00211184" w:rsidP="4C72D9C6">
      <w:pPr>
        <w:pStyle w:val="p1"/>
        <w:spacing w:line="360" w:lineRule="auto"/>
        <w:rPr>
          <w:rStyle w:val="s1"/>
          <w:rFonts w:ascii="Arial" w:eastAsia="Arial" w:hAnsi="Arial" w:cs="Arial"/>
          <w:color w:val="000000" w:themeColor="text1"/>
          <w:sz w:val="22"/>
          <w:szCs w:val="22"/>
        </w:rPr>
      </w:pPr>
    </w:p>
    <w:p w14:paraId="1C27319B" w14:textId="635F7417" w:rsidR="00211184" w:rsidRPr="00FF5B5D" w:rsidRDefault="00211184" w:rsidP="4C72D9C6">
      <w:pPr>
        <w:pStyle w:val="p1"/>
        <w:spacing w:line="360" w:lineRule="auto"/>
        <w:rPr>
          <w:rStyle w:val="s1"/>
          <w:rFonts w:ascii="Arial" w:eastAsia="Arial" w:hAnsi="Arial" w:cs="Arial"/>
          <w:color w:val="000000" w:themeColor="text1"/>
          <w:sz w:val="22"/>
          <w:szCs w:val="22"/>
        </w:rPr>
      </w:pPr>
    </w:p>
    <w:p w14:paraId="5E7859E9" w14:textId="543857F9" w:rsidR="00211184" w:rsidRPr="00FF5B5D" w:rsidRDefault="00211184" w:rsidP="4C72D9C6">
      <w:pPr>
        <w:pStyle w:val="p1"/>
        <w:spacing w:line="360" w:lineRule="auto"/>
        <w:rPr>
          <w:rStyle w:val="s1"/>
          <w:rFonts w:ascii="Arial" w:eastAsia="Arial" w:hAnsi="Arial" w:cs="Arial"/>
          <w:color w:val="000000" w:themeColor="text1"/>
          <w:sz w:val="22"/>
          <w:szCs w:val="22"/>
        </w:rPr>
      </w:pPr>
    </w:p>
    <w:p w14:paraId="02733DD6" w14:textId="54DB519A" w:rsidR="00211184" w:rsidRPr="00FF5B5D" w:rsidRDefault="00211184" w:rsidP="4C72D9C6">
      <w:pPr>
        <w:pStyle w:val="p1"/>
        <w:spacing w:line="360" w:lineRule="auto"/>
        <w:rPr>
          <w:rStyle w:val="s1"/>
          <w:rFonts w:ascii="Arial" w:eastAsia="Arial" w:hAnsi="Arial" w:cs="Arial"/>
          <w:color w:val="000000" w:themeColor="text1"/>
          <w:sz w:val="22"/>
          <w:szCs w:val="22"/>
        </w:rPr>
      </w:pPr>
    </w:p>
    <w:p w14:paraId="3D3F3B28" w14:textId="35DA499F" w:rsidR="00211184" w:rsidRPr="00FF5B5D" w:rsidRDefault="00211184" w:rsidP="4C72D9C6">
      <w:pPr>
        <w:pStyle w:val="Heading1"/>
        <w:spacing w:line="360" w:lineRule="auto"/>
        <w:rPr>
          <w:rFonts w:eastAsia="Arial" w:cs="Arial"/>
          <w:color w:val="000000" w:themeColor="text1"/>
          <w:sz w:val="22"/>
          <w:szCs w:val="22"/>
        </w:rPr>
      </w:pPr>
      <w:r w:rsidRPr="4C72D9C6">
        <w:rPr>
          <w:rFonts w:eastAsia="Arial" w:cs="Arial"/>
          <w:color w:val="000000" w:themeColor="text1"/>
          <w:sz w:val="22"/>
          <w:szCs w:val="22"/>
        </w:rPr>
        <w:t xml:space="preserve">CHAPTER 6 – References and Appendices </w:t>
      </w:r>
    </w:p>
    <w:p w14:paraId="2EE69DD1" w14:textId="77777777" w:rsidR="00211184" w:rsidRPr="00FF5B5D" w:rsidRDefault="00211184" w:rsidP="4C72D9C6">
      <w:pPr>
        <w:rPr>
          <w:rFonts w:ascii="Arial" w:eastAsia="Arial" w:hAnsi="Arial" w:cs="Arial"/>
          <w:color w:val="000000" w:themeColor="text1"/>
        </w:rPr>
      </w:pPr>
    </w:p>
    <w:p w14:paraId="020975DD" w14:textId="16A395E8" w:rsidR="00621776" w:rsidRDefault="00621776" w:rsidP="4C72D9C6">
      <w:pPr>
        <w:pStyle w:val="Heading1"/>
        <w:spacing w:line="360" w:lineRule="auto"/>
        <w:ind w:left="0"/>
        <w:rPr>
          <w:rFonts w:eastAsia="Arial" w:cs="Arial"/>
          <w:color w:val="000000" w:themeColor="text1"/>
          <w:sz w:val="22"/>
          <w:szCs w:val="22"/>
        </w:rPr>
      </w:pPr>
      <w:r w:rsidRPr="4C72D9C6">
        <w:rPr>
          <w:rFonts w:eastAsia="Arial" w:cs="Arial"/>
          <w:color w:val="000000" w:themeColor="text1"/>
          <w:sz w:val="22"/>
          <w:szCs w:val="22"/>
        </w:rPr>
        <w:t xml:space="preserve">6.1 – References </w:t>
      </w:r>
    </w:p>
    <w:p w14:paraId="7DA7C894" w14:textId="77777777" w:rsidR="00C0646D" w:rsidRPr="00FF5B5D" w:rsidRDefault="00C0646D" w:rsidP="4C72D9C6">
      <w:pPr>
        <w:pStyle w:val="Heading1"/>
        <w:spacing w:line="360" w:lineRule="auto"/>
        <w:ind w:left="0"/>
        <w:rPr>
          <w:rFonts w:eastAsia="Arial" w:cs="Arial"/>
          <w:color w:val="000000" w:themeColor="text1"/>
          <w:sz w:val="22"/>
          <w:szCs w:val="22"/>
        </w:rPr>
      </w:pPr>
    </w:p>
    <w:p w14:paraId="19702F99" w14:textId="77777777" w:rsidR="00AA263B" w:rsidRPr="00AA263B" w:rsidRDefault="00AA263B" w:rsidP="4C72D9C6">
      <w:pPr>
        <w:spacing w:before="100" w:beforeAutospacing="1" w:after="100" w:afterAutospacing="1"/>
        <w:jc w:val="left"/>
        <w:outlineLvl w:val="2"/>
        <w:rPr>
          <w:rFonts w:ascii="Arial" w:eastAsia="Arial" w:hAnsi="Arial" w:cs="Arial"/>
          <w:b/>
          <w:bCs/>
          <w:color w:val="000000" w:themeColor="text1"/>
          <w:kern w:val="0"/>
          <w:lang w:eastAsia="en-GB"/>
          <w14:ligatures w14:val="none"/>
        </w:rPr>
      </w:pPr>
      <w:r w:rsidRPr="4C72D9C6">
        <w:rPr>
          <w:rFonts w:ascii="Arial" w:eastAsia="Arial" w:hAnsi="Arial" w:cs="Arial"/>
          <w:b/>
          <w:bCs/>
          <w:color w:val="000000" w:themeColor="text1"/>
          <w:kern w:val="0"/>
          <w:lang w:eastAsia="en-GB"/>
          <w14:ligatures w14:val="none"/>
        </w:rPr>
        <w:t>A</w:t>
      </w:r>
    </w:p>
    <w:p w14:paraId="7FDECCB5"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21602A93"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Akinsola, E. (2022) ‘Teachers’ knowledge of ADHD and its influence on classroom management: A systematic review’, Teaching and Teacher Education, 117, p. 103781. doi: 10.1016/j.tate.2022.103781.</w:t>
      </w:r>
    </w:p>
    <w:p w14:paraId="014E15C2"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2BA56A7A" w14:textId="57368EC3"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 xml:space="preserve">Al Barathie, J., El-Jamal, </w:t>
      </w:r>
      <w:r w:rsidR="22101ABC" w:rsidRPr="4C72D9C6">
        <w:rPr>
          <w:rFonts w:ascii="Arial" w:eastAsia="Arial" w:hAnsi="Arial" w:cs="Arial"/>
          <w:color w:val="000000" w:themeColor="text1"/>
          <w:kern w:val="0"/>
          <w:lang w:eastAsia="en-GB"/>
          <w14:ligatures w14:val="none"/>
        </w:rPr>
        <w:t>M.,</w:t>
      </w:r>
      <w:r w:rsidRPr="4C72D9C6">
        <w:rPr>
          <w:rFonts w:ascii="Arial" w:eastAsia="Arial" w:hAnsi="Arial" w:cs="Arial"/>
          <w:color w:val="000000" w:themeColor="text1"/>
          <w:kern w:val="0"/>
          <w:lang w:eastAsia="en-GB"/>
          <w14:ligatures w14:val="none"/>
        </w:rPr>
        <w:t xml:space="preserve"> and Karam, E.G. (202</w:t>
      </w:r>
      <w:r w:rsidR="00086A80" w:rsidRPr="4C72D9C6">
        <w:rPr>
          <w:rFonts w:ascii="Arial" w:eastAsia="Arial" w:hAnsi="Arial" w:cs="Arial"/>
          <w:color w:val="000000" w:themeColor="text1"/>
          <w:kern w:val="0"/>
          <w:lang w:eastAsia="en-GB"/>
          <w14:ligatures w14:val="none"/>
        </w:rPr>
        <w:t>4</w:t>
      </w:r>
      <w:r w:rsidRPr="4C72D9C6">
        <w:rPr>
          <w:rFonts w:ascii="Arial" w:eastAsia="Arial" w:hAnsi="Arial" w:cs="Arial"/>
          <w:color w:val="000000" w:themeColor="text1"/>
          <w:kern w:val="0"/>
          <w:lang w:eastAsia="en-GB"/>
          <w14:ligatures w14:val="none"/>
        </w:rPr>
        <w:t>) ‘Exploring ADHD through the lens of temperament: The TEMPS-A connection’, Journal of Affective Disorders, 392, Article 120251. doi: 10.1016/j.jad.2025.120251.</w:t>
      </w:r>
    </w:p>
    <w:p w14:paraId="03F28A3D"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0AAE02D1"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American Psychiatric Association (2022) Diagnostic and Statistical Manual of Mental Disorders: DSM-5-TR. Washington, DC: American Psychiatric Publishing.</w:t>
      </w:r>
    </w:p>
    <w:p w14:paraId="50AED40B"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5E099076"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Archibald, L. and Gathercole, S. (2020) ‘Academic difficulties in children with ADHD: The role of working memory’, Journal of Educational Psychology, 112(4), pp. 685–700.</w:t>
      </w:r>
    </w:p>
    <w:p w14:paraId="2FF7D4A9" w14:textId="77777777" w:rsidR="00AA263B" w:rsidRPr="00AA263B" w:rsidRDefault="00AA263B" w:rsidP="4C72D9C6">
      <w:pPr>
        <w:spacing w:after="0"/>
        <w:jc w:val="left"/>
        <w:rPr>
          <w:rFonts w:ascii="Arial" w:eastAsia="Arial" w:hAnsi="Arial" w:cs="Arial"/>
          <w:color w:val="000000" w:themeColor="text1"/>
          <w:kern w:val="0"/>
          <w:lang w:eastAsia="en-GB"/>
          <w14:ligatures w14:val="none"/>
        </w:rPr>
      </w:pPr>
      <w:r>
        <w:rPr>
          <w:noProof/>
        </w:rPr>
        <mc:AlternateContent>
          <mc:Choice Requires="wps">
            <w:drawing>
              <wp:inline distT="0" distB="0" distL="0" distR="0" wp14:anchorId="2B6CD672" wp14:editId="2C3E433A">
                <wp:extent cx="5731510" cy="1270"/>
                <wp:effectExtent l="0" t="31750" r="0" b="36830"/>
                <wp:docPr id="116841360" name="Rectangle 2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xmlns:a14="http://schemas.microsoft.com/office/drawing/2010/main" xmlns:pic="http://schemas.openxmlformats.org/drawingml/2006/picture" xmlns:a="http://schemas.openxmlformats.org/drawingml/2006/main"/>
        </mc:AlternateContent>
      </w:r>
    </w:p>
    <w:p w14:paraId="51A63069" w14:textId="77777777" w:rsidR="00AA263B" w:rsidRPr="00AA263B" w:rsidRDefault="00AA263B" w:rsidP="4C72D9C6">
      <w:pPr>
        <w:spacing w:before="100" w:beforeAutospacing="1" w:after="100" w:afterAutospacing="1"/>
        <w:jc w:val="left"/>
        <w:outlineLvl w:val="2"/>
        <w:rPr>
          <w:rFonts w:ascii="Arial" w:eastAsia="Arial" w:hAnsi="Arial" w:cs="Arial"/>
          <w:b/>
          <w:bCs/>
          <w:color w:val="000000" w:themeColor="text1"/>
          <w:kern w:val="0"/>
          <w:lang w:eastAsia="en-GB"/>
          <w14:ligatures w14:val="none"/>
        </w:rPr>
      </w:pPr>
      <w:r w:rsidRPr="4C72D9C6">
        <w:rPr>
          <w:rFonts w:ascii="Arial" w:eastAsia="Arial" w:hAnsi="Arial" w:cs="Arial"/>
          <w:b/>
          <w:bCs/>
          <w:color w:val="000000" w:themeColor="text1"/>
          <w:kern w:val="0"/>
          <w:lang w:eastAsia="en-GB"/>
          <w14:ligatures w14:val="none"/>
        </w:rPr>
        <w:t>B</w:t>
      </w:r>
    </w:p>
    <w:p w14:paraId="6F9BFDE4"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4E67F42F"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Bertelsen, T.B. and Håland, Å.T. (2025) ‘A replication study to evaluate parental internalising symptoms as predictors of anxiety symptoms’, Cogent Psychology, 12(1). doi: 10.1080/23311908.2025.2466935.</w:t>
      </w:r>
    </w:p>
    <w:p w14:paraId="050F9F8C"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436863A0"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Bowlby, J. (1969) Attachment and Loss: Vol 1. Attachment. New York: Basic Books.</w:t>
      </w:r>
    </w:p>
    <w:p w14:paraId="16C2B995"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47565568" w14:textId="2810CA75"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 xml:space="preserve">Braun, </w:t>
      </w:r>
      <w:r w:rsidR="2D1BE3C8" w:rsidRPr="4C72D9C6">
        <w:rPr>
          <w:rFonts w:ascii="Arial" w:eastAsia="Arial" w:hAnsi="Arial" w:cs="Arial"/>
          <w:color w:val="000000" w:themeColor="text1"/>
          <w:kern w:val="0"/>
          <w:lang w:eastAsia="en-GB"/>
          <w14:ligatures w14:val="none"/>
        </w:rPr>
        <w:t>V.,</w:t>
      </w:r>
      <w:r w:rsidRPr="4C72D9C6">
        <w:rPr>
          <w:rFonts w:ascii="Arial" w:eastAsia="Arial" w:hAnsi="Arial" w:cs="Arial"/>
          <w:color w:val="000000" w:themeColor="text1"/>
          <w:kern w:val="0"/>
          <w:lang w:eastAsia="en-GB"/>
          <w14:ligatures w14:val="none"/>
        </w:rPr>
        <w:t xml:space="preserve"> and Clarke, V. (2006) ‘Using thematic analysis in psychology’, Qualitative Research in Psychology, 3(2), pp. 77–101.</w:t>
      </w:r>
    </w:p>
    <w:p w14:paraId="56174D2C"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56F87B62"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Bronfenbrenner, U. (1979) The Ecology of Human Development. Cambridge, MA: Harvard University Press.</w:t>
      </w:r>
    </w:p>
    <w:p w14:paraId="15A235BF" w14:textId="77777777" w:rsidR="00AA263B" w:rsidRPr="00AA263B" w:rsidRDefault="00AA263B" w:rsidP="4C72D9C6">
      <w:pPr>
        <w:spacing w:after="0"/>
        <w:jc w:val="left"/>
        <w:rPr>
          <w:rFonts w:ascii="Arial" w:eastAsia="Arial" w:hAnsi="Arial" w:cs="Arial"/>
          <w:color w:val="000000" w:themeColor="text1"/>
          <w:kern w:val="0"/>
          <w:lang w:eastAsia="en-GB"/>
          <w14:ligatures w14:val="none"/>
        </w:rPr>
      </w:pPr>
      <w:r>
        <w:rPr>
          <w:noProof/>
        </w:rPr>
        <mc:AlternateContent>
          <mc:Choice Requires="wps">
            <w:drawing>
              <wp:inline distT="0" distB="0" distL="0" distR="0" wp14:anchorId="00C320BB" wp14:editId="705A2A19">
                <wp:extent cx="5731510" cy="1270"/>
                <wp:effectExtent l="0" t="31750" r="0" b="36830"/>
                <wp:docPr id="1923336609" name="Rectangle 1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xmlns:a14="http://schemas.microsoft.com/office/drawing/2010/main" xmlns:pic="http://schemas.openxmlformats.org/drawingml/2006/picture" xmlns:a="http://schemas.openxmlformats.org/drawingml/2006/main"/>
        </mc:AlternateContent>
      </w:r>
    </w:p>
    <w:p w14:paraId="0AF49D62" w14:textId="77777777" w:rsidR="00AA263B" w:rsidRPr="00AA263B" w:rsidRDefault="00AA263B" w:rsidP="4C72D9C6">
      <w:pPr>
        <w:spacing w:before="100" w:beforeAutospacing="1" w:after="100" w:afterAutospacing="1"/>
        <w:jc w:val="left"/>
        <w:outlineLvl w:val="2"/>
        <w:rPr>
          <w:rFonts w:ascii="Arial" w:eastAsia="Arial" w:hAnsi="Arial" w:cs="Arial"/>
          <w:b/>
          <w:bCs/>
          <w:color w:val="000000" w:themeColor="text1"/>
          <w:kern w:val="0"/>
          <w:lang w:eastAsia="en-GB"/>
          <w14:ligatures w14:val="none"/>
        </w:rPr>
      </w:pPr>
      <w:r w:rsidRPr="4C72D9C6">
        <w:rPr>
          <w:rFonts w:ascii="Arial" w:eastAsia="Arial" w:hAnsi="Arial" w:cs="Arial"/>
          <w:b/>
          <w:bCs/>
          <w:color w:val="000000" w:themeColor="text1"/>
          <w:kern w:val="0"/>
          <w:lang w:eastAsia="en-GB"/>
          <w14:ligatures w14:val="none"/>
        </w:rPr>
        <w:t>C</w:t>
      </w:r>
    </w:p>
    <w:p w14:paraId="65466688"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58D85682"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Centers for Disease Control and Prevention (CDC) (2024) Data and statistics on ADHD. Available at: https://www.cdc.gov/adhd/data/ (Accessed 10 October 2025).</w:t>
      </w:r>
    </w:p>
    <w:p w14:paraId="7E7B90AA"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6569C8FC"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Children’s Commissioner (2023) The State of Children’s Mental Health Services. London: Children’s Commissioner for England.</w:t>
      </w:r>
    </w:p>
    <w:p w14:paraId="265055B9"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72F55C71"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Children’s Commissioner for England (2023) Voices of England’s Missing Children: Annual Report. London: Children’s Commissioner.</w:t>
      </w:r>
    </w:p>
    <w:p w14:paraId="49E84AC5"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6F893ACF"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Cicchetti, D. (2016) ‘Developmental psychopathology’, Development and Psychopathology, 28(4), pp. 1–10.</w:t>
      </w:r>
    </w:p>
    <w:p w14:paraId="7EA20FD5"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2A464927"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Cicchetti, D. and Rogosch, F.A. (2002) ‘A developmental psychopathology perspective on ADHD’, Journal of Consulting and Clinical Psychology, 70(1), pp. 3–16.</w:t>
      </w:r>
    </w:p>
    <w:p w14:paraId="657130DC"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426C6401"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Cooper, P. (2001) ‘Understanding AD/HD’, Children &amp; Society, 15(5), pp. 387–395.</w:t>
      </w:r>
    </w:p>
    <w:p w14:paraId="53454C69"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24912E04" w14:textId="550E7DF2"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 xml:space="preserve">Cooper, P. (2021) ADHD, </w:t>
      </w:r>
      <w:r w:rsidR="6336D0D9" w:rsidRPr="4C72D9C6">
        <w:rPr>
          <w:rFonts w:ascii="Arial" w:eastAsia="Arial" w:hAnsi="Arial" w:cs="Arial"/>
          <w:color w:val="000000" w:themeColor="text1"/>
          <w:kern w:val="0"/>
          <w:lang w:eastAsia="en-GB"/>
          <w14:ligatures w14:val="none"/>
        </w:rPr>
        <w:t>Schools,</w:t>
      </w:r>
      <w:r w:rsidRPr="4C72D9C6">
        <w:rPr>
          <w:rFonts w:ascii="Arial" w:eastAsia="Arial" w:hAnsi="Arial" w:cs="Arial"/>
          <w:color w:val="000000" w:themeColor="text1"/>
          <w:kern w:val="0"/>
          <w:lang w:eastAsia="en-GB"/>
          <w14:ligatures w14:val="none"/>
        </w:rPr>
        <w:t xml:space="preserve"> and Behaviour Management. London: Routledge.</w:t>
      </w:r>
    </w:p>
    <w:p w14:paraId="709F0912"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202BEB88"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Cortese, S. et al. (2023) ‘Attention-Deficit/Hyperactivity Disorder’, The Lancet, 402(10399), pp. 1599–1612.</w:t>
      </w:r>
    </w:p>
    <w:p w14:paraId="4FF77AC6" w14:textId="558C9A3C" w:rsidR="00AA263B" w:rsidRPr="00AA263B" w:rsidRDefault="00AA263B" w:rsidP="4C72D9C6">
      <w:pPr>
        <w:spacing w:after="0"/>
        <w:jc w:val="left"/>
        <w:rPr>
          <w:rFonts w:ascii="Arial" w:eastAsia="Arial" w:hAnsi="Arial" w:cs="Arial"/>
          <w:color w:val="000000" w:themeColor="text1"/>
          <w:kern w:val="0"/>
          <w:lang w:eastAsia="en-GB"/>
          <w14:ligatures w14:val="none"/>
        </w:rPr>
      </w:pPr>
    </w:p>
    <w:p w14:paraId="642DEAE0" w14:textId="77777777" w:rsidR="00AA263B" w:rsidRPr="00AA263B" w:rsidRDefault="00AA263B" w:rsidP="4C72D9C6">
      <w:pPr>
        <w:spacing w:before="100" w:beforeAutospacing="1" w:after="100" w:afterAutospacing="1"/>
        <w:jc w:val="left"/>
        <w:outlineLvl w:val="2"/>
        <w:rPr>
          <w:rFonts w:ascii="Arial" w:eastAsia="Arial" w:hAnsi="Arial" w:cs="Arial"/>
          <w:b/>
          <w:bCs/>
          <w:color w:val="000000" w:themeColor="text1"/>
          <w:kern w:val="0"/>
          <w:lang w:eastAsia="en-GB"/>
          <w14:ligatures w14:val="none"/>
        </w:rPr>
      </w:pPr>
      <w:r w:rsidRPr="4C72D9C6">
        <w:rPr>
          <w:rFonts w:ascii="Arial" w:eastAsia="Arial" w:hAnsi="Arial" w:cs="Arial"/>
          <w:b/>
          <w:bCs/>
          <w:color w:val="000000" w:themeColor="text1"/>
          <w:kern w:val="0"/>
          <w:lang w:eastAsia="en-GB"/>
          <w14:ligatures w14:val="none"/>
        </w:rPr>
        <w:t>D</w:t>
      </w:r>
    </w:p>
    <w:p w14:paraId="50987142"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033DE1AC"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Department for Education (2014) Children and Families Act 2014. London: The Stationery Office.</w:t>
      </w:r>
    </w:p>
    <w:p w14:paraId="78073E26"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66C645A1" w14:textId="64C74DE3" w:rsidR="00AA263B" w:rsidRPr="00AA263B" w:rsidRDefault="00AA263B" w:rsidP="4C72D9C6">
      <w:pPr>
        <w:spacing w:before="100" w:beforeAutospacing="1" w:after="100" w:afterAutospacing="1"/>
        <w:jc w:val="left"/>
        <w:rPr>
          <w:rFonts w:ascii="Arial" w:eastAsia="Arial" w:hAnsi="Arial" w:cs="Arial"/>
          <w:color w:val="000000" w:themeColor="text1"/>
          <w:lang w:eastAsia="en-GB"/>
        </w:rPr>
      </w:pPr>
      <w:r w:rsidRPr="4C72D9C6">
        <w:rPr>
          <w:rFonts w:ascii="Arial" w:eastAsia="Arial" w:hAnsi="Arial" w:cs="Arial"/>
          <w:color w:val="000000" w:themeColor="text1"/>
          <w:kern w:val="0"/>
          <w:lang w:eastAsia="en-GB"/>
          <w14:ligatures w14:val="none"/>
        </w:rPr>
        <w:t>Department for Education (DfE) (2023) SEND and Alternative Provision Improvement Plan. London: HMSO.</w:t>
      </w:r>
    </w:p>
    <w:p w14:paraId="14E1ACF6" w14:textId="10CA3511" w:rsidR="00AA263B" w:rsidRPr="00AA263B" w:rsidRDefault="00AA263B" w:rsidP="4C72D9C6">
      <w:pPr>
        <w:spacing w:before="100" w:beforeAutospacing="1" w:after="100" w:afterAutospacing="1"/>
        <w:jc w:val="left"/>
        <w:rPr>
          <w:rFonts w:ascii="Arial" w:eastAsia="Arial" w:hAnsi="Arial" w:cs="Arial"/>
          <w:color w:val="000000" w:themeColor="text1"/>
          <w:lang w:eastAsia="en-GB"/>
        </w:rPr>
      </w:pPr>
    </w:p>
    <w:p w14:paraId="133044C4" w14:textId="48447018" w:rsidR="00AA263B" w:rsidRPr="00AA263B" w:rsidRDefault="00AA263B" w:rsidP="546AC345">
      <w:pPr>
        <w:spacing w:before="100" w:beforeAutospacing="1" w:after="100" w:afterAutospacing="1"/>
        <w:jc w:val="left"/>
        <w:rPr>
          <w:rFonts w:ascii="Arial" w:eastAsia="Arial" w:hAnsi="Arial" w:cs="Arial"/>
          <w:color w:val="000000" w:themeColor="text1"/>
          <w:lang w:eastAsia="en-GB"/>
        </w:rPr>
      </w:pPr>
    </w:p>
    <w:p w14:paraId="66112A4B" w14:textId="73DB3AF5"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Department for Education and Department of Health and Social Care (DfE &amp; DHSC) (2015) Special Educational Needs and Disability (SEND) Code of Practice: 0–25 years. London: DfE and DHSC.</w:t>
      </w:r>
    </w:p>
    <w:p w14:paraId="3B907D80"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312B73D0"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Department of Health and Social Care &amp; Department for Education (2017) Transforming Children and Young People’s Mental Health Provision: Green Paper. London: DHSC.</w:t>
      </w:r>
    </w:p>
    <w:p w14:paraId="6B06C402" w14:textId="7AAB485E" w:rsidR="00AA263B" w:rsidRPr="00AA263B" w:rsidRDefault="00AA263B" w:rsidP="4C72D9C6">
      <w:pPr>
        <w:spacing w:after="0"/>
        <w:jc w:val="left"/>
        <w:rPr>
          <w:rFonts w:ascii="Arial" w:eastAsia="Arial" w:hAnsi="Arial" w:cs="Arial"/>
          <w:color w:val="000000" w:themeColor="text1"/>
          <w:kern w:val="0"/>
          <w:lang w:eastAsia="en-GB"/>
          <w14:ligatures w14:val="none"/>
        </w:rPr>
      </w:pPr>
    </w:p>
    <w:p w14:paraId="7D9A6B92" w14:textId="77777777" w:rsidR="00AA263B" w:rsidRPr="00AA263B" w:rsidRDefault="00AA263B" w:rsidP="4C72D9C6">
      <w:pPr>
        <w:spacing w:before="100" w:beforeAutospacing="1" w:after="100" w:afterAutospacing="1"/>
        <w:jc w:val="left"/>
        <w:outlineLvl w:val="2"/>
        <w:rPr>
          <w:rFonts w:ascii="Arial" w:eastAsia="Arial" w:hAnsi="Arial" w:cs="Arial"/>
          <w:b/>
          <w:bCs/>
          <w:color w:val="000000" w:themeColor="text1"/>
          <w:kern w:val="0"/>
          <w:lang w:eastAsia="en-GB"/>
          <w14:ligatures w14:val="none"/>
        </w:rPr>
      </w:pPr>
      <w:r w:rsidRPr="4C72D9C6">
        <w:rPr>
          <w:rFonts w:ascii="Arial" w:eastAsia="Arial" w:hAnsi="Arial" w:cs="Arial"/>
          <w:b/>
          <w:bCs/>
          <w:color w:val="000000" w:themeColor="text1"/>
          <w:kern w:val="0"/>
          <w:lang w:eastAsia="en-GB"/>
          <w14:ligatures w14:val="none"/>
        </w:rPr>
        <w:t>E</w:t>
      </w:r>
    </w:p>
    <w:p w14:paraId="281DC0FE"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18819AFB"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Engel, G.L. (1977) ‘The need for a new medical model’, Science, 196(4286), pp. 129–136.</w:t>
      </w:r>
    </w:p>
    <w:p w14:paraId="3F234655"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474DF8BB"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Equality and Human Rights Commission (2022) The Equality Act 2010: Guidance on disability definition. London: EHRC.</w:t>
      </w:r>
    </w:p>
    <w:p w14:paraId="154BED36"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1CD7EAD7"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Equality and Human Rights Commission (2023) Technical Guidance for Schools: Equality Act 2010. London: EHRC.</w:t>
      </w:r>
    </w:p>
    <w:p w14:paraId="2258F2C1" w14:textId="260721E0" w:rsidR="00AA263B" w:rsidRPr="00AA263B" w:rsidRDefault="00AA263B" w:rsidP="4C72D9C6">
      <w:pPr>
        <w:spacing w:after="0"/>
        <w:jc w:val="left"/>
        <w:rPr>
          <w:rFonts w:ascii="Arial" w:eastAsia="Arial" w:hAnsi="Arial" w:cs="Arial"/>
          <w:color w:val="000000" w:themeColor="text1"/>
          <w:kern w:val="0"/>
          <w:lang w:eastAsia="en-GB"/>
          <w14:ligatures w14:val="none"/>
        </w:rPr>
      </w:pPr>
    </w:p>
    <w:p w14:paraId="496595E1" w14:textId="77777777" w:rsidR="00AA263B" w:rsidRPr="00AA263B" w:rsidRDefault="00AA263B" w:rsidP="4C72D9C6">
      <w:pPr>
        <w:spacing w:before="100" w:beforeAutospacing="1" w:after="100" w:afterAutospacing="1"/>
        <w:jc w:val="left"/>
        <w:outlineLvl w:val="2"/>
        <w:rPr>
          <w:rFonts w:ascii="Arial" w:eastAsia="Arial" w:hAnsi="Arial" w:cs="Arial"/>
          <w:b/>
          <w:bCs/>
          <w:color w:val="000000" w:themeColor="text1"/>
          <w:kern w:val="0"/>
          <w:lang w:eastAsia="en-GB"/>
          <w14:ligatures w14:val="none"/>
        </w:rPr>
      </w:pPr>
      <w:r w:rsidRPr="4C72D9C6">
        <w:rPr>
          <w:rFonts w:ascii="Arial" w:eastAsia="Arial" w:hAnsi="Arial" w:cs="Arial"/>
          <w:b/>
          <w:bCs/>
          <w:color w:val="000000" w:themeColor="text1"/>
          <w:kern w:val="0"/>
          <w:lang w:eastAsia="en-GB"/>
          <w14:ligatures w14:val="none"/>
        </w:rPr>
        <w:t>F</w:t>
      </w:r>
    </w:p>
    <w:p w14:paraId="5933A251"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2CE6E581"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Faraone, S.V. et al. (2021) ‘The World Federation of ADHD International Consensus Statement’, Neuroscience &amp; Biobehavioural Reviews, 128, pp. 789–818.</w:t>
      </w:r>
    </w:p>
    <w:p w14:paraId="30FF44CE"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4BFF5C7D"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Fleming, M. et al. (2020) ‘Educational and health outcomes of children with ADHD’, BMC Medicine, 18(1), pp. 1–15.</w:t>
      </w:r>
    </w:p>
    <w:p w14:paraId="1E8C1675"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7F464152" w14:textId="284A9D9A"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 xml:space="preserve">Fleming, M., Fitton, C.A., Steiner, M.F.C. et al. (2020) ‘ADHD and educational attainment’, Child: Care, </w:t>
      </w:r>
      <w:r w:rsidR="311E33C9" w:rsidRPr="4C72D9C6">
        <w:rPr>
          <w:rFonts w:ascii="Arial" w:eastAsia="Arial" w:hAnsi="Arial" w:cs="Arial"/>
          <w:color w:val="000000" w:themeColor="text1"/>
          <w:kern w:val="0"/>
          <w:lang w:eastAsia="en-GB"/>
          <w14:ligatures w14:val="none"/>
        </w:rPr>
        <w:t>Health,</w:t>
      </w:r>
      <w:r w:rsidRPr="4C72D9C6">
        <w:rPr>
          <w:rFonts w:ascii="Arial" w:eastAsia="Arial" w:hAnsi="Arial" w:cs="Arial"/>
          <w:color w:val="000000" w:themeColor="text1"/>
          <w:kern w:val="0"/>
          <w:lang w:eastAsia="en-GB"/>
          <w14:ligatures w14:val="none"/>
        </w:rPr>
        <w:t xml:space="preserve"> and Development, 46(4), pp. 460–469.</w:t>
      </w:r>
    </w:p>
    <w:p w14:paraId="4544D72E"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7CFFEB3B"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Ford, T. et al. (2021) ‘Teacher training and early ADHD identification’, British Journal of Educational Psychology, 91(3), pp. 1202–1219.</w:t>
      </w:r>
    </w:p>
    <w:p w14:paraId="00F02961"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187013C8"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Ford, T., Hayes, R., Byford, S. et al. (2021) ‘Responding to ADHD: A nationwide investigation’, British Journal of Educational Psychology, 91(3), pp. 1023–1042.</w:t>
      </w:r>
    </w:p>
    <w:p w14:paraId="1EB39336" w14:textId="77777777" w:rsidR="00AA263B" w:rsidRPr="00AA263B" w:rsidRDefault="00AA263B" w:rsidP="4C72D9C6">
      <w:pPr>
        <w:spacing w:after="0"/>
        <w:jc w:val="left"/>
        <w:rPr>
          <w:rFonts w:ascii="Arial" w:eastAsia="Arial" w:hAnsi="Arial" w:cs="Arial"/>
          <w:color w:val="000000" w:themeColor="text1"/>
          <w:kern w:val="0"/>
          <w:lang w:eastAsia="en-GB"/>
          <w14:ligatures w14:val="none"/>
        </w:rPr>
      </w:pPr>
      <w:r>
        <w:rPr>
          <w:noProof/>
        </w:rPr>
        <mc:AlternateContent>
          <mc:Choice Requires="wps">
            <w:drawing>
              <wp:inline distT="0" distB="0" distL="0" distR="0" wp14:anchorId="4C3CD615" wp14:editId="1B020AD6">
                <wp:extent cx="5731510" cy="1270"/>
                <wp:effectExtent l="0" t="31750" r="0" b="36830"/>
                <wp:docPr id="1432148752" name="Rectangle 1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xmlns:a14="http://schemas.microsoft.com/office/drawing/2010/main" xmlns:pic="http://schemas.openxmlformats.org/drawingml/2006/picture" xmlns:a="http://schemas.openxmlformats.org/drawingml/2006/main"/>
        </mc:AlternateContent>
      </w:r>
    </w:p>
    <w:p w14:paraId="6A233C65" w14:textId="77777777" w:rsidR="00AA263B" w:rsidRPr="00AA263B" w:rsidRDefault="00AA263B" w:rsidP="4C72D9C6">
      <w:pPr>
        <w:spacing w:before="100" w:beforeAutospacing="1" w:after="100" w:afterAutospacing="1"/>
        <w:jc w:val="left"/>
        <w:outlineLvl w:val="2"/>
        <w:rPr>
          <w:rFonts w:ascii="Arial" w:eastAsia="Arial" w:hAnsi="Arial" w:cs="Arial"/>
          <w:b/>
          <w:bCs/>
          <w:color w:val="000000" w:themeColor="text1"/>
          <w:kern w:val="0"/>
          <w:lang w:eastAsia="en-GB"/>
          <w14:ligatures w14:val="none"/>
        </w:rPr>
      </w:pPr>
      <w:r w:rsidRPr="4C72D9C6">
        <w:rPr>
          <w:rFonts w:ascii="Arial" w:eastAsia="Arial" w:hAnsi="Arial" w:cs="Arial"/>
          <w:b/>
          <w:bCs/>
          <w:color w:val="000000" w:themeColor="text1"/>
          <w:kern w:val="0"/>
          <w:lang w:eastAsia="en-GB"/>
          <w14:ligatures w14:val="none"/>
        </w:rPr>
        <w:t>G</w:t>
      </w:r>
    </w:p>
    <w:p w14:paraId="64D0D29B"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3A2C79B9" w14:textId="2DB2B51F"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 xml:space="preserve">Gomez, R., Hunt, </w:t>
      </w:r>
      <w:r w:rsidR="13A72E64" w:rsidRPr="4C72D9C6">
        <w:rPr>
          <w:rFonts w:ascii="Arial" w:eastAsia="Arial" w:hAnsi="Arial" w:cs="Arial"/>
          <w:color w:val="000000" w:themeColor="text1"/>
          <w:kern w:val="0"/>
          <w:lang w:eastAsia="en-GB"/>
          <w14:ligatures w14:val="none"/>
        </w:rPr>
        <w:t>B.,</w:t>
      </w:r>
      <w:r w:rsidRPr="4C72D9C6">
        <w:rPr>
          <w:rFonts w:ascii="Arial" w:eastAsia="Arial" w:hAnsi="Arial" w:cs="Arial"/>
          <w:color w:val="000000" w:themeColor="text1"/>
          <w:kern w:val="0"/>
          <w:lang w:eastAsia="en-GB"/>
          <w14:ligatures w14:val="none"/>
        </w:rPr>
        <w:t xml:space="preserve"> and Conkey-Morrison, C. (2025) ‘Incremental validity of impulsivity in predicting ADHD symptoms’, Journal of Psychopathology and </w:t>
      </w:r>
      <w:r w:rsidR="21F0904A" w:rsidRPr="4C72D9C6">
        <w:rPr>
          <w:rFonts w:ascii="Arial" w:eastAsia="Arial" w:hAnsi="Arial" w:cs="Arial"/>
          <w:color w:val="000000" w:themeColor="text1"/>
          <w:kern w:val="0"/>
          <w:lang w:eastAsia="en-GB"/>
          <w14:ligatures w14:val="none"/>
        </w:rPr>
        <w:t>Behavioural</w:t>
      </w:r>
      <w:r w:rsidRPr="4C72D9C6">
        <w:rPr>
          <w:rFonts w:ascii="Arial" w:eastAsia="Arial" w:hAnsi="Arial" w:cs="Arial"/>
          <w:color w:val="000000" w:themeColor="text1"/>
          <w:kern w:val="0"/>
          <w:lang w:eastAsia="en-GB"/>
          <w14:ligatures w14:val="none"/>
        </w:rPr>
        <w:t xml:space="preserve"> Assessment, 47, Article 72.</w:t>
      </w:r>
    </w:p>
    <w:p w14:paraId="574679E2"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45BEBE79"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Guo, X. et al. (2024) ‘Stigma and ADHD diagnosis’, Journal of Child Psychology and Psychiatry, 65(2), pp. 145–158.</w:t>
      </w:r>
    </w:p>
    <w:p w14:paraId="419E0CF6" w14:textId="64DA4E9F" w:rsidR="00AA263B" w:rsidRPr="00AA263B" w:rsidRDefault="00AA263B" w:rsidP="4C72D9C6">
      <w:pPr>
        <w:spacing w:after="0"/>
        <w:jc w:val="left"/>
        <w:rPr>
          <w:rFonts w:ascii="Arial" w:eastAsia="Arial" w:hAnsi="Arial" w:cs="Arial"/>
          <w:color w:val="000000" w:themeColor="text1"/>
          <w:kern w:val="0"/>
          <w:lang w:eastAsia="en-GB"/>
          <w14:ligatures w14:val="none"/>
        </w:rPr>
      </w:pPr>
    </w:p>
    <w:p w14:paraId="67640D82" w14:textId="77777777" w:rsidR="00AA263B" w:rsidRPr="00AA263B" w:rsidRDefault="00AA263B" w:rsidP="4C72D9C6">
      <w:pPr>
        <w:spacing w:before="100" w:beforeAutospacing="1" w:after="100" w:afterAutospacing="1"/>
        <w:jc w:val="left"/>
        <w:outlineLvl w:val="2"/>
        <w:rPr>
          <w:rFonts w:ascii="Arial" w:eastAsia="Arial" w:hAnsi="Arial" w:cs="Arial"/>
          <w:b/>
          <w:bCs/>
          <w:color w:val="000000" w:themeColor="text1"/>
          <w:kern w:val="0"/>
          <w:lang w:eastAsia="en-GB"/>
          <w14:ligatures w14:val="none"/>
        </w:rPr>
      </w:pPr>
      <w:r w:rsidRPr="4C72D9C6">
        <w:rPr>
          <w:rFonts w:ascii="Arial" w:eastAsia="Arial" w:hAnsi="Arial" w:cs="Arial"/>
          <w:b/>
          <w:bCs/>
          <w:color w:val="000000" w:themeColor="text1"/>
          <w:kern w:val="0"/>
          <w:lang w:eastAsia="en-GB"/>
          <w14:ligatures w14:val="none"/>
        </w:rPr>
        <w:t>H</w:t>
      </w:r>
    </w:p>
    <w:p w14:paraId="046733C2"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063952CD"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HM Government (2010) Equality Act 2010. London: The Stationery Office.</w:t>
      </w:r>
    </w:p>
    <w:p w14:paraId="602A3439"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4E225FEC"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House of Commons Education Committee (2022) Support for Children with SEND in England. London: UK Parliament.</w:t>
      </w:r>
    </w:p>
    <w:p w14:paraId="17C6CC2F" w14:textId="72453A4B" w:rsidR="00AA263B" w:rsidRPr="00AA263B" w:rsidRDefault="00AA263B" w:rsidP="4C72D9C6">
      <w:pPr>
        <w:spacing w:after="0"/>
        <w:jc w:val="left"/>
        <w:rPr>
          <w:rFonts w:ascii="Arial" w:eastAsia="Arial" w:hAnsi="Arial" w:cs="Arial"/>
          <w:color w:val="000000" w:themeColor="text1"/>
          <w:kern w:val="0"/>
          <w:lang w:eastAsia="en-GB"/>
          <w14:ligatures w14:val="none"/>
        </w:rPr>
      </w:pPr>
    </w:p>
    <w:p w14:paraId="4093ECAF" w14:textId="77777777" w:rsidR="00AA263B" w:rsidRPr="00AA263B" w:rsidRDefault="00AA263B" w:rsidP="4C72D9C6">
      <w:pPr>
        <w:spacing w:before="100" w:beforeAutospacing="1" w:after="100" w:afterAutospacing="1"/>
        <w:jc w:val="left"/>
        <w:outlineLvl w:val="2"/>
        <w:rPr>
          <w:rFonts w:ascii="Arial" w:eastAsia="Arial" w:hAnsi="Arial" w:cs="Arial"/>
          <w:b/>
          <w:bCs/>
          <w:color w:val="000000" w:themeColor="text1"/>
          <w:kern w:val="0"/>
          <w:lang w:eastAsia="en-GB"/>
          <w14:ligatures w14:val="none"/>
        </w:rPr>
      </w:pPr>
      <w:r w:rsidRPr="4C72D9C6">
        <w:rPr>
          <w:rFonts w:ascii="Arial" w:eastAsia="Arial" w:hAnsi="Arial" w:cs="Arial"/>
          <w:b/>
          <w:bCs/>
          <w:color w:val="000000" w:themeColor="text1"/>
          <w:kern w:val="0"/>
          <w:lang w:eastAsia="en-GB"/>
          <w14:ligatures w14:val="none"/>
        </w:rPr>
        <w:t>I</w:t>
      </w:r>
    </w:p>
    <w:p w14:paraId="05EBC59A"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4108581F"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Independent (2025) ‘Families turn to private ADHD diagnoses amid NHS delays’, The Independent, 17 March.</w:t>
      </w:r>
    </w:p>
    <w:p w14:paraId="7829796C"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6A240E1B"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Institute of Health Equity (2020) Build Back Fairer: The COVID-19 Marmot Review. London: UCL.</w:t>
      </w:r>
    </w:p>
    <w:p w14:paraId="043E14FA" w14:textId="501C8C75" w:rsidR="00AA263B" w:rsidRPr="00AA263B" w:rsidRDefault="00AA263B" w:rsidP="4C72D9C6">
      <w:pPr>
        <w:spacing w:after="0"/>
        <w:jc w:val="left"/>
        <w:rPr>
          <w:rFonts w:ascii="Arial" w:eastAsia="Arial" w:hAnsi="Arial" w:cs="Arial"/>
          <w:color w:val="000000" w:themeColor="text1"/>
          <w:kern w:val="0"/>
          <w:lang w:eastAsia="en-GB"/>
          <w14:ligatures w14:val="none"/>
        </w:rPr>
      </w:pPr>
    </w:p>
    <w:p w14:paraId="5CB77543" w14:textId="77777777" w:rsidR="00AA263B" w:rsidRPr="00AA263B" w:rsidRDefault="00AA263B" w:rsidP="4C72D9C6">
      <w:pPr>
        <w:spacing w:before="100" w:beforeAutospacing="1" w:after="100" w:afterAutospacing="1"/>
        <w:jc w:val="left"/>
        <w:outlineLvl w:val="2"/>
        <w:rPr>
          <w:rFonts w:ascii="Arial" w:eastAsia="Arial" w:hAnsi="Arial" w:cs="Arial"/>
          <w:b/>
          <w:bCs/>
          <w:color w:val="000000" w:themeColor="text1"/>
          <w:kern w:val="0"/>
          <w:lang w:eastAsia="en-GB"/>
          <w14:ligatures w14:val="none"/>
        </w:rPr>
      </w:pPr>
      <w:r w:rsidRPr="4C72D9C6">
        <w:rPr>
          <w:rFonts w:ascii="Arial" w:eastAsia="Arial" w:hAnsi="Arial" w:cs="Arial"/>
          <w:b/>
          <w:bCs/>
          <w:color w:val="000000" w:themeColor="text1"/>
          <w:kern w:val="0"/>
          <w:lang w:eastAsia="en-GB"/>
          <w14:ligatures w14:val="none"/>
        </w:rPr>
        <w:t>J</w:t>
      </w:r>
    </w:p>
    <w:p w14:paraId="051A7F42"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6490BA60"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Jin, J.X.H. et al. (2025) ‘Differential effects of mindfulness and grit’, Journal of Affective Disorders, 391, Article 119969.</w:t>
      </w:r>
    </w:p>
    <w:p w14:paraId="1F4AE5F2" w14:textId="7AAA6B9C" w:rsidR="00AA263B" w:rsidRPr="00AA263B" w:rsidRDefault="00AA263B" w:rsidP="4C72D9C6">
      <w:pPr>
        <w:spacing w:after="0"/>
        <w:jc w:val="left"/>
        <w:rPr>
          <w:rFonts w:ascii="Arial" w:eastAsia="Arial" w:hAnsi="Arial" w:cs="Arial"/>
          <w:color w:val="000000" w:themeColor="text1"/>
          <w:kern w:val="0"/>
          <w:lang w:eastAsia="en-GB"/>
          <w14:ligatures w14:val="none"/>
        </w:rPr>
      </w:pPr>
    </w:p>
    <w:p w14:paraId="17642C10" w14:textId="77777777" w:rsidR="00AA263B" w:rsidRPr="00AA263B" w:rsidRDefault="00AA263B" w:rsidP="4C72D9C6">
      <w:pPr>
        <w:spacing w:before="100" w:beforeAutospacing="1" w:after="100" w:afterAutospacing="1"/>
        <w:jc w:val="left"/>
        <w:outlineLvl w:val="2"/>
        <w:rPr>
          <w:rFonts w:ascii="Arial" w:eastAsia="Arial" w:hAnsi="Arial" w:cs="Arial"/>
          <w:b/>
          <w:bCs/>
          <w:color w:val="000000" w:themeColor="text1"/>
          <w:kern w:val="0"/>
          <w:lang w:eastAsia="en-GB"/>
          <w14:ligatures w14:val="none"/>
        </w:rPr>
      </w:pPr>
      <w:r w:rsidRPr="4C72D9C6">
        <w:rPr>
          <w:rFonts w:ascii="Arial" w:eastAsia="Arial" w:hAnsi="Arial" w:cs="Arial"/>
          <w:b/>
          <w:bCs/>
          <w:color w:val="000000" w:themeColor="text1"/>
          <w:kern w:val="0"/>
          <w:lang w:eastAsia="en-GB"/>
          <w14:ligatures w14:val="none"/>
        </w:rPr>
        <w:t>L</w:t>
      </w:r>
    </w:p>
    <w:p w14:paraId="78FB2FA9"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57605C08"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Lange, K.W. et al. (2010) ‘Historical perspectives on ADHD’, Attention Deficit and Hyperactivity Disorders, 2(4), pp. 241–255.</w:t>
      </w:r>
    </w:p>
    <w:p w14:paraId="26B77F7E" w14:textId="76EF299E" w:rsidR="00AA263B" w:rsidRPr="00AA263B" w:rsidRDefault="00AA263B" w:rsidP="4C72D9C6">
      <w:pPr>
        <w:spacing w:after="0"/>
        <w:jc w:val="left"/>
        <w:rPr>
          <w:rFonts w:ascii="Arial" w:eastAsia="Arial" w:hAnsi="Arial" w:cs="Arial"/>
          <w:color w:val="000000" w:themeColor="text1"/>
          <w:kern w:val="0"/>
          <w:lang w:eastAsia="en-GB"/>
          <w14:ligatures w14:val="none"/>
        </w:rPr>
      </w:pPr>
    </w:p>
    <w:p w14:paraId="68A2BD6B" w14:textId="77777777" w:rsidR="00AA263B" w:rsidRPr="00AA263B" w:rsidRDefault="00AA263B" w:rsidP="4C72D9C6">
      <w:pPr>
        <w:spacing w:before="100" w:beforeAutospacing="1" w:after="100" w:afterAutospacing="1"/>
        <w:jc w:val="left"/>
        <w:outlineLvl w:val="2"/>
        <w:rPr>
          <w:rFonts w:ascii="Arial" w:eastAsia="Arial" w:hAnsi="Arial" w:cs="Arial"/>
          <w:b/>
          <w:bCs/>
          <w:color w:val="000000" w:themeColor="text1"/>
          <w:kern w:val="0"/>
          <w:lang w:eastAsia="en-GB"/>
          <w14:ligatures w14:val="none"/>
        </w:rPr>
      </w:pPr>
      <w:r w:rsidRPr="4C72D9C6">
        <w:rPr>
          <w:rFonts w:ascii="Arial" w:eastAsia="Arial" w:hAnsi="Arial" w:cs="Arial"/>
          <w:b/>
          <w:bCs/>
          <w:color w:val="000000" w:themeColor="text1"/>
          <w:kern w:val="0"/>
          <w:lang w:eastAsia="en-GB"/>
          <w14:ligatures w14:val="none"/>
        </w:rPr>
        <w:t>M</w:t>
      </w:r>
    </w:p>
    <w:p w14:paraId="46499800"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10590195"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Maciver, D., Honey, A., Long, R. et al. (2025) ‘Waiting times in neurodevelopmental assessment’, Autism Research, Early View.</w:t>
      </w:r>
    </w:p>
    <w:p w14:paraId="419E72D7"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76A88768"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Maciver, D., Vance, A., McTaggart, J. et al. (2025) ‘Influencing factors in ADHD assessment’, Journal of Child Psychology &amp; Psychiatry, 66(2), pp. 245–259.</w:t>
      </w:r>
    </w:p>
    <w:p w14:paraId="3A5F90CD"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7F42D139"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Mahone, E.M. and Denckla, M.B. (2017) ‘ADHD: A historical neuropsychological perspective’, Applied Neuropsychology: Child, 6(4), pp. 241–255.</w:t>
      </w:r>
    </w:p>
    <w:p w14:paraId="41618639"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5566FE9D"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Mattioni, L. et al. (2025) ‘An integrative model of perseverative thinking’, Dialogues in Clinical Neuroscience, 27(1), pp. 34–54.</w:t>
      </w:r>
    </w:p>
    <w:p w14:paraId="6B42B8EE"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79BD71E0"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May, F. et al. (2021) ‘Attainment and attendance in pupils with ADHD’, British Journal of Educational Psychology, 91(4), pp. 1808–1830.</w:t>
      </w:r>
    </w:p>
    <w:p w14:paraId="73C6A279"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2653DECA"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Mohammed, M.A.E.H. et al. (2025) ‘Teachers’ knowledge of ADHD in Egypt’, Middle East Current Psychiatry, 32(1), Article 42.</w:t>
      </w:r>
    </w:p>
    <w:p w14:paraId="7A96B555"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02B788CD"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Murray, A., O’Connor, C. and O’Keeffe, L. (2023) ‘Teachers’ perceptions of ADHD’, Educational Review, 75(6), pp. 1453–1471.</w:t>
      </w:r>
    </w:p>
    <w:p w14:paraId="5607CACE"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03FC32BC"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Murray, A. et al. (2023) ‘Teacher experiences of ADHD support’, Emotional and Behavioural Difficulties, 28(1), pp. 32–49.</w:t>
      </w:r>
    </w:p>
    <w:p w14:paraId="7D32FE01" w14:textId="108A060B" w:rsidR="00AA263B" w:rsidRPr="00AA263B" w:rsidRDefault="00AA263B" w:rsidP="4C72D9C6">
      <w:pPr>
        <w:spacing w:after="0"/>
        <w:jc w:val="left"/>
        <w:rPr>
          <w:rFonts w:ascii="Arial" w:eastAsia="Arial" w:hAnsi="Arial" w:cs="Arial"/>
          <w:color w:val="000000" w:themeColor="text1"/>
          <w:kern w:val="0"/>
          <w:lang w:eastAsia="en-GB"/>
          <w14:ligatures w14:val="none"/>
        </w:rPr>
      </w:pPr>
    </w:p>
    <w:p w14:paraId="284776E8" w14:textId="77777777" w:rsidR="00AA263B" w:rsidRPr="00AA263B" w:rsidRDefault="00AA263B" w:rsidP="4C72D9C6">
      <w:pPr>
        <w:spacing w:before="100" w:beforeAutospacing="1" w:after="100" w:afterAutospacing="1"/>
        <w:jc w:val="left"/>
        <w:outlineLvl w:val="2"/>
        <w:rPr>
          <w:rFonts w:ascii="Arial" w:eastAsia="Arial" w:hAnsi="Arial" w:cs="Arial"/>
          <w:b/>
          <w:bCs/>
          <w:color w:val="000000" w:themeColor="text1"/>
          <w:kern w:val="0"/>
          <w:lang w:eastAsia="en-GB"/>
          <w14:ligatures w14:val="none"/>
        </w:rPr>
      </w:pPr>
      <w:r w:rsidRPr="4C72D9C6">
        <w:rPr>
          <w:rFonts w:ascii="Arial" w:eastAsia="Arial" w:hAnsi="Arial" w:cs="Arial"/>
          <w:b/>
          <w:bCs/>
          <w:color w:val="000000" w:themeColor="text1"/>
          <w:kern w:val="0"/>
          <w:lang w:eastAsia="en-GB"/>
          <w14:ligatures w14:val="none"/>
        </w:rPr>
        <w:t>N</w:t>
      </w:r>
    </w:p>
    <w:p w14:paraId="58A97693"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7836CC80"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NASUWT (2024) Teacher Mental Health and SEN Training Report 2024. Birmingham: NASUWT.</w:t>
      </w:r>
    </w:p>
    <w:p w14:paraId="6950484D"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47F2B147"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National Audit Office (2024) Support for Children and Young People with SEND. London: NAO.</w:t>
      </w:r>
    </w:p>
    <w:p w14:paraId="4487BB92"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2633B485"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National Institute for Health and Care Excellence (2018; updated 2025) ADHD: Diagnosis and Management (NG87). London: NICE.</w:t>
      </w:r>
    </w:p>
    <w:p w14:paraId="28A11C0C"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47BDC802"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NHS Digital (2022) Mental Health of Children and Young People in England 2022.</w:t>
      </w:r>
    </w:p>
    <w:p w14:paraId="56AED1C9"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0BB2FCCA"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NHS England (2019) The NHS Long Term Plan. London: NHS England.</w:t>
      </w:r>
    </w:p>
    <w:p w14:paraId="6C989305"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344D0527"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NHS England (2025) ADHD Taskforce: Interim Report.</w:t>
      </w:r>
    </w:p>
    <w:p w14:paraId="09CB7706"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5DA1CA17"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Nigg, J.T. (2017) ‘Self-regulation, executive function and impulsivity’, Journal of Child Psychology and Psychiatry, 58(4), pp. 361–383.</w:t>
      </w:r>
    </w:p>
    <w:p w14:paraId="22D2B4F1" w14:textId="1A1693EA" w:rsidR="00AA263B" w:rsidRPr="00AA263B" w:rsidRDefault="00AA263B" w:rsidP="4C72D9C6">
      <w:pPr>
        <w:spacing w:after="0"/>
        <w:jc w:val="left"/>
        <w:rPr>
          <w:rFonts w:ascii="Arial" w:eastAsia="Arial" w:hAnsi="Arial" w:cs="Arial"/>
          <w:color w:val="000000" w:themeColor="text1"/>
          <w:kern w:val="0"/>
          <w:lang w:eastAsia="en-GB"/>
          <w14:ligatures w14:val="none"/>
        </w:rPr>
      </w:pPr>
    </w:p>
    <w:p w14:paraId="08743A33" w14:textId="77777777" w:rsidR="00AA263B" w:rsidRPr="00AA263B" w:rsidRDefault="00AA263B" w:rsidP="4C72D9C6">
      <w:pPr>
        <w:spacing w:before="100" w:beforeAutospacing="1" w:after="100" w:afterAutospacing="1"/>
        <w:jc w:val="left"/>
        <w:outlineLvl w:val="2"/>
        <w:rPr>
          <w:rFonts w:ascii="Arial" w:eastAsia="Arial" w:hAnsi="Arial" w:cs="Arial"/>
          <w:b/>
          <w:bCs/>
          <w:color w:val="000000" w:themeColor="text1"/>
          <w:kern w:val="0"/>
          <w:lang w:eastAsia="en-GB"/>
          <w14:ligatures w14:val="none"/>
        </w:rPr>
      </w:pPr>
      <w:r w:rsidRPr="4C72D9C6">
        <w:rPr>
          <w:rFonts w:ascii="Arial" w:eastAsia="Arial" w:hAnsi="Arial" w:cs="Arial"/>
          <w:b/>
          <w:bCs/>
          <w:color w:val="000000" w:themeColor="text1"/>
          <w:kern w:val="0"/>
          <w:lang w:eastAsia="en-GB"/>
          <w14:ligatures w14:val="none"/>
        </w:rPr>
        <w:t>O</w:t>
      </w:r>
    </w:p>
    <w:p w14:paraId="6DE9764A"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306BE4D4"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OECD (2022) Strengthening Mental Health Services for Children and Young People. Paris: OECD.</w:t>
      </w:r>
    </w:p>
    <w:p w14:paraId="36365ABB" w14:textId="6F352929" w:rsidR="00AA263B" w:rsidRPr="00AA263B" w:rsidRDefault="00AA263B" w:rsidP="4C72D9C6">
      <w:pPr>
        <w:spacing w:after="0"/>
        <w:jc w:val="left"/>
        <w:rPr>
          <w:rFonts w:ascii="Arial" w:eastAsia="Arial" w:hAnsi="Arial" w:cs="Arial"/>
          <w:color w:val="000000" w:themeColor="text1"/>
          <w:kern w:val="0"/>
          <w:lang w:eastAsia="en-GB"/>
          <w14:ligatures w14:val="none"/>
        </w:rPr>
      </w:pPr>
    </w:p>
    <w:p w14:paraId="5E4376DF" w14:textId="77777777" w:rsidR="00AA263B" w:rsidRPr="00AA263B" w:rsidRDefault="00AA263B" w:rsidP="4C72D9C6">
      <w:pPr>
        <w:spacing w:before="100" w:beforeAutospacing="1" w:after="100" w:afterAutospacing="1"/>
        <w:jc w:val="left"/>
        <w:outlineLvl w:val="2"/>
        <w:rPr>
          <w:rFonts w:ascii="Arial" w:eastAsia="Arial" w:hAnsi="Arial" w:cs="Arial"/>
          <w:b/>
          <w:bCs/>
          <w:color w:val="000000" w:themeColor="text1"/>
          <w:kern w:val="0"/>
          <w:lang w:eastAsia="en-GB"/>
          <w14:ligatures w14:val="none"/>
        </w:rPr>
      </w:pPr>
      <w:r w:rsidRPr="4C72D9C6">
        <w:rPr>
          <w:rFonts w:ascii="Arial" w:eastAsia="Arial" w:hAnsi="Arial" w:cs="Arial"/>
          <w:b/>
          <w:bCs/>
          <w:color w:val="000000" w:themeColor="text1"/>
          <w:kern w:val="0"/>
          <w:lang w:eastAsia="en-GB"/>
          <w14:ligatures w14:val="none"/>
        </w:rPr>
        <w:t>P</w:t>
      </w:r>
    </w:p>
    <w:p w14:paraId="5D343907"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377CB096"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Palacios-Ariza, M.A. et al. (2025) ‘In-person vs blended learning’, International Journal of Adolescence and Youth, 30(1).</w:t>
      </w:r>
    </w:p>
    <w:p w14:paraId="458F4BAD" w14:textId="6578E9BA" w:rsidR="00AA263B" w:rsidRPr="00AA263B" w:rsidRDefault="00AA263B" w:rsidP="4C72D9C6">
      <w:pPr>
        <w:spacing w:after="0"/>
        <w:jc w:val="left"/>
        <w:rPr>
          <w:rFonts w:ascii="Arial" w:eastAsia="Arial" w:hAnsi="Arial" w:cs="Arial"/>
          <w:color w:val="000000" w:themeColor="text1"/>
          <w:kern w:val="0"/>
          <w:lang w:eastAsia="en-GB"/>
          <w14:ligatures w14:val="none"/>
        </w:rPr>
      </w:pPr>
    </w:p>
    <w:p w14:paraId="2556F5E1" w14:textId="77777777" w:rsidR="00AA263B" w:rsidRPr="00AA263B" w:rsidRDefault="00AA263B" w:rsidP="4C72D9C6">
      <w:pPr>
        <w:spacing w:before="100" w:beforeAutospacing="1" w:after="100" w:afterAutospacing="1"/>
        <w:jc w:val="left"/>
        <w:outlineLvl w:val="2"/>
        <w:rPr>
          <w:rFonts w:ascii="Arial" w:eastAsia="Arial" w:hAnsi="Arial" w:cs="Arial"/>
          <w:b/>
          <w:bCs/>
          <w:color w:val="000000" w:themeColor="text1"/>
          <w:kern w:val="0"/>
          <w:lang w:eastAsia="en-GB"/>
          <w14:ligatures w14:val="none"/>
        </w:rPr>
      </w:pPr>
      <w:r w:rsidRPr="4C72D9C6">
        <w:rPr>
          <w:rFonts w:ascii="Arial" w:eastAsia="Arial" w:hAnsi="Arial" w:cs="Arial"/>
          <w:b/>
          <w:bCs/>
          <w:color w:val="000000" w:themeColor="text1"/>
          <w:kern w:val="0"/>
          <w:lang w:eastAsia="en-GB"/>
          <w14:ligatures w14:val="none"/>
        </w:rPr>
        <w:t>R</w:t>
      </w:r>
    </w:p>
    <w:p w14:paraId="14237DE6"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30A1AD22"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Reuben, C. and Elgaddal, N. (2024) ADHD in Children Ages 5–17 Years: US 2020–2022. NCHS Data Brief 499.</w:t>
      </w:r>
    </w:p>
    <w:p w14:paraId="457BBD41"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37184087"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Reuben, A. and Elgaddal, N. (2024) ‘Racial and gender disparities in ADHD diagnosis’, Frontiers in Psychiatry, 15, 1384192.</w:t>
      </w:r>
    </w:p>
    <w:p w14:paraId="387053AF"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484735D8"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Richardson, M., Hingston, T. and Tomsett, D. (2022) ‘Teacher training gaps’, Journal of Research in Special Educational Needs, 22(3), pp. 210–220.</w:t>
      </w:r>
    </w:p>
    <w:p w14:paraId="6EE96E11" w14:textId="590167D8" w:rsidR="00AA263B" w:rsidRPr="00AA263B" w:rsidRDefault="00AA263B" w:rsidP="4C72D9C6">
      <w:pPr>
        <w:spacing w:after="0"/>
        <w:jc w:val="left"/>
        <w:rPr>
          <w:rFonts w:ascii="Arial" w:eastAsia="Arial" w:hAnsi="Arial" w:cs="Arial"/>
          <w:color w:val="000000" w:themeColor="text1"/>
          <w:kern w:val="0"/>
          <w:lang w:eastAsia="en-GB"/>
          <w14:ligatures w14:val="none"/>
        </w:rPr>
      </w:pPr>
    </w:p>
    <w:p w14:paraId="0C3070C6" w14:textId="77777777" w:rsidR="00AA263B" w:rsidRPr="00AA263B" w:rsidRDefault="00AA263B" w:rsidP="4C72D9C6">
      <w:pPr>
        <w:spacing w:before="100" w:beforeAutospacing="1" w:after="100" w:afterAutospacing="1"/>
        <w:jc w:val="left"/>
        <w:outlineLvl w:val="2"/>
        <w:rPr>
          <w:rFonts w:ascii="Arial" w:eastAsia="Arial" w:hAnsi="Arial" w:cs="Arial"/>
          <w:b/>
          <w:bCs/>
          <w:color w:val="000000" w:themeColor="text1"/>
          <w:kern w:val="0"/>
          <w:lang w:eastAsia="en-GB"/>
          <w14:ligatures w14:val="none"/>
        </w:rPr>
      </w:pPr>
      <w:r w:rsidRPr="4C72D9C6">
        <w:rPr>
          <w:rFonts w:ascii="Arial" w:eastAsia="Arial" w:hAnsi="Arial" w:cs="Arial"/>
          <w:b/>
          <w:bCs/>
          <w:color w:val="000000" w:themeColor="text1"/>
          <w:kern w:val="0"/>
          <w:lang w:eastAsia="en-GB"/>
          <w14:ligatures w14:val="none"/>
        </w:rPr>
        <w:t>S</w:t>
      </w:r>
    </w:p>
    <w:p w14:paraId="3963134D"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28E853BB"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Salari, N. et al. (2023) ‘Global prevalence of ADHD’, Journal of Affective Disorders, 332, pp. 159–170.</w:t>
      </w:r>
    </w:p>
    <w:p w14:paraId="73E0EFD7"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175E132E"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Sayal, K. et al. (2018) ‘ADHD in children and young people’, The Lancet Psychiatry, 5(2), pp. 175–186.</w:t>
      </w:r>
    </w:p>
    <w:p w14:paraId="0F1279CC"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52D72F6C"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Skirrow, C., Pope, C. and Thapar, A. (2025) ‘Integrated assessment pathways’, BMC Psychiatry, 25(6), Article 341.</w:t>
      </w:r>
    </w:p>
    <w:p w14:paraId="24431170"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3C00A8F0"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Skoglund, C. et al. (2024) ‘Females with ADHD: A Swedish perspective’, Journal of Child Psychology and Psychiatry, 65(10), pp. 1239–1249.</w:t>
      </w:r>
    </w:p>
    <w:p w14:paraId="005DE252"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2CC0232E"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Srivastava, S.G. et al. (2025) ‘Prenatal maternal mood instability’, Journal of Affective Disorders, 391, Article 119947.</w:t>
      </w:r>
    </w:p>
    <w:p w14:paraId="621268D0"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774BD843"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Still, G.F. (1902) ‘Some abnormal psychical conditions’, The Lancet, 1(1), pp. 1008–1012.</w:t>
      </w:r>
    </w:p>
    <w:p w14:paraId="33B48757"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2FB8D7F8"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Storebø, O.J., Rasmussen, P.D. and Simonsen, E. (2016) ‘Insecure attachment and ADHD’, Journal of Attention Disorders, 20(2), pp. 187–196.</w:t>
      </w:r>
    </w:p>
    <w:p w14:paraId="614203E2"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3C9BD72F"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Storebø, O.J. et al. (2023) ‘Attachment insecurity in ADHD’, PLoS ONE, 18(2), e0280783.</w:t>
      </w:r>
    </w:p>
    <w:p w14:paraId="419AF6FF" w14:textId="25F9A63B" w:rsidR="00AA263B" w:rsidRPr="00AA263B" w:rsidRDefault="00AA263B" w:rsidP="4C72D9C6">
      <w:pPr>
        <w:spacing w:after="0"/>
        <w:jc w:val="left"/>
        <w:rPr>
          <w:rFonts w:ascii="Arial" w:eastAsia="Arial" w:hAnsi="Arial" w:cs="Arial"/>
          <w:color w:val="000000" w:themeColor="text1"/>
          <w:kern w:val="0"/>
          <w:lang w:eastAsia="en-GB"/>
          <w14:ligatures w14:val="none"/>
        </w:rPr>
      </w:pPr>
    </w:p>
    <w:p w14:paraId="71027511" w14:textId="77777777" w:rsidR="00AA263B" w:rsidRPr="00AA263B" w:rsidRDefault="00AA263B" w:rsidP="4C72D9C6">
      <w:pPr>
        <w:spacing w:before="100" w:beforeAutospacing="1" w:after="100" w:afterAutospacing="1"/>
        <w:jc w:val="left"/>
        <w:outlineLvl w:val="2"/>
        <w:rPr>
          <w:rFonts w:ascii="Arial" w:eastAsia="Arial" w:hAnsi="Arial" w:cs="Arial"/>
          <w:b/>
          <w:bCs/>
          <w:color w:val="000000" w:themeColor="text1"/>
          <w:kern w:val="0"/>
          <w:lang w:eastAsia="en-GB"/>
          <w14:ligatures w14:val="none"/>
        </w:rPr>
      </w:pPr>
      <w:r w:rsidRPr="4C72D9C6">
        <w:rPr>
          <w:rFonts w:ascii="Arial" w:eastAsia="Arial" w:hAnsi="Arial" w:cs="Arial"/>
          <w:b/>
          <w:bCs/>
          <w:color w:val="000000" w:themeColor="text1"/>
          <w:kern w:val="0"/>
          <w:lang w:eastAsia="en-GB"/>
          <w14:ligatures w14:val="none"/>
        </w:rPr>
        <w:t>T</w:t>
      </w:r>
    </w:p>
    <w:p w14:paraId="0652049E"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1387C30B"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Thapar, A. and Cooper, M. (2016) ‘</w:t>
      </w:r>
      <w:bookmarkStart w:id="69" w:name="_Int_Z0TAklxW"/>
      <w:r w:rsidRPr="4C72D9C6">
        <w:rPr>
          <w:rFonts w:ascii="Arial" w:eastAsia="Arial" w:hAnsi="Arial" w:cs="Arial"/>
          <w:color w:val="000000" w:themeColor="text1"/>
          <w:kern w:val="0"/>
          <w:lang w:eastAsia="en-GB"/>
          <w14:ligatures w14:val="none"/>
        </w:rPr>
        <w:t>Attention Deficit Hyperactivity Disorder</w:t>
      </w:r>
      <w:bookmarkEnd w:id="69"/>
      <w:r w:rsidRPr="4C72D9C6">
        <w:rPr>
          <w:rFonts w:ascii="Arial" w:eastAsia="Arial" w:hAnsi="Arial" w:cs="Arial"/>
          <w:color w:val="000000" w:themeColor="text1"/>
          <w:kern w:val="0"/>
          <w:lang w:eastAsia="en-GB"/>
          <w14:ligatures w14:val="none"/>
        </w:rPr>
        <w:t>’, The Lancet, 387(10024), pp. 1240–1250.</w:t>
      </w:r>
    </w:p>
    <w:p w14:paraId="5A5245D3"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214D9EC6"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Timimi, S. (2019) Pathologising Childhood: ADHD and Western Psychiatry. Oxford: Oxford University Press.</w:t>
      </w:r>
    </w:p>
    <w:p w14:paraId="39D0D3B8" w14:textId="756AFA53" w:rsidR="00AA263B" w:rsidRPr="00AA263B" w:rsidRDefault="00AA263B" w:rsidP="4C72D9C6">
      <w:pPr>
        <w:spacing w:after="0"/>
        <w:jc w:val="left"/>
        <w:rPr>
          <w:rFonts w:ascii="Arial" w:eastAsia="Arial" w:hAnsi="Arial" w:cs="Arial"/>
          <w:color w:val="000000" w:themeColor="text1"/>
          <w:kern w:val="0"/>
          <w:lang w:eastAsia="en-GB"/>
          <w14:ligatures w14:val="none"/>
        </w:rPr>
      </w:pPr>
    </w:p>
    <w:p w14:paraId="1B56FFC1" w14:textId="77777777" w:rsidR="00AA263B" w:rsidRPr="00AA263B" w:rsidRDefault="00AA263B" w:rsidP="4C72D9C6">
      <w:pPr>
        <w:spacing w:before="100" w:beforeAutospacing="1" w:after="100" w:afterAutospacing="1"/>
        <w:jc w:val="left"/>
        <w:outlineLvl w:val="2"/>
        <w:rPr>
          <w:rFonts w:ascii="Arial" w:eastAsia="Arial" w:hAnsi="Arial" w:cs="Arial"/>
          <w:b/>
          <w:bCs/>
          <w:color w:val="000000" w:themeColor="text1"/>
          <w:kern w:val="0"/>
          <w:lang w:eastAsia="en-GB"/>
          <w14:ligatures w14:val="none"/>
        </w:rPr>
      </w:pPr>
      <w:r w:rsidRPr="4C72D9C6">
        <w:rPr>
          <w:rFonts w:ascii="Arial" w:eastAsia="Arial" w:hAnsi="Arial" w:cs="Arial"/>
          <w:b/>
          <w:bCs/>
          <w:color w:val="000000" w:themeColor="text1"/>
          <w:kern w:val="0"/>
          <w:lang w:eastAsia="en-GB"/>
          <w14:ligatures w14:val="none"/>
        </w:rPr>
        <w:t>U</w:t>
      </w:r>
    </w:p>
    <w:p w14:paraId="739E54A5"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1C222D5D"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Uygun, S.D. et al. (2025) ‘Psychiatric comorbidities in Turkish children’, Middle East Current Psychiatry, 32(1), Article 49.</w:t>
      </w:r>
    </w:p>
    <w:p w14:paraId="66330028" w14:textId="24123AA4" w:rsidR="00AA263B" w:rsidRPr="00AA263B" w:rsidRDefault="00AA263B" w:rsidP="4C72D9C6">
      <w:pPr>
        <w:spacing w:after="0"/>
        <w:jc w:val="left"/>
        <w:rPr>
          <w:rFonts w:ascii="Arial" w:eastAsia="Arial" w:hAnsi="Arial" w:cs="Arial"/>
          <w:color w:val="000000" w:themeColor="text1"/>
          <w:kern w:val="0"/>
          <w:lang w:eastAsia="en-GB"/>
          <w14:ligatures w14:val="none"/>
        </w:rPr>
      </w:pPr>
    </w:p>
    <w:p w14:paraId="4D99E149" w14:textId="77777777" w:rsidR="00AA263B" w:rsidRPr="00AA263B" w:rsidRDefault="00AA263B" w:rsidP="4C72D9C6">
      <w:pPr>
        <w:spacing w:before="100" w:beforeAutospacing="1" w:after="100" w:afterAutospacing="1"/>
        <w:jc w:val="left"/>
        <w:outlineLvl w:val="2"/>
        <w:rPr>
          <w:rFonts w:ascii="Arial" w:eastAsia="Arial" w:hAnsi="Arial" w:cs="Arial"/>
          <w:b/>
          <w:bCs/>
          <w:color w:val="000000" w:themeColor="text1"/>
          <w:kern w:val="0"/>
          <w:lang w:eastAsia="en-GB"/>
          <w14:ligatures w14:val="none"/>
        </w:rPr>
      </w:pPr>
      <w:r w:rsidRPr="4C72D9C6">
        <w:rPr>
          <w:rFonts w:ascii="Arial" w:eastAsia="Arial" w:hAnsi="Arial" w:cs="Arial"/>
          <w:b/>
          <w:bCs/>
          <w:color w:val="000000" w:themeColor="text1"/>
          <w:kern w:val="0"/>
          <w:lang w:eastAsia="en-GB"/>
          <w14:ligatures w14:val="none"/>
        </w:rPr>
        <w:t>W</w:t>
      </w:r>
    </w:p>
    <w:p w14:paraId="236496CC"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64F9CB73"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Wang, X. et al. (2025) ‘Gut microbial and metabolic profiles in ADHD’, Gut Microbes, 17(1), Article 2537755.</w:t>
      </w:r>
    </w:p>
    <w:p w14:paraId="5DFEF595"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19204A2B" w14:textId="63E2C231"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 xml:space="preserve">Ward, R.J., Roper, </w:t>
      </w:r>
      <w:r w:rsidR="4F8813ED" w:rsidRPr="4C72D9C6">
        <w:rPr>
          <w:rFonts w:ascii="Arial" w:eastAsia="Arial" w:hAnsi="Arial" w:cs="Arial"/>
          <w:color w:val="000000" w:themeColor="text1"/>
          <w:kern w:val="0"/>
          <w:lang w:eastAsia="en-GB"/>
          <w14:ligatures w14:val="none"/>
        </w:rPr>
        <w:t>L.,</w:t>
      </w:r>
      <w:r w:rsidRPr="4C72D9C6">
        <w:rPr>
          <w:rFonts w:ascii="Arial" w:eastAsia="Arial" w:hAnsi="Arial" w:cs="Arial"/>
          <w:color w:val="000000" w:themeColor="text1"/>
          <w:kern w:val="0"/>
          <w:lang w:eastAsia="en-GB"/>
          <w14:ligatures w14:val="none"/>
        </w:rPr>
        <w:t xml:space="preserve"> and Kidd, E. (2021) ‘School staff perspectives on ADHD’, Emotional and Behavioural Difficulties, 26(3), pp. 287–303.</w:t>
      </w:r>
    </w:p>
    <w:p w14:paraId="06CA22D3"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13A6ABE8"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Westwood, R., Shah, K. and Button, E. (2023) ‘Parent–school collaboration’, Educational Review, 75(4), pp. 612–630.</w:t>
      </w:r>
    </w:p>
    <w:p w14:paraId="7C1DA00B"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1791D21D"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World Health Organization (2021) Comprehensive Mental Health Action Plan 2013–2030. Geneva: WHO.</w:t>
      </w:r>
    </w:p>
    <w:p w14:paraId="50366FA3"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53659688"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World Health Organization (2024) ICD-11: ADHD (6A05). Geneva: WHO.</w:t>
      </w:r>
    </w:p>
    <w:p w14:paraId="7B4CC2D5"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4ADB6701" w14:textId="38D375B3"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 xml:space="preserve">Wright, N., Daniels, </w:t>
      </w:r>
      <w:r w:rsidR="29D25F45" w:rsidRPr="4C72D9C6">
        <w:rPr>
          <w:rFonts w:ascii="Arial" w:eastAsia="Arial" w:hAnsi="Arial" w:cs="Arial"/>
          <w:color w:val="000000" w:themeColor="text1"/>
          <w:kern w:val="0"/>
          <w:lang w:eastAsia="en-GB"/>
          <w14:ligatures w14:val="none"/>
        </w:rPr>
        <w:t>H.,</w:t>
      </w:r>
      <w:r w:rsidRPr="4C72D9C6">
        <w:rPr>
          <w:rFonts w:ascii="Arial" w:eastAsia="Arial" w:hAnsi="Arial" w:cs="Arial"/>
          <w:color w:val="000000" w:themeColor="text1"/>
          <w:kern w:val="0"/>
          <w:lang w:eastAsia="en-GB"/>
          <w14:ligatures w14:val="none"/>
        </w:rPr>
        <w:t xml:space="preserve"> and Jones, P. (2023) ‘Teacher interpretations of ADHD behaviour’, British Journal of Special Education, 50(2), pp. 203–218.</w:t>
      </w:r>
    </w:p>
    <w:p w14:paraId="5E0B7458"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787B2BC8" w14:textId="7DD171AD"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 xml:space="preserve">Wright, N., Lea, </w:t>
      </w:r>
      <w:r w:rsidR="0BB8E8B2" w:rsidRPr="4C72D9C6">
        <w:rPr>
          <w:rFonts w:ascii="Arial" w:eastAsia="Arial" w:hAnsi="Arial" w:cs="Arial"/>
          <w:color w:val="000000" w:themeColor="text1"/>
          <w:kern w:val="0"/>
          <w:lang w:eastAsia="en-GB"/>
          <w14:ligatures w14:val="none"/>
        </w:rPr>
        <w:t>R.,</w:t>
      </w:r>
      <w:r w:rsidRPr="4C72D9C6">
        <w:rPr>
          <w:rFonts w:ascii="Arial" w:eastAsia="Arial" w:hAnsi="Arial" w:cs="Arial"/>
          <w:color w:val="000000" w:themeColor="text1"/>
          <w:kern w:val="0"/>
          <w:lang w:eastAsia="en-GB"/>
          <w14:ligatures w14:val="none"/>
        </w:rPr>
        <w:t xml:space="preserve"> and McCormack, J. (2023) ‘Inclusive practice for children with ADHD’, British Journal of Special Education, 50(4), pp. 567–584.</w:t>
      </w:r>
    </w:p>
    <w:p w14:paraId="284B935D" w14:textId="6A605C0C" w:rsidR="00AA263B" w:rsidRPr="00AA263B" w:rsidRDefault="00AA263B" w:rsidP="4C72D9C6">
      <w:pPr>
        <w:spacing w:after="0"/>
        <w:jc w:val="left"/>
        <w:rPr>
          <w:rFonts w:ascii="Arial" w:eastAsia="Arial" w:hAnsi="Arial" w:cs="Arial"/>
          <w:color w:val="000000" w:themeColor="text1"/>
          <w:kern w:val="0"/>
          <w:lang w:eastAsia="en-GB"/>
          <w14:ligatures w14:val="none"/>
        </w:rPr>
      </w:pPr>
    </w:p>
    <w:p w14:paraId="76612C6D" w14:textId="77777777" w:rsidR="00AA263B" w:rsidRPr="00AA263B" w:rsidRDefault="00AA263B" w:rsidP="4C72D9C6">
      <w:pPr>
        <w:spacing w:before="100" w:beforeAutospacing="1" w:after="100" w:afterAutospacing="1"/>
        <w:jc w:val="left"/>
        <w:outlineLvl w:val="2"/>
        <w:rPr>
          <w:rFonts w:ascii="Arial" w:eastAsia="Arial" w:hAnsi="Arial" w:cs="Arial"/>
          <w:b/>
          <w:bCs/>
          <w:color w:val="000000" w:themeColor="text1"/>
          <w:kern w:val="0"/>
          <w:lang w:eastAsia="en-GB"/>
          <w14:ligatures w14:val="none"/>
        </w:rPr>
      </w:pPr>
      <w:r w:rsidRPr="4C72D9C6">
        <w:rPr>
          <w:rFonts w:ascii="Arial" w:eastAsia="Arial" w:hAnsi="Arial" w:cs="Arial"/>
          <w:b/>
          <w:bCs/>
          <w:color w:val="000000" w:themeColor="text1"/>
          <w:kern w:val="0"/>
          <w:lang w:eastAsia="en-GB"/>
          <w14:ligatures w14:val="none"/>
        </w:rPr>
        <w:t>Y</w:t>
      </w:r>
    </w:p>
    <w:p w14:paraId="08F2430B"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5102B09F"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Yang, S. et al. (2025) ‘Allergic rhinitis and behaviour problems’, Annals of Medicine, 57(1), Article 2460771.</w:t>
      </w:r>
    </w:p>
    <w:p w14:paraId="6F3EA35E"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p>
    <w:p w14:paraId="510E44A9" w14:textId="77777777" w:rsidR="00AA263B" w:rsidRPr="00AA263B" w:rsidRDefault="00AA263B" w:rsidP="4C72D9C6">
      <w:pPr>
        <w:spacing w:before="100" w:beforeAutospacing="1" w:after="100" w:afterAutospacing="1"/>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You, Y. et al. (2025) ‘Early-life deprivation and multimorbidity’, Journal of Affective Disorders, 391, Article 119877.</w:t>
      </w:r>
    </w:p>
    <w:p w14:paraId="3C7AA80C" w14:textId="64BC5AD0" w:rsidR="00621776" w:rsidRDefault="00621776" w:rsidP="4C72D9C6">
      <w:pPr>
        <w:rPr>
          <w:rFonts w:ascii="Arial" w:eastAsia="Arial" w:hAnsi="Arial" w:cs="Arial"/>
          <w:color w:val="000000" w:themeColor="text1"/>
        </w:rPr>
      </w:pPr>
    </w:p>
    <w:p w14:paraId="58B38819" w14:textId="77777777" w:rsidR="0041260D" w:rsidRDefault="0041260D" w:rsidP="4C72D9C6">
      <w:pPr>
        <w:rPr>
          <w:rFonts w:ascii="Arial" w:eastAsia="Arial" w:hAnsi="Arial" w:cs="Arial"/>
          <w:color w:val="000000" w:themeColor="text1"/>
        </w:rPr>
      </w:pPr>
    </w:p>
    <w:p w14:paraId="0E5638B9" w14:textId="77777777" w:rsidR="0041260D" w:rsidRDefault="0041260D" w:rsidP="4C72D9C6">
      <w:pPr>
        <w:rPr>
          <w:rFonts w:ascii="Arial" w:eastAsia="Arial" w:hAnsi="Arial" w:cs="Arial"/>
          <w:color w:val="000000" w:themeColor="text1"/>
        </w:rPr>
      </w:pPr>
    </w:p>
    <w:p w14:paraId="2850119D" w14:textId="77777777" w:rsidR="0041260D" w:rsidRDefault="0041260D" w:rsidP="4C72D9C6">
      <w:pPr>
        <w:rPr>
          <w:rFonts w:ascii="Arial" w:eastAsia="Arial" w:hAnsi="Arial" w:cs="Arial"/>
          <w:color w:val="000000" w:themeColor="text1"/>
        </w:rPr>
      </w:pPr>
    </w:p>
    <w:p w14:paraId="4BB44E3A" w14:textId="77777777" w:rsidR="0041260D" w:rsidRDefault="0041260D" w:rsidP="4C72D9C6">
      <w:pPr>
        <w:rPr>
          <w:rFonts w:ascii="Arial" w:eastAsia="Arial" w:hAnsi="Arial" w:cs="Arial"/>
          <w:color w:val="000000" w:themeColor="text1"/>
        </w:rPr>
      </w:pPr>
    </w:p>
    <w:p w14:paraId="62BD724D" w14:textId="77777777" w:rsidR="0041260D" w:rsidRDefault="0041260D" w:rsidP="4C72D9C6">
      <w:pPr>
        <w:rPr>
          <w:rFonts w:ascii="Arial" w:eastAsia="Arial" w:hAnsi="Arial" w:cs="Arial"/>
          <w:color w:val="000000" w:themeColor="text1"/>
        </w:rPr>
      </w:pPr>
    </w:p>
    <w:p w14:paraId="051265AF" w14:textId="77777777" w:rsidR="0041260D" w:rsidRDefault="0041260D" w:rsidP="4C72D9C6">
      <w:pPr>
        <w:rPr>
          <w:rFonts w:ascii="Arial" w:eastAsia="Arial" w:hAnsi="Arial" w:cs="Arial"/>
          <w:color w:val="000000" w:themeColor="text1"/>
        </w:rPr>
      </w:pPr>
    </w:p>
    <w:p w14:paraId="2BC1DA9E" w14:textId="77777777" w:rsidR="0041260D" w:rsidRDefault="0041260D" w:rsidP="4C72D9C6">
      <w:pPr>
        <w:rPr>
          <w:rFonts w:ascii="Arial" w:eastAsia="Arial" w:hAnsi="Arial" w:cs="Arial"/>
          <w:color w:val="000000" w:themeColor="text1"/>
        </w:rPr>
      </w:pPr>
    </w:p>
    <w:p w14:paraId="01DEB298" w14:textId="77777777" w:rsidR="0041260D" w:rsidRDefault="0041260D" w:rsidP="4C72D9C6">
      <w:pPr>
        <w:rPr>
          <w:rFonts w:ascii="Arial" w:eastAsia="Arial" w:hAnsi="Arial" w:cs="Arial"/>
          <w:color w:val="000000" w:themeColor="text1"/>
        </w:rPr>
      </w:pPr>
    </w:p>
    <w:p w14:paraId="6CE8B5A0" w14:textId="77777777" w:rsidR="0041260D" w:rsidRDefault="0041260D" w:rsidP="4C72D9C6">
      <w:pPr>
        <w:rPr>
          <w:rFonts w:ascii="Arial" w:eastAsia="Arial" w:hAnsi="Arial" w:cs="Arial"/>
          <w:color w:val="000000" w:themeColor="text1"/>
        </w:rPr>
      </w:pPr>
    </w:p>
    <w:p w14:paraId="4E7D0863" w14:textId="77777777" w:rsidR="0041260D" w:rsidRDefault="0041260D" w:rsidP="4C72D9C6">
      <w:pPr>
        <w:rPr>
          <w:rFonts w:ascii="Arial" w:eastAsia="Arial" w:hAnsi="Arial" w:cs="Arial"/>
          <w:color w:val="000000" w:themeColor="text1"/>
        </w:rPr>
      </w:pPr>
    </w:p>
    <w:p w14:paraId="78DCD945" w14:textId="77777777" w:rsidR="0041260D" w:rsidRDefault="0041260D" w:rsidP="4C72D9C6">
      <w:pPr>
        <w:rPr>
          <w:rFonts w:ascii="Arial" w:eastAsia="Arial" w:hAnsi="Arial" w:cs="Arial"/>
          <w:color w:val="000000" w:themeColor="text1"/>
        </w:rPr>
      </w:pPr>
    </w:p>
    <w:p w14:paraId="412E4F37" w14:textId="77777777" w:rsidR="0041260D" w:rsidRDefault="0041260D" w:rsidP="4C72D9C6">
      <w:pPr>
        <w:rPr>
          <w:rFonts w:ascii="Arial" w:eastAsia="Arial" w:hAnsi="Arial" w:cs="Arial"/>
          <w:color w:val="000000" w:themeColor="text1"/>
        </w:rPr>
      </w:pPr>
    </w:p>
    <w:p w14:paraId="6025A086" w14:textId="77777777" w:rsidR="0041260D" w:rsidRDefault="0041260D" w:rsidP="4C72D9C6">
      <w:pPr>
        <w:rPr>
          <w:rFonts w:ascii="Arial" w:eastAsia="Arial" w:hAnsi="Arial" w:cs="Arial"/>
          <w:color w:val="000000" w:themeColor="text1"/>
        </w:rPr>
      </w:pPr>
    </w:p>
    <w:p w14:paraId="3FAC3AD4" w14:textId="7A758BB7" w:rsidR="546AC345" w:rsidRDefault="546AC345" w:rsidP="546AC345">
      <w:pPr>
        <w:rPr>
          <w:rFonts w:ascii="Arial" w:eastAsia="Arial" w:hAnsi="Arial" w:cs="Arial"/>
          <w:color w:val="000000" w:themeColor="text1"/>
        </w:rPr>
      </w:pPr>
    </w:p>
    <w:p w14:paraId="2AE2CDEB" w14:textId="7153C0AE" w:rsidR="546AC345" w:rsidRDefault="546AC345" w:rsidP="546AC345">
      <w:pPr>
        <w:rPr>
          <w:rFonts w:ascii="Arial" w:eastAsia="Arial" w:hAnsi="Arial" w:cs="Arial"/>
          <w:color w:val="000000" w:themeColor="text1"/>
        </w:rPr>
      </w:pPr>
    </w:p>
    <w:p w14:paraId="234CEEAF" w14:textId="3B983DCF" w:rsidR="546AC345" w:rsidRDefault="546AC345" w:rsidP="546AC345">
      <w:pPr>
        <w:rPr>
          <w:rFonts w:ascii="Arial" w:eastAsia="Arial" w:hAnsi="Arial" w:cs="Arial"/>
          <w:color w:val="000000" w:themeColor="text1"/>
        </w:rPr>
      </w:pPr>
    </w:p>
    <w:p w14:paraId="7CCDD1C9" w14:textId="16A7DC62" w:rsidR="546AC345" w:rsidRDefault="546AC345" w:rsidP="546AC345">
      <w:pPr>
        <w:rPr>
          <w:rFonts w:ascii="Arial" w:eastAsia="Arial" w:hAnsi="Arial" w:cs="Arial"/>
          <w:color w:val="000000" w:themeColor="text1"/>
        </w:rPr>
      </w:pPr>
    </w:p>
    <w:p w14:paraId="5E47B539" w14:textId="236117F7" w:rsidR="546AC345" w:rsidRDefault="546AC345" w:rsidP="546AC345">
      <w:pPr>
        <w:rPr>
          <w:rFonts w:ascii="Arial" w:eastAsia="Arial" w:hAnsi="Arial" w:cs="Arial"/>
          <w:color w:val="000000" w:themeColor="text1"/>
        </w:rPr>
      </w:pPr>
    </w:p>
    <w:p w14:paraId="3A0DDF9E" w14:textId="46FA9D83" w:rsidR="546AC345" w:rsidRDefault="546AC345" w:rsidP="546AC345">
      <w:pPr>
        <w:rPr>
          <w:rFonts w:ascii="Arial" w:eastAsia="Arial" w:hAnsi="Arial" w:cs="Arial"/>
          <w:color w:val="000000" w:themeColor="text1"/>
        </w:rPr>
      </w:pPr>
    </w:p>
    <w:p w14:paraId="5762576F" w14:textId="2045C7CD" w:rsidR="546AC345" w:rsidRDefault="546AC345" w:rsidP="546AC345">
      <w:pPr>
        <w:rPr>
          <w:rFonts w:ascii="Arial" w:eastAsia="Arial" w:hAnsi="Arial" w:cs="Arial"/>
          <w:color w:val="000000" w:themeColor="text1"/>
        </w:rPr>
      </w:pPr>
    </w:p>
    <w:p w14:paraId="69713728" w14:textId="11FB1B9E" w:rsidR="00621776" w:rsidRPr="00FF5B5D" w:rsidRDefault="00621776" w:rsidP="4C72D9C6">
      <w:pPr>
        <w:pStyle w:val="Heading1"/>
        <w:rPr>
          <w:rFonts w:eastAsia="Arial" w:cs="Arial"/>
          <w:color w:val="000000" w:themeColor="text1"/>
          <w:sz w:val="22"/>
          <w:szCs w:val="22"/>
        </w:rPr>
      </w:pPr>
    </w:p>
    <w:p w14:paraId="6D7584F3" w14:textId="347881BD" w:rsidR="00621776" w:rsidRPr="00FF5B5D" w:rsidRDefault="00621776" w:rsidP="4C72D9C6">
      <w:pPr>
        <w:pStyle w:val="Heading1"/>
        <w:ind w:left="0"/>
        <w:rPr>
          <w:rFonts w:eastAsia="Arial" w:cs="Arial"/>
          <w:color w:val="000000" w:themeColor="text1"/>
          <w:sz w:val="22"/>
          <w:szCs w:val="22"/>
        </w:rPr>
      </w:pPr>
      <w:r w:rsidRPr="4C72D9C6">
        <w:rPr>
          <w:rFonts w:eastAsia="Arial" w:cs="Arial"/>
          <w:color w:val="000000" w:themeColor="text1"/>
          <w:sz w:val="22"/>
          <w:szCs w:val="22"/>
        </w:rPr>
        <w:t xml:space="preserve">6.2 – Appendices </w:t>
      </w:r>
    </w:p>
    <w:p w14:paraId="70AE86AD" w14:textId="77777777" w:rsidR="005346D8" w:rsidRPr="005346D8" w:rsidRDefault="005346D8" w:rsidP="4C72D9C6">
      <w:pPr>
        <w:spacing w:before="100" w:beforeAutospacing="1" w:after="100" w:afterAutospacing="1" w:line="240" w:lineRule="auto"/>
        <w:jc w:val="left"/>
        <w:outlineLvl w:val="2"/>
        <w:rPr>
          <w:rFonts w:ascii="Arial" w:eastAsia="Arial" w:hAnsi="Arial" w:cs="Arial"/>
          <w:b/>
          <w:bCs/>
          <w:color w:val="000000" w:themeColor="text1"/>
          <w:kern w:val="0"/>
          <w:lang w:eastAsia="en-GB"/>
          <w14:ligatures w14:val="none"/>
        </w:rPr>
      </w:pPr>
      <w:r w:rsidRPr="4C72D9C6">
        <w:rPr>
          <w:rFonts w:ascii="Arial" w:eastAsia="Arial" w:hAnsi="Arial" w:cs="Arial"/>
          <w:b/>
          <w:bCs/>
          <w:color w:val="000000" w:themeColor="text1"/>
          <w:kern w:val="0"/>
          <w:lang w:eastAsia="en-GB"/>
          <w14:ligatures w14:val="none"/>
        </w:rPr>
        <w:t>Appendix A. Source Tracking Table</w:t>
      </w:r>
    </w:p>
    <w:p w14:paraId="084DF664" w14:textId="5DA4C367" w:rsidR="005346D8" w:rsidRPr="005346D8" w:rsidRDefault="005346D8" w:rsidP="4C72D9C6">
      <w:pPr>
        <w:spacing w:before="100" w:beforeAutospacing="1" w:after="100" w:afterAutospacing="1" w:line="240" w:lineRule="auto"/>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(Linked to Chapter 3.3)</w:t>
      </w:r>
    </w:p>
    <w:tbl>
      <w:tblPr>
        <w:tblStyle w:val="TableGrid"/>
        <w:tblW w:w="0" w:type="auto"/>
        <w:tblLook w:val="04A0" w:firstRow="1" w:lastRow="0" w:firstColumn="1" w:lastColumn="0" w:noHBand="0" w:noVBand="1"/>
      </w:tblPr>
      <w:tblGrid>
        <w:gridCol w:w="514"/>
        <w:gridCol w:w="1047"/>
        <w:gridCol w:w="1889"/>
        <w:gridCol w:w="1715"/>
        <w:gridCol w:w="1304"/>
        <w:gridCol w:w="1222"/>
        <w:gridCol w:w="1325"/>
      </w:tblGrid>
      <w:tr w:rsidR="005346D8" w:rsidRPr="005346D8" w14:paraId="6D90AC62" w14:textId="77777777" w:rsidTr="4C72D9C6">
        <w:tc>
          <w:tcPr>
            <w:tcW w:w="0" w:type="auto"/>
            <w:hideMark/>
          </w:tcPr>
          <w:p w14:paraId="31F2148C" w14:textId="77777777" w:rsidR="005346D8" w:rsidRPr="005346D8" w:rsidRDefault="005346D8" w:rsidP="4C72D9C6">
            <w:pPr>
              <w:spacing w:before="100" w:beforeAutospacing="1" w:after="100" w:afterAutospacing="1" w:line="240" w:lineRule="auto"/>
              <w:jc w:val="center"/>
              <w:rPr>
                <w:rFonts w:ascii="Arial" w:eastAsia="Arial" w:hAnsi="Arial" w:cs="Arial"/>
                <w:b/>
                <w:bCs/>
                <w:color w:val="000000" w:themeColor="text1"/>
                <w:lang w:eastAsia="en-GB"/>
              </w:rPr>
            </w:pPr>
            <w:r w:rsidRPr="4C72D9C6">
              <w:rPr>
                <w:rFonts w:ascii="Arial" w:eastAsia="Arial" w:hAnsi="Arial" w:cs="Arial"/>
                <w:b/>
                <w:bCs/>
                <w:color w:val="000000" w:themeColor="text1"/>
                <w:lang w:eastAsia="en-GB"/>
              </w:rPr>
              <w:t>No.</w:t>
            </w:r>
          </w:p>
        </w:tc>
        <w:tc>
          <w:tcPr>
            <w:tcW w:w="0" w:type="auto"/>
            <w:hideMark/>
          </w:tcPr>
          <w:p w14:paraId="2F0B1DDF" w14:textId="77777777" w:rsidR="005346D8" w:rsidRPr="005346D8" w:rsidRDefault="005346D8" w:rsidP="4C72D9C6">
            <w:pPr>
              <w:spacing w:before="100" w:beforeAutospacing="1" w:after="100" w:afterAutospacing="1" w:line="240" w:lineRule="auto"/>
              <w:jc w:val="center"/>
              <w:rPr>
                <w:rFonts w:ascii="Arial" w:eastAsia="Arial" w:hAnsi="Arial" w:cs="Arial"/>
                <w:b/>
                <w:bCs/>
                <w:color w:val="000000" w:themeColor="text1"/>
                <w:lang w:eastAsia="en-GB"/>
              </w:rPr>
            </w:pPr>
            <w:r w:rsidRPr="4C72D9C6">
              <w:rPr>
                <w:rFonts w:ascii="Arial" w:eastAsia="Arial" w:hAnsi="Arial" w:cs="Arial"/>
                <w:b/>
                <w:bCs/>
                <w:color w:val="000000" w:themeColor="text1"/>
                <w:lang w:eastAsia="en-GB"/>
              </w:rPr>
              <w:t>Author(s) &amp; Year</w:t>
            </w:r>
          </w:p>
        </w:tc>
        <w:tc>
          <w:tcPr>
            <w:tcW w:w="0" w:type="auto"/>
            <w:hideMark/>
          </w:tcPr>
          <w:p w14:paraId="5885B3C6" w14:textId="77777777" w:rsidR="005346D8" w:rsidRPr="005346D8" w:rsidRDefault="005346D8" w:rsidP="4C72D9C6">
            <w:pPr>
              <w:spacing w:before="100" w:beforeAutospacing="1" w:after="100" w:afterAutospacing="1" w:line="240" w:lineRule="auto"/>
              <w:jc w:val="center"/>
              <w:rPr>
                <w:rFonts w:ascii="Arial" w:eastAsia="Arial" w:hAnsi="Arial" w:cs="Arial"/>
                <w:b/>
                <w:bCs/>
                <w:color w:val="000000" w:themeColor="text1"/>
                <w:lang w:eastAsia="en-GB"/>
              </w:rPr>
            </w:pPr>
            <w:r w:rsidRPr="4C72D9C6">
              <w:rPr>
                <w:rFonts w:ascii="Arial" w:eastAsia="Arial" w:hAnsi="Arial" w:cs="Arial"/>
                <w:b/>
                <w:bCs/>
                <w:color w:val="000000" w:themeColor="text1"/>
                <w:lang w:eastAsia="en-GB"/>
              </w:rPr>
              <w:t>Title</w:t>
            </w:r>
          </w:p>
        </w:tc>
        <w:tc>
          <w:tcPr>
            <w:tcW w:w="0" w:type="auto"/>
            <w:hideMark/>
          </w:tcPr>
          <w:p w14:paraId="1C4EA2E0" w14:textId="77777777" w:rsidR="005346D8" w:rsidRPr="005346D8" w:rsidRDefault="005346D8" w:rsidP="4C72D9C6">
            <w:pPr>
              <w:spacing w:before="100" w:beforeAutospacing="1" w:after="100" w:afterAutospacing="1" w:line="240" w:lineRule="auto"/>
              <w:jc w:val="center"/>
              <w:rPr>
                <w:rFonts w:ascii="Arial" w:eastAsia="Arial" w:hAnsi="Arial" w:cs="Arial"/>
                <w:b/>
                <w:bCs/>
                <w:color w:val="000000" w:themeColor="text1"/>
                <w:lang w:eastAsia="en-GB"/>
              </w:rPr>
            </w:pPr>
            <w:r w:rsidRPr="4C72D9C6">
              <w:rPr>
                <w:rFonts w:ascii="Arial" w:eastAsia="Arial" w:hAnsi="Arial" w:cs="Arial"/>
                <w:b/>
                <w:bCs/>
                <w:color w:val="000000" w:themeColor="text1"/>
                <w:lang w:eastAsia="en-GB"/>
              </w:rPr>
              <w:t>Database/Source</w:t>
            </w:r>
          </w:p>
        </w:tc>
        <w:tc>
          <w:tcPr>
            <w:tcW w:w="0" w:type="auto"/>
            <w:hideMark/>
          </w:tcPr>
          <w:p w14:paraId="0FCB2D17" w14:textId="77777777" w:rsidR="005346D8" w:rsidRPr="005346D8" w:rsidRDefault="005346D8" w:rsidP="4C72D9C6">
            <w:pPr>
              <w:spacing w:before="100" w:beforeAutospacing="1" w:after="100" w:afterAutospacing="1" w:line="240" w:lineRule="auto"/>
              <w:jc w:val="center"/>
              <w:rPr>
                <w:rFonts w:ascii="Arial" w:eastAsia="Arial" w:hAnsi="Arial" w:cs="Arial"/>
                <w:b/>
                <w:bCs/>
                <w:color w:val="000000" w:themeColor="text1"/>
                <w:lang w:eastAsia="en-GB"/>
              </w:rPr>
            </w:pPr>
            <w:r w:rsidRPr="4C72D9C6">
              <w:rPr>
                <w:rFonts w:ascii="Arial" w:eastAsia="Arial" w:hAnsi="Arial" w:cs="Arial"/>
                <w:b/>
                <w:bCs/>
                <w:color w:val="000000" w:themeColor="text1"/>
                <w:lang w:eastAsia="en-GB"/>
              </w:rPr>
              <w:t>Keywords</w:t>
            </w:r>
          </w:p>
        </w:tc>
        <w:tc>
          <w:tcPr>
            <w:tcW w:w="0" w:type="auto"/>
            <w:hideMark/>
          </w:tcPr>
          <w:p w14:paraId="008D8A4D" w14:textId="77777777" w:rsidR="005346D8" w:rsidRPr="005346D8" w:rsidRDefault="005346D8" w:rsidP="4C72D9C6">
            <w:pPr>
              <w:spacing w:before="100" w:beforeAutospacing="1" w:after="100" w:afterAutospacing="1" w:line="240" w:lineRule="auto"/>
              <w:jc w:val="center"/>
              <w:rPr>
                <w:rFonts w:ascii="Arial" w:eastAsia="Arial" w:hAnsi="Arial" w:cs="Arial"/>
                <w:b/>
                <w:bCs/>
                <w:color w:val="000000" w:themeColor="text1"/>
                <w:lang w:eastAsia="en-GB"/>
              </w:rPr>
            </w:pPr>
            <w:r w:rsidRPr="4C72D9C6">
              <w:rPr>
                <w:rFonts w:ascii="Arial" w:eastAsia="Arial" w:hAnsi="Arial" w:cs="Arial"/>
                <w:b/>
                <w:bCs/>
                <w:color w:val="000000" w:themeColor="text1"/>
                <w:lang w:eastAsia="en-GB"/>
              </w:rPr>
              <w:t>Relevance to Research</w:t>
            </w:r>
          </w:p>
        </w:tc>
        <w:tc>
          <w:tcPr>
            <w:tcW w:w="0" w:type="auto"/>
            <w:hideMark/>
          </w:tcPr>
          <w:p w14:paraId="50FF4F43" w14:textId="77777777" w:rsidR="005346D8" w:rsidRPr="005346D8" w:rsidRDefault="005346D8" w:rsidP="4C72D9C6">
            <w:pPr>
              <w:spacing w:before="100" w:beforeAutospacing="1" w:after="100" w:afterAutospacing="1" w:line="240" w:lineRule="auto"/>
              <w:jc w:val="center"/>
              <w:rPr>
                <w:rFonts w:ascii="Arial" w:eastAsia="Arial" w:hAnsi="Arial" w:cs="Arial"/>
                <w:b/>
                <w:bCs/>
                <w:color w:val="000000" w:themeColor="text1"/>
                <w:lang w:eastAsia="en-GB"/>
              </w:rPr>
            </w:pPr>
            <w:r w:rsidRPr="4C72D9C6">
              <w:rPr>
                <w:rFonts w:ascii="Arial" w:eastAsia="Arial" w:hAnsi="Arial" w:cs="Arial"/>
                <w:b/>
                <w:bCs/>
                <w:color w:val="000000" w:themeColor="text1"/>
                <w:lang w:eastAsia="en-GB"/>
              </w:rPr>
              <w:t>CRAAP Summary</w:t>
            </w:r>
          </w:p>
        </w:tc>
      </w:tr>
      <w:tr w:rsidR="005346D8" w:rsidRPr="005346D8" w14:paraId="41970A60" w14:textId="77777777" w:rsidTr="4C72D9C6">
        <w:tc>
          <w:tcPr>
            <w:tcW w:w="0" w:type="auto"/>
            <w:hideMark/>
          </w:tcPr>
          <w:p w14:paraId="6232183F"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1</w:t>
            </w:r>
          </w:p>
        </w:tc>
        <w:tc>
          <w:tcPr>
            <w:tcW w:w="0" w:type="auto"/>
            <w:hideMark/>
          </w:tcPr>
          <w:p w14:paraId="36D91143"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Maciver et al. (2025)</w:t>
            </w:r>
          </w:p>
        </w:tc>
        <w:tc>
          <w:tcPr>
            <w:tcW w:w="0" w:type="auto"/>
            <w:hideMark/>
          </w:tcPr>
          <w:p w14:paraId="40781227"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Waiting times and influencing factors in children and adults undergoing assessment for autism, ADHD, and other neurodevelopmental conditions</w:t>
            </w:r>
          </w:p>
        </w:tc>
        <w:tc>
          <w:tcPr>
            <w:tcW w:w="0" w:type="auto"/>
            <w:hideMark/>
          </w:tcPr>
          <w:p w14:paraId="595D41B3"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UWTSD Library / ScienceDirect</w:t>
            </w:r>
          </w:p>
        </w:tc>
        <w:tc>
          <w:tcPr>
            <w:tcW w:w="0" w:type="auto"/>
            <w:hideMark/>
          </w:tcPr>
          <w:p w14:paraId="69AE6091"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ADHD, CAMHS, waiting times</w:t>
            </w:r>
          </w:p>
        </w:tc>
        <w:tc>
          <w:tcPr>
            <w:tcW w:w="0" w:type="auto"/>
            <w:hideMark/>
          </w:tcPr>
          <w:p w14:paraId="61BB9422"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Examines delays in ADHD assessment across NHS regions</w:t>
            </w:r>
          </w:p>
        </w:tc>
        <w:tc>
          <w:tcPr>
            <w:tcW w:w="0" w:type="auto"/>
            <w:hideMark/>
          </w:tcPr>
          <w:p w14:paraId="742EC70C"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Currency (2025), Relevance (High), Authority (Peer-reviewed)</w:t>
            </w:r>
          </w:p>
        </w:tc>
      </w:tr>
      <w:tr w:rsidR="005346D8" w:rsidRPr="005346D8" w14:paraId="6020EE23" w14:textId="77777777" w:rsidTr="4C72D9C6">
        <w:tc>
          <w:tcPr>
            <w:tcW w:w="0" w:type="auto"/>
            <w:hideMark/>
          </w:tcPr>
          <w:p w14:paraId="5A75D7D2"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2</w:t>
            </w:r>
          </w:p>
        </w:tc>
        <w:tc>
          <w:tcPr>
            <w:tcW w:w="0" w:type="auto"/>
            <w:hideMark/>
          </w:tcPr>
          <w:p w14:paraId="75E5700C"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Sayal et al. (2018)</w:t>
            </w:r>
          </w:p>
        </w:tc>
        <w:tc>
          <w:tcPr>
            <w:tcW w:w="0" w:type="auto"/>
            <w:hideMark/>
          </w:tcPr>
          <w:p w14:paraId="7E08779D"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ADHD in children and young people: prevalence, care pathways, and service provision</w:t>
            </w:r>
          </w:p>
        </w:tc>
        <w:tc>
          <w:tcPr>
            <w:tcW w:w="0" w:type="auto"/>
            <w:hideMark/>
          </w:tcPr>
          <w:p w14:paraId="25E1BA99"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UWTSD Library / The Lancet Psychiatry</w:t>
            </w:r>
          </w:p>
        </w:tc>
        <w:tc>
          <w:tcPr>
            <w:tcW w:w="0" w:type="auto"/>
            <w:hideMark/>
          </w:tcPr>
          <w:p w14:paraId="5FC03D19"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ADHD, prevalence, children, UK</w:t>
            </w:r>
          </w:p>
        </w:tc>
        <w:tc>
          <w:tcPr>
            <w:tcW w:w="0" w:type="auto"/>
            <w:hideMark/>
          </w:tcPr>
          <w:p w14:paraId="6CF4C6CA"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Establishes UK care pathways and prevalence rates</w:t>
            </w:r>
          </w:p>
        </w:tc>
        <w:tc>
          <w:tcPr>
            <w:tcW w:w="0" w:type="auto"/>
            <w:hideMark/>
          </w:tcPr>
          <w:p w14:paraId="057B2401"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Currency (High), Accuracy (High), Purpose (Informative)</w:t>
            </w:r>
          </w:p>
        </w:tc>
      </w:tr>
      <w:tr w:rsidR="005346D8" w:rsidRPr="005346D8" w14:paraId="45A337B3" w14:textId="77777777" w:rsidTr="4C72D9C6">
        <w:tc>
          <w:tcPr>
            <w:tcW w:w="0" w:type="auto"/>
            <w:hideMark/>
          </w:tcPr>
          <w:p w14:paraId="6A5CA242"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3</w:t>
            </w:r>
          </w:p>
        </w:tc>
        <w:tc>
          <w:tcPr>
            <w:tcW w:w="0" w:type="auto"/>
            <w:hideMark/>
          </w:tcPr>
          <w:p w14:paraId="7EC9AD3E"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May et al. (2021)</w:t>
            </w:r>
          </w:p>
        </w:tc>
        <w:tc>
          <w:tcPr>
            <w:tcW w:w="0" w:type="auto"/>
            <w:hideMark/>
          </w:tcPr>
          <w:p w14:paraId="1A08199D"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Attainment, attendance, and school difficulties in UK primary pupils with probable ADHD</w:t>
            </w:r>
          </w:p>
        </w:tc>
        <w:tc>
          <w:tcPr>
            <w:tcW w:w="0" w:type="auto"/>
            <w:hideMark/>
          </w:tcPr>
          <w:p w14:paraId="43CB59B4"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Google Scholar</w:t>
            </w:r>
          </w:p>
        </w:tc>
        <w:tc>
          <w:tcPr>
            <w:tcW w:w="0" w:type="auto"/>
            <w:hideMark/>
          </w:tcPr>
          <w:p w14:paraId="6B3D14AC"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education, school performance, ADHD</w:t>
            </w:r>
          </w:p>
        </w:tc>
        <w:tc>
          <w:tcPr>
            <w:tcW w:w="0" w:type="auto"/>
            <w:hideMark/>
          </w:tcPr>
          <w:p w14:paraId="214EF2DD" w14:textId="07BFF345" w:rsidR="005346D8" w:rsidRPr="005346D8" w:rsidRDefault="5536F3ED"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Links</w:t>
            </w:r>
            <w:r w:rsidR="005346D8" w:rsidRPr="4C72D9C6">
              <w:rPr>
                <w:rFonts w:ascii="Arial" w:eastAsia="Arial" w:hAnsi="Arial" w:cs="Arial"/>
                <w:color w:val="000000" w:themeColor="text1"/>
                <w:lang w:eastAsia="en-GB"/>
              </w:rPr>
              <w:t xml:space="preserve"> ADHD diagnosis timing to academic outcomes</w:t>
            </w:r>
          </w:p>
        </w:tc>
        <w:tc>
          <w:tcPr>
            <w:tcW w:w="0" w:type="auto"/>
            <w:hideMark/>
          </w:tcPr>
          <w:p w14:paraId="6CC7BCCF"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Relevance (High), Authority (Strong)</w:t>
            </w:r>
          </w:p>
        </w:tc>
      </w:tr>
      <w:tr w:rsidR="005346D8" w:rsidRPr="005346D8" w14:paraId="27C6F98C" w14:textId="77777777" w:rsidTr="4C72D9C6">
        <w:tc>
          <w:tcPr>
            <w:tcW w:w="0" w:type="auto"/>
            <w:hideMark/>
          </w:tcPr>
          <w:p w14:paraId="219CBA73"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4</w:t>
            </w:r>
          </w:p>
        </w:tc>
        <w:tc>
          <w:tcPr>
            <w:tcW w:w="0" w:type="auto"/>
            <w:hideMark/>
          </w:tcPr>
          <w:p w14:paraId="14A9A140"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NHS England (2025)</w:t>
            </w:r>
          </w:p>
        </w:tc>
        <w:tc>
          <w:tcPr>
            <w:tcW w:w="0" w:type="auto"/>
            <w:hideMark/>
          </w:tcPr>
          <w:p w14:paraId="4A9BD510"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Report of the Independent ADHD Taskforce (Part 1 – Interim)</w:t>
            </w:r>
          </w:p>
        </w:tc>
        <w:tc>
          <w:tcPr>
            <w:tcW w:w="0" w:type="auto"/>
            <w:hideMark/>
          </w:tcPr>
          <w:p w14:paraId="5749A539"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NHS England (grey literature)</w:t>
            </w:r>
          </w:p>
        </w:tc>
        <w:tc>
          <w:tcPr>
            <w:tcW w:w="0" w:type="auto"/>
            <w:hideMark/>
          </w:tcPr>
          <w:p w14:paraId="3F545074"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ADHD, waiting times, policy, UK</w:t>
            </w:r>
          </w:p>
        </w:tc>
        <w:tc>
          <w:tcPr>
            <w:tcW w:w="0" w:type="auto"/>
            <w:hideMark/>
          </w:tcPr>
          <w:p w14:paraId="209F3654"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Policy evidence supporting early intervention reform</w:t>
            </w:r>
          </w:p>
        </w:tc>
        <w:tc>
          <w:tcPr>
            <w:tcW w:w="0" w:type="auto"/>
            <w:hideMark/>
          </w:tcPr>
          <w:p w14:paraId="16F3F33C"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Authority (Official NHS), Purpose (Policy guidance)</w:t>
            </w:r>
          </w:p>
        </w:tc>
      </w:tr>
      <w:tr w:rsidR="005346D8" w:rsidRPr="005346D8" w14:paraId="3C293B03" w14:textId="77777777" w:rsidTr="4C72D9C6">
        <w:tc>
          <w:tcPr>
            <w:tcW w:w="0" w:type="auto"/>
            <w:hideMark/>
          </w:tcPr>
          <w:p w14:paraId="176044E8"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5</w:t>
            </w:r>
          </w:p>
        </w:tc>
        <w:tc>
          <w:tcPr>
            <w:tcW w:w="0" w:type="auto"/>
            <w:hideMark/>
          </w:tcPr>
          <w:p w14:paraId="634031F9"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NICE (2018; reviewed 2025)</w:t>
            </w:r>
          </w:p>
        </w:tc>
        <w:tc>
          <w:tcPr>
            <w:tcW w:w="0" w:type="auto"/>
            <w:hideMark/>
          </w:tcPr>
          <w:p w14:paraId="30CA186A"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NG87: Attention deficit hyperactivity disorder: diagnosis and management</w:t>
            </w:r>
          </w:p>
        </w:tc>
        <w:tc>
          <w:tcPr>
            <w:tcW w:w="0" w:type="auto"/>
            <w:hideMark/>
          </w:tcPr>
          <w:p w14:paraId="5417771E"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NICE database</w:t>
            </w:r>
          </w:p>
        </w:tc>
        <w:tc>
          <w:tcPr>
            <w:tcW w:w="0" w:type="auto"/>
            <w:hideMark/>
          </w:tcPr>
          <w:p w14:paraId="2341A739"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NICE guidance, ADHD, management</w:t>
            </w:r>
          </w:p>
        </w:tc>
        <w:tc>
          <w:tcPr>
            <w:tcW w:w="0" w:type="auto"/>
            <w:hideMark/>
          </w:tcPr>
          <w:p w14:paraId="28B8E9B6"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Core clinical guidance promoting early recognition</w:t>
            </w:r>
          </w:p>
        </w:tc>
        <w:tc>
          <w:tcPr>
            <w:tcW w:w="0" w:type="auto"/>
            <w:hideMark/>
          </w:tcPr>
          <w:p w14:paraId="58EAA0D7"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Authority (Very strong), Currency (Updated 2025)</w:t>
            </w:r>
          </w:p>
        </w:tc>
      </w:tr>
      <w:tr w:rsidR="005346D8" w:rsidRPr="005346D8" w14:paraId="3521FB3C" w14:textId="77777777" w:rsidTr="4C72D9C6">
        <w:tc>
          <w:tcPr>
            <w:tcW w:w="0" w:type="auto"/>
            <w:hideMark/>
          </w:tcPr>
          <w:p w14:paraId="14C9B2F1"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6</w:t>
            </w:r>
          </w:p>
        </w:tc>
        <w:tc>
          <w:tcPr>
            <w:tcW w:w="0" w:type="auto"/>
            <w:hideMark/>
          </w:tcPr>
          <w:p w14:paraId="18E27AA8"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Skoglund et al. (2024)</w:t>
            </w:r>
          </w:p>
        </w:tc>
        <w:tc>
          <w:tcPr>
            <w:tcW w:w="0" w:type="auto"/>
            <w:hideMark/>
          </w:tcPr>
          <w:p w14:paraId="43882DDD"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 xml:space="preserve">Failure to </w:t>
            </w:r>
            <w:bookmarkStart w:id="70" w:name="_Int_IsOMfF8P"/>
            <w:r w:rsidRPr="4C72D9C6">
              <w:rPr>
                <w:rFonts w:ascii="Arial" w:eastAsia="Arial" w:hAnsi="Arial" w:cs="Arial"/>
                <w:color w:val="000000" w:themeColor="text1"/>
                <w:lang w:eastAsia="en-GB"/>
              </w:rPr>
              <w:t>identify</w:t>
            </w:r>
            <w:bookmarkEnd w:id="70"/>
            <w:r w:rsidRPr="4C72D9C6">
              <w:rPr>
                <w:rFonts w:ascii="Arial" w:eastAsia="Arial" w:hAnsi="Arial" w:cs="Arial"/>
                <w:color w:val="000000" w:themeColor="text1"/>
                <w:lang w:eastAsia="en-GB"/>
              </w:rPr>
              <w:t xml:space="preserve"> and support females with ADHD – A Swedish perspective</w:t>
            </w:r>
          </w:p>
        </w:tc>
        <w:tc>
          <w:tcPr>
            <w:tcW w:w="0" w:type="auto"/>
            <w:hideMark/>
          </w:tcPr>
          <w:p w14:paraId="5A543EEA"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Taylor &amp; Francis</w:t>
            </w:r>
          </w:p>
        </w:tc>
        <w:tc>
          <w:tcPr>
            <w:tcW w:w="0" w:type="auto"/>
            <w:hideMark/>
          </w:tcPr>
          <w:p w14:paraId="6CFE89B8"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ADHD, gender bias, children</w:t>
            </w:r>
          </w:p>
        </w:tc>
        <w:tc>
          <w:tcPr>
            <w:tcW w:w="0" w:type="auto"/>
            <w:hideMark/>
          </w:tcPr>
          <w:p w14:paraId="7BF65B90" w14:textId="1E24C141" w:rsidR="005346D8" w:rsidRPr="005346D8" w:rsidRDefault="073104EB" w:rsidP="4C72D9C6">
            <w:pPr>
              <w:spacing w:before="100" w:beforeAutospacing="1" w:after="100" w:afterAutospacing="1" w:line="240" w:lineRule="auto"/>
              <w:jc w:val="left"/>
              <w:rPr>
                <w:rFonts w:ascii="Arial" w:eastAsia="Arial" w:hAnsi="Arial" w:cs="Arial"/>
                <w:color w:val="000000" w:themeColor="text1"/>
                <w:lang w:eastAsia="en-GB"/>
              </w:rPr>
            </w:pPr>
            <w:r w:rsidRPr="1E03315E">
              <w:rPr>
                <w:rFonts w:ascii="Arial" w:eastAsia="Arial" w:hAnsi="Arial" w:cs="Arial"/>
                <w:color w:val="000000" w:themeColor="text1"/>
                <w:lang w:eastAsia="en-GB"/>
              </w:rPr>
              <w:t>Offers</w:t>
            </w:r>
            <w:r w:rsidR="005346D8" w:rsidRPr="4C72D9C6">
              <w:rPr>
                <w:rFonts w:ascii="Arial" w:eastAsia="Arial" w:hAnsi="Arial" w:cs="Arial"/>
                <w:color w:val="000000" w:themeColor="text1"/>
                <w:lang w:eastAsia="en-GB"/>
              </w:rPr>
              <w:t xml:space="preserve"> comparative global insights on diagnostic delay</w:t>
            </w:r>
          </w:p>
        </w:tc>
        <w:tc>
          <w:tcPr>
            <w:tcW w:w="0" w:type="auto"/>
            <w:hideMark/>
          </w:tcPr>
          <w:p w14:paraId="3523AFF4"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Relevance (Medium), Purpose (Comparative study)</w:t>
            </w:r>
          </w:p>
        </w:tc>
      </w:tr>
      <w:tr w:rsidR="005346D8" w:rsidRPr="005346D8" w14:paraId="78914BC0" w14:textId="77777777" w:rsidTr="4C72D9C6">
        <w:tc>
          <w:tcPr>
            <w:tcW w:w="0" w:type="auto"/>
            <w:hideMark/>
          </w:tcPr>
          <w:p w14:paraId="73AFED3B"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7</w:t>
            </w:r>
          </w:p>
        </w:tc>
        <w:tc>
          <w:tcPr>
            <w:tcW w:w="0" w:type="auto"/>
            <w:hideMark/>
          </w:tcPr>
          <w:p w14:paraId="3F2CF8BB"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Uygun et al. (2025)</w:t>
            </w:r>
          </w:p>
        </w:tc>
        <w:tc>
          <w:tcPr>
            <w:tcW w:w="0" w:type="auto"/>
            <w:hideMark/>
          </w:tcPr>
          <w:p w14:paraId="3B4EE0FF"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Psychiatric comorbidities over time in Turkish children and adolescents with ADHD</w:t>
            </w:r>
          </w:p>
        </w:tc>
        <w:tc>
          <w:tcPr>
            <w:tcW w:w="0" w:type="auto"/>
            <w:hideMark/>
          </w:tcPr>
          <w:p w14:paraId="5C1A5FEA"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Springer / Middle East Current Psychiatry</w:t>
            </w:r>
          </w:p>
        </w:tc>
        <w:tc>
          <w:tcPr>
            <w:tcW w:w="0" w:type="auto"/>
            <w:hideMark/>
          </w:tcPr>
          <w:p w14:paraId="7ADE8692"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ADHD, comorbidity, child behaviour</w:t>
            </w:r>
          </w:p>
        </w:tc>
        <w:tc>
          <w:tcPr>
            <w:tcW w:w="0" w:type="auto"/>
            <w:hideMark/>
          </w:tcPr>
          <w:p w14:paraId="45DD84D4"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Cross-cultural data supporting international context</w:t>
            </w:r>
          </w:p>
        </w:tc>
        <w:tc>
          <w:tcPr>
            <w:tcW w:w="0" w:type="auto"/>
            <w:hideMark/>
          </w:tcPr>
          <w:p w14:paraId="5E3D812C"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Accuracy (High), Relevance (Medium)</w:t>
            </w:r>
          </w:p>
        </w:tc>
      </w:tr>
      <w:tr w:rsidR="005346D8" w:rsidRPr="005346D8" w14:paraId="1B2AFE5E" w14:textId="77777777" w:rsidTr="4C72D9C6">
        <w:tc>
          <w:tcPr>
            <w:tcW w:w="0" w:type="auto"/>
            <w:hideMark/>
          </w:tcPr>
          <w:p w14:paraId="7913EBA0"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8</w:t>
            </w:r>
          </w:p>
        </w:tc>
        <w:tc>
          <w:tcPr>
            <w:tcW w:w="0" w:type="auto"/>
            <w:hideMark/>
          </w:tcPr>
          <w:p w14:paraId="0C43421A"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Ward et al. (2021)</w:t>
            </w:r>
          </w:p>
        </w:tc>
        <w:tc>
          <w:tcPr>
            <w:tcW w:w="0" w:type="auto"/>
            <w:hideMark/>
          </w:tcPr>
          <w:p w14:paraId="0B4BA55B"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School staff perspectives on ADHD and training</w:t>
            </w:r>
          </w:p>
        </w:tc>
        <w:tc>
          <w:tcPr>
            <w:tcW w:w="0" w:type="auto"/>
            <w:hideMark/>
          </w:tcPr>
          <w:p w14:paraId="70135997"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UWTSD Library / Taylor &amp; Francis</w:t>
            </w:r>
          </w:p>
        </w:tc>
        <w:tc>
          <w:tcPr>
            <w:tcW w:w="0" w:type="auto"/>
            <w:hideMark/>
          </w:tcPr>
          <w:p w14:paraId="3160E546"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ADHD, teachers, training, classroom</w:t>
            </w:r>
          </w:p>
        </w:tc>
        <w:tc>
          <w:tcPr>
            <w:tcW w:w="0" w:type="auto"/>
            <w:hideMark/>
          </w:tcPr>
          <w:p w14:paraId="6D488C2A"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Highlights teacher awareness barriers</w:t>
            </w:r>
          </w:p>
        </w:tc>
        <w:tc>
          <w:tcPr>
            <w:tcW w:w="0" w:type="auto"/>
            <w:hideMark/>
          </w:tcPr>
          <w:p w14:paraId="13360A04"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Authority (High), Purpose (Educational research)</w:t>
            </w:r>
          </w:p>
        </w:tc>
      </w:tr>
    </w:tbl>
    <w:p w14:paraId="5B6D177E" w14:textId="77777777" w:rsidR="005346D8" w:rsidRPr="005346D8" w:rsidRDefault="005346D8" w:rsidP="4C72D9C6">
      <w:pPr>
        <w:spacing w:after="0" w:line="240" w:lineRule="auto"/>
        <w:jc w:val="left"/>
        <w:rPr>
          <w:rFonts w:ascii="Arial" w:eastAsia="Arial" w:hAnsi="Arial" w:cs="Arial"/>
          <w:i/>
          <w:iCs/>
          <w:color w:val="000000" w:themeColor="text1"/>
          <w:kern w:val="0"/>
          <w:lang w:eastAsia="en-GB"/>
          <w14:ligatures w14:val="none"/>
        </w:rPr>
      </w:pPr>
    </w:p>
    <w:p w14:paraId="032B1139" w14:textId="77777777" w:rsidR="005346D8" w:rsidRPr="005346D8" w:rsidRDefault="005346D8" w:rsidP="4C72D9C6">
      <w:pPr>
        <w:spacing w:after="0" w:line="240" w:lineRule="auto"/>
        <w:jc w:val="left"/>
        <w:rPr>
          <w:rFonts w:ascii="Arial" w:eastAsia="Arial" w:hAnsi="Arial" w:cs="Arial"/>
          <w:i/>
          <w:iCs/>
          <w:color w:val="000000" w:themeColor="text1"/>
          <w:kern w:val="0"/>
          <w:lang w:eastAsia="en-GB"/>
          <w14:ligatures w14:val="none"/>
        </w:rPr>
      </w:pPr>
      <w:r w:rsidRPr="4C72D9C6">
        <w:rPr>
          <w:rFonts w:ascii="Arial" w:eastAsia="Arial" w:hAnsi="Arial" w:cs="Arial"/>
          <w:i/>
          <w:iCs/>
          <w:color w:val="000000" w:themeColor="text1"/>
          <w:kern w:val="0"/>
          <w:lang w:eastAsia="en-GB"/>
          <w14:ligatures w14:val="none"/>
        </w:rPr>
        <w:t>This table summarises the key peer-reviewed and policy sources found during the structured search process. It highlights their relevance to the research question and CRAAP evaluation outcomes, supporting transparency and replicability of the review.</w:t>
      </w:r>
    </w:p>
    <w:p w14:paraId="26406005"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kern w:val="0"/>
          <w:lang w:eastAsia="en-GB"/>
          <w14:ligatures w14:val="none"/>
        </w:rPr>
      </w:pPr>
    </w:p>
    <w:p w14:paraId="0EB06F05" w14:textId="77777777" w:rsidR="005346D8" w:rsidRDefault="005346D8" w:rsidP="4C72D9C6">
      <w:pPr>
        <w:spacing w:before="100" w:beforeAutospacing="1" w:after="100" w:afterAutospacing="1" w:line="240" w:lineRule="auto"/>
        <w:jc w:val="left"/>
        <w:rPr>
          <w:rFonts w:ascii="Arial" w:eastAsia="Arial" w:hAnsi="Arial" w:cs="Arial"/>
          <w:color w:val="000000" w:themeColor="text1"/>
          <w:kern w:val="0"/>
          <w:lang w:eastAsia="en-GB"/>
          <w14:ligatures w14:val="none"/>
        </w:rPr>
      </w:pPr>
    </w:p>
    <w:p w14:paraId="091037DD" w14:textId="77777777" w:rsidR="0041260D" w:rsidRDefault="0041260D" w:rsidP="4C72D9C6">
      <w:pPr>
        <w:spacing w:before="100" w:beforeAutospacing="1" w:after="100" w:afterAutospacing="1" w:line="240" w:lineRule="auto"/>
        <w:jc w:val="left"/>
        <w:rPr>
          <w:rFonts w:ascii="Arial" w:eastAsia="Arial" w:hAnsi="Arial" w:cs="Arial"/>
          <w:color w:val="000000" w:themeColor="text1"/>
          <w:kern w:val="0"/>
          <w:lang w:eastAsia="en-GB"/>
          <w14:ligatures w14:val="none"/>
        </w:rPr>
      </w:pPr>
    </w:p>
    <w:p w14:paraId="6844D9D6" w14:textId="77777777" w:rsidR="0041260D" w:rsidRDefault="0041260D" w:rsidP="4C72D9C6">
      <w:pPr>
        <w:spacing w:before="100" w:beforeAutospacing="1" w:after="100" w:afterAutospacing="1" w:line="240" w:lineRule="auto"/>
        <w:jc w:val="left"/>
        <w:rPr>
          <w:rFonts w:ascii="Arial" w:eastAsia="Arial" w:hAnsi="Arial" w:cs="Arial"/>
          <w:color w:val="000000" w:themeColor="text1"/>
          <w:kern w:val="0"/>
          <w:lang w:eastAsia="en-GB"/>
          <w14:ligatures w14:val="none"/>
        </w:rPr>
      </w:pPr>
    </w:p>
    <w:p w14:paraId="41404748" w14:textId="77777777" w:rsidR="0041260D" w:rsidRDefault="0041260D" w:rsidP="4C72D9C6">
      <w:pPr>
        <w:spacing w:before="100" w:beforeAutospacing="1" w:after="100" w:afterAutospacing="1" w:line="240" w:lineRule="auto"/>
        <w:jc w:val="left"/>
        <w:rPr>
          <w:rFonts w:ascii="Arial" w:eastAsia="Arial" w:hAnsi="Arial" w:cs="Arial"/>
          <w:color w:val="000000" w:themeColor="text1"/>
          <w:kern w:val="0"/>
          <w:lang w:eastAsia="en-GB"/>
          <w14:ligatures w14:val="none"/>
        </w:rPr>
      </w:pPr>
    </w:p>
    <w:p w14:paraId="1BC7565E" w14:textId="77777777" w:rsidR="0041260D" w:rsidRDefault="0041260D" w:rsidP="4C72D9C6">
      <w:pPr>
        <w:spacing w:before="100" w:beforeAutospacing="1" w:after="100" w:afterAutospacing="1" w:line="240" w:lineRule="auto"/>
        <w:jc w:val="left"/>
        <w:rPr>
          <w:rFonts w:ascii="Arial" w:eastAsia="Arial" w:hAnsi="Arial" w:cs="Arial"/>
          <w:color w:val="000000" w:themeColor="text1"/>
          <w:kern w:val="0"/>
          <w:lang w:eastAsia="en-GB"/>
          <w14:ligatures w14:val="none"/>
        </w:rPr>
      </w:pPr>
    </w:p>
    <w:p w14:paraId="118858DF" w14:textId="77777777" w:rsidR="0041260D" w:rsidRDefault="0041260D" w:rsidP="4C72D9C6">
      <w:pPr>
        <w:spacing w:before="100" w:beforeAutospacing="1" w:after="100" w:afterAutospacing="1" w:line="240" w:lineRule="auto"/>
        <w:jc w:val="left"/>
        <w:rPr>
          <w:rFonts w:ascii="Arial" w:eastAsia="Arial" w:hAnsi="Arial" w:cs="Arial"/>
          <w:color w:val="000000" w:themeColor="text1"/>
          <w:kern w:val="0"/>
          <w:lang w:eastAsia="en-GB"/>
          <w14:ligatures w14:val="none"/>
        </w:rPr>
      </w:pPr>
    </w:p>
    <w:p w14:paraId="66AA5E7B" w14:textId="77777777" w:rsidR="0041260D" w:rsidRDefault="0041260D" w:rsidP="4C72D9C6">
      <w:pPr>
        <w:spacing w:before="100" w:beforeAutospacing="1" w:after="100" w:afterAutospacing="1" w:line="240" w:lineRule="auto"/>
        <w:jc w:val="left"/>
        <w:rPr>
          <w:rFonts w:ascii="Arial" w:eastAsia="Arial" w:hAnsi="Arial" w:cs="Arial"/>
          <w:color w:val="000000" w:themeColor="text1"/>
          <w:kern w:val="0"/>
          <w:lang w:eastAsia="en-GB"/>
          <w14:ligatures w14:val="none"/>
        </w:rPr>
      </w:pPr>
    </w:p>
    <w:p w14:paraId="1FED55A1" w14:textId="77777777" w:rsidR="0041260D" w:rsidRDefault="0041260D" w:rsidP="4C72D9C6">
      <w:pPr>
        <w:spacing w:before="100" w:beforeAutospacing="1" w:after="100" w:afterAutospacing="1" w:line="240" w:lineRule="auto"/>
        <w:jc w:val="left"/>
        <w:rPr>
          <w:rFonts w:ascii="Arial" w:eastAsia="Arial" w:hAnsi="Arial" w:cs="Arial"/>
          <w:color w:val="000000" w:themeColor="text1"/>
          <w:kern w:val="0"/>
          <w:lang w:eastAsia="en-GB"/>
          <w14:ligatures w14:val="none"/>
        </w:rPr>
      </w:pPr>
    </w:p>
    <w:p w14:paraId="4238A422" w14:textId="77777777" w:rsidR="004A48F4" w:rsidRDefault="004A48F4" w:rsidP="4C72D9C6">
      <w:pPr>
        <w:spacing w:before="100" w:beforeAutospacing="1" w:after="100" w:afterAutospacing="1" w:line="240" w:lineRule="auto"/>
        <w:jc w:val="left"/>
        <w:rPr>
          <w:rFonts w:ascii="Arial" w:eastAsia="Arial" w:hAnsi="Arial" w:cs="Arial"/>
          <w:color w:val="000000" w:themeColor="text1"/>
          <w:kern w:val="0"/>
          <w:lang w:eastAsia="en-GB"/>
          <w14:ligatures w14:val="none"/>
        </w:rPr>
      </w:pPr>
    </w:p>
    <w:p w14:paraId="4861FCD5" w14:textId="77777777" w:rsidR="004A48F4" w:rsidRDefault="004A48F4" w:rsidP="4C72D9C6">
      <w:pPr>
        <w:spacing w:before="100" w:beforeAutospacing="1" w:after="100" w:afterAutospacing="1" w:line="240" w:lineRule="auto"/>
        <w:jc w:val="left"/>
        <w:rPr>
          <w:rFonts w:ascii="Arial" w:eastAsia="Arial" w:hAnsi="Arial" w:cs="Arial"/>
          <w:color w:val="000000" w:themeColor="text1"/>
          <w:kern w:val="0"/>
          <w:lang w:eastAsia="en-GB"/>
          <w14:ligatures w14:val="none"/>
        </w:rPr>
      </w:pPr>
    </w:p>
    <w:p w14:paraId="4EC2AC54" w14:textId="77777777" w:rsidR="004A48F4" w:rsidRDefault="004A48F4" w:rsidP="4C72D9C6">
      <w:pPr>
        <w:spacing w:before="100" w:beforeAutospacing="1" w:after="100" w:afterAutospacing="1" w:line="240" w:lineRule="auto"/>
        <w:jc w:val="left"/>
        <w:rPr>
          <w:rFonts w:ascii="Arial" w:eastAsia="Arial" w:hAnsi="Arial" w:cs="Arial"/>
          <w:color w:val="000000" w:themeColor="text1"/>
          <w:kern w:val="0"/>
          <w:lang w:eastAsia="en-GB"/>
          <w14:ligatures w14:val="none"/>
        </w:rPr>
      </w:pPr>
    </w:p>
    <w:p w14:paraId="4F9EA6EB" w14:textId="38305FF7" w:rsidR="4C72D9C6" w:rsidRDefault="4C72D9C6" w:rsidP="4C72D9C6">
      <w:pPr>
        <w:spacing w:beforeAutospacing="1" w:afterAutospacing="1" w:line="240" w:lineRule="auto"/>
        <w:jc w:val="left"/>
        <w:rPr>
          <w:rFonts w:ascii="Arial" w:eastAsia="Arial" w:hAnsi="Arial" w:cs="Arial"/>
          <w:color w:val="000000" w:themeColor="text1"/>
          <w:lang w:eastAsia="en-GB"/>
        </w:rPr>
      </w:pPr>
    </w:p>
    <w:p w14:paraId="11AAA363" w14:textId="062F8D43" w:rsidR="4C72D9C6" w:rsidRDefault="4C72D9C6" w:rsidP="4C72D9C6">
      <w:pPr>
        <w:spacing w:beforeAutospacing="1" w:afterAutospacing="1" w:line="240" w:lineRule="auto"/>
        <w:jc w:val="left"/>
        <w:rPr>
          <w:rFonts w:ascii="Arial" w:eastAsia="Arial" w:hAnsi="Arial" w:cs="Arial"/>
          <w:color w:val="000000" w:themeColor="text1"/>
          <w:lang w:eastAsia="en-GB"/>
        </w:rPr>
      </w:pPr>
    </w:p>
    <w:p w14:paraId="456EA50B" w14:textId="29E86965" w:rsidR="4C72D9C6" w:rsidRDefault="4C72D9C6" w:rsidP="4C72D9C6">
      <w:pPr>
        <w:spacing w:beforeAutospacing="1" w:afterAutospacing="1" w:line="240" w:lineRule="auto"/>
        <w:jc w:val="left"/>
        <w:rPr>
          <w:rFonts w:ascii="Arial" w:eastAsia="Arial" w:hAnsi="Arial" w:cs="Arial"/>
          <w:color w:val="000000" w:themeColor="text1"/>
          <w:lang w:eastAsia="en-GB"/>
        </w:rPr>
      </w:pPr>
    </w:p>
    <w:p w14:paraId="5FE3FCE3" w14:textId="4279B78C" w:rsidR="4C72D9C6" w:rsidRDefault="4C72D9C6" w:rsidP="4C72D9C6">
      <w:pPr>
        <w:spacing w:beforeAutospacing="1" w:afterAutospacing="1" w:line="240" w:lineRule="auto"/>
        <w:jc w:val="left"/>
        <w:rPr>
          <w:rFonts w:ascii="Arial" w:eastAsia="Arial" w:hAnsi="Arial" w:cs="Arial"/>
          <w:color w:val="000000" w:themeColor="text1"/>
          <w:lang w:eastAsia="en-GB"/>
        </w:rPr>
      </w:pPr>
    </w:p>
    <w:p w14:paraId="7F19555B" w14:textId="4C2ACDD2" w:rsidR="4C72D9C6" w:rsidRDefault="4C72D9C6" w:rsidP="4C72D9C6">
      <w:pPr>
        <w:spacing w:beforeAutospacing="1" w:afterAutospacing="1" w:line="240" w:lineRule="auto"/>
        <w:jc w:val="left"/>
        <w:rPr>
          <w:rFonts w:ascii="Arial" w:eastAsia="Arial" w:hAnsi="Arial" w:cs="Arial"/>
          <w:color w:val="000000" w:themeColor="text1"/>
          <w:lang w:eastAsia="en-GB"/>
        </w:rPr>
      </w:pPr>
    </w:p>
    <w:p w14:paraId="06A8D415" w14:textId="4CB89B5E" w:rsidR="4C72D9C6" w:rsidRDefault="4C72D9C6" w:rsidP="4C72D9C6">
      <w:pPr>
        <w:spacing w:beforeAutospacing="1" w:afterAutospacing="1" w:line="240" w:lineRule="auto"/>
        <w:jc w:val="left"/>
        <w:rPr>
          <w:rFonts w:ascii="Arial" w:eastAsia="Arial" w:hAnsi="Arial" w:cs="Arial"/>
          <w:color w:val="000000" w:themeColor="text1"/>
          <w:lang w:eastAsia="en-GB"/>
        </w:rPr>
      </w:pPr>
    </w:p>
    <w:p w14:paraId="6B569871" w14:textId="4FD35DB8" w:rsidR="4C72D9C6" w:rsidRDefault="4C72D9C6" w:rsidP="4C72D9C6">
      <w:pPr>
        <w:spacing w:beforeAutospacing="1" w:afterAutospacing="1" w:line="240" w:lineRule="auto"/>
        <w:jc w:val="left"/>
        <w:rPr>
          <w:rFonts w:ascii="Arial" w:eastAsia="Arial" w:hAnsi="Arial" w:cs="Arial"/>
          <w:color w:val="000000" w:themeColor="text1"/>
          <w:lang w:eastAsia="en-GB"/>
        </w:rPr>
      </w:pPr>
    </w:p>
    <w:p w14:paraId="142DEA17" w14:textId="4DC8B58B" w:rsidR="4C72D9C6" w:rsidRDefault="4C72D9C6" w:rsidP="4C72D9C6">
      <w:pPr>
        <w:spacing w:beforeAutospacing="1" w:afterAutospacing="1" w:line="240" w:lineRule="auto"/>
        <w:jc w:val="left"/>
        <w:rPr>
          <w:rFonts w:ascii="Arial" w:eastAsia="Arial" w:hAnsi="Arial" w:cs="Arial"/>
          <w:color w:val="000000" w:themeColor="text1"/>
          <w:lang w:eastAsia="en-GB"/>
        </w:rPr>
      </w:pPr>
    </w:p>
    <w:p w14:paraId="50B00844" w14:textId="494562D4" w:rsidR="4C72D9C6" w:rsidRDefault="4C72D9C6" w:rsidP="4C72D9C6">
      <w:pPr>
        <w:spacing w:beforeAutospacing="1" w:afterAutospacing="1" w:line="240" w:lineRule="auto"/>
        <w:jc w:val="left"/>
        <w:rPr>
          <w:rFonts w:ascii="Arial" w:eastAsia="Arial" w:hAnsi="Arial" w:cs="Arial"/>
          <w:color w:val="000000" w:themeColor="text1"/>
          <w:lang w:eastAsia="en-GB"/>
        </w:rPr>
      </w:pPr>
    </w:p>
    <w:p w14:paraId="442D5D72" w14:textId="60C21597" w:rsidR="4C72D9C6" w:rsidRDefault="4C72D9C6" w:rsidP="4C72D9C6">
      <w:pPr>
        <w:spacing w:beforeAutospacing="1" w:afterAutospacing="1" w:line="240" w:lineRule="auto"/>
        <w:jc w:val="left"/>
        <w:rPr>
          <w:rFonts w:ascii="Arial" w:eastAsia="Arial" w:hAnsi="Arial" w:cs="Arial"/>
          <w:color w:val="000000" w:themeColor="text1"/>
          <w:lang w:eastAsia="en-GB"/>
        </w:rPr>
      </w:pPr>
    </w:p>
    <w:p w14:paraId="5C8B0F59" w14:textId="34A788A7" w:rsidR="4C72D9C6" w:rsidRDefault="4C72D9C6" w:rsidP="4C72D9C6">
      <w:pPr>
        <w:spacing w:beforeAutospacing="1" w:afterAutospacing="1" w:line="240" w:lineRule="auto"/>
        <w:jc w:val="left"/>
        <w:rPr>
          <w:rFonts w:ascii="Arial" w:eastAsia="Arial" w:hAnsi="Arial" w:cs="Arial"/>
          <w:color w:val="000000" w:themeColor="text1"/>
          <w:lang w:eastAsia="en-GB"/>
        </w:rPr>
      </w:pPr>
    </w:p>
    <w:p w14:paraId="49FB7C36" w14:textId="12D9FE0A" w:rsidR="4C72D9C6" w:rsidRDefault="4C72D9C6" w:rsidP="4C72D9C6">
      <w:pPr>
        <w:spacing w:beforeAutospacing="1" w:afterAutospacing="1" w:line="240" w:lineRule="auto"/>
        <w:jc w:val="left"/>
        <w:rPr>
          <w:rFonts w:ascii="Arial" w:eastAsia="Arial" w:hAnsi="Arial" w:cs="Arial"/>
          <w:color w:val="000000" w:themeColor="text1"/>
          <w:lang w:eastAsia="en-GB"/>
        </w:rPr>
      </w:pPr>
    </w:p>
    <w:p w14:paraId="652E2CF9" w14:textId="6699C25E" w:rsidR="4C72D9C6" w:rsidRDefault="4C72D9C6" w:rsidP="4C72D9C6">
      <w:pPr>
        <w:spacing w:beforeAutospacing="1" w:afterAutospacing="1" w:line="240" w:lineRule="auto"/>
        <w:jc w:val="left"/>
        <w:rPr>
          <w:rFonts w:ascii="Arial" w:eastAsia="Arial" w:hAnsi="Arial" w:cs="Arial"/>
          <w:color w:val="000000" w:themeColor="text1"/>
          <w:lang w:eastAsia="en-GB"/>
        </w:rPr>
      </w:pPr>
    </w:p>
    <w:p w14:paraId="64FDA9F0" w14:textId="68CE925A" w:rsidR="4C72D9C6" w:rsidRDefault="4C72D9C6" w:rsidP="4C72D9C6">
      <w:pPr>
        <w:spacing w:beforeAutospacing="1" w:afterAutospacing="1" w:line="240" w:lineRule="auto"/>
        <w:jc w:val="left"/>
        <w:rPr>
          <w:rFonts w:ascii="Arial" w:eastAsia="Arial" w:hAnsi="Arial" w:cs="Arial"/>
          <w:color w:val="000000" w:themeColor="text1"/>
          <w:lang w:eastAsia="en-GB"/>
        </w:rPr>
      </w:pPr>
    </w:p>
    <w:p w14:paraId="18028E42" w14:textId="3DA0F3EB" w:rsidR="4C72D9C6" w:rsidRDefault="4C72D9C6" w:rsidP="4C72D9C6">
      <w:pPr>
        <w:spacing w:beforeAutospacing="1" w:afterAutospacing="1" w:line="240" w:lineRule="auto"/>
        <w:jc w:val="left"/>
        <w:rPr>
          <w:rFonts w:ascii="Arial" w:eastAsia="Arial" w:hAnsi="Arial" w:cs="Arial"/>
          <w:color w:val="000000" w:themeColor="text1"/>
          <w:lang w:eastAsia="en-GB"/>
        </w:rPr>
      </w:pPr>
    </w:p>
    <w:p w14:paraId="2CE91BC7" w14:textId="7160EBFD" w:rsidR="4C72D9C6" w:rsidRDefault="4C72D9C6" w:rsidP="4C72D9C6">
      <w:pPr>
        <w:spacing w:beforeAutospacing="1" w:afterAutospacing="1" w:line="240" w:lineRule="auto"/>
        <w:jc w:val="left"/>
        <w:rPr>
          <w:rFonts w:ascii="Arial" w:eastAsia="Arial" w:hAnsi="Arial" w:cs="Arial"/>
          <w:color w:val="000000" w:themeColor="text1"/>
          <w:lang w:eastAsia="en-GB"/>
        </w:rPr>
      </w:pPr>
    </w:p>
    <w:p w14:paraId="7D9B9CF1" w14:textId="10F4ED26" w:rsidR="4C72D9C6" w:rsidRDefault="4C72D9C6" w:rsidP="4C72D9C6">
      <w:pPr>
        <w:spacing w:beforeAutospacing="1" w:afterAutospacing="1" w:line="240" w:lineRule="auto"/>
        <w:jc w:val="left"/>
        <w:rPr>
          <w:rFonts w:ascii="Arial" w:eastAsia="Arial" w:hAnsi="Arial" w:cs="Arial"/>
          <w:color w:val="000000" w:themeColor="text1"/>
          <w:lang w:eastAsia="en-GB"/>
        </w:rPr>
      </w:pPr>
    </w:p>
    <w:p w14:paraId="67758148" w14:textId="14043EF8" w:rsidR="4C72D9C6" w:rsidRDefault="4C72D9C6" w:rsidP="4C72D9C6">
      <w:pPr>
        <w:spacing w:beforeAutospacing="1" w:afterAutospacing="1" w:line="240" w:lineRule="auto"/>
        <w:jc w:val="left"/>
        <w:rPr>
          <w:rFonts w:ascii="Arial" w:eastAsia="Arial" w:hAnsi="Arial" w:cs="Arial"/>
          <w:color w:val="000000" w:themeColor="text1"/>
          <w:lang w:eastAsia="en-GB"/>
        </w:rPr>
      </w:pPr>
    </w:p>
    <w:p w14:paraId="254D5EC3" w14:textId="77777777" w:rsidR="0041260D" w:rsidRDefault="0041260D" w:rsidP="4C72D9C6">
      <w:pPr>
        <w:spacing w:before="100" w:beforeAutospacing="1" w:after="100" w:afterAutospacing="1" w:line="240" w:lineRule="auto"/>
        <w:jc w:val="left"/>
        <w:rPr>
          <w:rFonts w:ascii="Arial" w:eastAsia="Arial" w:hAnsi="Arial" w:cs="Arial"/>
          <w:color w:val="000000" w:themeColor="text1"/>
          <w:kern w:val="0"/>
          <w:lang w:eastAsia="en-GB"/>
          <w14:ligatures w14:val="none"/>
        </w:rPr>
      </w:pPr>
    </w:p>
    <w:p w14:paraId="437664D4" w14:textId="77777777" w:rsidR="0041260D" w:rsidRPr="005346D8" w:rsidRDefault="0041260D" w:rsidP="4C72D9C6">
      <w:pPr>
        <w:spacing w:before="100" w:beforeAutospacing="1" w:after="100" w:afterAutospacing="1" w:line="240" w:lineRule="auto"/>
        <w:jc w:val="left"/>
        <w:rPr>
          <w:rFonts w:ascii="Arial" w:eastAsia="Arial" w:hAnsi="Arial" w:cs="Arial"/>
          <w:color w:val="000000" w:themeColor="text1"/>
          <w:kern w:val="0"/>
          <w:lang w:eastAsia="en-GB"/>
          <w14:ligatures w14:val="none"/>
        </w:rPr>
      </w:pPr>
    </w:p>
    <w:p w14:paraId="219FDD13" w14:textId="77777777" w:rsidR="005346D8" w:rsidRPr="005346D8" w:rsidRDefault="005346D8" w:rsidP="4C72D9C6">
      <w:pPr>
        <w:spacing w:before="100" w:beforeAutospacing="1" w:after="100" w:afterAutospacing="1" w:line="240" w:lineRule="auto"/>
        <w:jc w:val="left"/>
        <w:outlineLvl w:val="2"/>
        <w:rPr>
          <w:rFonts w:ascii="Arial" w:eastAsia="Arial" w:hAnsi="Arial" w:cs="Arial"/>
          <w:b/>
          <w:bCs/>
          <w:color w:val="000000" w:themeColor="text1"/>
          <w:kern w:val="0"/>
          <w:lang w:eastAsia="en-GB"/>
          <w14:ligatures w14:val="none"/>
        </w:rPr>
      </w:pPr>
      <w:r w:rsidRPr="4C72D9C6">
        <w:rPr>
          <w:rFonts w:ascii="Arial" w:eastAsia="Arial" w:hAnsi="Arial" w:cs="Arial"/>
          <w:b/>
          <w:bCs/>
          <w:color w:val="000000" w:themeColor="text1"/>
          <w:kern w:val="0"/>
          <w:lang w:eastAsia="en-GB"/>
          <w14:ligatures w14:val="none"/>
        </w:rPr>
        <w:t>Appendix B1 – CRAAP Evaluation Summary Table</w:t>
      </w:r>
    </w:p>
    <w:p w14:paraId="0CF0D59B"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(Linked to Chapter 3 Section 3.4)</w:t>
      </w:r>
    </w:p>
    <w:p w14:paraId="1029F364" w14:textId="01034998" w:rsidR="4C72D9C6" w:rsidRDefault="4C72D9C6" w:rsidP="4C72D9C6">
      <w:pPr>
        <w:spacing w:beforeAutospacing="1" w:afterAutospacing="1" w:line="240" w:lineRule="auto"/>
        <w:jc w:val="left"/>
        <w:rPr>
          <w:rFonts w:ascii="Arial" w:eastAsia="Arial" w:hAnsi="Arial" w:cs="Arial"/>
          <w:color w:val="000000" w:themeColor="text1"/>
          <w:lang w:eastAsia="en-GB"/>
        </w:rPr>
      </w:pPr>
    </w:p>
    <w:p w14:paraId="326D1F1B" w14:textId="0FD651EE" w:rsidR="005346D8" w:rsidRPr="005346D8" w:rsidRDefault="005346D8" w:rsidP="4C72D9C6">
      <w:pPr>
        <w:spacing w:before="100" w:beforeAutospacing="1" w:after="100" w:afterAutospacing="1" w:line="240" w:lineRule="auto"/>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The table below summarises how each shortlisted article was evaluated using the CRAAP framework (Currency, Relevance, Authority, Accuracy, and Purpose) to ensure that all selected sources met exacting standards of reliability and academic integrity.</w:t>
      </w:r>
    </w:p>
    <w:tbl>
      <w:tblPr>
        <w:tblStyle w:val="TableGrid"/>
        <w:tblW w:w="0" w:type="auto"/>
        <w:tblCellSpacing w:w="15" w:type="dxa"/>
        <w:tblCellMar>
          <w:top w:w="15" w:type="dxa"/>
          <w:left w:w="15" w:type="dxa"/>
          <w:bottom w:w="15" w:type="dxa"/>
          <w:right w:w="15" w:type="dxa"/>
        </w:tblCellMar>
        <w:tblLook w:val="04A0" w:firstRow="1" w:lastRow="0" w:firstColumn="1" w:lastColumn="0" w:noHBand="0" w:noVBand="1"/>
      </w:tblPr>
      <w:tblGrid>
        <w:gridCol w:w="1179"/>
        <w:gridCol w:w="1133"/>
        <w:gridCol w:w="1859"/>
        <w:gridCol w:w="1420"/>
        <w:gridCol w:w="1656"/>
        <w:gridCol w:w="1769"/>
      </w:tblGrid>
      <w:tr w:rsidR="005346D8" w:rsidRPr="005346D8" w14:paraId="4427EDB7" w14:textId="77777777" w:rsidTr="4C72D9C6">
        <w:trPr>
          <w:tblHeader/>
          <w:tblCellSpacing w:w="15" w:type="dxa"/>
        </w:trPr>
        <w:tc>
          <w:tcPr>
            <w:tcW w:w="0" w:type="auto"/>
            <w:shd w:val="clear" w:color="auto" w:fill="FFFFFF" w:themeFill="background1"/>
            <w:vAlign w:val="center"/>
            <w:hideMark/>
          </w:tcPr>
          <w:p w14:paraId="1F4F1000" w14:textId="77777777" w:rsidR="005346D8" w:rsidRPr="005346D8" w:rsidRDefault="005346D8" w:rsidP="4C72D9C6">
            <w:pPr>
              <w:spacing w:before="100" w:beforeAutospacing="1" w:after="100" w:afterAutospacing="1" w:line="240" w:lineRule="auto"/>
              <w:jc w:val="center"/>
              <w:rPr>
                <w:rFonts w:ascii="Arial" w:eastAsia="Arial" w:hAnsi="Arial" w:cs="Arial"/>
                <w:b/>
                <w:bCs/>
                <w:color w:val="000000" w:themeColor="text1"/>
                <w:lang w:eastAsia="en-GB"/>
              </w:rPr>
            </w:pPr>
            <w:r w:rsidRPr="4C72D9C6">
              <w:rPr>
                <w:rFonts w:ascii="Arial" w:eastAsia="Arial" w:hAnsi="Arial" w:cs="Arial"/>
                <w:b/>
                <w:bCs/>
                <w:color w:val="000000" w:themeColor="text1"/>
                <w:lang w:eastAsia="en-GB"/>
              </w:rPr>
              <w:t>Author &amp; Year</w:t>
            </w:r>
          </w:p>
        </w:tc>
        <w:tc>
          <w:tcPr>
            <w:tcW w:w="0" w:type="auto"/>
            <w:shd w:val="clear" w:color="auto" w:fill="FFFFFF" w:themeFill="background1"/>
            <w:vAlign w:val="center"/>
            <w:hideMark/>
          </w:tcPr>
          <w:p w14:paraId="37258487" w14:textId="77777777" w:rsidR="005346D8" w:rsidRPr="005346D8" w:rsidRDefault="005346D8" w:rsidP="4C72D9C6">
            <w:pPr>
              <w:spacing w:before="100" w:beforeAutospacing="1" w:after="100" w:afterAutospacing="1" w:line="240" w:lineRule="auto"/>
              <w:jc w:val="center"/>
              <w:rPr>
                <w:rFonts w:ascii="Arial" w:eastAsia="Arial" w:hAnsi="Arial" w:cs="Arial"/>
                <w:b/>
                <w:bCs/>
                <w:color w:val="000000" w:themeColor="text1"/>
                <w:lang w:eastAsia="en-GB"/>
              </w:rPr>
            </w:pPr>
            <w:r w:rsidRPr="4C72D9C6">
              <w:rPr>
                <w:rFonts w:ascii="Arial" w:eastAsia="Arial" w:hAnsi="Arial" w:cs="Arial"/>
                <w:b/>
                <w:bCs/>
                <w:color w:val="000000" w:themeColor="text1"/>
                <w:lang w:eastAsia="en-GB"/>
              </w:rPr>
              <w:t>Currency</w:t>
            </w:r>
          </w:p>
        </w:tc>
        <w:tc>
          <w:tcPr>
            <w:tcW w:w="0" w:type="auto"/>
            <w:shd w:val="clear" w:color="auto" w:fill="FFFFFF" w:themeFill="background1"/>
            <w:vAlign w:val="center"/>
            <w:hideMark/>
          </w:tcPr>
          <w:p w14:paraId="3559EF2F" w14:textId="77777777" w:rsidR="005346D8" w:rsidRPr="005346D8" w:rsidRDefault="005346D8" w:rsidP="4C72D9C6">
            <w:pPr>
              <w:spacing w:before="100" w:beforeAutospacing="1" w:after="100" w:afterAutospacing="1" w:line="240" w:lineRule="auto"/>
              <w:jc w:val="center"/>
              <w:rPr>
                <w:rFonts w:ascii="Arial" w:eastAsia="Arial" w:hAnsi="Arial" w:cs="Arial"/>
                <w:b/>
                <w:bCs/>
                <w:color w:val="000000" w:themeColor="text1"/>
                <w:lang w:eastAsia="en-GB"/>
              </w:rPr>
            </w:pPr>
            <w:r w:rsidRPr="4C72D9C6">
              <w:rPr>
                <w:rFonts w:ascii="Arial" w:eastAsia="Arial" w:hAnsi="Arial" w:cs="Arial"/>
                <w:b/>
                <w:bCs/>
                <w:color w:val="000000" w:themeColor="text1"/>
                <w:lang w:eastAsia="en-GB"/>
              </w:rPr>
              <w:t>Relevance</w:t>
            </w:r>
          </w:p>
        </w:tc>
        <w:tc>
          <w:tcPr>
            <w:tcW w:w="0" w:type="auto"/>
            <w:shd w:val="clear" w:color="auto" w:fill="FFFFFF" w:themeFill="background1"/>
            <w:vAlign w:val="center"/>
            <w:hideMark/>
          </w:tcPr>
          <w:p w14:paraId="5639A422" w14:textId="77777777" w:rsidR="005346D8" w:rsidRPr="005346D8" w:rsidRDefault="005346D8" w:rsidP="4C72D9C6">
            <w:pPr>
              <w:spacing w:before="100" w:beforeAutospacing="1" w:after="100" w:afterAutospacing="1" w:line="240" w:lineRule="auto"/>
              <w:jc w:val="center"/>
              <w:rPr>
                <w:rFonts w:ascii="Arial" w:eastAsia="Arial" w:hAnsi="Arial" w:cs="Arial"/>
                <w:b/>
                <w:bCs/>
                <w:color w:val="000000" w:themeColor="text1"/>
                <w:lang w:eastAsia="en-GB"/>
              </w:rPr>
            </w:pPr>
            <w:r w:rsidRPr="4C72D9C6">
              <w:rPr>
                <w:rFonts w:ascii="Arial" w:eastAsia="Arial" w:hAnsi="Arial" w:cs="Arial"/>
                <w:b/>
                <w:bCs/>
                <w:color w:val="000000" w:themeColor="text1"/>
                <w:lang w:eastAsia="en-GB"/>
              </w:rPr>
              <w:t>Authority</w:t>
            </w:r>
          </w:p>
        </w:tc>
        <w:tc>
          <w:tcPr>
            <w:tcW w:w="0" w:type="auto"/>
            <w:shd w:val="clear" w:color="auto" w:fill="FFFFFF" w:themeFill="background1"/>
            <w:vAlign w:val="center"/>
            <w:hideMark/>
          </w:tcPr>
          <w:p w14:paraId="7C5A7FD1" w14:textId="77777777" w:rsidR="005346D8" w:rsidRPr="005346D8" w:rsidRDefault="005346D8" w:rsidP="4C72D9C6">
            <w:pPr>
              <w:spacing w:before="100" w:beforeAutospacing="1" w:after="100" w:afterAutospacing="1" w:line="240" w:lineRule="auto"/>
              <w:jc w:val="center"/>
              <w:rPr>
                <w:rFonts w:ascii="Arial" w:eastAsia="Arial" w:hAnsi="Arial" w:cs="Arial"/>
                <w:b/>
                <w:bCs/>
                <w:color w:val="000000" w:themeColor="text1"/>
                <w:lang w:eastAsia="en-GB"/>
              </w:rPr>
            </w:pPr>
            <w:r w:rsidRPr="4C72D9C6">
              <w:rPr>
                <w:rFonts w:ascii="Arial" w:eastAsia="Arial" w:hAnsi="Arial" w:cs="Arial"/>
                <w:b/>
                <w:bCs/>
                <w:color w:val="000000" w:themeColor="text1"/>
                <w:lang w:eastAsia="en-GB"/>
              </w:rPr>
              <w:t>Accuracy</w:t>
            </w:r>
          </w:p>
        </w:tc>
        <w:tc>
          <w:tcPr>
            <w:tcW w:w="0" w:type="auto"/>
            <w:shd w:val="clear" w:color="auto" w:fill="FFFFFF" w:themeFill="background1"/>
            <w:vAlign w:val="center"/>
            <w:hideMark/>
          </w:tcPr>
          <w:p w14:paraId="36E68277" w14:textId="77777777" w:rsidR="005346D8" w:rsidRPr="005346D8" w:rsidRDefault="005346D8" w:rsidP="4C72D9C6">
            <w:pPr>
              <w:spacing w:before="100" w:beforeAutospacing="1" w:after="100" w:afterAutospacing="1" w:line="240" w:lineRule="auto"/>
              <w:jc w:val="center"/>
              <w:rPr>
                <w:rFonts w:ascii="Arial" w:eastAsia="Arial" w:hAnsi="Arial" w:cs="Arial"/>
                <w:b/>
                <w:bCs/>
                <w:color w:val="000000" w:themeColor="text1"/>
                <w:lang w:eastAsia="en-GB"/>
              </w:rPr>
            </w:pPr>
            <w:r w:rsidRPr="4C72D9C6">
              <w:rPr>
                <w:rFonts w:ascii="Arial" w:eastAsia="Arial" w:hAnsi="Arial" w:cs="Arial"/>
                <w:b/>
                <w:bCs/>
                <w:color w:val="000000" w:themeColor="text1"/>
                <w:lang w:eastAsia="en-GB"/>
              </w:rPr>
              <w:t>Purpose</w:t>
            </w:r>
          </w:p>
        </w:tc>
      </w:tr>
      <w:tr w:rsidR="005346D8" w:rsidRPr="005346D8" w14:paraId="5AEEBB1D" w14:textId="77777777" w:rsidTr="4C72D9C6">
        <w:trPr>
          <w:tblCellSpacing w:w="15" w:type="dxa"/>
        </w:trPr>
        <w:tc>
          <w:tcPr>
            <w:tcW w:w="0" w:type="auto"/>
            <w:shd w:val="clear" w:color="auto" w:fill="FFFFFF" w:themeFill="background1"/>
            <w:vAlign w:val="center"/>
            <w:hideMark/>
          </w:tcPr>
          <w:p w14:paraId="4AD76131"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Sayal et al. (2018)</w:t>
            </w:r>
          </w:p>
        </w:tc>
        <w:tc>
          <w:tcPr>
            <w:tcW w:w="0" w:type="auto"/>
            <w:shd w:val="clear" w:color="auto" w:fill="FFFFFF" w:themeFill="background1"/>
            <w:vAlign w:val="center"/>
            <w:hideMark/>
          </w:tcPr>
          <w:p w14:paraId="43B87B3A"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Recent and within date range</w:t>
            </w:r>
          </w:p>
        </w:tc>
        <w:tc>
          <w:tcPr>
            <w:tcW w:w="0" w:type="auto"/>
            <w:shd w:val="clear" w:color="auto" w:fill="FFFFFF" w:themeFill="background1"/>
            <w:vAlign w:val="center"/>
            <w:hideMark/>
          </w:tcPr>
          <w:p w14:paraId="175C4587"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Highly relevant to ADHD pathways and prevalence</w:t>
            </w:r>
          </w:p>
        </w:tc>
        <w:tc>
          <w:tcPr>
            <w:tcW w:w="0" w:type="auto"/>
            <w:shd w:val="clear" w:color="auto" w:fill="FFFFFF" w:themeFill="background1"/>
            <w:vAlign w:val="center"/>
            <w:hideMark/>
          </w:tcPr>
          <w:p w14:paraId="49E3FD45"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Published by leading UK researchers</w:t>
            </w:r>
          </w:p>
        </w:tc>
        <w:tc>
          <w:tcPr>
            <w:tcW w:w="0" w:type="auto"/>
            <w:shd w:val="clear" w:color="auto" w:fill="FFFFFF" w:themeFill="background1"/>
            <w:vAlign w:val="center"/>
            <w:hideMark/>
          </w:tcPr>
          <w:p w14:paraId="4A7826DE"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Uses national and international data</w:t>
            </w:r>
          </w:p>
        </w:tc>
        <w:tc>
          <w:tcPr>
            <w:tcW w:w="0" w:type="auto"/>
            <w:shd w:val="clear" w:color="auto" w:fill="FFFFFF" w:themeFill="background1"/>
            <w:vAlign w:val="center"/>
            <w:hideMark/>
          </w:tcPr>
          <w:p w14:paraId="7E77F494"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Informative, research-focused</w:t>
            </w:r>
          </w:p>
        </w:tc>
      </w:tr>
      <w:tr w:rsidR="005346D8" w:rsidRPr="005346D8" w14:paraId="48A5E934" w14:textId="77777777" w:rsidTr="4C72D9C6">
        <w:trPr>
          <w:tblCellSpacing w:w="15" w:type="dxa"/>
        </w:trPr>
        <w:tc>
          <w:tcPr>
            <w:tcW w:w="0" w:type="auto"/>
            <w:shd w:val="clear" w:color="auto" w:fill="FFFFFF" w:themeFill="background1"/>
            <w:vAlign w:val="center"/>
            <w:hideMark/>
          </w:tcPr>
          <w:p w14:paraId="138D3037"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Maciver et al. (2025)</w:t>
            </w:r>
          </w:p>
        </w:tc>
        <w:tc>
          <w:tcPr>
            <w:tcW w:w="0" w:type="auto"/>
            <w:shd w:val="clear" w:color="auto" w:fill="FFFFFF" w:themeFill="background1"/>
            <w:vAlign w:val="center"/>
            <w:hideMark/>
          </w:tcPr>
          <w:p w14:paraId="2A7F57F1"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Very recent</w:t>
            </w:r>
          </w:p>
        </w:tc>
        <w:tc>
          <w:tcPr>
            <w:tcW w:w="0" w:type="auto"/>
            <w:shd w:val="clear" w:color="auto" w:fill="FFFFFF" w:themeFill="background1"/>
            <w:vAlign w:val="center"/>
            <w:hideMark/>
          </w:tcPr>
          <w:p w14:paraId="725D8799"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Directly relevant to waiting times &amp; assessment</w:t>
            </w:r>
          </w:p>
        </w:tc>
        <w:tc>
          <w:tcPr>
            <w:tcW w:w="0" w:type="auto"/>
            <w:shd w:val="clear" w:color="auto" w:fill="FFFFFF" w:themeFill="background1"/>
            <w:vAlign w:val="center"/>
            <w:hideMark/>
          </w:tcPr>
          <w:p w14:paraId="0927EAA0"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Peer-reviewed UK study</w:t>
            </w:r>
          </w:p>
        </w:tc>
        <w:tc>
          <w:tcPr>
            <w:tcW w:w="0" w:type="auto"/>
            <w:shd w:val="clear" w:color="auto" w:fill="FFFFFF" w:themeFill="background1"/>
            <w:vAlign w:val="center"/>
            <w:hideMark/>
          </w:tcPr>
          <w:p w14:paraId="5B60C122" w14:textId="536D5831" w:rsidR="005346D8" w:rsidRPr="005346D8" w:rsidRDefault="656EC39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Convincing evidence</w:t>
            </w:r>
            <w:r w:rsidR="005346D8" w:rsidRPr="4C72D9C6">
              <w:rPr>
                <w:rFonts w:ascii="Arial" w:eastAsia="Arial" w:hAnsi="Arial" w:cs="Arial"/>
                <w:color w:val="000000" w:themeColor="text1"/>
                <w:lang w:eastAsia="en-GB"/>
              </w:rPr>
              <w:t xml:space="preserve"> &amp; clear </w:t>
            </w:r>
            <w:r w:rsidR="6D78BB2D" w:rsidRPr="4C72D9C6">
              <w:rPr>
                <w:rFonts w:ascii="Arial" w:eastAsia="Arial" w:hAnsi="Arial" w:cs="Arial"/>
                <w:color w:val="000000" w:themeColor="text1"/>
                <w:lang w:eastAsia="en-GB"/>
              </w:rPr>
              <w:t>method</w:t>
            </w:r>
          </w:p>
        </w:tc>
        <w:tc>
          <w:tcPr>
            <w:tcW w:w="0" w:type="auto"/>
            <w:shd w:val="clear" w:color="auto" w:fill="FFFFFF" w:themeFill="background1"/>
            <w:vAlign w:val="center"/>
            <w:hideMark/>
          </w:tcPr>
          <w:p w14:paraId="29DE1A5B"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Academic, unbiased</w:t>
            </w:r>
          </w:p>
        </w:tc>
      </w:tr>
      <w:tr w:rsidR="005346D8" w:rsidRPr="005346D8" w14:paraId="049E6A1F" w14:textId="77777777" w:rsidTr="4C72D9C6">
        <w:trPr>
          <w:tblCellSpacing w:w="15" w:type="dxa"/>
        </w:trPr>
        <w:tc>
          <w:tcPr>
            <w:tcW w:w="0" w:type="auto"/>
            <w:shd w:val="clear" w:color="auto" w:fill="FFFFFF" w:themeFill="background1"/>
            <w:vAlign w:val="center"/>
            <w:hideMark/>
          </w:tcPr>
          <w:p w14:paraId="1FF0490F"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Ford et al. (2021)</w:t>
            </w:r>
          </w:p>
        </w:tc>
        <w:tc>
          <w:tcPr>
            <w:tcW w:w="0" w:type="auto"/>
            <w:shd w:val="clear" w:color="auto" w:fill="FFFFFF" w:themeFill="background1"/>
            <w:vAlign w:val="center"/>
            <w:hideMark/>
          </w:tcPr>
          <w:p w14:paraId="602F7DC5"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Recent</w:t>
            </w:r>
          </w:p>
        </w:tc>
        <w:tc>
          <w:tcPr>
            <w:tcW w:w="0" w:type="auto"/>
            <w:shd w:val="clear" w:color="auto" w:fill="FFFFFF" w:themeFill="background1"/>
            <w:vAlign w:val="center"/>
            <w:hideMark/>
          </w:tcPr>
          <w:p w14:paraId="18F8C6AF"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Focus on teacher recognition &amp; classroom issues</w:t>
            </w:r>
          </w:p>
        </w:tc>
        <w:tc>
          <w:tcPr>
            <w:tcW w:w="0" w:type="auto"/>
            <w:shd w:val="clear" w:color="auto" w:fill="FFFFFF" w:themeFill="background1"/>
            <w:vAlign w:val="center"/>
            <w:hideMark/>
          </w:tcPr>
          <w:p w14:paraId="1AEAF26E"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Recognised UK education researchers</w:t>
            </w:r>
          </w:p>
        </w:tc>
        <w:tc>
          <w:tcPr>
            <w:tcW w:w="0" w:type="auto"/>
            <w:shd w:val="clear" w:color="auto" w:fill="FFFFFF" w:themeFill="background1"/>
            <w:vAlign w:val="center"/>
            <w:hideMark/>
          </w:tcPr>
          <w:p w14:paraId="42632B0C"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Evidence-based review</w:t>
            </w:r>
          </w:p>
        </w:tc>
        <w:tc>
          <w:tcPr>
            <w:tcW w:w="0" w:type="auto"/>
            <w:shd w:val="clear" w:color="auto" w:fill="FFFFFF" w:themeFill="background1"/>
            <w:vAlign w:val="center"/>
            <w:hideMark/>
          </w:tcPr>
          <w:p w14:paraId="717730F7"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Educational purpose</w:t>
            </w:r>
          </w:p>
        </w:tc>
      </w:tr>
      <w:tr w:rsidR="005346D8" w:rsidRPr="005346D8" w14:paraId="7630F415" w14:textId="77777777" w:rsidTr="4C72D9C6">
        <w:trPr>
          <w:tblCellSpacing w:w="15" w:type="dxa"/>
        </w:trPr>
        <w:tc>
          <w:tcPr>
            <w:tcW w:w="0" w:type="auto"/>
            <w:shd w:val="clear" w:color="auto" w:fill="FFFFFF" w:themeFill="background1"/>
            <w:vAlign w:val="center"/>
            <w:hideMark/>
          </w:tcPr>
          <w:p w14:paraId="4C59DA70"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Wright et al. (2023)</w:t>
            </w:r>
          </w:p>
        </w:tc>
        <w:tc>
          <w:tcPr>
            <w:tcW w:w="0" w:type="auto"/>
            <w:shd w:val="clear" w:color="auto" w:fill="FFFFFF" w:themeFill="background1"/>
            <w:vAlign w:val="center"/>
            <w:hideMark/>
          </w:tcPr>
          <w:p w14:paraId="2E1DD6DA"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Very recent</w:t>
            </w:r>
          </w:p>
        </w:tc>
        <w:tc>
          <w:tcPr>
            <w:tcW w:w="0" w:type="auto"/>
            <w:shd w:val="clear" w:color="auto" w:fill="FFFFFF" w:themeFill="background1"/>
            <w:vAlign w:val="center"/>
            <w:hideMark/>
          </w:tcPr>
          <w:p w14:paraId="49C82CB5"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Relevant to ADHD misinterpretation in schools</w:t>
            </w:r>
          </w:p>
        </w:tc>
        <w:tc>
          <w:tcPr>
            <w:tcW w:w="0" w:type="auto"/>
            <w:shd w:val="clear" w:color="auto" w:fill="FFFFFF" w:themeFill="background1"/>
            <w:vAlign w:val="center"/>
            <w:hideMark/>
          </w:tcPr>
          <w:p w14:paraId="1F67E87C"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Peer-reviewed journal</w:t>
            </w:r>
          </w:p>
        </w:tc>
        <w:tc>
          <w:tcPr>
            <w:tcW w:w="0" w:type="auto"/>
            <w:shd w:val="clear" w:color="auto" w:fill="FFFFFF" w:themeFill="background1"/>
            <w:vAlign w:val="center"/>
            <w:hideMark/>
          </w:tcPr>
          <w:p w14:paraId="704E9085"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Clear data &amp; well-supported claims</w:t>
            </w:r>
          </w:p>
        </w:tc>
        <w:tc>
          <w:tcPr>
            <w:tcW w:w="0" w:type="auto"/>
            <w:shd w:val="clear" w:color="auto" w:fill="FFFFFF" w:themeFill="background1"/>
            <w:vAlign w:val="center"/>
            <w:hideMark/>
          </w:tcPr>
          <w:p w14:paraId="110B365B"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Academic, informative</w:t>
            </w:r>
          </w:p>
        </w:tc>
      </w:tr>
      <w:tr w:rsidR="005346D8" w:rsidRPr="005346D8" w14:paraId="1A8C761C" w14:textId="77777777" w:rsidTr="4C72D9C6">
        <w:trPr>
          <w:tblCellSpacing w:w="15" w:type="dxa"/>
        </w:trPr>
        <w:tc>
          <w:tcPr>
            <w:tcW w:w="0" w:type="auto"/>
            <w:shd w:val="clear" w:color="auto" w:fill="FFFFFF" w:themeFill="background1"/>
            <w:vAlign w:val="center"/>
            <w:hideMark/>
          </w:tcPr>
          <w:p w14:paraId="4F10BE37"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DfE (2015)</w:t>
            </w:r>
          </w:p>
        </w:tc>
        <w:tc>
          <w:tcPr>
            <w:tcW w:w="0" w:type="auto"/>
            <w:shd w:val="clear" w:color="auto" w:fill="FFFFFF" w:themeFill="background1"/>
            <w:vAlign w:val="center"/>
            <w:hideMark/>
          </w:tcPr>
          <w:p w14:paraId="505E3618"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Older but still policy-relevant</w:t>
            </w:r>
          </w:p>
        </w:tc>
        <w:tc>
          <w:tcPr>
            <w:tcW w:w="0" w:type="auto"/>
            <w:shd w:val="clear" w:color="auto" w:fill="FFFFFF" w:themeFill="background1"/>
            <w:vAlign w:val="center"/>
            <w:hideMark/>
          </w:tcPr>
          <w:p w14:paraId="494E290F"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Relevant for SEND Code of Practice</w:t>
            </w:r>
          </w:p>
        </w:tc>
        <w:tc>
          <w:tcPr>
            <w:tcW w:w="0" w:type="auto"/>
            <w:shd w:val="clear" w:color="auto" w:fill="FFFFFF" w:themeFill="background1"/>
            <w:vAlign w:val="center"/>
            <w:hideMark/>
          </w:tcPr>
          <w:p w14:paraId="568A0555"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Official UK Government document</w:t>
            </w:r>
          </w:p>
        </w:tc>
        <w:tc>
          <w:tcPr>
            <w:tcW w:w="0" w:type="auto"/>
            <w:shd w:val="clear" w:color="auto" w:fill="FFFFFF" w:themeFill="background1"/>
            <w:vAlign w:val="center"/>
            <w:hideMark/>
          </w:tcPr>
          <w:p w14:paraId="07FB6267"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Accurate, statutory guidance</w:t>
            </w:r>
          </w:p>
        </w:tc>
        <w:tc>
          <w:tcPr>
            <w:tcW w:w="0" w:type="auto"/>
            <w:shd w:val="clear" w:color="auto" w:fill="FFFFFF" w:themeFill="background1"/>
            <w:vAlign w:val="center"/>
            <w:hideMark/>
          </w:tcPr>
          <w:p w14:paraId="51FAB8B2"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Policy/legislative</w:t>
            </w:r>
          </w:p>
        </w:tc>
      </w:tr>
      <w:tr w:rsidR="005346D8" w:rsidRPr="005346D8" w14:paraId="1E6783C5" w14:textId="77777777" w:rsidTr="4C72D9C6">
        <w:trPr>
          <w:tblCellSpacing w:w="15" w:type="dxa"/>
        </w:trPr>
        <w:tc>
          <w:tcPr>
            <w:tcW w:w="0" w:type="auto"/>
            <w:shd w:val="clear" w:color="auto" w:fill="FFFFFF" w:themeFill="background1"/>
            <w:vAlign w:val="center"/>
            <w:hideMark/>
          </w:tcPr>
          <w:p w14:paraId="199BC3CD"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NICE (2018)</w:t>
            </w:r>
          </w:p>
        </w:tc>
        <w:tc>
          <w:tcPr>
            <w:tcW w:w="0" w:type="auto"/>
            <w:shd w:val="clear" w:color="auto" w:fill="FFFFFF" w:themeFill="background1"/>
            <w:vAlign w:val="center"/>
            <w:hideMark/>
          </w:tcPr>
          <w:p w14:paraId="07B348B9"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Current guidance</w:t>
            </w:r>
          </w:p>
        </w:tc>
        <w:tc>
          <w:tcPr>
            <w:tcW w:w="0" w:type="auto"/>
            <w:shd w:val="clear" w:color="auto" w:fill="FFFFFF" w:themeFill="background1"/>
            <w:vAlign w:val="center"/>
            <w:hideMark/>
          </w:tcPr>
          <w:p w14:paraId="03F98BFF"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Highly relevant for ADHD pathways</w:t>
            </w:r>
          </w:p>
        </w:tc>
        <w:tc>
          <w:tcPr>
            <w:tcW w:w="0" w:type="auto"/>
            <w:shd w:val="clear" w:color="auto" w:fill="FFFFFF" w:themeFill="background1"/>
            <w:vAlign w:val="center"/>
            <w:hideMark/>
          </w:tcPr>
          <w:p w14:paraId="177C5E40"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National guideline body</w:t>
            </w:r>
          </w:p>
        </w:tc>
        <w:tc>
          <w:tcPr>
            <w:tcW w:w="0" w:type="auto"/>
            <w:shd w:val="clear" w:color="auto" w:fill="FFFFFF" w:themeFill="background1"/>
            <w:vAlign w:val="center"/>
            <w:hideMark/>
          </w:tcPr>
          <w:p w14:paraId="193881F6"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Evidence reviewed systematically</w:t>
            </w:r>
          </w:p>
        </w:tc>
        <w:tc>
          <w:tcPr>
            <w:tcW w:w="0" w:type="auto"/>
            <w:shd w:val="clear" w:color="auto" w:fill="FFFFFF" w:themeFill="background1"/>
            <w:vAlign w:val="center"/>
            <w:hideMark/>
          </w:tcPr>
          <w:p w14:paraId="27DE8380"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Clinical guideline</w:t>
            </w:r>
          </w:p>
        </w:tc>
      </w:tr>
      <w:tr w:rsidR="005346D8" w:rsidRPr="005346D8" w14:paraId="069384EB" w14:textId="77777777" w:rsidTr="4C72D9C6">
        <w:trPr>
          <w:tblCellSpacing w:w="15" w:type="dxa"/>
        </w:trPr>
        <w:tc>
          <w:tcPr>
            <w:tcW w:w="0" w:type="auto"/>
            <w:shd w:val="clear" w:color="auto" w:fill="FFFFFF" w:themeFill="background1"/>
            <w:vAlign w:val="center"/>
            <w:hideMark/>
          </w:tcPr>
          <w:p w14:paraId="0436CDE0"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NHS England (2022)</w:t>
            </w:r>
          </w:p>
        </w:tc>
        <w:tc>
          <w:tcPr>
            <w:tcW w:w="0" w:type="auto"/>
            <w:shd w:val="clear" w:color="auto" w:fill="FFFFFF" w:themeFill="background1"/>
            <w:vAlign w:val="center"/>
            <w:hideMark/>
          </w:tcPr>
          <w:p w14:paraId="4584AB6B"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Recent</w:t>
            </w:r>
          </w:p>
        </w:tc>
        <w:tc>
          <w:tcPr>
            <w:tcW w:w="0" w:type="auto"/>
            <w:shd w:val="clear" w:color="auto" w:fill="FFFFFF" w:themeFill="background1"/>
            <w:vAlign w:val="center"/>
            <w:hideMark/>
          </w:tcPr>
          <w:p w14:paraId="0DB105AF"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Relevant for waiting times &amp; access</w:t>
            </w:r>
          </w:p>
        </w:tc>
        <w:tc>
          <w:tcPr>
            <w:tcW w:w="0" w:type="auto"/>
            <w:shd w:val="clear" w:color="auto" w:fill="FFFFFF" w:themeFill="background1"/>
            <w:vAlign w:val="center"/>
            <w:hideMark/>
          </w:tcPr>
          <w:p w14:paraId="5B33CDEF"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Official NHS body</w:t>
            </w:r>
          </w:p>
        </w:tc>
        <w:tc>
          <w:tcPr>
            <w:tcW w:w="0" w:type="auto"/>
            <w:shd w:val="clear" w:color="auto" w:fill="FFFFFF" w:themeFill="background1"/>
            <w:vAlign w:val="center"/>
            <w:hideMark/>
          </w:tcPr>
          <w:p w14:paraId="6D702EFA"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Statistically reliable</w:t>
            </w:r>
          </w:p>
        </w:tc>
        <w:tc>
          <w:tcPr>
            <w:tcW w:w="0" w:type="auto"/>
            <w:shd w:val="clear" w:color="auto" w:fill="FFFFFF" w:themeFill="background1"/>
            <w:vAlign w:val="center"/>
            <w:hideMark/>
          </w:tcPr>
          <w:p w14:paraId="03C70EE8"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Public information</w:t>
            </w:r>
          </w:p>
        </w:tc>
      </w:tr>
      <w:tr w:rsidR="005346D8" w:rsidRPr="005346D8" w14:paraId="468FF765" w14:textId="77777777" w:rsidTr="4C72D9C6">
        <w:trPr>
          <w:tblCellSpacing w:w="15" w:type="dxa"/>
        </w:trPr>
        <w:tc>
          <w:tcPr>
            <w:tcW w:w="0" w:type="auto"/>
            <w:shd w:val="clear" w:color="auto" w:fill="FFFFFF" w:themeFill="background1"/>
            <w:vAlign w:val="center"/>
            <w:hideMark/>
          </w:tcPr>
          <w:p w14:paraId="645EEC68"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Westwood et al. (2023)</w:t>
            </w:r>
          </w:p>
        </w:tc>
        <w:tc>
          <w:tcPr>
            <w:tcW w:w="0" w:type="auto"/>
            <w:shd w:val="clear" w:color="auto" w:fill="FFFFFF" w:themeFill="background1"/>
            <w:vAlign w:val="center"/>
            <w:hideMark/>
          </w:tcPr>
          <w:p w14:paraId="28A04519"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Very recent</w:t>
            </w:r>
          </w:p>
        </w:tc>
        <w:tc>
          <w:tcPr>
            <w:tcW w:w="0" w:type="auto"/>
            <w:shd w:val="clear" w:color="auto" w:fill="FFFFFF" w:themeFill="background1"/>
            <w:vAlign w:val="center"/>
            <w:hideMark/>
          </w:tcPr>
          <w:p w14:paraId="27879877"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Relevant for CAMHS, family involvement</w:t>
            </w:r>
          </w:p>
        </w:tc>
        <w:tc>
          <w:tcPr>
            <w:tcW w:w="0" w:type="auto"/>
            <w:shd w:val="clear" w:color="auto" w:fill="FFFFFF" w:themeFill="background1"/>
            <w:vAlign w:val="center"/>
            <w:hideMark/>
          </w:tcPr>
          <w:p w14:paraId="17F0D28B"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Peer-reviewed researchers</w:t>
            </w:r>
          </w:p>
        </w:tc>
        <w:tc>
          <w:tcPr>
            <w:tcW w:w="0" w:type="auto"/>
            <w:shd w:val="clear" w:color="auto" w:fill="FFFFFF" w:themeFill="background1"/>
            <w:vAlign w:val="center"/>
            <w:hideMark/>
          </w:tcPr>
          <w:p w14:paraId="0CC9D2A6"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High methodological quality</w:t>
            </w:r>
          </w:p>
        </w:tc>
        <w:tc>
          <w:tcPr>
            <w:tcW w:w="0" w:type="auto"/>
            <w:shd w:val="clear" w:color="auto" w:fill="FFFFFF" w:themeFill="background1"/>
            <w:vAlign w:val="center"/>
            <w:hideMark/>
          </w:tcPr>
          <w:p w14:paraId="35A2EDF7"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Academic research</w:t>
            </w:r>
          </w:p>
        </w:tc>
      </w:tr>
      <w:tr w:rsidR="005346D8" w:rsidRPr="005346D8" w14:paraId="7582E389" w14:textId="77777777" w:rsidTr="4C72D9C6">
        <w:trPr>
          <w:tblCellSpacing w:w="15" w:type="dxa"/>
        </w:trPr>
        <w:tc>
          <w:tcPr>
            <w:tcW w:w="0" w:type="auto"/>
            <w:shd w:val="clear" w:color="auto" w:fill="FFFFFF" w:themeFill="background1"/>
            <w:vAlign w:val="center"/>
            <w:hideMark/>
          </w:tcPr>
          <w:p w14:paraId="1C12AF4A"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May et al. (2021)</w:t>
            </w:r>
          </w:p>
        </w:tc>
        <w:tc>
          <w:tcPr>
            <w:tcW w:w="0" w:type="auto"/>
            <w:shd w:val="clear" w:color="auto" w:fill="FFFFFF" w:themeFill="background1"/>
            <w:vAlign w:val="center"/>
            <w:hideMark/>
          </w:tcPr>
          <w:p w14:paraId="13DB7C4F"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Recent</w:t>
            </w:r>
          </w:p>
        </w:tc>
        <w:tc>
          <w:tcPr>
            <w:tcW w:w="0" w:type="auto"/>
            <w:shd w:val="clear" w:color="auto" w:fill="FFFFFF" w:themeFill="background1"/>
            <w:vAlign w:val="center"/>
            <w:hideMark/>
          </w:tcPr>
          <w:p w14:paraId="663C8EAE"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Relevant for attainment &amp; ADHD</w:t>
            </w:r>
          </w:p>
        </w:tc>
        <w:tc>
          <w:tcPr>
            <w:tcW w:w="0" w:type="auto"/>
            <w:shd w:val="clear" w:color="auto" w:fill="FFFFFF" w:themeFill="background1"/>
            <w:vAlign w:val="center"/>
            <w:hideMark/>
          </w:tcPr>
          <w:p w14:paraId="3C3A9AF4"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UK longitudinal study</w:t>
            </w:r>
          </w:p>
        </w:tc>
        <w:tc>
          <w:tcPr>
            <w:tcW w:w="0" w:type="auto"/>
            <w:shd w:val="clear" w:color="auto" w:fill="FFFFFF" w:themeFill="background1"/>
            <w:vAlign w:val="center"/>
            <w:hideMark/>
          </w:tcPr>
          <w:p w14:paraId="2F575224"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Accurate, based on large sample</w:t>
            </w:r>
          </w:p>
        </w:tc>
        <w:tc>
          <w:tcPr>
            <w:tcW w:w="0" w:type="auto"/>
            <w:shd w:val="clear" w:color="auto" w:fill="FFFFFF" w:themeFill="background1"/>
            <w:vAlign w:val="center"/>
            <w:hideMark/>
          </w:tcPr>
          <w:p w14:paraId="43F6FE34"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Academic research</w:t>
            </w:r>
          </w:p>
        </w:tc>
      </w:tr>
      <w:tr w:rsidR="005346D8" w:rsidRPr="005346D8" w14:paraId="0EBC4B22" w14:textId="77777777" w:rsidTr="4C72D9C6">
        <w:trPr>
          <w:tblCellSpacing w:w="15" w:type="dxa"/>
        </w:trPr>
        <w:tc>
          <w:tcPr>
            <w:tcW w:w="0" w:type="auto"/>
            <w:shd w:val="clear" w:color="auto" w:fill="FFFFFF" w:themeFill="background1"/>
            <w:vAlign w:val="center"/>
            <w:hideMark/>
          </w:tcPr>
          <w:p w14:paraId="395FE605"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DfE &amp; DHSC (2015)</w:t>
            </w:r>
          </w:p>
        </w:tc>
        <w:tc>
          <w:tcPr>
            <w:tcW w:w="0" w:type="auto"/>
            <w:shd w:val="clear" w:color="auto" w:fill="FFFFFF" w:themeFill="background1"/>
            <w:vAlign w:val="center"/>
            <w:hideMark/>
          </w:tcPr>
          <w:p w14:paraId="2F083332"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Older but still official</w:t>
            </w:r>
          </w:p>
        </w:tc>
        <w:tc>
          <w:tcPr>
            <w:tcW w:w="0" w:type="auto"/>
            <w:shd w:val="clear" w:color="auto" w:fill="FFFFFF" w:themeFill="background1"/>
            <w:vAlign w:val="center"/>
            <w:hideMark/>
          </w:tcPr>
          <w:p w14:paraId="68A0D5C9"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Relevant for joint working policies</w:t>
            </w:r>
          </w:p>
        </w:tc>
        <w:tc>
          <w:tcPr>
            <w:tcW w:w="0" w:type="auto"/>
            <w:shd w:val="clear" w:color="auto" w:fill="FFFFFF" w:themeFill="background1"/>
            <w:vAlign w:val="center"/>
            <w:hideMark/>
          </w:tcPr>
          <w:p w14:paraId="7D366AF0"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Government departments</w:t>
            </w:r>
          </w:p>
        </w:tc>
        <w:tc>
          <w:tcPr>
            <w:tcW w:w="0" w:type="auto"/>
            <w:shd w:val="clear" w:color="auto" w:fill="FFFFFF" w:themeFill="background1"/>
            <w:vAlign w:val="center"/>
            <w:hideMark/>
          </w:tcPr>
          <w:p w14:paraId="2BB1811C"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Accurate &amp; official</w:t>
            </w:r>
          </w:p>
        </w:tc>
        <w:tc>
          <w:tcPr>
            <w:tcW w:w="0" w:type="auto"/>
            <w:shd w:val="clear" w:color="auto" w:fill="FFFFFF" w:themeFill="background1"/>
            <w:vAlign w:val="center"/>
            <w:hideMark/>
          </w:tcPr>
          <w:p w14:paraId="53B2D5AE"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Policy-based purpose</w:t>
            </w:r>
          </w:p>
        </w:tc>
      </w:tr>
    </w:tbl>
    <w:p w14:paraId="1D4391B1" w14:textId="15333853" w:rsidR="005346D8" w:rsidRPr="005346D8" w:rsidRDefault="005346D8" w:rsidP="4C72D9C6">
      <w:pPr>
        <w:spacing w:before="100" w:beforeAutospacing="1" w:after="100" w:afterAutospacing="1" w:line="240" w:lineRule="auto"/>
        <w:jc w:val="left"/>
        <w:outlineLvl w:val="2"/>
        <w:rPr>
          <w:rFonts w:ascii="Arial" w:eastAsia="Arial" w:hAnsi="Arial" w:cs="Arial"/>
          <w:b/>
          <w:bCs/>
          <w:color w:val="000000" w:themeColor="text1"/>
          <w:kern w:val="0"/>
          <w:lang w:eastAsia="en-GB"/>
          <w14:ligatures w14:val="none"/>
        </w:rPr>
      </w:pPr>
    </w:p>
    <w:p w14:paraId="187DBEBB" w14:textId="22D7D366" w:rsidR="4C72D9C6" w:rsidRDefault="4C72D9C6" w:rsidP="4C72D9C6">
      <w:pPr>
        <w:spacing w:beforeAutospacing="1" w:afterAutospacing="1" w:line="240" w:lineRule="auto"/>
        <w:jc w:val="left"/>
        <w:outlineLvl w:val="2"/>
        <w:rPr>
          <w:rFonts w:ascii="Arial" w:eastAsia="Arial" w:hAnsi="Arial" w:cs="Arial"/>
          <w:b/>
          <w:bCs/>
          <w:color w:val="000000" w:themeColor="text1"/>
          <w:lang w:eastAsia="en-GB"/>
        </w:rPr>
      </w:pPr>
    </w:p>
    <w:p w14:paraId="4A2D8F64" w14:textId="5A8D07C6" w:rsidR="4C72D9C6" w:rsidRDefault="4C72D9C6" w:rsidP="4C72D9C6">
      <w:pPr>
        <w:spacing w:beforeAutospacing="1" w:afterAutospacing="1" w:line="240" w:lineRule="auto"/>
        <w:jc w:val="left"/>
        <w:outlineLvl w:val="2"/>
        <w:rPr>
          <w:rFonts w:ascii="Arial" w:eastAsia="Arial" w:hAnsi="Arial" w:cs="Arial"/>
          <w:b/>
          <w:bCs/>
          <w:color w:val="000000" w:themeColor="text1"/>
          <w:lang w:eastAsia="en-GB"/>
        </w:rPr>
      </w:pPr>
    </w:p>
    <w:p w14:paraId="3D554EE2" w14:textId="0F2A4C6B" w:rsidR="4C72D9C6" w:rsidRDefault="4C72D9C6" w:rsidP="4C72D9C6">
      <w:pPr>
        <w:spacing w:beforeAutospacing="1" w:afterAutospacing="1" w:line="240" w:lineRule="auto"/>
        <w:jc w:val="left"/>
        <w:outlineLvl w:val="2"/>
        <w:rPr>
          <w:rFonts w:ascii="Arial" w:eastAsia="Arial" w:hAnsi="Arial" w:cs="Arial"/>
          <w:b/>
          <w:bCs/>
          <w:color w:val="000000" w:themeColor="text1"/>
          <w:lang w:eastAsia="en-GB"/>
        </w:rPr>
      </w:pPr>
    </w:p>
    <w:p w14:paraId="61DDD11E" w14:textId="1DCB7A83" w:rsidR="4C72D9C6" w:rsidRDefault="4C72D9C6" w:rsidP="4C72D9C6">
      <w:pPr>
        <w:spacing w:beforeAutospacing="1" w:afterAutospacing="1" w:line="240" w:lineRule="auto"/>
        <w:jc w:val="left"/>
        <w:outlineLvl w:val="2"/>
        <w:rPr>
          <w:rFonts w:ascii="Arial" w:eastAsia="Arial" w:hAnsi="Arial" w:cs="Arial"/>
          <w:b/>
          <w:bCs/>
          <w:color w:val="000000" w:themeColor="text1"/>
          <w:lang w:eastAsia="en-GB"/>
        </w:rPr>
      </w:pPr>
    </w:p>
    <w:p w14:paraId="4438F17E" w14:textId="77777777" w:rsidR="005346D8" w:rsidRPr="005346D8" w:rsidRDefault="005346D8" w:rsidP="4C72D9C6">
      <w:pPr>
        <w:spacing w:before="100" w:beforeAutospacing="1" w:after="100" w:afterAutospacing="1" w:line="240" w:lineRule="auto"/>
        <w:jc w:val="left"/>
        <w:outlineLvl w:val="2"/>
        <w:rPr>
          <w:rFonts w:ascii="Arial" w:eastAsia="Arial" w:hAnsi="Arial" w:cs="Arial"/>
          <w:b/>
          <w:bCs/>
          <w:color w:val="000000" w:themeColor="text1"/>
          <w:kern w:val="0"/>
          <w:lang w:eastAsia="en-GB"/>
          <w14:ligatures w14:val="none"/>
        </w:rPr>
      </w:pPr>
      <w:r w:rsidRPr="4C72D9C6">
        <w:rPr>
          <w:rFonts w:ascii="Arial" w:eastAsia="Arial" w:hAnsi="Arial" w:cs="Arial"/>
          <w:b/>
          <w:bCs/>
          <w:color w:val="000000" w:themeColor="text1"/>
          <w:kern w:val="0"/>
          <w:lang w:eastAsia="en-GB"/>
          <w14:ligatures w14:val="none"/>
        </w:rPr>
        <w:t>Appendix B2 – Thematic Analysis Summary Table</w:t>
      </w:r>
    </w:p>
    <w:p w14:paraId="57953F78" w14:textId="77777777" w:rsidR="005346D8" w:rsidRPr="005346D8" w:rsidRDefault="005346D8" w:rsidP="4C72D9C6">
      <w:pPr>
        <w:spacing w:before="100" w:beforeAutospacing="1" w:after="100" w:afterAutospacing="1" w:line="240" w:lineRule="auto"/>
        <w:jc w:val="left"/>
        <w:outlineLvl w:val="2"/>
        <w:rPr>
          <w:rFonts w:ascii="Arial" w:eastAsia="Arial" w:hAnsi="Arial" w:cs="Arial"/>
          <w:b/>
          <w:bCs/>
          <w:color w:val="000000" w:themeColor="text1"/>
          <w:kern w:val="0"/>
          <w:lang w:eastAsia="en-GB"/>
          <w14:ligatures w14:val="none"/>
        </w:rPr>
      </w:pPr>
      <w:r w:rsidRPr="4C72D9C6">
        <w:rPr>
          <w:rFonts w:ascii="Arial" w:eastAsia="Arial" w:hAnsi="Arial" w:cs="Arial"/>
          <w:b/>
          <w:bCs/>
          <w:color w:val="000000" w:themeColor="text1"/>
          <w:kern w:val="0"/>
          <w:lang w:eastAsia="en-GB"/>
          <w14:ligatures w14:val="none"/>
        </w:rPr>
        <w:t>(Results Summary Table)</w:t>
      </w:r>
    </w:p>
    <w:p w14:paraId="081B017B" w14:textId="200B5961" w:rsidR="4C72D9C6" w:rsidRDefault="4C72D9C6" w:rsidP="4C72D9C6">
      <w:pPr>
        <w:spacing w:beforeAutospacing="1" w:afterAutospacing="1" w:line="240" w:lineRule="auto"/>
        <w:jc w:val="left"/>
        <w:outlineLvl w:val="2"/>
        <w:rPr>
          <w:rFonts w:ascii="Arial" w:eastAsia="Arial" w:hAnsi="Arial" w:cs="Arial"/>
          <w:b/>
          <w:bCs/>
          <w:color w:val="000000" w:themeColor="text1"/>
          <w:lang w:eastAsia="en-GB"/>
        </w:rPr>
      </w:pPr>
    </w:p>
    <w:p w14:paraId="013B027D" w14:textId="05E0C529" w:rsidR="005346D8" w:rsidRPr="005346D8" w:rsidRDefault="005346D8" w:rsidP="4C72D9C6">
      <w:pPr>
        <w:spacing w:before="100" w:beforeAutospacing="1" w:after="100" w:afterAutospacing="1" w:line="240" w:lineRule="auto"/>
        <w:jc w:val="left"/>
        <w:outlineLvl w:val="2"/>
        <w:rPr>
          <w:rFonts w:ascii="Arial" w:eastAsia="Arial" w:hAnsi="Arial" w:cs="Arial"/>
          <w:color w:val="000000" w:themeColor="text1"/>
          <w:lang w:eastAsia="en-GB"/>
        </w:rPr>
      </w:pPr>
      <w:r w:rsidRPr="4C72D9C6">
        <w:rPr>
          <w:rFonts w:ascii="Arial" w:eastAsia="Arial" w:hAnsi="Arial" w:cs="Arial"/>
          <w:color w:val="000000" w:themeColor="text1"/>
          <w:kern w:val="0"/>
          <w:lang w:eastAsia="en-GB"/>
          <w14:ligatures w14:val="none"/>
        </w:rPr>
        <w:t xml:space="preserve"> (Linked to Chapter 3.3, chapter 3.6)</w:t>
      </w:r>
    </w:p>
    <w:tbl>
      <w:tblPr>
        <w:tblStyle w:val="GridTable5Dark-Accent1"/>
        <w:tblW w:w="9186" w:type="dxa"/>
        <w:tblCellSpacing w:w="15" w:type="dxa"/>
        <w:tblCellMar>
          <w:top w:w="15" w:type="dxa"/>
          <w:left w:w="15" w:type="dxa"/>
          <w:bottom w:w="15" w:type="dxa"/>
          <w:right w:w="15" w:type="dxa"/>
        </w:tblCellMar>
        <w:tblLook w:val="04A0" w:firstRow="1" w:lastRow="0" w:firstColumn="1" w:lastColumn="0" w:noHBand="0" w:noVBand="1"/>
      </w:tblPr>
      <w:tblGrid>
        <w:gridCol w:w="1291"/>
        <w:gridCol w:w="1187"/>
        <w:gridCol w:w="1261"/>
        <w:gridCol w:w="1288"/>
        <w:gridCol w:w="1447"/>
        <w:gridCol w:w="1479"/>
        <w:gridCol w:w="1233"/>
      </w:tblGrid>
      <w:tr w:rsidR="005346D8" w:rsidRPr="005346D8" w14:paraId="6BA8AC2A" w14:textId="77777777" w:rsidTr="4C72D9C6">
        <w:trPr>
          <w:cnfStyle w:val="100000000000" w:firstRow="1" w:lastRow="0" w:firstColumn="0" w:lastColumn="0" w:oddVBand="0" w:evenVBand="0" w:oddHBand="0" w:evenHBand="0" w:firstRowFirstColumn="0" w:firstRowLastColumn="0" w:lastRowFirstColumn="0" w:lastRowLastColumn="0"/>
          <w:tblHeader/>
          <w:tblCellSpacing w:w="15" w:type="dxa"/>
        </w:trPr>
        <w:tc>
          <w:tcPr>
            <w:cnfStyle w:val="001000000000" w:firstRow="0" w:lastRow="0" w:firstColumn="1" w:lastColumn="0" w:oddVBand="0" w:evenVBand="0" w:oddHBand="0" w:evenHBand="0" w:firstRowFirstColumn="0" w:firstRowLastColumn="0" w:lastRowFirstColumn="0" w:lastRowLastColumn="0"/>
            <w:tcW w:w="1269" w:type="dxa"/>
            <w:vAlign w:val="center"/>
            <w:hideMark/>
          </w:tcPr>
          <w:p w14:paraId="4FDB15EE" w14:textId="77777777" w:rsidR="005346D8" w:rsidRPr="005346D8" w:rsidRDefault="005346D8" w:rsidP="4C72D9C6">
            <w:pPr>
              <w:spacing w:before="100" w:beforeAutospacing="1" w:after="100" w:afterAutospacing="1" w:line="240" w:lineRule="auto"/>
              <w:jc w:val="center"/>
              <w:rPr>
                <w:rFonts w:ascii="Arial" w:eastAsia="Arial" w:hAnsi="Arial" w:cs="Arial"/>
                <w:color w:val="000000" w:themeColor="text1"/>
                <w:sz w:val="22"/>
                <w:szCs w:val="22"/>
              </w:rPr>
            </w:pPr>
            <w:r w:rsidRPr="4C72D9C6">
              <w:rPr>
                <w:rFonts w:ascii="Arial" w:eastAsia="Arial" w:hAnsi="Arial" w:cs="Arial"/>
                <w:color w:val="000000" w:themeColor="text1"/>
                <w:sz w:val="22"/>
                <w:szCs w:val="22"/>
              </w:rPr>
              <w:t>Author &amp; Year</w:t>
            </w:r>
          </w:p>
        </w:tc>
        <w:tc>
          <w:tcPr>
            <w:tcW w:w="1172" w:type="dxa"/>
            <w:vAlign w:val="center"/>
            <w:hideMark/>
          </w:tcPr>
          <w:p w14:paraId="22E51EDC" w14:textId="77777777" w:rsidR="005346D8" w:rsidRPr="005346D8" w:rsidRDefault="005346D8" w:rsidP="4C72D9C6">
            <w:pPr>
              <w:spacing w:before="100" w:beforeAutospacing="1" w:after="100" w:afterAutospacing="1" w:line="240" w:lineRule="auto"/>
              <w:jc w:val="center"/>
              <w:cnfStyle w:val="100000000000" w:firstRow="1"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4C72D9C6">
              <w:rPr>
                <w:rFonts w:ascii="Arial" w:eastAsia="Arial" w:hAnsi="Arial" w:cs="Arial"/>
                <w:color w:val="000000" w:themeColor="text1"/>
                <w:sz w:val="22"/>
                <w:szCs w:val="22"/>
              </w:rPr>
              <w:t>Article Title</w:t>
            </w:r>
          </w:p>
        </w:tc>
        <w:tc>
          <w:tcPr>
            <w:tcW w:w="1249" w:type="dxa"/>
            <w:vAlign w:val="center"/>
            <w:hideMark/>
          </w:tcPr>
          <w:p w14:paraId="4ADDA33B" w14:textId="77777777" w:rsidR="005346D8" w:rsidRPr="005346D8" w:rsidRDefault="005346D8" w:rsidP="4C72D9C6">
            <w:pPr>
              <w:spacing w:before="100" w:beforeAutospacing="1" w:after="100" w:afterAutospacing="1" w:line="240" w:lineRule="auto"/>
              <w:jc w:val="center"/>
              <w:cnfStyle w:val="100000000000" w:firstRow="1"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4C72D9C6">
              <w:rPr>
                <w:rFonts w:ascii="Arial" w:eastAsia="Arial" w:hAnsi="Arial" w:cs="Arial"/>
                <w:color w:val="000000" w:themeColor="text1"/>
                <w:sz w:val="22"/>
                <w:szCs w:val="22"/>
              </w:rPr>
              <w:t>Type of Study</w:t>
            </w:r>
          </w:p>
        </w:tc>
        <w:tc>
          <w:tcPr>
            <w:tcW w:w="1284" w:type="dxa"/>
            <w:vAlign w:val="center"/>
            <w:hideMark/>
          </w:tcPr>
          <w:p w14:paraId="33CBE8F3" w14:textId="77777777" w:rsidR="005346D8" w:rsidRPr="005346D8" w:rsidRDefault="005346D8" w:rsidP="4C72D9C6">
            <w:pPr>
              <w:spacing w:before="100" w:beforeAutospacing="1" w:after="100" w:afterAutospacing="1" w:line="240" w:lineRule="auto"/>
              <w:jc w:val="center"/>
              <w:cnfStyle w:val="100000000000" w:firstRow="1"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4C72D9C6">
              <w:rPr>
                <w:rFonts w:ascii="Arial" w:eastAsia="Arial" w:hAnsi="Arial" w:cs="Arial"/>
                <w:color w:val="000000" w:themeColor="text1"/>
                <w:sz w:val="22"/>
                <w:szCs w:val="22"/>
              </w:rPr>
              <w:t>Method / Sample</w:t>
            </w:r>
          </w:p>
        </w:tc>
        <w:tc>
          <w:tcPr>
            <w:tcW w:w="1474" w:type="dxa"/>
            <w:vAlign w:val="center"/>
            <w:hideMark/>
          </w:tcPr>
          <w:p w14:paraId="30B475F0" w14:textId="77777777" w:rsidR="005346D8" w:rsidRPr="005346D8" w:rsidRDefault="005346D8" w:rsidP="4C72D9C6">
            <w:pPr>
              <w:spacing w:before="100" w:beforeAutospacing="1" w:after="100" w:afterAutospacing="1" w:line="240" w:lineRule="auto"/>
              <w:jc w:val="center"/>
              <w:cnfStyle w:val="100000000000" w:firstRow="1"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4C72D9C6">
              <w:rPr>
                <w:rFonts w:ascii="Arial" w:eastAsia="Arial" w:hAnsi="Arial" w:cs="Arial"/>
                <w:color w:val="000000" w:themeColor="text1"/>
                <w:sz w:val="22"/>
                <w:szCs w:val="22"/>
              </w:rPr>
              <w:t>Strengths &amp; Limits</w:t>
            </w:r>
          </w:p>
        </w:tc>
        <w:tc>
          <w:tcPr>
            <w:tcW w:w="1564" w:type="dxa"/>
            <w:vAlign w:val="center"/>
            <w:hideMark/>
          </w:tcPr>
          <w:p w14:paraId="161D52DB" w14:textId="77777777" w:rsidR="005346D8" w:rsidRPr="005346D8" w:rsidRDefault="005346D8" w:rsidP="4C72D9C6">
            <w:pPr>
              <w:spacing w:before="100" w:beforeAutospacing="1" w:after="100" w:afterAutospacing="1" w:line="240" w:lineRule="auto"/>
              <w:jc w:val="center"/>
              <w:cnfStyle w:val="100000000000" w:firstRow="1"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4C72D9C6">
              <w:rPr>
                <w:rFonts w:ascii="Arial" w:eastAsia="Arial" w:hAnsi="Arial" w:cs="Arial"/>
                <w:color w:val="000000" w:themeColor="text1"/>
                <w:sz w:val="22"/>
                <w:szCs w:val="22"/>
              </w:rPr>
              <w:t>Main Findings</w:t>
            </w:r>
          </w:p>
        </w:tc>
        <w:tc>
          <w:tcPr>
            <w:tcW w:w="1174" w:type="dxa"/>
            <w:vAlign w:val="center"/>
            <w:hideMark/>
          </w:tcPr>
          <w:p w14:paraId="7E0046CA" w14:textId="77777777" w:rsidR="005346D8" w:rsidRPr="005346D8" w:rsidRDefault="005346D8" w:rsidP="4C72D9C6">
            <w:pPr>
              <w:spacing w:before="100" w:beforeAutospacing="1" w:after="100" w:afterAutospacing="1" w:line="240" w:lineRule="auto"/>
              <w:jc w:val="center"/>
              <w:cnfStyle w:val="100000000000" w:firstRow="1"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4C72D9C6">
              <w:rPr>
                <w:rFonts w:ascii="Arial" w:eastAsia="Arial" w:hAnsi="Arial" w:cs="Arial"/>
                <w:color w:val="000000" w:themeColor="text1"/>
                <w:sz w:val="22"/>
                <w:szCs w:val="22"/>
              </w:rPr>
              <w:t>Keywords</w:t>
            </w:r>
          </w:p>
        </w:tc>
      </w:tr>
      <w:tr w:rsidR="005346D8" w:rsidRPr="005346D8" w14:paraId="6169245D" w14:textId="77777777" w:rsidTr="4C72D9C6">
        <w:trPr>
          <w:cnfStyle w:val="000000100000" w:firstRow="0" w:lastRow="0" w:firstColumn="0" w:lastColumn="0" w:oddVBand="0" w:evenVBand="0" w:oddHBand="1" w:evenHBand="0" w:firstRowFirstColumn="0" w:firstRowLastColumn="0" w:lastRowFirstColumn="0" w:lastRowLastColumn="0"/>
          <w:tblCellSpacing w:w="15" w:type="dxa"/>
        </w:trPr>
        <w:tc>
          <w:tcPr>
            <w:cnfStyle w:val="001000000000" w:firstRow="0" w:lastRow="0" w:firstColumn="1" w:lastColumn="0" w:oddVBand="0" w:evenVBand="0" w:oddHBand="0" w:evenHBand="0" w:firstRowFirstColumn="0" w:firstRowLastColumn="0" w:lastRowFirstColumn="0" w:lastRowLastColumn="0"/>
            <w:tcW w:w="1269" w:type="dxa"/>
            <w:vAlign w:val="center"/>
            <w:hideMark/>
          </w:tcPr>
          <w:p w14:paraId="40E1BFF8"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sz w:val="22"/>
                <w:szCs w:val="22"/>
              </w:rPr>
            </w:pPr>
            <w:r w:rsidRPr="4C72D9C6">
              <w:rPr>
                <w:rFonts w:ascii="Arial" w:eastAsia="Arial" w:hAnsi="Arial" w:cs="Arial"/>
                <w:color w:val="000000" w:themeColor="text1"/>
                <w:sz w:val="22"/>
                <w:szCs w:val="22"/>
              </w:rPr>
              <w:t>Sayal et al. (2018)</w:t>
            </w:r>
          </w:p>
        </w:tc>
        <w:tc>
          <w:tcPr>
            <w:tcW w:w="1172" w:type="dxa"/>
            <w:vAlign w:val="center"/>
            <w:hideMark/>
          </w:tcPr>
          <w:p w14:paraId="2F8E588C" w14:textId="77777777" w:rsidR="005346D8" w:rsidRPr="005346D8" w:rsidRDefault="005346D8" w:rsidP="4C72D9C6">
            <w:pPr>
              <w:spacing w:before="100" w:beforeAutospacing="1" w:after="100" w:afterAutospacing="1" w:line="240" w:lineRule="auto"/>
              <w:jc w:val="left"/>
              <w:cnfStyle w:val="000000100000" w:firstRow="0" w:lastRow="0" w:firstColumn="0" w:lastColumn="0" w:oddVBand="0" w:evenVBand="0" w:oddHBand="1" w:evenHBand="0" w:firstRowFirstColumn="0" w:firstRowLastColumn="0" w:lastRowFirstColumn="0" w:lastRowLastColumn="0"/>
              <w:rPr>
                <w:rFonts w:ascii="Arial" w:eastAsia="Arial" w:hAnsi="Arial" w:cs="Arial"/>
                <w:color w:val="000000" w:themeColor="text1"/>
                <w:sz w:val="22"/>
                <w:szCs w:val="22"/>
              </w:rPr>
            </w:pPr>
            <w:r w:rsidRPr="4C72D9C6">
              <w:rPr>
                <w:rFonts w:ascii="Arial" w:eastAsia="Arial" w:hAnsi="Arial" w:cs="Arial"/>
                <w:color w:val="000000" w:themeColor="text1"/>
                <w:sz w:val="22"/>
                <w:szCs w:val="22"/>
              </w:rPr>
              <w:t>ADHD in children</w:t>
            </w:r>
          </w:p>
        </w:tc>
        <w:tc>
          <w:tcPr>
            <w:tcW w:w="1249" w:type="dxa"/>
            <w:vAlign w:val="center"/>
            <w:hideMark/>
          </w:tcPr>
          <w:p w14:paraId="02E7C955" w14:textId="77777777" w:rsidR="005346D8" w:rsidRPr="005346D8" w:rsidRDefault="005346D8" w:rsidP="4C72D9C6">
            <w:pPr>
              <w:spacing w:before="100" w:beforeAutospacing="1" w:after="100" w:afterAutospacing="1" w:line="240" w:lineRule="auto"/>
              <w:jc w:val="left"/>
              <w:cnfStyle w:val="000000100000" w:firstRow="0" w:lastRow="0" w:firstColumn="0" w:lastColumn="0" w:oddVBand="0" w:evenVBand="0" w:oddHBand="1" w:evenHBand="0" w:firstRowFirstColumn="0" w:firstRowLastColumn="0" w:lastRowFirstColumn="0" w:lastRowLastColumn="0"/>
              <w:rPr>
                <w:rFonts w:ascii="Arial" w:eastAsia="Arial" w:hAnsi="Arial" w:cs="Arial"/>
                <w:color w:val="000000" w:themeColor="text1"/>
                <w:sz w:val="22"/>
                <w:szCs w:val="22"/>
              </w:rPr>
            </w:pPr>
            <w:r w:rsidRPr="4C72D9C6">
              <w:rPr>
                <w:rFonts w:ascii="Arial" w:eastAsia="Arial" w:hAnsi="Arial" w:cs="Arial"/>
                <w:color w:val="000000" w:themeColor="text1"/>
                <w:sz w:val="22"/>
                <w:szCs w:val="22"/>
              </w:rPr>
              <w:t>Narrative review</w:t>
            </w:r>
          </w:p>
        </w:tc>
        <w:tc>
          <w:tcPr>
            <w:tcW w:w="1284" w:type="dxa"/>
            <w:vAlign w:val="center"/>
            <w:hideMark/>
          </w:tcPr>
          <w:p w14:paraId="11236686" w14:textId="77777777" w:rsidR="005346D8" w:rsidRPr="005346D8" w:rsidRDefault="005346D8" w:rsidP="4C72D9C6">
            <w:pPr>
              <w:spacing w:before="100" w:beforeAutospacing="1" w:after="100" w:afterAutospacing="1" w:line="240" w:lineRule="auto"/>
              <w:jc w:val="left"/>
              <w:cnfStyle w:val="000000100000" w:firstRow="0" w:lastRow="0" w:firstColumn="0" w:lastColumn="0" w:oddVBand="0" w:evenVBand="0" w:oddHBand="1" w:evenHBand="0" w:firstRowFirstColumn="0" w:firstRowLastColumn="0" w:lastRowFirstColumn="0" w:lastRowLastColumn="0"/>
              <w:rPr>
                <w:rFonts w:ascii="Arial" w:eastAsia="Arial" w:hAnsi="Arial" w:cs="Arial"/>
                <w:color w:val="000000" w:themeColor="text1"/>
                <w:sz w:val="22"/>
                <w:szCs w:val="22"/>
              </w:rPr>
            </w:pPr>
            <w:r w:rsidRPr="4C72D9C6">
              <w:rPr>
                <w:rFonts w:ascii="Arial" w:eastAsia="Arial" w:hAnsi="Arial" w:cs="Arial"/>
                <w:color w:val="000000" w:themeColor="text1"/>
                <w:sz w:val="22"/>
                <w:szCs w:val="22"/>
              </w:rPr>
              <w:t>Review of UK &amp; international data</w:t>
            </w:r>
          </w:p>
        </w:tc>
        <w:tc>
          <w:tcPr>
            <w:tcW w:w="1474" w:type="dxa"/>
            <w:vAlign w:val="center"/>
            <w:hideMark/>
          </w:tcPr>
          <w:p w14:paraId="1620CF58" w14:textId="77777777" w:rsidR="005346D8" w:rsidRPr="005346D8" w:rsidRDefault="005346D8" w:rsidP="4C72D9C6">
            <w:pPr>
              <w:spacing w:before="100" w:beforeAutospacing="1" w:after="100" w:afterAutospacing="1" w:line="240" w:lineRule="auto"/>
              <w:jc w:val="left"/>
              <w:cnfStyle w:val="000000100000" w:firstRow="0" w:lastRow="0" w:firstColumn="0" w:lastColumn="0" w:oddVBand="0" w:evenVBand="0" w:oddHBand="1" w:evenHBand="0" w:firstRowFirstColumn="0" w:firstRowLastColumn="0" w:lastRowFirstColumn="0" w:lastRowLastColumn="0"/>
              <w:rPr>
                <w:rFonts w:ascii="Arial" w:eastAsia="Arial" w:hAnsi="Arial" w:cs="Arial"/>
                <w:color w:val="000000" w:themeColor="text1"/>
                <w:sz w:val="22"/>
                <w:szCs w:val="22"/>
              </w:rPr>
            </w:pPr>
            <w:r w:rsidRPr="4C72D9C6">
              <w:rPr>
                <w:rFonts w:ascii="Arial" w:eastAsia="Arial" w:hAnsi="Arial" w:cs="Arial"/>
                <w:color w:val="000000" w:themeColor="text1"/>
                <w:sz w:val="22"/>
                <w:szCs w:val="22"/>
              </w:rPr>
              <w:t>+ Strong overview– Limited school detail</w:t>
            </w:r>
          </w:p>
        </w:tc>
        <w:tc>
          <w:tcPr>
            <w:tcW w:w="1564" w:type="dxa"/>
            <w:vAlign w:val="center"/>
            <w:hideMark/>
          </w:tcPr>
          <w:p w14:paraId="03BF10FB" w14:textId="77777777" w:rsidR="005346D8" w:rsidRPr="005346D8" w:rsidRDefault="005346D8" w:rsidP="4C72D9C6">
            <w:pPr>
              <w:spacing w:before="100" w:beforeAutospacing="1" w:after="100" w:afterAutospacing="1" w:line="240" w:lineRule="auto"/>
              <w:jc w:val="left"/>
              <w:cnfStyle w:val="000000100000" w:firstRow="0" w:lastRow="0" w:firstColumn="0" w:lastColumn="0" w:oddVBand="0" w:evenVBand="0" w:oddHBand="1" w:evenHBand="0" w:firstRowFirstColumn="0" w:firstRowLastColumn="0" w:lastRowFirstColumn="0" w:lastRowLastColumn="0"/>
              <w:rPr>
                <w:rFonts w:ascii="Arial" w:eastAsia="Arial" w:hAnsi="Arial" w:cs="Arial"/>
                <w:color w:val="000000" w:themeColor="text1"/>
                <w:sz w:val="22"/>
                <w:szCs w:val="22"/>
              </w:rPr>
            </w:pPr>
            <w:r w:rsidRPr="4C72D9C6">
              <w:rPr>
                <w:rFonts w:ascii="Arial" w:eastAsia="Arial" w:hAnsi="Arial" w:cs="Arial"/>
                <w:color w:val="000000" w:themeColor="text1"/>
                <w:sz w:val="22"/>
                <w:szCs w:val="22"/>
              </w:rPr>
              <w:t>ADHD under-recognised; late support</w:t>
            </w:r>
          </w:p>
        </w:tc>
        <w:tc>
          <w:tcPr>
            <w:tcW w:w="1174" w:type="dxa"/>
            <w:vAlign w:val="center"/>
            <w:hideMark/>
          </w:tcPr>
          <w:p w14:paraId="53FB0E87" w14:textId="77777777" w:rsidR="005346D8" w:rsidRPr="005346D8" w:rsidRDefault="005346D8" w:rsidP="4C72D9C6">
            <w:pPr>
              <w:spacing w:before="100" w:beforeAutospacing="1" w:after="100" w:afterAutospacing="1" w:line="240" w:lineRule="auto"/>
              <w:jc w:val="left"/>
              <w:cnfStyle w:val="000000100000" w:firstRow="0" w:lastRow="0" w:firstColumn="0" w:lastColumn="0" w:oddVBand="0" w:evenVBand="0" w:oddHBand="1" w:evenHBand="0" w:firstRowFirstColumn="0" w:firstRowLastColumn="0" w:lastRowFirstColumn="0" w:lastRowLastColumn="0"/>
              <w:rPr>
                <w:rFonts w:ascii="Arial" w:eastAsia="Arial" w:hAnsi="Arial" w:cs="Arial"/>
                <w:color w:val="000000" w:themeColor="text1"/>
                <w:sz w:val="22"/>
                <w:szCs w:val="22"/>
              </w:rPr>
            </w:pPr>
            <w:r w:rsidRPr="4C72D9C6">
              <w:rPr>
                <w:rFonts w:ascii="Arial" w:eastAsia="Arial" w:hAnsi="Arial" w:cs="Arial"/>
                <w:color w:val="000000" w:themeColor="text1"/>
                <w:sz w:val="22"/>
                <w:szCs w:val="22"/>
              </w:rPr>
              <w:t>prevalence; pathways</w:t>
            </w:r>
          </w:p>
        </w:tc>
      </w:tr>
      <w:tr w:rsidR="005346D8" w:rsidRPr="005346D8" w14:paraId="6C5D5425" w14:textId="77777777" w:rsidTr="4C72D9C6">
        <w:trPr>
          <w:tblCellSpacing w:w="15" w:type="dxa"/>
        </w:trPr>
        <w:tc>
          <w:tcPr>
            <w:cnfStyle w:val="001000000000" w:firstRow="0" w:lastRow="0" w:firstColumn="1" w:lastColumn="0" w:oddVBand="0" w:evenVBand="0" w:oddHBand="0" w:evenHBand="0" w:firstRowFirstColumn="0" w:firstRowLastColumn="0" w:lastRowFirstColumn="0" w:lastRowLastColumn="0"/>
            <w:tcW w:w="1269" w:type="dxa"/>
            <w:vAlign w:val="center"/>
            <w:hideMark/>
          </w:tcPr>
          <w:p w14:paraId="19A4DD07"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sz w:val="22"/>
                <w:szCs w:val="22"/>
              </w:rPr>
            </w:pPr>
            <w:r w:rsidRPr="4C72D9C6">
              <w:rPr>
                <w:rFonts w:ascii="Arial" w:eastAsia="Arial" w:hAnsi="Arial" w:cs="Arial"/>
                <w:color w:val="000000" w:themeColor="text1"/>
                <w:sz w:val="22"/>
                <w:szCs w:val="22"/>
              </w:rPr>
              <w:t>May et al. (2021)</w:t>
            </w:r>
          </w:p>
        </w:tc>
        <w:tc>
          <w:tcPr>
            <w:tcW w:w="1172" w:type="dxa"/>
            <w:vAlign w:val="center"/>
            <w:hideMark/>
          </w:tcPr>
          <w:p w14:paraId="64C015D4" w14:textId="77777777" w:rsidR="005346D8" w:rsidRPr="005346D8" w:rsidRDefault="005346D8" w:rsidP="4C72D9C6">
            <w:pPr>
              <w:spacing w:before="100" w:beforeAutospacing="1" w:after="100" w:afterAutospacing="1" w:line="240" w:lineRule="auto"/>
              <w:jc w:val="left"/>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4C72D9C6">
              <w:rPr>
                <w:rFonts w:ascii="Arial" w:eastAsia="Arial" w:hAnsi="Arial" w:cs="Arial"/>
                <w:color w:val="000000" w:themeColor="text1"/>
                <w:sz w:val="22"/>
                <w:szCs w:val="22"/>
              </w:rPr>
              <w:t>ADHD &amp; attainment</w:t>
            </w:r>
          </w:p>
        </w:tc>
        <w:tc>
          <w:tcPr>
            <w:tcW w:w="1249" w:type="dxa"/>
            <w:vAlign w:val="center"/>
            <w:hideMark/>
          </w:tcPr>
          <w:p w14:paraId="38126060" w14:textId="77777777" w:rsidR="005346D8" w:rsidRPr="005346D8" w:rsidRDefault="005346D8" w:rsidP="4C72D9C6">
            <w:pPr>
              <w:spacing w:before="100" w:beforeAutospacing="1" w:after="100" w:afterAutospacing="1" w:line="240" w:lineRule="auto"/>
              <w:jc w:val="left"/>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4C72D9C6">
              <w:rPr>
                <w:rFonts w:ascii="Arial" w:eastAsia="Arial" w:hAnsi="Arial" w:cs="Arial"/>
                <w:color w:val="000000" w:themeColor="text1"/>
                <w:sz w:val="22"/>
                <w:szCs w:val="22"/>
              </w:rPr>
              <w:t>Quantitative</w:t>
            </w:r>
          </w:p>
        </w:tc>
        <w:tc>
          <w:tcPr>
            <w:tcW w:w="1284" w:type="dxa"/>
            <w:vAlign w:val="center"/>
            <w:hideMark/>
          </w:tcPr>
          <w:p w14:paraId="34080E1B" w14:textId="77777777" w:rsidR="005346D8" w:rsidRPr="005346D8" w:rsidRDefault="005346D8" w:rsidP="4C72D9C6">
            <w:pPr>
              <w:spacing w:before="100" w:beforeAutospacing="1" w:after="100" w:afterAutospacing="1" w:line="240" w:lineRule="auto"/>
              <w:jc w:val="left"/>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4C72D9C6">
              <w:rPr>
                <w:rFonts w:ascii="Arial" w:eastAsia="Arial" w:hAnsi="Arial" w:cs="Arial"/>
                <w:color w:val="000000" w:themeColor="text1"/>
                <w:sz w:val="22"/>
                <w:szCs w:val="22"/>
              </w:rPr>
              <w:t>UK longitudinal school data</w:t>
            </w:r>
          </w:p>
        </w:tc>
        <w:tc>
          <w:tcPr>
            <w:tcW w:w="1474" w:type="dxa"/>
            <w:vAlign w:val="center"/>
            <w:hideMark/>
          </w:tcPr>
          <w:p w14:paraId="3411E35F" w14:textId="77777777" w:rsidR="005346D8" w:rsidRPr="005346D8" w:rsidRDefault="005346D8" w:rsidP="4C72D9C6">
            <w:pPr>
              <w:spacing w:before="100" w:beforeAutospacing="1" w:after="100" w:afterAutospacing="1" w:line="240" w:lineRule="auto"/>
              <w:jc w:val="left"/>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4C72D9C6">
              <w:rPr>
                <w:rFonts w:ascii="Arial" w:eastAsia="Arial" w:hAnsi="Arial" w:cs="Arial"/>
                <w:color w:val="000000" w:themeColor="text1"/>
                <w:sz w:val="22"/>
                <w:szCs w:val="22"/>
              </w:rPr>
              <w:t>+ Large sample– Limited detail</w:t>
            </w:r>
          </w:p>
        </w:tc>
        <w:tc>
          <w:tcPr>
            <w:tcW w:w="1564" w:type="dxa"/>
            <w:vAlign w:val="center"/>
            <w:hideMark/>
          </w:tcPr>
          <w:p w14:paraId="2D4C8AE1" w14:textId="77777777" w:rsidR="005346D8" w:rsidRPr="005346D8" w:rsidRDefault="005346D8" w:rsidP="4C72D9C6">
            <w:pPr>
              <w:spacing w:before="100" w:beforeAutospacing="1" w:after="100" w:afterAutospacing="1" w:line="240" w:lineRule="auto"/>
              <w:jc w:val="left"/>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4C72D9C6">
              <w:rPr>
                <w:rFonts w:ascii="Arial" w:eastAsia="Arial" w:hAnsi="Arial" w:cs="Arial"/>
                <w:color w:val="000000" w:themeColor="text1"/>
                <w:sz w:val="22"/>
                <w:szCs w:val="22"/>
              </w:rPr>
              <w:t>Lower attainment in ADHD pupils</w:t>
            </w:r>
          </w:p>
        </w:tc>
        <w:tc>
          <w:tcPr>
            <w:tcW w:w="1174" w:type="dxa"/>
            <w:vAlign w:val="center"/>
            <w:hideMark/>
          </w:tcPr>
          <w:p w14:paraId="6C78ABA2" w14:textId="77777777" w:rsidR="005346D8" w:rsidRPr="005346D8" w:rsidRDefault="005346D8" w:rsidP="4C72D9C6">
            <w:pPr>
              <w:spacing w:before="100" w:beforeAutospacing="1" w:after="100" w:afterAutospacing="1" w:line="240" w:lineRule="auto"/>
              <w:jc w:val="left"/>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4C72D9C6">
              <w:rPr>
                <w:rFonts w:ascii="Arial" w:eastAsia="Arial" w:hAnsi="Arial" w:cs="Arial"/>
                <w:color w:val="000000" w:themeColor="text1"/>
                <w:sz w:val="22"/>
                <w:szCs w:val="22"/>
              </w:rPr>
              <w:t>attainment; school</w:t>
            </w:r>
          </w:p>
        </w:tc>
      </w:tr>
      <w:tr w:rsidR="005346D8" w:rsidRPr="005346D8" w14:paraId="4C1BF9B4" w14:textId="77777777" w:rsidTr="4C72D9C6">
        <w:trPr>
          <w:cnfStyle w:val="000000100000" w:firstRow="0" w:lastRow="0" w:firstColumn="0" w:lastColumn="0" w:oddVBand="0" w:evenVBand="0" w:oddHBand="1" w:evenHBand="0" w:firstRowFirstColumn="0" w:firstRowLastColumn="0" w:lastRowFirstColumn="0" w:lastRowLastColumn="0"/>
          <w:tblCellSpacing w:w="15" w:type="dxa"/>
        </w:trPr>
        <w:tc>
          <w:tcPr>
            <w:cnfStyle w:val="001000000000" w:firstRow="0" w:lastRow="0" w:firstColumn="1" w:lastColumn="0" w:oddVBand="0" w:evenVBand="0" w:oddHBand="0" w:evenHBand="0" w:firstRowFirstColumn="0" w:firstRowLastColumn="0" w:lastRowFirstColumn="0" w:lastRowLastColumn="0"/>
            <w:tcW w:w="1269" w:type="dxa"/>
            <w:vAlign w:val="center"/>
            <w:hideMark/>
          </w:tcPr>
          <w:p w14:paraId="5371F7AA"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sz w:val="22"/>
                <w:szCs w:val="22"/>
              </w:rPr>
            </w:pPr>
            <w:r w:rsidRPr="4C72D9C6">
              <w:rPr>
                <w:rFonts w:ascii="Arial" w:eastAsia="Arial" w:hAnsi="Arial" w:cs="Arial"/>
                <w:color w:val="000000" w:themeColor="text1"/>
                <w:sz w:val="22"/>
                <w:szCs w:val="22"/>
              </w:rPr>
              <w:t>Ford et al. (2021)</w:t>
            </w:r>
          </w:p>
        </w:tc>
        <w:tc>
          <w:tcPr>
            <w:tcW w:w="1172" w:type="dxa"/>
            <w:vAlign w:val="center"/>
            <w:hideMark/>
          </w:tcPr>
          <w:p w14:paraId="56372812" w14:textId="77777777" w:rsidR="005346D8" w:rsidRPr="005346D8" w:rsidRDefault="005346D8" w:rsidP="4C72D9C6">
            <w:pPr>
              <w:spacing w:before="100" w:beforeAutospacing="1" w:after="100" w:afterAutospacing="1" w:line="240" w:lineRule="auto"/>
              <w:jc w:val="left"/>
              <w:cnfStyle w:val="000000100000" w:firstRow="0" w:lastRow="0" w:firstColumn="0" w:lastColumn="0" w:oddVBand="0" w:evenVBand="0" w:oddHBand="1" w:evenHBand="0" w:firstRowFirstColumn="0" w:firstRowLastColumn="0" w:lastRowFirstColumn="0" w:lastRowLastColumn="0"/>
              <w:rPr>
                <w:rFonts w:ascii="Arial" w:eastAsia="Arial" w:hAnsi="Arial" w:cs="Arial"/>
                <w:color w:val="000000" w:themeColor="text1"/>
                <w:sz w:val="22"/>
                <w:szCs w:val="22"/>
              </w:rPr>
            </w:pPr>
            <w:r w:rsidRPr="4C72D9C6">
              <w:rPr>
                <w:rFonts w:ascii="Arial" w:eastAsia="Arial" w:hAnsi="Arial" w:cs="Arial"/>
                <w:color w:val="000000" w:themeColor="text1"/>
                <w:sz w:val="22"/>
                <w:szCs w:val="22"/>
              </w:rPr>
              <w:t>Teacher awareness</w:t>
            </w:r>
          </w:p>
        </w:tc>
        <w:tc>
          <w:tcPr>
            <w:tcW w:w="1249" w:type="dxa"/>
            <w:vAlign w:val="center"/>
            <w:hideMark/>
          </w:tcPr>
          <w:p w14:paraId="1D092949" w14:textId="24F8FD87" w:rsidR="005346D8" w:rsidRPr="005346D8" w:rsidRDefault="3932AE31" w:rsidP="4C72D9C6">
            <w:pPr>
              <w:spacing w:before="100" w:beforeAutospacing="1" w:after="100" w:afterAutospacing="1" w:line="240" w:lineRule="auto"/>
              <w:jc w:val="left"/>
              <w:cnfStyle w:val="000000100000" w:firstRow="0" w:lastRow="0" w:firstColumn="0" w:lastColumn="0" w:oddVBand="0" w:evenVBand="0" w:oddHBand="1" w:evenHBand="0" w:firstRowFirstColumn="0" w:firstRowLastColumn="0" w:lastRowFirstColumn="0" w:lastRowLastColumn="0"/>
              <w:rPr>
                <w:rFonts w:ascii="Arial" w:eastAsia="Arial" w:hAnsi="Arial" w:cs="Arial"/>
                <w:color w:val="000000" w:themeColor="text1"/>
                <w:sz w:val="22"/>
                <w:szCs w:val="22"/>
              </w:rPr>
            </w:pPr>
            <w:r w:rsidRPr="4C72D9C6">
              <w:rPr>
                <w:rFonts w:ascii="Arial" w:eastAsia="Arial" w:hAnsi="Arial" w:cs="Arial"/>
                <w:color w:val="000000" w:themeColor="text1"/>
                <w:sz w:val="22"/>
                <w:szCs w:val="22"/>
              </w:rPr>
              <w:t>Mixed methods</w:t>
            </w:r>
          </w:p>
        </w:tc>
        <w:tc>
          <w:tcPr>
            <w:tcW w:w="1284" w:type="dxa"/>
            <w:vAlign w:val="center"/>
            <w:hideMark/>
          </w:tcPr>
          <w:p w14:paraId="03819AD5" w14:textId="77777777" w:rsidR="005346D8" w:rsidRPr="005346D8" w:rsidRDefault="005346D8" w:rsidP="4C72D9C6">
            <w:pPr>
              <w:spacing w:before="100" w:beforeAutospacing="1" w:after="100" w:afterAutospacing="1" w:line="240" w:lineRule="auto"/>
              <w:jc w:val="left"/>
              <w:cnfStyle w:val="000000100000" w:firstRow="0" w:lastRow="0" w:firstColumn="0" w:lastColumn="0" w:oddVBand="0" w:evenVBand="0" w:oddHBand="1" w:evenHBand="0" w:firstRowFirstColumn="0" w:firstRowLastColumn="0" w:lastRowFirstColumn="0" w:lastRowLastColumn="0"/>
              <w:rPr>
                <w:rFonts w:ascii="Arial" w:eastAsia="Arial" w:hAnsi="Arial" w:cs="Arial"/>
                <w:color w:val="000000" w:themeColor="text1"/>
                <w:sz w:val="22"/>
                <w:szCs w:val="22"/>
              </w:rPr>
            </w:pPr>
            <w:r w:rsidRPr="4C72D9C6">
              <w:rPr>
                <w:rFonts w:ascii="Arial" w:eastAsia="Arial" w:hAnsi="Arial" w:cs="Arial"/>
                <w:color w:val="000000" w:themeColor="text1"/>
                <w:sz w:val="22"/>
                <w:szCs w:val="22"/>
              </w:rPr>
              <w:t>Surveys &amp; interviews</w:t>
            </w:r>
          </w:p>
        </w:tc>
        <w:tc>
          <w:tcPr>
            <w:tcW w:w="1474" w:type="dxa"/>
            <w:vAlign w:val="center"/>
            <w:hideMark/>
          </w:tcPr>
          <w:p w14:paraId="1E1D9188" w14:textId="77777777" w:rsidR="005346D8" w:rsidRPr="005346D8" w:rsidRDefault="005346D8" w:rsidP="4C72D9C6">
            <w:pPr>
              <w:spacing w:before="100" w:beforeAutospacing="1" w:after="100" w:afterAutospacing="1" w:line="240" w:lineRule="auto"/>
              <w:jc w:val="left"/>
              <w:cnfStyle w:val="000000100000" w:firstRow="0" w:lastRow="0" w:firstColumn="0" w:lastColumn="0" w:oddVBand="0" w:evenVBand="0" w:oddHBand="1" w:evenHBand="0" w:firstRowFirstColumn="0" w:firstRowLastColumn="0" w:lastRowFirstColumn="0" w:lastRowLastColumn="0"/>
              <w:rPr>
                <w:rFonts w:ascii="Arial" w:eastAsia="Arial" w:hAnsi="Arial" w:cs="Arial"/>
                <w:color w:val="000000" w:themeColor="text1"/>
                <w:sz w:val="22"/>
                <w:szCs w:val="22"/>
              </w:rPr>
            </w:pPr>
            <w:r w:rsidRPr="4C72D9C6">
              <w:rPr>
                <w:rFonts w:ascii="Arial" w:eastAsia="Arial" w:hAnsi="Arial" w:cs="Arial"/>
                <w:color w:val="000000" w:themeColor="text1"/>
                <w:sz w:val="22"/>
                <w:szCs w:val="22"/>
              </w:rPr>
              <w:t>+ Teacher insight– Regional</w:t>
            </w:r>
          </w:p>
        </w:tc>
        <w:tc>
          <w:tcPr>
            <w:tcW w:w="1564" w:type="dxa"/>
            <w:vAlign w:val="center"/>
            <w:hideMark/>
          </w:tcPr>
          <w:p w14:paraId="6F64D210" w14:textId="77777777" w:rsidR="005346D8" w:rsidRPr="005346D8" w:rsidRDefault="005346D8" w:rsidP="4C72D9C6">
            <w:pPr>
              <w:spacing w:before="100" w:beforeAutospacing="1" w:after="100" w:afterAutospacing="1" w:line="240" w:lineRule="auto"/>
              <w:jc w:val="left"/>
              <w:cnfStyle w:val="000000100000" w:firstRow="0" w:lastRow="0" w:firstColumn="0" w:lastColumn="0" w:oddVBand="0" w:evenVBand="0" w:oddHBand="1" w:evenHBand="0" w:firstRowFirstColumn="0" w:firstRowLastColumn="0" w:lastRowFirstColumn="0" w:lastRowLastColumn="0"/>
              <w:rPr>
                <w:rFonts w:ascii="Arial" w:eastAsia="Arial" w:hAnsi="Arial" w:cs="Arial"/>
                <w:color w:val="000000" w:themeColor="text1"/>
                <w:sz w:val="22"/>
                <w:szCs w:val="22"/>
              </w:rPr>
            </w:pPr>
            <w:r w:rsidRPr="4C72D9C6">
              <w:rPr>
                <w:rFonts w:ascii="Arial" w:eastAsia="Arial" w:hAnsi="Arial" w:cs="Arial"/>
                <w:color w:val="000000" w:themeColor="text1"/>
                <w:sz w:val="22"/>
                <w:szCs w:val="22"/>
              </w:rPr>
              <w:t>Teachers misread ADHD behaviours</w:t>
            </w:r>
          </w:p>
        </w:tc>
        <w:tc>
          <w:tcPr>
            <w:tcW w:w="1174" w:type="dxa"/>
            <w:vAlign w:val="center"/>
            <w:hideMark/>
          </w:tcPr>
          <w:p w14:paraId="09DBB0D8" w14:textId="77777777" w:rsidR="005346D8" w:rsidRPr="005346D8" w:rsidRDefault="005346D8" w:rsidP="4C72D9C6">
            <w:pPr>
              <w:spacing w:before="100" w:beforeAutospacing="1" w:after="100" w:afterAutospacing="1" w:line="240" w:lineRule="auto"/>
              <w:jc w:val="left"/>
              <w:cnfStyle w:val="000000100000" w:firstRow="0" w:lastRow="0" w:firstColumn="0" w:lastColumn="0" w:oddVBand="0" w:evenVBand="0" w:oddHBand="1" w:evenHBand="0" w:firstRowFirstColumn="0" w:firstRowLastColumn="0" w:lastRowFirstColumn="0" w:lastRowLastColumn="0"/>
              <w:rPr>
                <w:rFonts w:ascii="Arial" w:eastAsia="Arial" w:hAnsi="Arial" w:cs="Arial"/>
                <w:color w:val="000000" w:themeColor="text1"/>
                <w:sz w:val="22"/>
                <w:szCs w:val="22"/>
              </w:rPr>
            </w:pPr>
            <w:r w:rsidRPr="4C72D9C6">
              <w:rPr>
                <w:rFonts w:ascii="Arial" w:eastAsia="Arial" w:hAnsi="Arial" w:cs="Arial"/>
                <w:color w:val="000000" w:themeColor="text1"/>
                <w:sz w:val="22"/>
                <w:szCs w:val="22"/>
              </w:rPr>
              <w:t>teacher awareness</w:t>
            </w:r>
          </w:p>
        </w:tc>
      </w:tr>
      <w:tr w:rsidR="005346D8" w:rsidRPr="005346D8" w14:paraId="70836FDB" w14:textId="77777777" w:rsidTr="4C72D9C6">
        <w:trPr>
          <w:tblCellSpacing w:w="15" w:type="dxa"/>
        </w:trPr>
        <w:tc>
          <w:tcPr>
            <w:cnfStyle w:val="001000000000" w:firstRow="0" w:lastRow="0" w:firstColumn="1" w:lastColumn="0" w:oddVBand="0" w:evenVBand="0" w:oddHBand="0" w:evenHBand="0" w:firstRowFirstColumn="0" w:firstRowLastColumn="0" w:lastRowFirstColumn="0" w:lastRowLastColumn="0"/>
            <w:tcW w:w="1269" w:type="dxa"/>
            <w:vAlign w:val="center"/>
            <w:hideMark/>
          </w:tcPr>
          <w:p w14:paraId="684740CF"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sz w:val="22"/>
                <w:szCs w:val="22"/>
              </w:rPr>
            </w:pPr>
            <w:r w:rsidRPr="4C72D9C6">
              <w:rPr>
                <w:rFonts w:ascii="Arial" w:eastAsia="Arial" w:hAnsi="Arial" w:cs="Arial"/>
                <w:color w:val="000000" w:themeColor="text1"/>
                <w:sz w:val="22"/>
                <w:szCs w:val="22"/>
              </w:rPr>
              <w:t>Wright et al. (2023)</w:t>
            </w:r>
          </w:p>
        </w:tc>
        <w:tc>
          <w:tcPr>
            <w:tcW w:w="1172" w:type="dxa"/>
            <w:vAlign w:val="center"/>
            <w:hideMark/>
          </w:tcPr>
          <w:p w14:paraId="108E3DE9" w14:textId="77777777" w:rsidR="005346D8" w:rsidRPr="005346D8" w:rsidRDefault="005346D8" w:rsidP="4C72D9C6">
            <w:pPr>
              <w:spacing w:before="100" w:beforeAutospacing="1" w:after="100" w:afterAutospacing="1" w:line="240" w:lineRule="auto"/>
              <w:jc w:val="left"/>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4C72D9C6">
              <w:rPr>
                <w:rFonts w:ascii="Arial" w:eastAsia="Arial" w:hAnsi="Arial" w:cs="Arial"/>
                <w:color w:val="000000" w:themeColor="text1"/>
                <w:sz w:val="22"/>
                <w:szCs w:val="22"/>
              </w:rPr>
              <w:t>Teacher training</w:t>
            </w:r>
          </w:p>
        </w:tc>
        <w:tc>
          <w:tcPr>
            <w:tcW w:w="1249" w:type="dxa"/>
            <w:vAlign w:val="center"/>
            <w:hideMark/>
          </w:tcPr>
          <w:p w14:paraId="3BE9DF06" w14:textId="77777777" w:rsidR="005346D8" w:rsidRPr="005346D8" w:rsidRDefault="005346D8" w:rsidP="4C72D9C6">
            <w:pPr>
              <w:spacing w:before="100" w:beforeAutospacing="1" w:after="100" w:afterAutospacing="1" w:line="240" w:lineRule="auto"/>
              <w:jc w:val="left"/>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4C72D9C6">
              <w:rPr>
                <w:rFonts w:ascii="Arial" w:eastAsia="Arial" w:hAnsi="Arial" w:cs="Arial"/>
                <w:color w:val="000000" w:themeColor="text1"/>
                <w:sz w:val="22"/>
                <w:szCs w:val="22"/>
              </w:rPr>
              <w:t>Qualitative</w:t>
            </w:r>
          </w:p>
        </w:tc>
        <w:tc>
          <w:tcPr>
            <w:tcW w:w="1284" w:type="dxa"/>
            <w:vAlign w:val="center"/>
            <w:hideMark/>
          </w:tcPr>
          <w:p w14:paraId="161DB8AE" w14:textId="77777777" w:rsidR="005346D8" w:rsidRPr="005346D8" w:rsidRDefault="005346D8" w:rsidP="4C72D9C6">
            <w:pPr>
              <w:spacing w:before="100" w:beforeAutospacing="1" w:after="100" w:afterAutospacing="1" w:line="240" w:lineRule="auto"/>
              <w:jc w:val="left"/>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4C72D9C6">
              <w:rPr>
                <w:rFonts w:ascii="Arial" w:eastAsia="Arial" w:hAnsi="Arial" w:cs="Arial"/>
                <w:color w:val="000000" w:themeColor="text1"/>
                <w:sz w:val="22"/>
                <w:szCs w:val="22"/>
              </w:rPr>
              <w:t>Interviews with SENCOs</w:t>
            </w:r>
          </w:p>
        </w:tc>
        <w:tc>
          <w:tcPr>
            <w:tcW w:w="1474" w:type="dxa"/>
            <w:vAlign w:val="center"/>
            <w:hideMark/>
          </w:tcPr>
          <w:p w14:paraId="0D42BA57" w14:textId="77777777" w:rsidR="005346D8" w:rsidRPr="005346D8" w:rsidRDefault="005346D8" w:rsidP="4C72D9C6">
            <w:pPr>
              <w:spacing w:before="100" w:beforeAutospacing="1" w:after="100" w:afterAutospacing="1" w:line="240" w:lineRule="auto"/>
              <w:jc w:val="left"/>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4C72D9C6">
              <w:rPr>
                <w:rFonts w:ascii="Arial" w:eastAsia="Arial" w:hAnsi="Arial" w:cs="Arial"/>
                <w:color w:val="000000" w:themeColor="text1"/>
                <w:sz w:val="22"/>
                <w:szCs w:val="22"/>
              </w:rPr>
              <w:t>+ Practical insight– Small sample</w:t>
            </w:r>
          </w:p>
        </w:tc>
        <w:tc>
          <w:tcPr>
            <w:tcW w:w="1564" w:type="dxa"/>
            <w:vAlign w:val="center"/>
            <w:hideMark/>
          </w:tcPr>
          <w:p w14:paraId="53F347E3" w14:textId="77777777" w:rsidR="005346D8" w:rsidRPr="005346D8" w:rsidRDefault="005346D8" w:rsidP="4C72D9C6">
            <w:pPr>
              <w:spacing w:before="100" w:beforeAutospacing="1" w:after="100" w:afterAutospacing="1" w:line="240" w:lineRule="auto"/>
              <w:jc w:val="left"/>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4C72D9C6">
              <w:rPr>
                <w:rFonts w:ascii="Arial" w:eastAsia="Arial" w:hAnsi="Arial" w:cs="Arial"/>
                <w:color w:val="000000" w:themeColor="text1"/>
                <w:sz w:val="22"/>
                <w:szCs w:val="22"/>
              </w:rPr>
              <w:t>Training inconsistent across schools</w:t>
            </w:r>
          </w:p>
        </w:tc>
        <w:tc>
          <w:tcPr>
            <w:tcW w:w="1174" w:type="dxa"/>
            <w:vAlign w:val="center"/>
            <w:hideMark/>
          </w:tcPr>
          <w:p w14:paraId="3719B6B8" w14:textId="77777777" w:rsidR="005346D8" w:rsidRPr="005346D8" w:rsidRDefault="005346D8" w:rsidP="4C72D9C6">
            <w:pPr>
              <w:spacing w:before="100" w:beforeAutospacing="1" w:after="100" w:afterAutospacing="1" w:line="240" w:lineRule="auto"/>
              <w:jc w:val="left"/>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4C72D9C6">
              <w:rPr>
                <w:rFonts w:ascii="Arial" w:eastAsia="Arial" w:hAnsi="Arial" w:cs="Arial"/>
                <w:color w:val="000000" w:themeColor="text1"/>
                <w:sz w:val="22"/>
                <w:szCs w:val="22"/>
              </w:rPr>
              <w:t>CPD; classroom</w:t>
            </w:r>
          </w:p>
        </w:tc>
      </w:tr>
      <w:tr w:rsidR="005346D8" w:rsidRPr="005346D8" w14:paraId="52BD7A23" w14:textId="77777777" w:rsidTr="4C72D9C6">
        <w:trPr>
          <w:cnfStyle w:val="000000100000" w:firstRow="0" w:lastRow="0" w:firstColumn="0" w:lastColumn="0" w:oddVBand="0" w:evenVBand="0" w:oddHBand="1" w:evenHBand="0" w:firstRowFirstColumn="0" w:firstRowLastColumn="0" w:lastRowFirstColumn="0" w:lastRowLastColumn="0"/>
          <w:tblCellSpacing w:w="15" w:type="dxa"/>
        </w:trPr>
        <w:tc>
          <w:tcPr>
            <w:cnfStyle w:val="001000000000" w:firstRow="0" w:lastRow="0" w:firstColumn="1" w:lastColumn="0" w:oddVBand="0" w:evenVBand="0" w:oddHBand="0" w:evenHBand="0" w:firstRowFirstColumn="0" w:firstRowLastColumn="0" w:lastRowFirstColumn="0" w:lastRowLastColumn="0"/>
            <w:tcW w:w="1269" w:type="dxa"/>
            <w:vAlign w:val="center"/>
            <w:hideMark/>
          </w:tcPr>
          <w:p w14:paraId="7D671B8B"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sz w:val="22"/>
                <w:szCs w:val="22"/>
              </w:rPr>
            </w:pPr>
            <w:r w:rsidRPr="4C72D9C6">
              <w:rPr>
                <w:rFonts w:ascii="Arial" w:eastAsia="Arial" w:hAnsi="Arial" w:cs="Arial"/>
                <w:color w:val="000000" w:themeColor="text1"/>
                <w:sz w:val="22"/>
                <w:szCs w:val="22"/>
              </w:rPr>
              <w:t>Maciver et al. (2025)</w:t>
            </w:r>
          </w:p>
        </w:tc>
        <w:tc>
          <w:tcPr>
            <w:tcW w:w="1172" w:type="dxa"/>
            <w:vAlign w:val="center"/>
            <w:hideMark/>
          </w:tcPr>
          <w:p w14:paraId="77988E6A" w14:textId="77777777" w:rsidR="005346D8" w:rsidRPr="005346D8" w:rsidRDefault="005346D8" w:rsidP="4C72D9C6">
            <w:pPr>
              <w:spacing w:before="100" w:beforeAutospacing="1" w:after="100" w:afterAutospacing="1" w:line="240" w:lineRule="auto"/>
              <w:jc w:val="left"/>
              <w:cnfStyle w:val="000000100000" w:firstRow="0" w:lastRow="0" w:firstColumn="0" w:lastColumn="0" w:oddVBand="0" w:evenVBand="0" w:oddHBand="1" w:evenHBand="0" w:firstRowFirstColumn="0" w:firstRowLastColumn="0" w:lastRowFirstColumn="0" w:lastRowLastColumn="0"/>
              <w:rPr>
                <w:rFonts w:ascii="Arial" w:eastAsia="Arial" w:hAnsi="Arial" w:cs="Arial"/>
                <w:color w:val="000000" w:themeColor="text1"/>
                <w:sz w:val="22"/>
                <w:szCs w:val="22"/>
              </w:rPr>
            </w:pPr>
            <w:r w:rsidRPr="4C72D9C6">
              <w:rPr>
                <w:rFonts w:ascii="Arial" w:eastAsia="Arial" w:hAnsi="Arial" w:cs="Arial"/>
                <w:color w:val="000000" w:themeColor="text1"/>
                <w:sz w:val="22"/>
                <w:szCs w:val="22"/>
              </w:rPr>
              <w:t>ADHD waiting times</w:t>
            </w:r>
          </w:p>
        </w:tc>
        <w:tc>
          <w:tcPr>
            <w:tcW w:w="1249" w:type="dxa"/>
            <w:vAlign w:val="center"/>
            <w:hideMark/>
          </w:tcPr>
          <w:p w14:paraId="329C8081" w14:textId="52696E24" w:rsidR="005346D8" w:rsidRPr="005346D8" w:rsidRDefault="7DFCBC49" w:rsidP="4C72D9C6">
            <w:pPr>
              <w:spacing w:before="100" w:beforeAutospacing="1" w:after="100" w:afterAutospacing="1" w:line="240" w:lineRule="auto"/>
              <w:jc w:val="left"/>
              <w:cnfStyle w:val="000000100000" w:firstRow="0" w:lastRow="0" w:firstColumn="0" w:lastColumn="0" w:oddVBand="0" w:evenVBand="0" w:oddHBand="1" w:evenHBand="0" w:firstRowFirstColumn="0" w:firstRowLastColumn="0" w:lastRowFirstColumn="0" w:lastRowLastColumn="0"/>
              <w:rPr>
                <w:rFonts w:ascii="Arial" w:eastAsia="Arial" w:hAnsi="Arial" w:cs="Arial"/>
                <w:color w:val="000000" w:themeColor="text1"/>
                <w:sz w:val="22"/>
                <w:szCs w:val="22"/>
              </w:rPr>
            </w:pPr>
            <w:r w:rsidRPr="4C72D9C6">
              <w:rPr>
                <w:rFonts w:ascii="Arial" w:eastAsia="Arial" w:hAnsi="Arial" w:cs="Arial"/>
                <w:color w:val="000000" w:themeColor="text1"/>
                <w:sz w:val="22"/>
                <w:szCs w:val="22"/>
              </w:rPr>
              <w:t>Mixed methods</w:t>
            </w:r>
          </w:p>
        </w:tc>
        <w:tc>
          <w:tcPr>
            <w:tcW w:w="1284" w:type="dxa"/>
            <w:vAlign w:val="center"/>
            <w:hideMark/>
          </w:tcPr>
          <w:p w14:paraId="38FAA26A" w14:textId="77777777" w:rsidR="005346D8" w:rsidRPr="005346D8" w:rsidRDefault="005346D8" w:rsidP="4C72D9C6">
            <w:pPr>
              <w:spacing w:before="100" w:beforeAutospacing="1" w:after="100" w:afterAutospacing="1" w:line="240" w:lineRule="auto"/>
              <w:jc w:val="left"/>
              <w:cnfStyle w:val="000000100000" w:firstRow="0" w:lastRow="0" w:firstColumn="0" w:lastColumn="0" w:oddVBand="0" w:evenVBand="0" w:oddHBand="1" w:evenHBand="0" w:firstRowFirstColumn="0" w:firstRowLastColumn="0" w:lastRowFirstColumn="0" w:lastRowLastColumn="0"/>
              <w:rPr>
                <w:rFonts w:ascii="Arial" w:eastAsia="Arial" w:hAnsi="Arial" w:cs="Arial"/>
                <w:color w:val="000000" w:themeColor="text1"/>
                <w:sz w:val="22"/>
                <w:szCs w:val="22"/>
              </w:rPr>
            </w:pPr>
            <w:r w:rsidRPr="4C72D9C6">
              <w:rPr>
                <w:rFonts w:ascii="Arial" w:eastAsia="Arial" w:hAnsi="Arial" w:cs="Arial"/>
                <w:color w:val="000000" w:themeColor="text1"/>
                <w:sz w:val="22"/>
                <w:szCs w:val="22"/>
              </w:rPr>
              <w:t>Policy review + parents</w:t>
            </w:r>
          </w:p>
        </w:tc>
        <w:tc>
          <w:tcPr>
            <w:tcW w:w="1474" w:type="dxa"/>
            <w:vAlign w:val="center"/>
            <w:hideMark/>
          </w:tcPr>
          <w:p w14:paraId="02359647" w14:textId="77777777" w:rsidR="005346D8" w:rsidRPr="005346D8" w:rsidRDefault="005346D8" w:rsidP="4C72D9C6">
            <w:pPr>
              <w:spacing w:before="100" w:beforeAutospacing="1" w:after="100" w:afterAutospacing="1" w:line="240" w:lineRule="auto"/>
              <w:jc w:val="left"/>
              <w:cnfStyle w:val="000000100000" w:firstRow="0" w:lastRow="0" w:firstColumn="0" w:lastColumn="0" w:oddVBand="0" w:evenVBand="0" w:oddHBand="1" w:evenHBand="0" w:firstRowFirstColumn="0" w:firstRowLastColumn="0" w:lastRowFirstColumn="0" w:lastRowLastColumn="0"/>
              <w:rPr>
                <w:rFonts w:ascii="Arial" w:eastAsia="Arial" w:hAnsi="Arial" w:cs="Arial"/>
                <w:color w:val="000000" w:themeColor="text1"/>
                <w:sz w:val="22"/>
                <w:szCs w:val="22"/>
              </w:rPr>
            </w:pPr>
            <w:r w:rsidRPr="4C72D9C6">
              <w:rPr>
                <w:rFonts w:ascii="Arial" w:eastAsia="Arial" w:hAnsi="Arial" w:cs="Arial"/>
                <w:color w:val="000000" w:themeColor="text1"/>
                <w:sz w:val="22"/>
                <w:szCs w:val="22"/>
              </w:rPr>
              <w:t>+ Recent UK data– Self-report</w:t>
            </w:r>
          </w:p>
        </w:tc>
        <w:tc>
          <w:tcPr>
            <w:tcW w:w="1564" w:type="dxa"/>
            <w:vAlign w:val="center"/>
            <w:hideMark/>
          </w:tcPr>
          <w:p w14:paraId="5CD2C622" w14:textId="37D1F012" w:rsidR="005346D8" w:rsidRPr="005346D8" w:rsidRDefault="4610CDE9" w:rsidP="4C72D9C6">
            <w:pPr>
              <w:spacing w:before="100" w:beforeAutospacing="1" w:after="100" w:afterAutospacing="1" w:line="240" w:lineRule="auto"/>
              <w:jc w:val="left"/>
              <w:cnfStyle w:val="000000100000" w:firstRow="0" w:lastRow="0" w:firstColumn="0" w:lastColumn="0" w:oddVBand="0" w:evenVBand="0" w:oddHBand="1" w:evenHBand="0" w:firstRowFirstColumn="0" w:firstRowLastColumn="0" w:lastRowFirstColumn="0" w:lastRowLastColumn="0"/>
              <w:rPr>
                <w:rFonts w:ascii="Arial" w:eastAsia="Arial" w:hAnsi="Arial" w:cs="Arial"/>
                <w:color w:val="000000" w:themeColor="text1"/>
                <w:sz w:val="22"/>
                <w:szCs w:val="22"/>
              </w:rPr>
            </w:pPr>
            <w:r w:rsidRPr="4C72D9C6">
              <w:rPr>
                <w:rFonts w:ascii="Arial" w:eastAsia="Arial" w:hAnsi="Arial" w:cs="Arial"/>
                <w:color w:val="000000" w:themeColor="text1"/>
                <w:sz w:val="22"/>
                <w:szCs w:val="22"/>
              </w:rPr>
              <w:t>Lengthy delays</w:t>
            </w:r>
            <w:r w:rsidR="005346D8" w:rsidRPr="4C72D9C6">
              <w:rPr>
                <w:rFonts w:ascii="Arial" w:eastAsia="Arial" w:hAnsi="Arial" w:cs="Arial"/>
                <w:color w:val="000000" w:themeColor="text1"/>
                <w:sz w:val="22"/>
                <w:szCs w:val="22"/>
              </w:rPr>
              <w:t xml:space="preserve"> block early help</w:t>
            </w:r>
          </w:p>
        </w:tc>
        <w:tc>
          <w:tcPr>
            <w:tcW w:w="1174" w:type="dxa"/>
            <w:vAlign w:val="center"/>
            <w:hideMark/>
          </w:tcPr>
          <w:p w14:paraId="1D07E3DE" w14:textId="77777777" w:rsidR="005346D8" w:rsidRPr="005346D8" w:rsidRDefault="005346D8" w:rsidP="4C72D9C6">
            <w:pPr>
              <w:spacing w:before="100" w:beforeAutospacing="1" w:after="100" w:afterAutospacing="1" w:line="240" w:lineRule="auto"/>
              <w:jc w:val="left"/>
              <w:cnfStyle w:val="000000100000" w:firstRow="0" w:lastRow="0" w:firstColumn="0" w:lastColumn="0" w:oddVBand="0" w:evenVBand="0" w:oddHBand="1" w:evenHBand="0" w:firstRowFirstColumn="0" w:firstRowLastColumn="0" w:lastRowFirstColumn="0" w:lastRowLastColumn="0"/>
              <w:rPr>
                <w:rFonts w:ascii="Arial" w:eastAsia="Arial" w:hAnsi="Arial" w:cs="Arial"/>
                <w:color w:val="000000" w:themeColor="text1"/>
                <w:sz w:val="22"/>
                <w:szCs w:val="22"/>
              </w:rPr>
            </w:pPr>
            <w:r w:rsidRPr="4C72D9C6">
              <w:rPr>
                <w:rFonts w:ascii="Arial" w:eastAsia="Arial" w:hAnsi="Arial" w:cs="Arial"/>
                <w:color w:val="000000" w:themeColor="text1"/>
                <w:sz w:val="22"/>
                <w:szCs w:val="22"/>
              </w:rPr>
              <w:t>waiting times</w:t>
            </w:r>
          </w:p>
        </w:tc>
      </w:tr>
      <w:tr w:rsidR="005346D8" w:rsidRPr="005346D8" w14:paraId="3DA079E1" w14:textId="77777777" w:rsidTr="4C72D9C6">
        <w:trPr>
          <w:tblCellSpacing w:w="15" w:type="dxa"/>
        </w:trPr>
        <w:tc>
          <w:tcPr>
            <w:cnfStyle w:val="001000000000" w:firstRow="0" w:lastRow="0" w:firstColumn="1" w:lastColumn="0" w:oddVBand="0" w:evenVBand="0" w:oddHBand="0" w:evenHBand="0" w:firstRowFirstColumn="0" w:firstRowLastColumn="0" w:lastRowFirstColumn="0" w:lastRowLastColumn="0"/>
            <w:tcW w:w="1269" w:type="dxa"/>
            <w:vAlign w:val="center"/>
            <w:hideMark/>
          </w:tcPr>
          <w:p w14:paraId="4A037D49"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sz w:val="22"/>
                <w:szCs w:val="22"/>
              </w:rPr>
            </w:pPr>
            <w:r w:rsidRPr="4C72D9C6">
              <w:rPr>
                <w:rFonts w:ascii="Arial" w:eastAsia="Arial" w:hAnsi="Arial" w:cs="Arial"/>
                <w:color w:val="000000" w:themeColor="text1"/>
                <w:sz w:val="22"/>
                <w:szCs w:val="22"/>
              </w:rPr>
              <w:t>NHS Digital (2022)</w:t>
            </w:r>
          </w:p>
        </w:tc>
        <w:tc>
          <w:tcPr>
            <w:tcW w:w="1172" w:type="dxa"/>
            <w:vAlign w:val="center"/>
            <w:hideMark/>
          </w:tcPr>
          <w:p w14:paraId="02EA3AEE" w14:textId="77777777" w:rsidR="005346D8" w:rsidRPr="005346D8" w:rsidRDefault="005346D8" w:rsidP="4C72D9C6">
            <w:pPr>
              <w:spacing w:before="100" w:beforeAutospacing="1" w:after="100" w:afterAutospacing="1" w:line="240" w:lineRule="auto"/>
              <w:jc w:val="left"/>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4C72D9C6">
              <w:rPr>
                <w:rFonts w:ascii="Arial" w:eastAsia="Arial" w:hAnsi="Arial" w:cs="Arial"/>
                <w:color w:val="000000" w:themeColor="text1"/>
                <w:sz w:val="22"/>
                <w:szCs w:val="22"/>
              </w:rPr>
              <w:t>MH of children</w:t>
            </w:r>
          </w:p>
        </w:tc>
        <w:tc>
          <w:tcPr>
            <w:tcW w:w="1249" w:type="dxa"/>
            <w:vAlign w:val="center"/>
            <w:hideMark/>
          </w:tcPr>
          <w:p w14:paraId="6EE37507" w14:textId="77777777" w:rsidR="005346D8" w:rsidRPr="005346D8" w:rsidRDefault="005346D8" w:rsidP="4C72D9C6">
            <w:pPr>
              <w:spacing w:before="100" w:beforeAutospacing="1" w:after="100" w:afterAutospacing="1" w:line="240" w:lineRule="auto"/>
              <w:jc w:val="left"/>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4C72D9C6">
              <w:rPr>
                <w:rFonts w:ascii="Arial" w:eastAsia="Arial" w:hAnsi="Arial" w:cs="Arial"/>
                <w:color w:val="000000" w:themeColor="text1"/>
                <w:sz w:val="22"/>
                <w:szCs w:val="22"/>
              </w:rPr>
              <w:t>National dataset</w:t>
            </w:r>
          </w:p>
        </w:tc>
        <w:tc>
          <w:tcPr>
            <w:tcW w:w="1284" w:type="dxa"/>
            <w:vAlign w:val="center"/>
            <w:hideMark/>
          </w:tcPr>
          <w:p w14:paraId="270D9312" w14:textId="77777777" w:rsidR="005346D8" w:rsidRPr="005346D8" w:rsidRDefault="005346D8" w:rsidP="4C72D9C6">
            <w:pPr>
              <w:spacing w:before="100" w:beforeAutospacing="1" w:after="100" w:afterAutospacing="1" w:line="240" w:lineRule="auto"/>
              <w:jc w:val="left"/>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4C72D9C6">
              <w:rPr>
                <w:rFonts w:ascii="Arial" w:eastAsia="Arial" w:hAnsi="Arial" w:cs="Arial"/>
                <w:color w:val="000000" w:themeColor="text1"/>
                <w:sz w:val="22"/>
                <w:szCs w:val="22"/>
              </w:rPr>
              <w:t>England-wide survey</w:t>
            </w:r>
          </w:p>
        </w:tc>
        <w:tc>
          <w:tcPr>
            <w:tcW w:w="1474" w:type="dxa"/>
            <w:vAlign w:val="center"/>
            <w:hideMark/>
          </w:tcPr>
          <w:p w14:paraId="4ECFD7CE" w14:textId="77777777" w:rsidR="005346D8" w:rsidRPr="005346D8" w:rsidRDefault="005346D8" w:rsidP="4C72D9C6">
            <w:pPr>
              <w:spacing w:before="100" w:beforeAutospacing="1" w:after="100" w:afterAutospacing="1" w:line="240" w:lineRule="auto"/>
              <w:jc w:val="left"/>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4C72D9C6">
              <w:rPr>
                <w:rFonts w:ascii="Arial" w:eastAsia="Arial" w:hAnsi="Arial" w:cs="Arial"/>
                <w:color w:val="000000" w:themeColor="text1"/>
                <w:sz w:val="22"/>
                <w:szCs w:val="22"/>
              </w:rPr>
              <w:t>+ Large sample– Descriptive</w:t>
            </w:r>
          </w:p>
        </w:tc>
        <w:tc>
          <w:tcPr>
            <w:tcW w:w="1564" w:type="dxa"/>
            <w:vAlign w:val="center"/>
            <w:hideMark/>
          </w:tcPr>
          <w:p w14:paraId="1696D181" w14:textId="77777777" w:rsidR="005346D8" w:rsidRPr="005346D8" w:rsidRDefault="005346D8" w:rsidP="4C72D9C6">
            <w:pPr>
              <w:spacing w:before="100" w:beforeAutospacing="1" w:after="100" w:afterAutospacing="1" w:line="240" w:lineRule="auto"/>
              <w:jc w:val="left"/>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4C72D9C6">
              <w:rPr>
                <w:rFonts w:ascii="Arial" w:eastAsia="Arial" w:hAnsi="Arial" w:cs="Arial"/>
                <w:color w:val="000000" w:themeColor="text1"/>
                <w:sz w:val="22"/>
                <w:szCs w:val="22"/>
              </w:rPr>
              <w:t>ADHD prevalence rising</w:t>
            </w:r>
          </w:p>
        </w:tc>
        <w:tc>
          <w:tcPr>
            <w:tcW w:w="1174" w:type="dxa"/>
            <w:vAlign w:val="center"/>
            <w:hideMark/>
          </w:tcPr>
          <w:p w14:paraId="32F00945" w14:textId="77777777" w:rsidR="005346D8" w:rsidRPr="005346D8" w:rsidRDefault="005346D8" w:rsidP="4C72D9C6">
            <w:pPr>
              <w:spacing w:before="100" w:beforeAutospacing="1" w:after="100" w:afterAutospacing="1" w:line="240" w:lineRule="auto"/>
              <w:jc w:val="left"/>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4C72D9C6">
              <w:rPr>
                <w:rFonts w:ascii="Arial" w:eastAsia="Arial" w:hAnsi="Arial" w:cs="Arial"/>
                <w:color w:val="000000" w:themeColor="text1"/>
                <w:sz w:val="22"/>
                <w:szCs w:val="22"/>
              </w:rPr>
              <w:t>national data</w:t>
            </w:r>
          </w:p>
        </w:tc>
      </w:tr>
      <w:tr w:rsidR="005346D8" w:rsidRPr="005346D8" w14:paraId="34543E9E" w14:textId="77777777" w:rsidTr="4C72D9C6">
        <w:trPr>
          <w:cnfStyle w:val="000000100000" w:firstRow="0" w:lastRow="0" w:firstColumn="0" w:lastColumn="0" w:oddVBand="0" w:evenVBand="0" w:oddHBand="1" w:evenHBand="0" w:firstRowFirstColumn="0" w:firstRowLastColumn="0" w:lastRowFirstColumn="0" w:lastRowLastColumn="0"/>
          <w:tblCellSpacing w:w="15" w:type="dxa"/>
        </w:trPr>
        <w:tc>
          <w:tcPr>
            <w:cnfStyle w:val="001000000000" w:firstRow="0" w:lastRow="0" w:firstColumn="1" w:lastColumn="0" w:oddVBand="0" w:evenVBand="0" w:oddHBand="0" w:evenHBand="0" w:firstRowFirstColumn="0" w:firstRowLastColumn="0" w:lastRowFirstColumn="0" w:lastRowLastColumn="0"/>
            <w:tcW w:w="1269" w:type="dxa"/>
            <w:vAlign w:val="center"/>
            <w:hideMark/>
          </w:tcPr>
          <w:p w14:paraId="50707019"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sz w:val="22"/>
                <w:szCs w:val="22"/>
              </w:rPr>
            </w:pPr>
            <w:r w:rsidRPr="4C72D9C6">
              <w:rPr>
                <w:rFonts w:ascii="Arial" w:eastAsia="Arial" w:hAnsi="Arial" w:cs="Arial"/>
                <w:color w:val="000000" w:themeColor="text1"/>
                <w:sz w:val="22"/>
                <w:szCs w:val="22"/>
              </w:rPr>
              <w:t>NICE (2018/2025)</w:t>
            </w:r>
          </w:p>
        </w:tc>
        <w:tc>
          <w:tcPr>
            <w:tcW w:w="1172" w:type="dxa"/>
            <w:vAlign w:val="center"/>
            <w:hideMark/>
          </w:tcPr>
          <w:p w14:paraId="0489543D" w14:textId="77777777" w:rsidR="005346D8" w:rsidRPr="005346D8" w:rsidRDefault="005346D8" w:rsidP="4C72D9C6">
            <w:pPr>
              <w:spacing w:before="100" w:beforeAutospacing="1" w:after="100" w:afterAutospacing="1" w:line="240" w:lineRule="auto"/>
              <w:jc w:val="left"/>
              <w:cnfStyle w:val="000000100000" w:firstRow="0" w:lastRow="0" w:firstColumn="0" w:lastColumn="0" w:oddVBand="0" w:evenVBand="0" w:oddHBand="1" w:evenHBand="0" w:firstRowFirstColumn="0" w:firstRowLastColumn="0" w:lastRowFirstColumn="0" w:lastRowLastColumn="0"/>
              <w:rPr>
                <w:rFonts w:ascii="Arial" w:eastAsia="Arial" w:hAnsi="Arial" w:cs="Arial"/>
                <w:color w:val="000000" w:themeColor="text1"/>
                <w:sz w:val="22"/>
                <w:szCs w:val="22"/>
              </w:rPr>
            </w:pPr>
            <w:r w:rsidRPr="4C72D9C6">
              <w:rPr>
                <w:rFonts w:ascii="Arial" w:eastAsia="Arial" w:hAnsi="Arial" w:cs="Arial"/>
                <w:color w:val="000000" w:themeColor="text1"/>
                <w:sz w:val="22"/>
                <w:szCs w:val="22"/>
              </w:rPr>
              <w:t>ADHD guideline</w:t>
            </w:r>
          </w:p>
        </w:tc>
        <w:tc>
          <w:tcPr>
            <w:tcW w:w="1249" w:type="dxa"/>
            <w:vAlign w:val="center"/>
            <w:hideMark/>
          </w:tcPr>
          <w:p w14:paraId="237163E1" w14:textId="77777777" w:rsidR="005346D8" w:rsidRPr="005346D8" w:rsidRDefault="005346D8" w:rsidP="4C72D9C6">
            <w:pPr>
              <w:spacing w:before="100" w:beforeAutospacing="1" w:after="100" w:afterAutospacing="1" w:line="240" w:lineRule="auto"/>
              <w:jc w:val="left"/>
              <w:cnfStyle w:val="000000100000" w:firstRow="0" w:lastRow="0" w:firstColumn="0" w:lastColumn="0" w:oddVBand="0" w:evenVBand="0" w:oddHBand="1" w:evenHBand="0" w:firstRowFirstColumn="0" w:firstRowLastColumn="0" w:lastRowFirstColumn="0" w:lastRowLastColumn="0"/>
              <w:rPr>
                <w:rFonts w:ascii="Arial" w:eastAsia="Arial" w:hAnsi="Arial" w:cs="Arial"/>
                <w:color w:val="000000" w:themeColor="text1"/>
                <w:sz w:val="22"/>
                <w:szCs w:val="22"/>
              </w:rPr>
            </w:pPr>
            <w:r w:rsidRPr="4C72D9C6">
              <w:rPr>
                <w:rFonts w:ascii="Arial" w:eastAsia="Arial" w:hAnsi="Arial" w:cs="Arial"/>
                <w:color w:val="000000" w:themeColor="text1"/>
                <w:sz w:val="22"/>
                <w:szCs w:val="22"/>
              </w:rPr>
              <w:t>Guideline</w:t>
            </w:r>
          </w:p>
        </w:tc>
        <w:tc>
          <w:tcPr>
            <w:tcW w:w="1284" w:type="dxa"/>
            <w:vAlign w:val="center"/>
            <w:hideMark/>
          </w:tcPr>
          <w:p w14:paraId="50117FA9" w14:textId="12DC3B34" w:rsidR="005346D8" w:rsidRPr="005346D8" w:rsidRDefault="005346D8" w:rsidP="4C72D9C6">
            <w:pPr>
              <w:spacing w:before="100" w:beforeAutospacing="1" w:after="100" w:afterAutospacing="1" w:line="240" w:lineRule="auto"/>
              <w:jc w:val="left"/>
              <w:cnfStyle w:val="000000100000" w:firstRow="0" w:lastRow="0" w:firstColumn="0" w:lastColumn="0" w:oddVBand="0" w:evenVBand="0" w:oddHBand="1" w:evenHBand="0" w:firstRowFirstColumn="0" w:firstRowLastColumn="0" w:lastRowFirstColumn="0" w:lastRowLastColumn="0"/>
              <w:rPr>
                <w:rFonts w:ascii="Arial" w:eastAsia="Arial" w:hAnsi="Arial" w:cs="Arial"/>
                <w:color w:val="000000" w:themeColor="text1"/>
                <w:sz w:val="22"/>
                <w:szCs w:val="22"/>
              </w:rPr>
            </w:pPr>
            <w:r w:rsidRPr="4C72D9C6">
              <w:rPr>
                <w:rFonts w:ascii="Arial" w:eastAsia="Arial" w:hAnsi="Arial" w:cs="Arial"/>
                <w:color w:val="000000" w:themeColor="text1"/>
                <w:sz w:val="22"/>
                <w:szCs w:val="22"/>
              </w:rPr>
              <w:t xml:space="preserve">Evidence </w:t>
            </w:r>
            <w:r w:rsidR="4A86A7C4" w:rsidRPr="4C72D9C6">
              <w:rPr>
                <w:rFonts w:ascii="Arial" w:eastAsia="Arial" w:hAnsi="Arial" w:cs="Arial"/>
                <w:color w:val="000000" w:themeColor="text1"/>
                <w:sz w:val="22"/>
                <w:szCs w:val="22"/>
              </w:rPr>
              <w:t>reviews</w:t>
            </w:r>
          </w:p>
        </w:tc>
        <w:tc>
          <w:tcPr>
            <w:tcW w:w="1474" w:type="dxa"/>
            <w:vAlign w:val="center"/>
            <w:hideMark/>
          </w:tcPr>
          <w:p w14:paraId="4A5B56D4" w14:textId="77777777" w:rsidR="005346D8" w:rsidRPr="005346D8" w:rsidRDefault="005346D8" w:rsidP="4C72D9C6">
            <w:pPr>
              <w:spacing w:before="100" w:beforeAutospacing="1" w:after="100" w:afterAutospacing="1" w:line="240" w:lineRule="auto"/>
              <w:jc w:val="left"/>
              <w:cnfStyle w:val="000000100000" w:firstRow="0" w:lastRow="0" w:firstColumn="0" w:lastColumn="0" w:oddVBand="0" w:evenVBand="0" w:oddHBand="1" w:evenHBand="0" w:firstRowFirstColumn="0" w:firstRowLastColumn="0" w:lastRowFirstColumn="0" w:lastRowLastColumn="0"/>
              <w:rPr>
                <w:rFonts w:ascii="Arial" w:eastAsia="Arial" w:hAnsi="Arial" w:cs="Arial"/>
                <w:color w:val="000000" w:themeColor="text1"/>
                <w:sz w:val="22"/>
                <w:szCs w:val="22"/>
              </w:rPr>
            </w:pPr>
            <w:r w:rsidRPr="4C72D9C6">
              <w:rPr>
                <w:rFonts w:ascii="Arial" w:eastAsia="Arial" w:hAnsi="Arial" w:cs="Arial"/>
                <w:color w:val="000000" w:themeColor="text1"/>
                <w:sz w:val="22"/>
                <w:szCs w:val="22"/>
              </w:rPr>
              <w:t>+ Authoritative– Broad</w:t>
            </w:r>
          </w:p>
        </w:tc>
        <w:tc>
          <w:tcPr>
            <w:tcW w:w="1564" w:type="dxa"/>
            <w:vAlign w:val="center"/>
            <w:hideMark/>
          </w:tcPr>
          <w:p w14:paraId="2D1ED417" w14:textId="77777777" w:rsidR="005346D8" w:rsidRPr="005346D8" w:rsidRDefault="005346D8" w:rsidP="4C72D9C6">
            <w:pPr>
              <w:spacing w:before="100" w:beforeAutospacing="1" w:after="100" w:afterAutospacing="1" w:line="240" w:lineRule="auto"/>
              <w:jc w:val="left"/>
              <w:cnfStyle w:val="000000100000" w:firstRow="0" w:lastRow="0" w:firstColumn="0" w:lastColumn="0" w:oddVBand="0" w:evenVBand="0" w:oddHBand="1" w:evenHBand="0" w:firstRowFirstColumn="0" w:firstRowLastColumn="0" w:lastRowFirstColumn="0" w:lastRowLastColumn="0"/>
              <w:rPr>
                <w:rFonts w:ascii="Arial" w:eastAsia="Arial" w:hAnsi="Arial" w:cs="Arial"/>
                <w:color w:val="000000" w:themeColor="text1"/>
                <w:sz w:val="22"/>
                <w:szCs w:val="22"/>
              </w:rPr>
            </w:pPr>
            <w:r w:rsidRPr="4C72D9C6">
              <w:rPr>
                <w:rFonts w:ascii="Arial" w:eastAsia="Arial" w:hAnsi="Arial" w:cs="Arial"/>
                <w:color w:val="000000" w:themeColor="text1"/>
                <w:sz w:val="22"/>
                <w:szCs w:val="22"/>
              </w:rPr>
              <w:t>Recommends early assessment</w:t>
            </w:r>
          </w:p>
        </w:tc>
        <w:tc>
          <w:tcPr>
            <w:tcW w:w="1174" w:type="dxa"/>
            <w:vAlign w:val="center"/>
            <w:hideMark/>
          </w:tcPr>
          <w:p w14:paraId="12BB3E5D" w14:textId="77777777" w:rsidR="005346D8" w:rsidRPr="005346D8" w:rsidRDefault="005346D8" w:rsidP="4C72D9C6">
            <w:pPr>
              <w:spacing w:before="100" w:beforeAutospacing="1" w:after="100" w:afterAutospacing="1" w:line="240" w:lineRule="auto"/>
              <w:jc w:val="left"/>
              <w:cnfStyle w:val="000000100000" w:firstRow="0" w:lastRow="0" w:firstColumn="0" w:lastColumn="0" w:oddVBand="0" w:evenVBand="0" w:oddHBand="1" w:evenHBand="0" w:firstRowFirstColumn="0" w:firstRowLastColumn="0" w:lastRowFirstColumn="0" w:lastRowLastColumn="0"/>
              <w:rPr>
                <w:rFonts w:ascii="Arial" w:eastAsia="Arial" w:hAnsi="Arial" w:cs="Arial"/>
                <w:color w:val="000000" w:themeColor="text1"/>
                <w:sz w:val="22"/>
                <w:szCs w:val="22"/>
              </w:rPr>
            </w:pPr>
            <w:r w:rsidRPr="4C72D9C6">
              <w:rPr>
                <w:rFonts w:ascii="Arial" w:eastAsia="Arial" w:hAnsi="Arial" w:cs="Arial"/>
                <w:color w:val="000000" w:themeColor="text1"/>
                <w:sz w:val="22"/>
                <w:szCs w:val="22"/>
              </w:rPr>
              <w:t>guidance</w:t>
            </w:r>
          </w:p>
        </w:tc>
      </w:tr>
      <w:tr w:rsidR="005346D8" w:rsidRPr="005346D8" w14:paraId="6E8013F1" w14:textId="77777777" w:rsidTr="4C72D9C6">
        <w:trPr>
          <w:tblCellSpacing w:w="15" w:type="dxa"/>
        </w:trPr>
        <w:tc>
          <w:tcPr>
            <w:cnfStyle w:val="001000000000" w:firstRow="0" w:lastRow="0" w:firstColumn="1" w:lastColumn="0" w:oddVBand="0" w:evenVBand="0" w:oddHBand="0" w:evenHBand="0" w:firstRowFirstColumn="0" w:firstRowLastColumn="0" w:lastRowFirstColumn="0" w:lastRowLastColumn="0"/>
            <w:tcW w:w="1269" w:type="dxa"/>
            <w:vAlign w:val="center"/>
            <w:hideMark/>
          </w:tcPr>
          <w:p w14:paraId="1EF2FC28"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sz w:val="22"/>
                <w:szCs w:val="22"/>
              </w:rPr>
            </w:pPr>
            <w:r w:rsidRPr="4C72D9C6">
              <w:rPr>
                <w:rFonts w:ascii="Arial" w:eastAsia="Arial" w:hAnsi="Arial" w:cs="Arial"/>
                <w:color w:val="000000" w:themeColor="text1"/>
                <w:sz w:val="22"/>
                <w:szCs w:val="22"/>
              </w:rPr>
              <w:t>DfE &amp; DHSC (2015)</w:t>
            </w:r>
          </w:p>
        </w:tc>
        <w:tc>
          <w:tcPr>
            <w:tcW w:w="1172" w:type="dxa"/>
            <w:vAlign w:val="center"/>
            <w:hideMark/>
          </w:tcPr>
          <w:p w14:paraId="6AC04C51" w14:textId="77777777" w:rsidR="005346D8" w:rsidRPr="005346D8" w:rsidRDefault="005346D8" w:rsidP="4C72D9C6">
            <w:pPr>
              <w:spacing w:before="100" w:beforeAutospacing="1" w:after="100" w:afterAutospacing="1" w:line="240" w:lineRule="auto"/>
              <w:jc w:val="left"/>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4C72D9C6">
              <w:rPr>
                <w:rFonts w:ascii="Arial" w:eastAsia="Arial" w:hAnsi="Arial" w:cs="Arial"/>
                <w:color w:val="000000" w:themeColor="text1"/>
                <w:sz w:val="22"/>
                <w:szCs w:val="22"/>
              </w:rPr>
              <w:t>SEND Code</w:t>
            </w:r>
          </w:p>
        </w:tc>
        <w:tc>
          <w:tcPr>
            <w:tcW w:w="1249" w:type="dxa"/>
            <w:vAlign w:val="center"/>
            <w:hideMark/>
          </w:tcPr>
          <w:p w14:paraId="6E3CABB2" w14:textId="77777777" w:rsidR="005346D8" w:rsidRPr="005346D8" w:rsidRDefault="005346D8" w:rsidP="4C72D9C6">
            <w:pPr>
              <w:spacing w:before="100" w:beforeAutospacing="1" w:after="100" w:afterAutospacing="1" w:line="240" w:lineRule="auto"/>
              <w:jc w:val="left"/>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4C72D9C6">
              <w:rPr>
                <w:rFonts w:ascii="Arial" w:eastAsia="Arial" w:hAnsi="Arial" w:cs="Arial"/>
                <w:color w:val="000000" w:themeColor="text1"/>
                <w:sz w:val="22"/>
                <w:szCs w:val="22"/>
              </w:rPr>
              <w:t>Policy</w:t>
            </w:r>
          </w:p>
        </w:tc>
        <w:tc>
          <w:tcPr>
            <w:tcW w:w="1284" w:type="dxa"/>
            <w:vAlign w:val="center"/>
            <w:hideMark/>
          </w:tcPr>
          <w:p w14:paraId="2893B790" w14:textId="77777777" w:rsidR="005346D8" w:rsidRPr="005346D8" w:rsidRDefault="005346D8" w:rsidP="4C72D9C6">
            <w:pPr>
              <w:spacing w:before="100" w:beforeAutospacing="1" w:after="100" w:afterAutospacing="1" w:line="240" w:lineRule="auto"/>
              <w:jc w:val="left"/>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4C72D9C6">
              <w:rPr>
                <w:rFonts w:ascii="Arial" w:eastAsia="Arial" w:hAnsi="Arial" w:cs="Arial"/>
                <w:color w:val="000000" w:themeColor="text1"/>
                <w:sz w:val="22"/>
                <w:szCs w:val="22"/>
              </w:rPr>
              <w:t>National guidance</w:t>
            </w:r>
          </w:p>
        </w:tc>
        <w:tc>
          <w:tcPr>
            <w:tcW w:w="1474" w:type="dxa"/>
            <w:vAlign w:val="center"/>
            <w:hideMark/>
          </w:tcPr>
          <w:p w14:paraId="45F5D85E" w14:textId="77777777" w:rsidR="005346D8" w:rsidRPr="005346D8" w:rsidRDefault="005346D8" w:rsidP="4C72D9C6">
            <w:pPr>
              <w:spacing w:before="100" w:beforeAutospacing="1" w:after="100" w:afterAutospacing="1" w:line="240" w:lineRule="auto"/>
              <w:jc w:val="left"/>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4C72D9C6">
              <w:rPr>
                <w:rFonts w:ascii="Arial" w:eastAsia="Arial" w:hAnsi="Arial" w:cs="Arial"/>
                <w:color w:val="000000" w:themeColor="text1"/>
                <w:sz w:val="22"/>
                <w:szCs w:val="22"/>
              </w:rPr>
              <w:t>+ Statutory– Variable practice</w:t>
            </w:r>
          </w:p>
        </w:tc>
        <w:tc>
          <w:tcPr>
            <w:tcW w:w="1564" w:type="dxa"/>
            <w:vAlign w:val="center"/>
            <w:hideMark/>
          </w:tcPr>
          <w:p w14:paraId="037A6BD0" w14:textId="0ED3525F" w:rsidR="005346D8" w:rsidRPr="005346D8" w:rsidRDefault="005346D8" w:rsidP="4C72D9C6">
            <w:pPr>
              <w:spacing w:before="100" w:beforeAutospacing="1" w:after="100" w:afterAutospacing="1" w:line="240" w:lineRule="auto"/>
              <w:jc w:val="left"/>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4C72D9C6">
              <w:rPr>
                <w:rFonts w:ascii="Arial" w:eastAsia="Arial" w:hAnsi="Arial" w:cs="Arial"/>
                <w:color w:val="000000" w:themeColor="text1"/>
                <w:sz w:val="22"/>
                <w:szCs w:val="22"/>
              </w:rPr>
              <w:t xml:space="preserve">Early identification </w:t>
            </w:r>
            <w:r w:rsidR="509DA0C5" w:rsidRPr="4C72D9C6">
              <w:rPr>
                <w:rFonts w:ascii="Arial" w:eastAsia="Arial" w:hAnsi="Arial" w:cs="Arial"/>
                <w:color w:val="000000" w:themeColor="text1"/>
                <w:sz w:val="22"/>
                <w:szCs w:val="22"/>
              </w:rPr>
              <w:t>needed</w:t>
            </w:r>
          </w:p>
        </w:tc>
        <w:tc>
          <w:tcPr>
            <w:tcW w:w="1174" w:type="dxa"/>
            <w:vAlign w:val="center"/>
            <w:hideMark/>
          </w:tcPr>
          <w:p w14:paraId="0A86BFFD" w14:textId="77777777" w:rsidR="005346D8" w:rsidRPr="005346D8" w:rsidRDefault="005346D8" w:rsidP="4C72D9C6">
            <w:pPr>
              <w:spacing w:before="100" w:beforeAutospacing="1" w:after="100" w:afterAutospacing="1" w:line="240" w:lineRule="auto"/>
              <w:jc w:val="left"/>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4C72D9C6">
              <w:rPr>
                <w:rFonts w:ascii="Arial" w:eastAsia="Arial" w:hAnsi="Arial" w:cs="Arial"/>
                <w:color w:val="000000" w:themeColor="text1"/>
                <w:sz w:val="22"/>
                <w:szCs w:val="22"/>
              </w:rPr>
              <w:t>SEND; inclusion</w:t>
            </w:r>
          </w:p>
        </w:tc>
      </w:tr>
      <w:tr w:rsidR="005346D8" w:rsidRPr="005346D8" w14:paraId="5E149412" w14:textId="77777777" w:rsidTr="4C72D9C6">
        <w:trPr>
          <w:cnfStyle w:val="000000100000" w:firstRow="0" w:lastRow="0" w:firstColumn="0" w:lastColumn="0" w:oddVBand="0" w:evenVBand="0" w:oddHBand="1" w:evenHBand="0" w:firstRowFirstColumn="0" w:firstRowLastColumn="0" w:lastRowFirstColumn="0" w:lastRowLastColumn="0"/>
          <w:tblCellSpacing w:w="15" w:type="dxa"/>
        </w:trPr>
        <w:tc>
          <w:tcPr>
            <w:cnfStyle w:val="001000000000" w:firstRow="0" w:lastRow="0" w:firstColumn="1" w:lastColumn="0" w:oddVBand="0" w:evenVBand="0" w:oddHBand="0" w:evenHBand="0" w:firstRowFirstColumn="0" w:firstRowLastColumn="0" w:lastRowFirstColumn="0" w:lastRowLastColumn="0"/>
            <w:tcW w:w="1269" w:type="dxa"/>
            <w:vAlign w:val="center"/>
            <w:hideMark/>
          </w:tcPr>
          <w:p w14:paraId="4289E5E2"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sz w:val="22"/>
                <w:szCs w:val="22"/>
              </w:rPr>
            </w:pPr>
            <w:r w:rsidRPr="4C72D9C6">
              <w:rPr>
                <w:rFonts w:ascii="Arial" w:eastAsia="Arial" w:hAnsi="Arial" w:cs="Arial"/>
                <w:color w:val="000000" w:themeColor="text1"/>
                <w:sz w:val="22"/>
                <w:szCs w:val="22"/>
              </w:rPr>
              <w:t>Westwood et al. (2023)</w:t>
            </w:r>
          </w:p>
        </w:tc>
        <w:tc>
          <w:tcPr>
            <w:tcW w:w="1172" w:type="dxa"/>
            <w:vAlign w:val="center"/>
            <w:hideMark/>
          </w:tcPr>
          <w:p w14:paraId="3F44E725" w14:textId="77777777" w:rsidR="005346D8" w:rsidRPr="005346D8" w:rsidRDefault="005346D8" w:rsidP="4C72D9C6">
            <w:pPr>
              <w:spacing w:before="100" w:beforeAutospacing="1" w:after="100" w:afterAutospacing="1" w:line="240" w:lineRule="auto"/>
              <w:jc w:val="left"/>
              <w:cnfStyle w:val="000000100000" w:firstRow="0" w:lastRow="0" w:firstColumn="0" w:lastColumn="0" w:oddVBand="0" w:evenVBand="0" w:oddHBand="1" w:evenHBand="0" w:firstRowFirstColumn="0" w:firstRowLastColumn="0" w:lastRowFirstColumn="0" w:lastRowLastColumn="0"/>
              <w:rPr>
                <w:rFonts w:ascii="Arial" w:eastAsia="Arial" w:hAnsi="Arial" w:cs="Arial"/>
                <w:color w:val="000000" w:themeColor="text1"/>
                <w:sz w:val="22"/>
                <w:szCs w:val="22"/>
              </w:rPr>
            </w:pPr>
            <w:r w:rsidRPr="4C72D9C6">
              <w:rPr>
                <w:rFonts w:ascii="Arial" w:eastAsia="Arial" w:hAnsi="Arial" w:cs="Arial"/>
                <w:color w:val="000000" w:themeColor="text1"/>
                <w:sz w:val="22"/>
                <w:szCs w:val="22"/>
              </w:rPr>
              <w:t>Multi-agency work</w:t>
            </w:r>
          </w:p>
        </w:tc>
        <w:tc>
          <w:tcPr>
            <w:tcW w:w="1249" w:type="dxa"/>
            <w:vAlign w:val="center"/>
            <w:hideMark/>
          </w:tcPr>
          <w:p w14:paraId="51643A53" w14:textId="77777777" w:rsidR="005346D8" w:rsidRPr="005346D8" w:rsidRDefault="005346D8" w:rsidP="4C72D9C6">
            <w:pPr>
              <w:spacing w:before="100" w:beforeAutospacing="1" w:after="100" w:afterAutospacing="1" w:line="240" w:lineRule="auto"/>
              <w:jc w:val="left"/>
              <w:cnfStyle w:val="000000100000" w:firstRow="0" w:lastRow="0" w:firstColumn="0" w:lastColumn="0" w:oddVBand="0" w:evenVBand="0" w:oddHBand="1" w:evenHBand="0" w:firstRowFirstColumn="0" w:firstRowLastColumn="0" w:lastRowFirstColumn="0" w:lastRowLastColumn="0"/>
              <w:rPr>
                <w:rFonts w:ascii="Arial" w:eastAsia="Arial" w:hAnsi="Arial" w:cs="Arial"/>
                <w:color w:val="000000" w:themeColor="text1"/>
                <w:sz w:val="22"/>
                <w:szCs w:val="22"/>
              </w:rPr>
            </w:pPr>
            <w:r w:rsidRPr="4C72D9C6">
              <w:rPr>
                <w:rFonts w:ascii="Arial" w:eastAsia="Arial" w:hAnsi="Arial" w:cs="Arial"/>
                <w:color w:val="000000" w:themeColor="text1"/>
                <w:sz w:val="22"/>
                <w:szCs w:val="22"/>
              </w:rPr>
              <w:t>Qualitative</w:t>
            </w:r>
          </w:p>
        </w:tc>
        <w:tc>
          <w:tcPr>
            <w:tcW w:w="1284" w:type="dxa"/>
            <w:vAlign w:val="center"/>
            <w:hideMark/>
          </w:tcPr>
          <w:p w14:paraId="0D1E71B9" w14:textId="77777777" w:rsidR="005346D8" w:rsidRPr="005346D8" w:rsidRDefault="005346D8" w:rsidP="4C72D9C6">
            <w:pPr>
              <w:spacing w:before="100" w:beforeAutospacing="1" w:after="100" w:afterAutospacing="1" w:line="240" w:lineRule="auto"/>
              <w:jc w:val="left"/>
              <w:cnfStyle w:val="000000100000" w:firstRow="0" w:lastRow="0" w:firstColumn="0" w:lastColumn="0" w:oddVBand="0" w:evenVBand="0" w:oddHBand="1" w:evenHBand="0" w:firstRowFirstColumn="0" w:firstRowLastColumn="0" w:lastRowFirstColumn="0" w:lastRowLastColumn="0"/>
              <w:rPr>
                <w:rFonts w:ascii="Arial" w:eastAsia="Arial" w:hAnsi="Arial" w:cs="Arial"/>
                <w:color w:val="000000" w:themeColor="text1"/>
                <w:sz w:val="22"/>
                <w:szCs w:val="22"/>
              </w:rPr>
            </w:pPr>
            <w:r w:rsidRPr="4C72D9C6">
              <w:rPr>
                <w:rFonts w:ascii="Arial" w:eastAsia="Arial" w:hAnsi="Arial" w:cs="Arial"/>
                <w:color w:val="000000" w:themeColor="text1"/>
                <w:sz w:val="22"/>
                <w:szCs w:val="22"/>
              </w:rPr>
              <w:t>Interviews (schools + CAMHS)</w:t>
            </w:r>
          </w:p>
        </w:tc>
        <w:tc>
          <w:tcPr>
            <w:tcW w:w="1474" w:type="dxa"/>
            <w:vAlign w:val="center"/>
            <w:hideMark/>
          </w:tcPr>
          <w:p w14:paraId="63FD8B70" w14:textId="77777777" w:rsidR="005346D8" w:rsidRPr="005346D8" w:rsidRDefault="005346D8" w:rsidP="4C72D9C6">
            <w:pPr>
              <w:spacing w:before="100" w:beforeAutospacing="1" w:after="100" w:afterAutospacing="1" w:line="240" w:lineRule="auto"/>
              <w:jc w:val="left"/>
              <w:cnfStyle w:val="000000100000" w:firstRow="0" w:lastRow="0" w:firstColumn="0" w:lastColumn="0" w:oddVBand="0" w:evenVBand="0" w:oddHBand="1" w:evenHBand="0" w:firstRowFirstColumn="0" w:firstRowLastColumn="0" w:lastRowFirstColumn="0" w:lastRowLastColumn="0"/>
              <w:rPr>
                <w:rFonts w:ascii="Arial" w:eastAsia="Arial" w:hAnsi="Arial" w:cs="Arial"/>
                <w:color w:val="000000" w:themeColor="text1"/>
                <w:sz w:val="22"/>
                <w:szCs w:val="22"/>
              </w:rPr>
            </w:pPr>
            <w:r w:rsidRPr="4C72D9C6">
              <w:rPr>
                <w:rFonts w:ascii="Arial" w:eastAsia="Arial" w:hAnsi="Arial" w:cs="Arial"/>
                <w:color w:val="000000" w:themeColor="text1"/>
                <w:sz w:val="22"/>
                <w:szCs w:val="22"/>
              </w:rPr>
              <w:t>+ Multi-perspective– Small group</w:t>
            </w:r>
          </w:p>
        </w:tc>
        <w:tc>
          <w:tcPr>
            <w:tcW w:w="1564" w:type="dxa"/>
            <w:vAlign w:val="center"/>
            <w:hideMark/>
          </w:tcPr>
          <w:p w14:paraId="10DB4199" w14:textId="77777777" w:rsidR="005346D8" w:rsidRPr="005346D8" w:rsidRDefault="005346D8" w:rsidP="4C72D9C6">
            <w:pPr>
              <w:spacing w:before="100" w:beforeAutospacing="1" w:after="100" w:afterAutospacing="1" w:line="240" w:lineRule="auto"/>
              <w:jc w:val="left"/>
              <w:cnfStyle w:val="000000100000" w:firstRow="0" w:lastRow="0" w:firstColumn="0" w:lastColumn="0" w:oddVBand="0" w:evenVBand="0" w:oddHBand="1" w:evenHBand="0" w:firstRowFirstColumn="0" w:firstRowLastColumn="0" w:lastRowFirstColumn="0" w:lastRowLastColumn="0"/>
              <w:rPr>
                <w:rFonts w:ascii="Arial" w:eastAsia="Arial" w:hAnsi="Arial" w:cs="Arial"/>
                <w:color w:val="000000" w:themeColor="text1"/>
                <w:sz w:val="22"/>
                <w:szCs w:val="22"/>
              </w:rPr>
            </w:pPr>
            <w:r w:rsidRPr="4C72D9C6">
              <w:rPr>
                <w:rFonts w:ascii="Arial" w:eastAsia="Arial" w:hAnsi="Arial" w:cs="Arial"/>
                <w:color w:val="000000" w:themeColor="text1"/>
                <w:sz w:val="22"/>
                <w:szCs w:val="22"/>
              </w:rPr>
              <w:t>Collaboration improves outcomes</w:t>
            </w:r>
          </w:p>
        </w:tc>
        <w:tc>
          <w:tcPr>
            <w:tcW w:w="1174" w:type="dxa"/>
            <w:vAlign w:val="center"/>
            <w:hideMark/>
          </w:tcPr>
          <w:p w14:paraId="4670525D" w14:textId="77777777" w:rsidR="005346D8" w:rsidRPr="005346D8" w:rsidRDefault="005346D8" w:rsidP="4C72D9C6">
            <w:pPr>
              <w:spacing w:before="100" w:beforeAutospacing="1" w:after="100" w:afterAutospacing="1" w:line="240" w:lineRule="auto"/>
              <w:jc w:val="left"/>
              <w:cnfStyle w:val="000000100000" w:firstRow="0" w:lastRow="0" w:firstColumn="0" w:lastColumn="0" w:oddVBand="0" w:evenVBand="0" w:oddHBand="1" w:evenHBand="0" w:firstRowFirstColumn="0" w:firstRowLastColumn="0" w:lastRowFirstColumn="0" w:lastRowLastColumn="0"/>
              <w:rPr>
                <w:rFonts w:ascii="Arial" w:eastAsia="Arial" w:hAnsi="Arial" w:cs="Arial"/>
                <w:color w:val="000000" w:themeColor="text1"/>
                <w:sz w:val="22"/>
                <w:szCs w:val="22"/>
              </w:rPr>
            </w:pPr>
            <w:r w:rsidRPr="4C72D9C6">
              <w:rPr>
                <w:rFonts w:ascii="Arial" w:eastAsia="Arial" w:hAnsi="Arial" w:cs="Arial"/>
                <w:color w:val="000000" w:themeColor="text1"/>
                <w:sz w:val="22"/>
                <w:szCs w:val="22"/>
              </w:rPr>
              <w:t>CAMHS; teamwork</w:t>
            </w:r>
          </w:p>
        </w:tc>
      </w:tr>
      <w:tr w:rsidR="005346D8" w:rsidRPr="005346D8" w14:paraId="5991ECFD" w14:textId="77777777" w:rsidTr="4C72D9C6">
        <w:trPr>
          <w:tblCellSpacing w:w="15" w:type="dxa"/>
        </w:trPr>
        <w:tc>
          <w:tcPr>
            <w:cnfStyle w:val="001000000000" w:firstRow="0" w:lastRow="0" w:firstColumn="1" w:lastColumn="0" w:oddVBand="0" w:evenVBand="0" w:oddHBand="0" w:evenHBand="0" w:firstRowFirstColumn="0" w:firstRowLastColumn="0" w:lastRowFirstColumn="0" w:lastRowLastColumn="0"/>
            <w:tcW w:w="1269" w:type="dxa"/>
            <w:vAlign w:val="center"/>
            <w:hideMark/>
          </w:tcPr>
          <w:p w14:paraId="56817205"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sz w:val="22"/>
                <w:szCs w:val="22"/>
              </w:rPr>
            </w:pPr>
            <w:r w:rsidRPr="4C72D9C6">
              <w:rPr>
                <w:rFonts w:ascii="Arial" w:eastAsia="Arial" w:hAnsi="Arial" w:cs="Arial"/>
                <w:color w:val="000000" w:themeColor="text1"/>
                <w:sz w:val="22"/>
                <w:szCs w:val="22"/>
              </w:rPr>
              <w:t>NAO (2024)</w:t>
            </w:r>
          </w:p>
        </w:tc>
        <w:tc>
          <w:tcPr>
            <w:tcW w:w="1172" w:type="dxa"/>
            <w:vAlign w:val="center"/>
            <w:hideMark/>
          </w:tcPr>
          <w:p w14:paraId="3F0010D8" w14:textId="77777777" w:rsidR="005346D8" w:rsidRPr="005346D8" w:rsidRDefault="005346D8" w:rsidP="4C72D9C6">
            <w:pPr>
              <w:spacing w:before="100" w:beforeAutospacing="1" w:after="100" w:afterAutospacing="1" w:line="240" w:lineRule="auto"/>
              <w:jc w:val="left"/>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4C72D9C6">
              <w:rPr>
                <w:rFonts w:ascii="Arial" w:eastAsia="Arial" w:hAnsi="Arial" w:cs="Arial"/>
                <w:color w:val="000000" w:themeColor="text1"/>
                <w:sz w:val="22"/>
                <w:szCs w:val="22"/>
              </w:rPr>
              <w:t>Access inequalities</w:t>
            </w:r>
          </w:p>
        </w:tc>
        <w:tc>
          <w:tcPr>
            <w:tcW w:w="1249" w:type="dxa"/>
            <w:vAlign w:val="center"/>
            <w:hideMark/>
          </w:tcPr>
          <w:p w14:paraId="0092FEF2" w14:textId="77777777" w:rsidR="005346D8" w:rsidRPr="005346D8" w:rsidRDefault="005346D8" w:rsidP="4C72D9C6">
            <w:pPr>
              <w:spacing w:before="100" w:beforeAutospacing="1" w:after="100" w:afterAutospacing="1" w:line="240" w:lineRule="auto"/>
              <w:jc w:val="left"/>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4C72D9C6">
              <w:rPr>
                <w:rFonts w:ascii="Arial" w:eastAsia="Arial" w:hAnsi="Arial" w:cs="Arial"/>
                <w:color w:val="000000" w:themeColor="text1"/>
                <w:sz w:val="22"/>
                <w:szCs w:val="22"/>
              </w:rPr>
              <w:t>Audit review</w:t>
            </w:r>
          </w:p>
        </w:tc>
        <w:tc>
          <w:tcPr>
            <w:tcW w:w="1284" w:type="dxa"/>
            <w:vAlign w:val="center"/>
            <w:hideMark/>
          </w:tcPr>
          <w:p w14:paraId="224B408A" w14:textId="77777777" w:rsidR="005346D8" w:rsidRPr="005346D8" w:rsidRDefault="005346D8" w:rsidP="4C72D9C6">
            <w:pPr>
              <w:spacing w:before="100" w:beforeAutospacing="1" w:after="100" w:afterAutospacing="1" w:line="240" w:lineRule="auto"/>
              <w:jc w:val="left"/>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4C72D9C6">
              <w:rPr>
                <w:rFonts w:ascii="Arial" w:eastAsia="Arial" w:hAnsi="Arial" w:cs="Arial"/>
                <w:color w:val="000000" w:themeColor="text1"/>
                <w:sz w:val="22"/>
                <w:szCs w:val="22"/>
              </w:rPr>
              <w:t>UK audit</w:t>
            </w:r>
          </w:p>
        </w:tc>
        <w:tc>
          <w:tcPr>
            <w:tcW w:w="1474" w:type="dxa"/>
            <w:vAlign w:val="center"/>
            <w:hideMark/>
          </w:tcPr>
          <w:p w14:paraId="3BF7B192" w14:textId="77777777" w:rsidR="005346D8" w:rsidRPr="005346D8" w:rsidRDefault="005346D8" w:rsidP="4C72D9C6">
            <w:pPr>
              <w:spacing w:before="100" w:beforeAutospacing="1" w:after="100" w:afterAutospacing="1" w:line="240" w:lineRule="auto"/>
              <w:jc w:val="left"/>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4C72D9C6">
              <w:rPr>
                <w:rFonts w:ascii="Arial" w:eastAsia="Arial" w:hAnsi="Arial" w:cs="Arial"/>
                <w:color w:val="000000" w:themeColor="text1"/>
                <w:sz w:val="22"/>
                <w:szCs w:val="22"/>
              </w:rPr>
              <w:t>+ National evidence– Not ADHD-specific</w:t>
            </w:r>
          </w:p>
        </w:tc>
        <w:tc>
          <w:tcPr>
            <w:tcW w:w="1564" w:type="dxa"/>
            <w:vAlign w:val="center"/>
            <w:hideMark/>
          </w:tcPr>
          <w:p w14:paraId="2863FF4D" w14:textId="77777777" w:rsidR="005346D8" w:rsidRPr="005346D8" w:rsidRDefault="005346D8" w:rsidP="4C72D9C6">
            <w:pPr>
              <w:spacing w:before="100" w:beforeAutospacing="1" w:after="100" w:afterAutospacing="1" w:line="240" w:lineRule="auto"/>
              <w:jc w:val="left"/>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4C72D9C6">
              <w:rPr>
                <w:rFonts w:ascii="Arial" w:eastAsia="Arial" w:hAnsi="Arial" w:cs="Arial"/>
                <w:color w:val="000000" w:themeColor="text1"/>
                <w:sz w:val="22"/>
                <w:szCs w:val="22"/>
              </w:rPr>
              <w:t>Large regional differences</w:t>
            </w:r>
          </w:p>
        </w:tc>
        <w:tc>
          <w:tcPr>
            <w:tcW w:w="1174" w:type="dxa"/>
            <w:vAlign w:val="center"/>
            <w:hideMark/>
          </w:tcPr>
          <w:p w14:paraId="1F45F342" w14:textId="77777777" w:rsidR="005346D8" w:rsidRPr="005346D8" w:rsidRDefault="005346D8" w:rsidP="4C72D9C6">
            <w:pPr>
              <w:spacing w:before="100" w:beforeAutospacing="1" w:after="100" w:afterAutospacing="1" w:line="240" w:lineRule="auto"/>
              <w:jc w:val="left"/>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4C72D9C6">
              <w:rPr>
                <w:rFonts w:ascii="Arial" w:eastAsia="Arial" w:hAnsi="Arial" w:cs="Arial"/>
                <w:color w:val="000000" w:themeColor="text1"/>
                <w:sz w:val="22"/>
                <w:szCs w:val="22"/>
              </w:rPr>
              <w:t>inequality</w:t>
            </w:r>
          </w:p>
        </w:tc>
      </w:tr>
    </w:tbl>
    <w:p w14:paraId="288018BE" w14:textId="70E1A914" w:rsidR="005346D8" w:rsidRPr="005346D8" w:rsidRDefault="005346D8" w:rsidP="4C72D9C6">
      <w:pPr>
        <w:spacing w:before="100" w:beforeAutospacing="1" w:after="100" w:afterAutospacing="1" w:line="240" w:lineRule="auto"/>
        <w:jc w:val="left"/>
        <w:outlineLvl w:val="2"/>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 xml:space="preserve"> </w:t>
      </w:r>
    </w:p>
    <w:p w14:paraId="5541FB34" w14:textId="77777777" w:rsidR="005346D8" w:rsidRPr="005346D8" w:rsidRDefault="005346D8" w:rsidP="4C72D9C6">
      <w:pPr>
        <w:spacing w:after="0" w:line="240" w:lineRule="auto"/>
        <w:jc w:val="left"/>
        <w:rPr>
          <w:rFonts w:ascii="Arial" w:eastAsia="Arial" w:hAnsi="Arial" w:cs="Arial"/>
          <w:color w:val="000000" w:themeColor="text1"/>
          <w:kern w:val="0"/>
          <w:lang w:eastAsia="en-GB"/>
          <w14:ligatures w14:val="none"/>
        </w:rPr>
      </w:pPr>
    </w:p>
    <w:p w14:paraId="666E4414" w14:textId="25490E81" w:rsidR="005346D8" w:rsidRPr="005346D8" w:rsidRDefault="005346D8" w:rsidP="4C72D9C6">
      <w:pPr>
        <w:spacing w:after="0" w:line="240" w:lineRule="auto"/>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These thematic categories underpin the analytical discussion developed in Chapter 4, where the links between early ADHD diagnosis, educational outcomes, and support systems are critically explored.</w:t>
      </w:r>
    </w:p>
    <w:p w14:paraId="1D01D666" w14:textId="77777777" w:rsidR="00171652" w:rsidRDefault="00171652" w:rsidP="4C72D9C6">
      <w:pPr>
        <w:spacing w:before="100" w:beforeAutospacing="1" w:after="100" w:afterAutospacing="1" w:line="240" w:lineRule="auto"/>
        <w:jc w:val="left"/>
        <w:rPr>
          <w:rFonts w:ascii="Arial" w:eastAsia="Arial" w:hAnsi="Arial" w:cs="Arial"/>
          <w:color w:val="000000" w:themeColor="text1"/>
          <w:kern w:val="0"/>
          <w:lang w:eastAsia="en-GB"/>
          <w14:ligatures w14:val="none"/>
        </w:rPr>
      </w:pPr>
    </w:p>
    <w:p w14:paraId="6D542267" w14:textId="6F031EBB" w:rsidR="4C72D9C6" w:rsidRDefault="4C72D9C6" w:rsidP="4C72D9C6">
      <w:pPr>
        <w:spacing w:beforeAutospacing="1" w:afterAutospacing="1" w:line="240" w:lineRule="auto"/>
        <w:jc w:val="left"/>
        <w:rPr>
          <w:rFonts w:ascii="Arial" w:eastAsia="Arial" w:hAnsi="Arial" w:cs="Arial"/>
          <w:color w:val="000000" w:themeColor="text1"/>
          <w:lang w:eastAsia="en-GB"/>
        </w:rPr>
      </w:pPr>
    </w:p>
    <w:p w14:paraId="5434BAF5" w14:textId="5C5CEB6B" w:rsidR="4C72D9C6" w:rsidRDefault="4C72D9C6" w:rsidP="4C72D9C6">
      <w:pPr>
        <w:spacing w:beforeAutospacing="1" w:afterAutospacing="1" w:line="240" w:lineRule="auto"/>
        <w:jc w:val="left"/>
        <w:rPr>
          <w:rFonts w:ascii="Arial" w:eastAsia="Arial" w:hAnsi="Arial" w:cs="Arial"/>
          <w:color w:val="000000" w:themeColor="text1"/>
          <w:lang w:eastAsia="en-GB"/>
        </w:rPr>
      </w:pPr>
    </w:p>
    <w:p w14:paraId="4F291D3D" w14:textId="6269FE1B" w:rsidR="4C72D9C6" w:rsidRDefault="4C72D9C6" w:rsidP="4C72D9C6">
      <w:pPr>
        <w:spacing w:beforeAutospacing="1" w:afterAutospacing="1" w:line="240" w:lineRule="auto"/>
        <w:jc w:val="left"/>
        <w:rPr>
          <w:rFonts w:ascii="Arial" w:eastAsia="Arial" w:hAnsi="Arial" w:cs="Arial"/>
          <w:color w:val="000000" w:themeColor="text1"/>
          <w:lang w:eastAsia="en-GB"/>
        </w:rPr>
      </w:pPr>
    </w:p>
    <w:p w14:paraId="463F0BB8" w14:textId="3468170E" w:rsidR="4C72D9C6" w:rsidRDefault="4C72D9C6" w:rsidP="4C72D9C6">
      <w:pPr>
        <w:spacing w:beforeAutospacing="1" w:afterAutospacing="1" w:line="240" w:lineRule="auto"/>
        <w:jc w:val="left"/>
        <w:rPr>
          <w:rFonts w:ascii="Arial" w:eastAsia="Arial" w:hAnsi="Arial" w:cs="Arial"/>
          <w:color w:val="000000" w:themeColor="text1"/>
          <w:lang w:eastAsia="en-GB"/>
        </w:rPr>
      </w:pPr>
    </w:p>
    <w:p w14:paraId="66DDC82E" w14:textId="77777777" w:rsidR="00171652" w:rsidRPr="005346D8" w:rsidRDefault="00171652" w:rsidP="4C72D9C6">
      <w:pPr>
        <w:spacing w:before="100" w:beforeAutospacing="1" w:after="100" w:afterAutospacing="1" w:line="240" w:lineRule="auto"/>
        <w:jc w:val="left"/>
        <w:rPr>
          <w:rFonts w:ascii="Arial" w:eastAsia="Arial" w:hAnsi="Arial" w:cs="Arial"/>
          <w:color w:val="000000" w:themeColor="text1"/>
          <w:kern w:val="0"/>
          <w:lang w:eastAsia="en-GB"/>
          <w14:ligatures w14:val="none"/>
        </w:rPr>
      </w:pPr>
    </w:p>
    <w:p w14:paraId="6D6A9C59" w14:textId="77777777" w:rsidR="005346D8" w:rsidRPr="005346D8" w:rsidRDefault="005346D8" w:rsidP="4C72D9C6">
      <w:pPr>
        <w:spacing w:before="100" w:beforeAutospacing="1" w:after="100" w:afterAutospacing="1" w:line="240" w:lineRule="auto"/>
        <w:jc w:val="left"/>
        <w:outlineLvl w:val="2"/>
        <w:rPr>
          <w:rFonts w:ascii="Arial" w:eastAsia="Arial" w:hAnsi="Arial" w:cs="Arial"/>
          <w:b/>
          <w:bCs/>
          <w:color w:val="000000" w:themeColor="text1"/>
          <w:kern w:val="0"/>
          <w:lang w:eastAsia="en-GB"/>
          <w14:ligatures w14:val="none"/>
        </w:rPr>
      </w:pPr>
      <w:r w:rsidRPr="4C72D9C6">
        <w:rPr>
          <w:rFonts w:ascii="Arial" w:eastAsia="Arial" w:hAnsi="Arial" w:cs="Arial"/>
          <w:b/>
          <w:bCs/>
          <w:color w:val="000000" w:themeColor="text1"/>
          <w:kern w:val="0"/>
          <w:lang w:eastAsia="en-GB"/>
          <w14:ligatures w14:val="none"/>
        </w:rPr>
        <w:t>Appendix C – Inclusion and Exclusion Criteria Summary</w:t>
      </w:r>
    </w:p>
    <w:p w14:paraId="2DFD05E8"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(Linked to Chapter 3, Section 3.5)</w:t>
      </w:r>
    </w:p>
    <w:p w14:paraId="5ED86D9F"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kern w:val="0"/>
          <w:lang w:eastAsia="en-GB"/>
          <w14:ligatures w14:val="none"/>
        </w:rPr>
      </w:pPr>
    </w:p>
    <w:tbl>
      <w:tblPr>
        <w:tblStyle w:val="TableGrid"/>
        <w:tblW w:w="0" w:type="auto"/>
        <w:tblLook w:val="04A0" w:firstRow="1" w:lastRow="0" w:firstColumn="1" w:lastColumn="0" w:noHBand="0" w:noVBand="1"/>
      </w:tblPr>
      <w:tblGrid>
        <w:gridCol w:w="1228"/>
        <w:gridCol w:w="4443"/>
        <w:gridCol w:w="3345"/>
      </w:tblGrid>
      <w:tr w:rsidR="005346D8" w:rsidRPr="005346D8" w14:paraId="7A8BACA0" w14:textId="77777777" w:rsidTr="4C72D9C6">
        <w:tc>
          <w:tcPr>
            <w:tcW w:w="0" w:type="auto"/>
            <w:hideMark/>
          </w:tcPr>
          <w:p w14:paraId="2FF24C85" w14:textId="77777777" w:rsidR="005346D8" w:rsidRPr="005346D8" w:rsidRDefault="005346D8" w:rsidP="4C72D9C6">
            <w:pPr>
              <w:spacing w:before="100" w:beforeAutospacing="1" w:after="100" w:afterAutospacing="1" w:line="240" w:lineRule="auto"/>
              <w:jc w:val="center"/>
              <w:rPr>
                <w:rFonts w:ascii="Arial" w:eastAsia="Arial" w:hAnsi="Arial" w:cs="Arial"/>
                <w:b/>
                <w:bCs/>
                <w:color w:val="000000" w:themeColor="text1"/>
                <w:lang w:eastAsia="en-GB"/>
              </w:rPr>
            </w:pPr>
            <w:r w:rsidRPr="4C72D9C6">
              <w:rPr>
                <w:rFonts w:ascii="Arial" w:eastAsia="Arial" w:hAnsi="Arial" w:cs="Arial"/>
                <w:b/>
                <w:bCs/>
                <w:color w:val="000000" w:themeColor="text1"/>
                <w:lang w:eastAsia="en-GB"/>
              </w:rPr>
              <w:t>Criteria Type</w:t>
            </w:r>
          </w:p>
        </w:tc>
        <w:tc>
          <w:tcPr>
            <w:tcW w:w="0" w:type="auto"/>
            <w:hideMark/>
          </w:tcPr>
          <w:p w14:paraId="7D6E6966" w14:textId="77777777" w:rsidR="005346D8" w:rsidRPr="005346D8" w:rsidRDefault="005346D8" w:rsidP="4C72D9C6">
            <w:pPr>
              <w:spacing w:before="100" w:beforeAutospacing="1" w:after="100" w:afterAutospacing="1" w:line="240" w:lineRule="auto"/>
              <w:jc w:val="center"/>
              <w:rPr>
                <w:rFonts w:ascii="Arial" w:eastAsia="Arial" w:hAnsi="Arial" w:cs="Arial"/>
                <w:b/>
                <w:bCs/>
                <w:color w:val="000000" w:themeColor="text1"/>
                <w:lang w:eastAsia="en-GB"/>
              </w:rPr>
            </w:pPr>
            <w:r w:rsidRPr="4C72D9C6">
              <w:rPr>
                <w:rFonts w:ascii="Arial" w:eastAsia="Arial" w:hAnsi="Arial" w:cs="Arial"/>
                <w:b/>
                <w:bCs/>
                <w:color w:val="000000" w:themeColor="text1"/>
                <w:lang w:eastAsia="en-GB"/>
              </w:rPr>
              <w:t>Description</w:t>
            </w:r>
          </w:p>
        </w:tc>
        <w:tc>
          <w:tcPr>
            <w:tcW w:w="0" w:type="auto"/>
            <w:hideMark/>
          </w:tcPr>
          <w:p w14:paraId="0FCE5B27" w14:textId="77777777" w:rsidR="005346D8" w:rsidRPr="005346D8" w:rsidRDefault="005346D8" w:rsidP="4C72D9C6">
            <w:pPr>
              <w:spacing w:before="100" w:beforeAutospacing="1" w:after="100" w:afterAutospacing="1" w:line="240" w:lineRule="auto"/>
              <w:jc w:val="center"/>
              <w:rPr>
                <w:rFonts w:ascii="Arial" w:eastAsia="Arial" w:hAnsi="Arial" w:cs="Arial"/>
                <w:b/>
                <w:bCs/>
                <w:color w:val="000000" w:themeColor="text1"/>
                <w:lang w:eastAsia="en-GB"/>
              </w:rPr>
            </w:pPr>
            <w:r w:rsidRPr="4C72D9C6">
              <w:rPr>
                <w:rFonts w:ascii="Arial" w:eastAsia="Arial" w:hAnsi="Arial" w:cs="Arial"/>
                <w:b/>
                <w:bCs/>
                <w:color w:val="000000" w:themeColor="text1"/>
                <w:lang w:eastAsia="en-GB"/>
              </w:rPr>
              <w:t>Justification</w:t>
            </w:r>
          </w:p>
        </w:tc>
      </w:tr>
      <w:tr w:rsidR="005346D8" w:rsidRPr="005346D8" w14:paraId="2D6FDAF7" w14:textId="77777777" w:rsidTr="4C72D9C6">
        <w:tc>
          <w:tcPr>
            <w:tcW w:w="0" w:type="auto"/>
            <w:hideMark/>
          </w:tcPr>
          <w:p w14:paraId="5B6A5E93"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Inclusion</w:t>
            </w:r>
          </w:p>
        </w:tc>
        <w:tc>
          <w:tcPr>
            <w:tcW w:w="0" w:type="auto"/>
            <w:hideMark/>
          </w:tcPr>
          <w:p w14:paraId="1ABB0F30"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Peer-reviewed journal articles (2015–2025); UK or comparable Western education contexts; studies on children aged 5–11 with ADHD; national policy and guidance (NICE, DfE, NHS England).</w:t>
            </w:r>
          </w:p>
        </w:tc>
        <w:tc>
          <w:tcPr>
            <w:tcW w:w="0" w:type="auto"/>
            <w:hideMark/>
          </w:tcPr>
          <w:p w14:paraId="1542597D"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Ensured contemporary, relevant, and evidence-based sources reflecting the UK’s educational and clinical framework.</w:t>
            </w:r>
          </w:p>
        </w:tc>
      </w:tr>
      <w:tr w:rsidR="005346D8" w:rsidRPr="005346D8" w14:paraId="5FC6ADAC" w14:textId="77777777" w:rsidTr="4C72D9C6">
        <w:trPr>
          <w:trHeight w:val="644"/>
        </w:trPr>
        <w:tc>
          <w:tcPr>
            <w:tcW w:w="0" w:type="auto"/>
            <w:hideMark/>
          </w:tcPr>
          <w:p w14:paraId="3730054E"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Exclusion</w:t>
            </w:r>
          </w:p>
        </w:tc>
        <w:tc>
          <w:tcPr>
            <w:tcW w:w="0" w:type="auto"/>
            <w:hideMark/>
          </w:tcPr>
          <w:p w14:paraId="4848576E"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Non-English articles; studies before 2015; blogs or opinion pieces; clinical-only research with no educational focus.</w:t>
            </w:r>
          </w:p>
        </w:tc>
        <w:tc>
          <w:tcPr>
            <w:tcW w:w="0" w:type="auto"/>
            <w:hideMark/>
          </w:tcPr>
          <w:p w14:paraId="1A4EE57D"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lang w:eastAsia="en-GB"/>
              </w:rPr>
            </w:pPr>
            <w:r w:rsidRPr="4C72D9C6">
              <w:rPr>
                <w:rFonts w:ascii="Arial" w:eastAsia="Arial" w:hAnsi="Arial" w:cs="Arial"/>
                <w:color w:val="000000" w:themeColor="text1"/>
                <w:lang w:eastAsia="en-GB"/>
              </w:rPr>
              <w:t>Prevented bias and improved reliability by removing irrelevant or outdated materials.</w:t>
            </w:r>
          </w:p>
        </w:tc>
      </w:tr>
    </w:tbl>
    <w:p w14:paraId="64018157"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kern w:val="0"/>
          <w:lang w:eastAsia="en-GB"/>
          <w14:ligatures w14:val="none"/>
        </w:rPr>
      </w:pPr>
    </w:p>
    <w:p w14:paraId="28CBC8FD"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kern w:val="0"/>
          <w:lang w:eastAsia="en-GB"/>
          <w14:ligatures w14:val="none"/>
        </w:rPr>
      </w:pPr>
      <w:r w:rsidRPr="4C72D9C6">
        <w:rPr>
          <w:rFonts w:ascii="Arial" w:eastAsia="Arial" w:hAnsi="Arial" w:cs="Arial"/>
          <w:color w:val="000000" w:themeColor="text1"/>
          <w:kern w:val="0"/>
          <w:lang w:eastAsia="en-GB"/>
          <w14:ligatures w14:val="none"/>
        </w:rPr>
        <w:t>This table summarises the inclusion and exclusion parameters applied during the literature review process. It ensures transparency in how sources were selected and shows alignment with the project’s focus on early ADHD diagnosis in UK primary education contexts.</w:t>
      </w:r>
    </w:p>
    <w:p w14:paraId="2CEA5858"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kern w:val="0"/>
          <w:lang w:eastAsia="en-GB"/>
          <w14:ligatures w14:val="none"/>
        </w:rPr>
      </w:pPr>
    </w:p>
    <w:p w14:paraId="354BF7EB"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kern w:val="0"/>
          <w:lang w:eastAsia="en-GB"/>
          <w14:ligatures w14:val="none"/>
        </w:rPr>
      </w:pPr>
    </w:p>
    <w:p w14:paraId="3E72C4F1"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kern w:val="0"/>
          <w:lang w:eastAsia="en-GB"/>
          <w14:ligatures w14:val="none"/>
        </w:rPr>
      </w:pPr>
    </w:p>
    <w:p w14:paraId="53FA31D5"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kern w:val="0"/>
          <w:lang w:eastAsia="en-GB"/>
          <w14:ligatures w14:val="none"/>
        </w:rPr>
      </w:pPr>
    </w:p>
    <w:p w14:paraId="4056A1E1"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kern w:val="0"/>
          <w:lang w:eastAsia="en-GB"/>
          <w14:ligatures w14:val="none"/>
        </w:rPr>
      </w:pPr>
    </w:p>
    <w:p w14:paraId="568D04FC"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kern w:val="0"/>
          <w:lang w:eastAsia="en-GB"/>
          <w14:ligatures w14:val="none"/>
        </w:rPr>
      </w:pPr>
    </w:p>
    <w:p w14:paraId="7B0525FD"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kern w:val="0"/>
          <w:lang w:eastAsia="en-GB"/>
          <w14:ligatures w14:val="none"/>
        </w:rPr>
      </w:pPr>
    </w:p>
    <w:p w14:paraId="0F8F5113"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kern w:val="0"/>
          <w:lang w:eastAsia="en-GB"/>
          <w14:ligatures w14:val="none"/>
        </w:rPr>
      </w:pPr>
    </w:p>
    <w:p w14:paraId="08260A9E"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kern w:val="0"/>
          <w:lang w:eastAsia="en-GB"/>
          <w14:ligatures w14:val="none"/>
        </w:rPr>
      </w:pPr>
    </w:p>
    <w:p w14:paraId="3671F22B"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kern w:val="0"/>
          <w:lang w:eastAsia="en-GB"/>
          <w14:ligatures w14:val="none"/>
        </w:rPr>
      </w:pPr>
    </w:p>
    <w:p w14:paraId="4C6419E3"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kern w:val="0"/>
          <w:lang w:eastAsia="en-GB"/>
          <w14:ligatures w14:val="none"/>
        </w:rPr>
      </w:pPr>
    </w:p>
    <w:p w14:paraId="3741F122"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kern w:val="0"/>
          <w:lang w:eastAsia="en-GB"/>
          <w14:ligatures w14:val="none"/>
        </w:rPr>
      </w:pPr>
    </w:p>
    <w:p w14:paraId="77CC6CC1"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kern w:val="0"/>
          <w:lang w:eastAsia="en-GB"/>
          <w14:ligatures w14:val="none"/>
        </w:rPr>
      </w:pPr>
    </w:p>
    <w:p w14:paraId="78752C49"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kern w:val="0"/>
          <w:lang w:eastAsia="en-GB"/>
          <w14:ligatures w14:val="none"/>
        </w:rPr>
      </w:pPr>
    </w:p>
    <w:p w14:paraId="4230D63E"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kern w:val="0"/>
          <w:lang w:eastAsia="en-GB"/>
          <w14:ligatures w14:val="none"/>
        </w:rPr>
      </w:pPr>
    </w:p>
    <w:p w14:paraId="6697EDC0"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kern w:val="0"/>
          <w:lang w:eastAsia="en-GB"/>
          <w14:ligatures w14:val="none"/>
        </w:rPr>
      </w:pPr>
    </w:p>
    <w:p w14:paraId="6D88C7CC"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kern w:val="0"/>
          <w:lang w:eastAsia="en-GB"/>
          <w14:ligatures w14:val="none"/>
        </w:rPr>
      </w:pPr>
    </w:p>
    <w:p w14:paraId="3365D046"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kern w:val="0"/>
          <w:lang w:eastAsia="en-GB"/>
          <w14:ligatures w14:val="none"/>
        </w:rPr>
      </w:pPr>
    </w:p>
    <w:p w14:paraId="63F3EE4F" w14:textId="77777777" w:rsidR="005346D8" w:rsidRPr="005346D8" w:rsidRDefault="005346D8" w:rsidP="4C72D9C6">
      <w:pPr>
        <w:spacing w:before="100" w:beforeAutospacing="1" w:after="100" w:afterAutospacing="1" w:line="240" w:lineRule="auto"/>
        <w:jc w:val="left"/>
        <w:rPr>
          <w:rFonts w:ascii="Arial" w:eastAsia="Arial" w:hAnsi="Arial" w:cs="Arial"/>
          <w:color w:val="000000" w:themeColor="text1"/>
          <w:kern w:val="0"/>
          <w:lang w:eastAsia="en-GB"/>
          <w14:ligatures w14:val="none"/>
        </w:rPr>
      </w:pPr>
    </w:p>
    <w:p w14:paraId="00E9E309" w14:textId="77777777" w:rsidR="00B77532" w:rsidRPr="00FF5B5D" w:rsidRDefault="00B77532" w:rsidP="4C72D9C6">
      <w:pPr>
        <w:rPr>
          <w:rFonts w:ascii="Arial" w:eastAsia="Arial" w:hAnsi="Arial" w:cs="Arial"/>
          <w:color w:val="000000" w:themeColor="text1"/>
        </w:rPr>
      </w:pPr>
    </w:p>
    <w:p w14:paraId="0D5F3838" w14:textId="77777777" w:rsidR="008C38C3" w:rsidRPr="00FF5B5D" w:rsidRDefault="008C38C3" w:rsidP="4C72D9C6">
      <w:pPr>
        <w:rPr>
          <w:rFonts w:ascii="Arial" w:eastAsia="Arial" w:hAnsi="Arial" w:cs="Arial"/>
          <w:color w:val="000000" w:themeColor="text1"/>
        </w:rPr>
      </w:pPr>
    </w:p>
    <w:p w14:paraId="438D3C08" w14:textId="77777777" w:rsidR="008C38C3" w:rsidRPr="00FF5B5D" w:rsidRDefault="008C38C3" w:rsidP="4C72D9C6">
      <w:pPr>
        <w:rPr>
          <w:rFonts w:ascii="Arial" w:eastAsia="Arial" w:hAnsi="Arial" w:cs="Arial"/>
          <w:color w:val="000000" w:themeColor="text1"/>
        </w:rPr>
      </w:pPr>
    </w:p>
    <w:p w14:paraId="18FF6044" w14:textId="77777777" w:rsidR="008C38C3" w:rsidRPr="00FF5B5D" w:rsidRDefault="008C38C3" w:rsidP="4C72D9C6">
      <w:pPr>
        <w:rPr>
          <w:rFonts w:ascii="Arial" w:eastAsia="Arial" w:hAnsi="Arial" w:cs="Arial"/>
          <w:color w:val="000000" w:themeColor="text1"/>
        </w:rPr>
      </w:pPr>
    </w:p>
    <w:p w14:paraId="268CFD1F" w14:textId="77777777" w:rsidR="008C38C3" w:rsidRPr="00FF5B5D" w:rsidRDefault="008C38C3" w:rsidP="4C72D9C6">
      <w:pPr>
        <w:rPr>
          <w:rFonts w:ascii="Arial" w:eastAsia="Arial" w:hAnsi="Arial" w:cs="Arial"/>
          <w:color w:val="000000" w:themeColor="text1"/>
        </w:rPr>
      </w:pPr>
    </w:p>
    <w:p w14:paraId="5DA0FD87" w14:textId="3E6E7B7A" w:rsidR="008C38C3" w:rsidRPr="00FF5B5D" w:rsidRDefault="008C38C3" w:rsidP="4C72D9C6">
      <w:pPr>
        <w:rPr>
          <w:rFonts w:ascii="Arial" w:eastAsia="Arial" w:hAnsi="Arial" w:cs="Arial"/>
          <w:color w:val="000000" w:themeColor="text1"/>
        </w:rPr>
      </w:pPr>
    </w:p>
    <w:p w14:paraId="70C7CA0C" w14:textId="657FA755" w:rsidR="008C38C3" w:rsidRPr="00FF5B5D" w:rsidRDefault="008C38C3" w:rsidP="4C72D9C6">
      <w:pPr>
        <w:pStyle w:val="Heading1"/>
        <w:rPr>
          <w:rFonts w:eastAsia="Arial" w:cs="Arial"/>
          <w:color w:val="000000" w:themeColor="text1"/>
          <w:sz w:val="22"/>
          <w:szCs w:val="22"/>
        </w:rPr>
      </w:pPr>
    </w:p>
    <w:sectPr w:rsidR="008C38C3" w:rsidRPr="00FF5B5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4B3533" w14:textId="77777777" w:rsidR="00E60C31" w:rsidRDefault="00E60C31" w:rsidP="00211184">
      <w:pPr>
        <w:spacing w:after="0" w:line="240" w:lineRule="auto"/>
      </w:pPr>
      <w:r>
        <w:separator/>
      </w:r>
    </w:p>
  </w:endnote>
  <w:endnote w:type="continuationSeparator" w:id="0">
    <w:p w14:paraId="397F331A" w14:textId="77777777" w:rsidR="00E60C31" w:rsidRDefault="00E60C31"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0000000000000000000"/>
    <w:charset w:val="86"/>
    <w:family w:val="roman"/>
    <w:notTrueType/>
    <w:pitch w:val="default"/>
  </w:font>
  <w:font w:name="Arial Unicode MS">
    <w:panose1 w:val="020B0604020202020204"/>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14:paraId="6B91657E" w14:textId="7B55D7C1" w:rsidR="002865F5" w:rsidRDefault="002865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EB8283" w14:textId="77777777" w:rsidR="00E60C31" w:rsidRDefault="00E60C31" w:rsidP="00211184">
      <w:pPr>
        <w:spacing w:after="0" w:line="240" w:lineRule="auto"/>
      </w:pPr>
      <w:r>
        <w:separator/>
      </w:r>
    </w:p>
  </w:footnote>
  <w:footnote w:type="continuationSeparator" w:id="0">
    <w:p w14:paraId="1D8466CE" w14:textId="77777777" w:rsidR="00E60C31" w:rsidRDefault="00E60C31" w:rsidP="00211184">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5HhFoHn82wrJU" int2:id="0GIeEOKS">
      <int2:state int2:value="Rejected" int2:type="spell"/>
    </int2:textHash>
    <int2:textHash int2:hashCode="i8waBE316URZBM" int2:id="1kxyt5aQ">
      <int2:state int2:value="Rejected" int2:type="spell"/>
    </int2:textHash>
    <int2:textHash int2:hashCode="ePkceRuUfyeZm7" int2:id="8Z3uaV30">
      <int2:state int2:value="Rejected" int2:type="spell"/>
    </int2:textHash>
    <int2:textHash int2:hashCode="wGGGuyJhHE8R5Z" int2:id="JsAJlYbI">
      <int2:state int2:value="Rejected" int2:type="spell"/>
    </int2:textHash>
    <int2:textHash int2:hashCode="3VQK/1LAqr50tL" int2:id="SD2U8TaF">
      <int2:state int2:value="Rejected" int2:type="spell"/>
    </int2:textHash>
    <int2:textHash int2:hashCode="25b6hn0CIoLFpi" int2:id="UhMollnU">
      <int2:state int2:value="Rejected" int2:type="spell"/>
    </int2:textHash>
    <int2:textHash int2:hashCode="381T4BhViaD0f1" int2:id="WahN98s4">
      <int2:state int2:value="Rejected" int2:type="spell"/>
    </int2:textHash>
    <int2:textHash int2:hashCode="TaUNCpEh0sOBot" int2:id="eMqsnRPx">
      <int2:state int2:value="Rejected" int2:type="spell"/>
    </int2:textHash>
    <int2:textHash int2:hashCode="SOVj8UjcBNizHJ" int2:id="fAQiOLlW">
      <int2:state int2:value="Rejected" int2:type="spell"/>
    </int2:textHash>
    <int2:textHash int2:hashCode="5hG2yfABIBss14" int2:id="l5Dt6qBm">
      <int2:state int2:value="Rejected" int2:type="spell"/>
    </int2:textHash>
    <int2:textHash int2:hashCode="A/xLl8Z9fyhd8R" int2:id="lZluHa2i">
      <int2:state int2:value="Rejected" int2:type="spell"/>
    </int2:textHash>
    <int2:textHash int2:hashCode="EKODEBVRhineJf" int2:id="lm1LR31i">
      <int2:state int2:value="Rejected" int2:type="spell"/>
    </int2:textHash>
    <int2:textHash int2:hashCode="fZ3KLLsMHQ9/0E" int2:id="s4Hjg6WJ">
      <int2:state int2:value="Rejected" int2:type="spell"/>
    </int2:textHash>
    <int2:textHash int2:hashCode="kYAmYxFmc2AJjC" int2:id="tkB9JUdo">
      <int2:state int2:value="Rejected" int2:type="spell"/>
    </int2:textHash>
    <int2:textHash int2:hashCode="rx5//lam2bToqa" int2:id="zHLlzDHw">
      <int2:state int2:value="Rejected" int2:type="spell"/>
    </int2:textHash>
    <int2:bookmark int2:bookmarkName="_Int_hmHlygZQ" int2:invalidationBookmarkName="" int2:hashCode="itfSHHGwSbcAO6" int2:id="0DG3CPjA">
      <int2:state int2:value="Rejected" int2:type="style"/>
    </int2:bookmark>
    <int2:bookmark int2:bookmarkName="_Int_iQzP2khc" int2:invalidationBookmarkName="" int2:hashCode="m/D4/19di8v/ud" int2:id="0vWn8Dnw">
      <int2:state int2:value="Rejected" int2:type="style"/>
    </int2:bookmark>
    <int2:bookmark int2:bookmarkName="_Int_iKqIYakY" int2:invalidationBookmarkName="" int2:hashCode="00lrrL/M8p7RXo" int2:id="14SBEF3Q">
      <int2:state int2:value="Rejected" int2:type="style"/>
    </int2:bookmark>
    <int2:bookmark int2:bookmarkName="_Int_EIkyLQum" int2:invalidationBookmarkName="" int2:hashCode="m/D4/19di8v/ud" int2:id="1m0a5KCL">
      <int2:state int2:value="Rejected" int2:type="style"/>
    </int2:bookmark>
    <int2:bookmark int2:bookmarkName="_Int_oHU2zlmu" int2:invalidationBookmarkName="" int2:hashCode="iEXpx0lsBCdvQg" int2:id="1qHP87xg">
      <int2:state int2:value="Rejected" int2:type="style"/>
    </int2:bookmark>
    <int2:bookmark int2:bookmarkName="_Int_HGtkRpHM" int2:invalidationBookmarkName="" int2:hashCode="6xX40Nbu8SUY24" int2:id="2dirQAa8">
      <int2:state int2:value="Rejected" int2:type="style"/>
    </int2:bookmark>
    <int2:bookmark int2:bookmarkName="_Int_CasLYtyi" int2:invalidationBookmarkName="" int2:hashCode="00lrrL/M8p7RXo" int2:id="3m8n4uU4">
      <int2:state int2:value="Rejected" int2:type="style"/>
    </int2:bookmark>
    <int2:bookmark int2:bookmarkName="_Int_JDoTsGug" int2:invalidationBookmarkName="" int2:hashCode="maS+KK4PEzqNKd" int2:id="4Lwmk5u4">
      <int2:state int2:value="Rejected" int2:type="style"/>
    </int2:bookmark>
    <int2:bookmark int2:bookmarkName="_Int_ipqpZoWd" int2:invalidationBookmarkName="" int2:hashCode="KY4lrqUSB2orV0" int2:id="62BDEawk">
      <int2:state int2:value="Rejected" int2:type="style"/>
    </int2:bookmark>
    <int2:bookmark int2:bookmarkName="_Int_K2oWx7qZ" int2:invalidationBookmarkName="" int2:hashCode="2i9M6eDcqD4Mt6" int2:id="6WChdiG2">
      <int2:state int2:value="Rejected" int2:type="style"/>
    </int2:bookmark>
    <int2:bookmark int2:bookmarkName="_Int_tuILPW5p" int2:invalidationBookmarkName="" int2:hashCode="/ghaZ+g/Qaww1k" int2:id="6p6MDUtI">
      <int2:state int2:value="Rejected" int2:type="style"/>
    </int2:bookmark>
    <int2:bookmark int2:bookmarkName="_Int_PoOpe9qR" int2:invalidationBookmarkName="" int2:hashCode="/aQ3g76OCz+SBq" int2:id="7Vya2Tsv">
      <int2:state int2:value="Rejected" int2:type="style"/>
    </int2:bookmark>
    <int2:bookmark int2:bookmarkName="_Int_6KoNDJIm" int2:invalidationBookmarkName="" int2:hashCode="K7r3LJscGyXBfj" int2:id="8qPPkDXD">
      <int2:state int2:value="Rejected" int2:type="style"/>
    </int2:bookmark>
    <int2:bookmark int2:bookmarkName="_Int_imfjFZ7I" int2:invalidationBookmarkName="" int2:hashCode="MaXlORx3RmqQ/G" int2:id="8wC6SAMo">
      <int2:state int2:value="Rejected" int2:type="style"/>
    </int2:bookmark>
    <int2:bookmark int2:bookmarkName="_Int_tFVRXejG" int2:invalidationBookmarkName="" int2:hashCode="2i9M6eDcqD4Mt6" int2:id="BqwlbDi2">
      <int2:state int2:value="Rejected" int2:type="style"/>
    </int2:bookmark>
    <int2:bookmark int2:bookmarkName="_Int_zjwEGRvm" int2:invalidationBookmarkName="" int2:hashCode="SMFwPIHakRGYAb" int2:id="D1T7Gtat">
      <int2:state int2:value="Rejected" int2:type="style"/>
    </int2:bookmark>
    <int2:bookmark int2:bookmarkName="_Int_uyrR7P48" int2:invalidationBookmarkName="" int2:hashCode="4uvCBYKKFiPGZR" int2:id="DmHDMQgp">
      <int2:state int2:value="Rejected" int2:type="style"/>
    </int2:bookmark>
    <int2:bookmark int2:bookmarkName="_Int_Fe3VIRtG" int2:invalidationBookmarkName="" int2:hashCode="T0Ik9ErSnkbHDj" int2:id="EOnknhEF">
      <int2:state int2:value="Rejected" int2:type="style"/>
    </int2:bookmark>
    <int2:bookmark int2:bookmarkName="_Int_9wwEUNzP" int2:invalidationBookmarkName="" int2:hashCode="nabOD5VXEdeEMA" int2:id="ElWImSKQ">
      <int2:state int2:value="Rejected" int2:type="gram"/>
    </int2:bookmark>
    <int2:bookmark int2:bookmarkName="_Int_gaziFtlO" int2:invalidationBookmarkName="" int2:hashCode="5NmnYnEbPG7rVG" int2:id="FGyBJfp1">
      <int2:state int2:value="Rejected" int2:type="style"/>
    </int2:bookmark>
    <int2:bookmark int2:bookmarkName="_Int_6BWKhrFu" int2:invalidationBookmarkName="" int2:hashCode="a7X/VNNYq0VXgz" int2:id="HOtM3jvc">
      <int2:state int2:value="Rejected" int2:type="style"/>
    </int2:bookmark>
    <int2:bookmark int2:bookmarkName="_Int_tIRqWUaY" int2:invalidationBookmarkName="" int2:hashCode="A7lR/pHj5zVKI5" int2:id="HjUh0ait">
      <int2:state int2:value="Rejected" int2:type="style"/>
    </int2:bookmark>
    <int2:bookmark int2:bookmarkName="_Int_7Y6ZyLJ6" int2:invalidationBookmarkName="" int2:hashCode="00lrrL/M8p7RXo" int2:id="Hn5Pl9n7">
      <int2:state int2:value="Rejected" int2:type="style"/>
    </int2:bookmark>
    <int2:bookmark int2:bookmarkName="_Int_kq4MKPBp" int2:invalidationBookmarkName="" int2:hashCode="8rzOioYgvPnZb4" int2:id="HvGDdC3J">
      <int2:state int2:value="Rejected" int2:type="style"/>
    </int2:bookmark>
    <int2:bookmark int2:bookmarkName="_Int_cuGa1IV1" int2:invalidationBookmarkName="" int2:hashCode="ZanletI6wlweVG" int2:id="IO4EHT7D">
      <int2:state int2:value="Rejected" int2:type="style"/>
    </int2:bookmark>
    <int2:bookmark int2:bookmarkName="_Int_2anuVhTm" int2:invalidationBookmarkName="" int2:hashCode="ZanletI6wlweVG" int2:id="J6xYeiQe">
      <int2:state int2:value="Rejected" int2:type="style"/>
    </int2:bookmark>
    <int2:bookmark int2:bookmarkName="_Int_e0MzBRX8" int2:invalidationBookmarkName="" int2:hashCode="IEEkdmk2qlIoq+" int2:id="JQ5FHaoA">
      <int2:state int2:value="Rejected" int2:type="style"/>
    </int2:bookmark>
    <int2:bookmark int2:bookmarkName="_Int_tlwCmlEk" int2:invalidationBookmarkName="" int2:hashCode="HjziFmPIXUgUkA" int2:id="JxDH0Ynl">
      <int2:state int2:value="Rejected" int2:type="style"/>
    </int2:bookmark>
    <int2:bookmark int2:bookmarkName="_Int_8geB1Wnq" int2:invalidationBookmarkName="" int2:hashCode="u1ESaYTBByvCph" int2:id="KRrkDkKM">
      <int2:state int2:value="Rejected" int2:type="style"/>
    </int2:bookmark>
    <int2:bookmark int2:bookmarkName="_Int_c0gcGYQX" int2:invalidationBookmarkName="" int2:hashCode="4/ByatqIm0XAMC" int2:id="MeA0ML6I">
      <int2:state int2:value="Rejected" int2:type="style"/>
    </int2:bookmark>
    <int2:bookmark int2:bookmarkName="_Int_JNGzjN4Q" int2:invalidationBookmarkName="" int2:hashCode="xhKzW50/O76H3Z" int2:id="N0lMtlbr">
      <int2:state int2:value="Rejected" int2:type="style"/>
    </int2:bookmark>
    <int2:bookmark int2:bookmarkName="_Int_IsOMfF8P" int2:invalidationBookmarkName="" int2:hashCode="m/D4/19di8v/ud" int2:id="NTz53mD0">
      <int2:state int2:value="Rejected" int2:type="style"/>
    </int2:bookmark>
    <int2:bookmark int2:bookmarkName="_Int_yqtmQ1za" int2:invalidationBookmarkName="" int2:hashCode="3h6Hw4NVz8mNyu" int2:id="Ok9t7vIo">
      <int2:state int2:value="Rejected" int2:type="style"/>
    </int2:bookmark>
    <int2:bookmark int2:bookmarkName="_Int_flw2FwrY" int2:invalidationBookmarkName="" int2:hashCode="dkmkRuVDysnpuX" int2:id="Phusde1r">
      <int2:state int2:value="Rejected" int2:type="style"/>
    </int2:bookmark>
    <int2:bookmark int2:bookmarkName="_Int_yTzf2QCs" int2:invalidationBookmarkName="" int2:hashCode="ZanletI6wlweVG" int2:id="UN1Pq0LE">
      <int2:state int2:value="Rejected" int2:type="style"/>
    </int2:bookmark>
    <int2:bookmark int2:bookmarkName="_Int_ehiBuD46" int2:invalidationBookmarkName="" int2:hashCode="SLGLFARhzcGrh6" int2:id="VE3VLKQa">
      <int2:state int2:value="Rejected" int2:type="style"/>
    </int2:bookmark>
    <int2:bookmark int2:bookmarkName="_Int_ZuPtvLlS" int2:invalidationBookmarkName="" int2:hashCode="itfSHHGwSbcAO6" int2:id="YFYEfjSC">
      <int2:state int2:value="Rejected" int2:type="style"/>
    </int2:bookmark>
    <int2:bookmark int2:bookmarkName="_Int_xhu1RdVc" int2:invalidationBookmarkName="" int2:hashCode="1J0/XWUBGybUHO" int2:id="YFstdm9V">
      <int2:state int2:value="Rejected" int2:type="style"/>
    </int2:bookmark>
    <int2:bookmark int2:bookmarkName="_Int_thSMTSRA" int2:invalidationBookmarkName="" int2:hashCode="00lrrL/M8p7RXo" int2:id="YLDBk3PU">
      <int2:state int2:value="Rejected" int2:type="style"/>
    </int2:bookmark>
    <int2:bookmark int2:bookmarkName="_Int_2SCkgWX8" int2:invalidationBookmarkName="" int2:hashCode="00lrrL/M8p7RXo" int2:id="YXsZVibV">
      <int2:state int2:value="Rejected" int2:type="style"/>
    </int2:bookmark>
    <int2:bookmark int2:bookmarkName="_Int_kkzh4Th0" int2:invalidationBookmarkName="" int2:hashCode="00lrrL/M8p7RXo" int2:id="YYp8lmVR">
      <int2:state int2:value="Rejected" int2:type="style"/>
    </int2:bookmark>
    <int2:bookmark int2:bookmarkName="_Int_eAhwfbzT" int2:invalidationBookmarkName="" int2:hashCode="43K/JlIt1QZTyM" int2:id="ZK3q5tsu">
      <int2:state int2:value="Rejected" int2:type="style"/>
    </int2:bookmark>
    <int2:bookmark int2:bookmarkName="_Int_nZ702NMq" int2:invalidationBookmarkName="" int2:hashCode="M1xMHi8FtSl6Vn" int2:id="ZVudXAPE">
      <int2:state int2:value="Rejected" int2:type="style"/>
    </int2:bookmark>
    <int2:bookmark int2:bookmarkName="_Int_Z0TAklxW" int2:invalidationBookmarkName="" int2:hashCode="6Ib5vfWamocy9+" int2:id="ZiQz5fmd">
      <int2:state int2:value="Rejected" int2:type="gram"/>
    </int2:bookmark>
    <int2:bookmark int2:bookmarkName="_Int_WnfGxfQS" int2:invalidationBookmarkName="" int2:hashCode="00lrrL/M8p7RXo" int2:id="h3F5BvCW">
      <int2:state int2:value="Rejected" int2:type="style"/>
    </int2:bookmark>
    <int2:bookmark int2:bookmarkName="_Int_RhM6SDlm" int2:invalidationBookmarkName="" int2:hashCode="/aQ3g76OCz+SBq" int2:id="h3rJ4cos">
      <int2:state int2:value="Rejected" int2:type="style"/>
    </int2:bookmark>
    <int2:bookmark int2:bookmarkName="_Int_3RuZyqjP" int2:invalidationBookmarkName="" int2:hashCode="DnfKAEcAKPtOFp" int2:id="h61kRPRa">
      <int2:state int2:value="Rejected" int2:type="style"/>
    </int2:bookmark>
    <int2:bookmark int2:bookmarkName="_Int_EQW7s2t3" int2:invalidationBookmarkName="" int2:hashCode="dkmkRuVDysnpuX" int2:id="hJJICqVZ">
      <int2:state int2:value="Rejected" int2:type="style"/>
    </int2:bookmark>
    <int2:bookmark int2:bookmarkName="_Int_22bjoS8x" int2:invalidationBookmarkName="" int2:hashCode="q5ndahFX0Hv+j6" int2:id="io9BrbMo">
      <int2:state int2:value="Rejected" int2:type="similarity"/>
      <int2:extLst>
        <oel:ext uri="426473B9-03D8-482F-96C9-C2C85392BACA">
          <int2:similarityCritique int2:version="1" int2:context="This dissertation is the result of my own independent work/investigation, except where otherwise stated.">
            <int2:source int2:sourceType="Online" int2:sourceTitle="Fraud unravels all? A critical examination of the fraud rules in marine ..." int2:sourceUrl="https://orca.cardiff.ac.uk/id/eprint/110284/1/Thesis%20-%20Final%20Draft%20-%20Post%20Viva.pdf" int2:sourceSnippet="This thesis is the result of my own independent work/investigation, except where otherwise stated, and the thesis has not been edited by a third party beyond what is permitted by Cardiff University’s Policy on the Use of Third Party Editors by Research Degree Students. Other sources are acknowledged by explicit references. The views expressed are my own.">
              <int2:suggestions int2:citationType="Inline">
                <int2:suggestion int2:citationStyle="Mla" int2:isIdentical="0">
                  <int2:citationText>(“Fraud unravels all? A critical examination of the fraud rules in marine ...”)</int2:citationText>
                </int2:suggestion>
                <int2:suggestion int2:citationStyle="Apa" int2:isIdentical="0">
                  <int2:citationText>(“Fraud unravels all? A critical examination of the fraud rules in marine ...”)</int2:citationText>
                </int2:suggestion>
                <int2:suggestion int2:citationStyle="Chicago" int2:isIdentical="0">
                  <int2:citationText>(“Fraud unravels all? A critical examination of the fraud rules in marine ...”)</int2:citationText>
                </int2:suggestion>
              </int2:suggestions>
              <int2:suggestions int2:citationType="Full">
                <int2:suggestion int2:citationStyle="Mla" int2:isIdentical="0">
                  <int2:citationText>&lt;i&gt;Fraud unravels all? A critical examination of the fraud rules in marine ...&lt;/i&gt;, https://orca.cardiff.ac.uk/id/eprint/110284/1/Thesis%20-%20Final%20Draft%20-%20Post%20Viva.pdf.</int2:citationText>
                </int2:suggestion>
                <int2:suggestion int2:citationStyle="Apa" int2:isIdentical="0">
                  <int2:citationText>&lt;i&gt;Fraud unravels all? A critical examination of the fraud rules in marine ...&lt;/i&gt;. (n.d.). Retrieved from https://orca.cardiff.ac.uk/id/eprint/110284/1/Thesis%20-%20Final%20Draft%20-%20Post%20Viva.pdf</int2:citationText>
                </int2:suggestion>
                <int2:suggestion int2:citationStyle="Chicago" int2:isIdentical="0">
                  <int2:citationText>“Fraud unravels all? A critical examination of the fraud rules in marine ...” n.d., https://orca.cardiff.ac.uk/id/eprint/110284/1/Thesis%20-%20Final%20Draft%20-%20Post%20Viva.pdf.</int2:citationText>
                </int2:suggestion>
              </int2:suggestions>
            </int2:source>
          </int2:similarityCritique>
        </oel:ext>
      </int2:extLst>
    </int2:bookmark>
    <int2:bookmark int2:bookmarkName="_Int_BvpLVBpH" int2:invalidationBookmarkName="" int2:hashCode="VV6vbCZNDfnRV7" int2:id="isdcyDfB">
      <int2:state int2:value="Rejected" int2:type="style"/>
    </int2:bookmark>
    <int2:bookmark int2:bookmarkName="_Int_ECFj9sz8" int2:invalidationBookmarkName="" int2:hashCode="l5aAn32uSC0xI8" int2:id="jbz5fVfl">
      <int2:state int2:value="Rejected" int2:type="style"/>
    </int2:bookmark>
    <int2:bookmark int2:bookmarkName="_Int_01qCXvJn" int2:invalidationBookmarkName="" int2:hashCode="cZaJZ9HdrMheCQ" int2:id="k5QdDVbl">
      <int2:state int2:value="Rejected" int2:type="similarity"/>
      <int2:extLst>
        <oel:ext uri="426473B9-03D8-482F-96C9-C2C85392BACA">
          <int2:similarityCritique int2:version="1" int2:context="The Module Coordinator reserves the right to modify any statement, if necessary, make variations to the content or methods of delivery of programmes of study, to discontinue programmes, or merge or combine programmes if such actions are reasonably considered to be necessary by UWTSD.">
            <int2:source int2:sourceType="Online" int2:sourceTitle="TAUGHT STUDENT HANDBOOK" int2:sourceUrl="https://intranet.royalholloway.ac.uk/students/assets/docs/pdf/student-handbook/ug-pgt-psychology-student-handbook-2024-25.pdf" int2:sourceSnippet="This document was published in September 2024 and was correct at that time. The department* reserves the right to modify any statement if necessary, make variations to the content or methods of delivery of programmes of study, to discontinue programmes, or merge or combine programmes if such actions are reasonably considered to be necessary by the University. Every effort will be made to keep ...">
              <int2:suggestions int2:citationType="Inline">
                <int2:suggestion int2:citationStyle="Mla" int2:isIdentical="0">
                  <int2:citationText>(“TAUGHT STUDENT HANDBOOK”)</int2:citationText>
                </int2:suggestion>
                <int2:suggestion int2:citationStyle="Apa" int2:isIdentical="0">
                  <int2:citationText>(“TAUGHT STUDENT HANDBOOK”)</int2:citationText>
                </int2:suggestion>
                <int2:suggestion int2:citationStyle="Chicago" int2:isIdentical="0">
                  <int2:citationText>(“TAUGHT STUDENT HANDBOOK”)</int2:citationText>
                </int2:suggestion>
              </int2:suggestions>
              <int2:suggestions int2:citationType="Full">
                <int2:suggestion int2:citationStyle="Mla" int2:isIdentical="0">
                  <int2:citationText>&lt;i&gt;TAUGHT STUDENT HANDBOOK&lt;/i&gt;, https://intranet.royalholloway.ac.uk/students/assets/docs/pdf/student-handbook/ug-pgt-psychology-student-handbook-2024-25.pdf.</int2:citationText>
                </int2:suggestion>
                <int2:suggestion int2:citationStyle="Apa" int2:isIdentical="0">
                  <int2:citationText>&lt;i&gt;TAUGHT STUDENT HANDBOOK&lt;/i&gt;. (n.d.). Retrieved from https://intranet.royalholloway.ac.uk/students/assets/docs/pdf/student-handbook/ug-pgt-psychology-student-handbook-2024-25.pdf</int2:citationText>
                </int2:suggestion>
                <int2:suggestion int2:citationStyle="Chicago" int2:isIdentical="0">
                  <int2:citationText>“TAUGHT STUDENT HANDBOOK” n.d., https://intranet.royalholloway.ac.uk/students/assets/docs/pdf/student-handbook/ug-pgt-psychology-student-handbook-2024-25.pdf.</int2:citationText>
                </int2:suggestion>
              </int2:suggestions>
            </int2:source>
            <int2:source int2:sourceType="Online" int2:sourceTitle="Placements Handbook 2023 - Royal Holloway, University of London" int2:sourceUrl="https://www.royalholloway.ac.uk/media/25813/placement-handbook-2023-final.pdf" int2:sourceSnippet="This document was published in September 2023 and was correct at that time. The department reserves the right to modify any statement if necessary, make variations to the content or methods of delivery of programmes of study, to discontinue programmes, or merge or combine programmes if such actions are reasonably considered to be necessary by the University. Every effort will be made to keep ...">
              <int2:suggestions int2:citationType="Inline">
                <int2:suggestion int2:citationStyle="Mla" int2:isIdentical="0">
                  <int2:citationText>(“Placements Handbook 2023 - Royal Holloway, University of London”)</int2:citationText>
                </int2:suggestion>
                <int2:suggestion int2:citationStyle="Apa" int2:isIdentical="0">
                  <int2:citationText>(“Placements Handbook 2023 - Royal Holloway, University of London”)</int2:citationText>
                </int2:suggestion>
                <int2:suggestion int2:citationStyle="Chicago" int2:isIdentical="0">
                  <int2:citationText>(“Placements Handbook 2023 - Royal Holloway, University of London”)</int2:citationText>
                </int2:suggestion>
              </int2:suggestions>
              <int2:suggestions int2:citationType="Full">
                <int2:suggestion int2:citationStyle="Mla" int2:isIdentical="0">
                  <int2:citationText>&lt;i&gt;Placements Handbook 2023 - Royal Holloway, University of London&lt;/i&gt;, https://www.royalholloway.ac.uk/media/25813/placement-handbook-2023-final.pdf.</int2:citationText>
                </int2:suggestion>
                <int2:suggestion int2:citationStyle="Apa" int2:isIdentical="0">
                  <int2:citationText>&lt;i&gt;Placements Handbook 2023 - Royal Holloway, University of London&lt;/i&gt;. (n.d.). Retrieved from https://www.royalholloway.ac.uk/media/25813/placement-handbook-2023-final.pdf</int2:citationText>
                </int2:suggestion>
                <int2:suggestion int2:citationStyle="Chicago" int2:isIdentical="0">
                  <int2:citationText>“Placements Handbook 2023 - Royal Holloway, University of London” n.d., https://www.royalholloway.ac.uk/media/25813/placement-handbook-2023-final.pdf.</int2:citationText>
                </int2:suggestion>
              </int2:suggestions>
            </int2:source>
            <int2:source int2:sourceType="Online" int2:sourceTitle="General Handbook 2023 - Royal Holloway, University of London" int2:sourceUrl="https://intranet.royalholloway.ac.uk/doctoral-school/assets/docs/pdf/pgr-student-handbook/appendices-202324/dclinpsy-handbook.pdf" int2:sourceSnippet="The department* reserves the right to modify any statement if necessary, make variations to the content or methods of delivery of programmes of study, to discontinue programmes, or merge or combine programmes if such actions are reasonably considered to be necessary by the University.">
              <int2:suggestions int2:citationType="Inline">
                <int2:suggestion int2:citationStyle="Mla" int2:isIdentical="0">
                  <int2:citationText>(“General Handbook 2023 - Royal Holloway, University of London”)</int2:citationText>
                </int2:suggestion>
                <int2:suggestion int2:citationStyle="Apa" int2:isIdentical="0">
                  <int2:citationText>(“General Handbook 2023 - Royal Holloway, University of London”)</int2:citationText>
                </int2:suggestion>
                <int2:suggestion int2:citationStyle="Chicago" int2:isIdentical="0">
                  <int2:citationText>(“General Handbook 2023 - Royal Holloway, University of London”)</int2:citationText>
                </int2:suggestion>
              </int2:suggestions>
              <int2:suggestions int2:citationType="Full">
                <int2:suggestion int2:citationStyle="Mla" int2:isIdentical="0">
                  <int2:citationText>&lt;i&gt;General Handbook 2023 - Royal Holloway, University of London&lt;/i&gt;, https://intranet.royalholloway.ac.uk/doctoral-school/assets/docs/pdf/pgr-student-handbook/appendices-202324/dclinpsy-handbook.pdf.</int2:citationText>
                </int2:suggestion>
                <int2:suggestion int2:citationStyle="Apa" int2:isIdentical="0">
                  <int2:citationText>&lt;i&gt;General Handbook 2023 - Royal Holloway, University of London&lt;/i&gt;. (n.d.). Retrieved from https://intranet.royalholloway.ac.uk/doctoral-school/assets/docs/pdf/pgr-student-handbook/appendices-202324/dclinpsy-handbook.pdf</int2:citationText>
                </int2:suggestion>
                <int2:suggestion int2:citationStyle="Chicago" int2:isIdentical="0">
                  <int2:citationText>“General Handbook 2023 - Royal Holloway, University of London” n.d., https://intranet.royalholloway.ac.uk/doctoral-school/assets/docs/pdf/pgr-student-handbook/appendices-202324/dclinpsy-handbook.pdf.</int2:citationText>
                </int2:suggestion>
              </int2:suggestions>
            </int2:source>
          </int2:similarityCritique>
        </oel:ext>
      </int2:extLst>
    </int2:bookmark>
    <int2:bookmark int2:bookmarkName="_Int_qQ7zceeN" int2:invalidationBookmarkName="" int2:hashCode="ZanletI6wlweVG" int2:id="kiXWmq8o">
      <int2:state int2:value="Rejected" int2:type="style"/>
    </int2:bookmark>
    <int2:bookmark int2:bookmarkName="_Int_UBMgEfo9" int2:invalidationBookmarkName="" int2:hashCode="ZanletI6wlweVG" int2:id="lbTcj0xA">
      <int2:state int2:value="Rejected" int2:type="style"/>
    </int2:bookmark>
    <int2:bookmark int2:bookmarkName="_Int_5gii2Kcz" int2:invalidationBookmarkName="" int2:hashCode="6xX40Nbu8SUY24" int2:id="lmAetwAl">
      <int2:state int2:value="Rejected" int2:type="style"/>
    </int2:bookmark>
    <int2:bookmark int2:bookmarkName="_Int_Fyfyz1ZF" int2:invalidationBookmarkName="" int2:hashCode="VzWlPJsi4HLGbj" int2:id="mbsdJJYF">
      <int2:state int2:value="Rejected" int2:type="style"/>
    </int2:bookmark>
    <int2:bookmark int2:bookmarkName="_Int_SCGb1LZm" int2:invalidationBookmarkName="" int2:hashCode="m/D4/19di8v/ud" int2:id="n3oLJf1z">
      <int2:state int2:value="Rejected" int2:type="style"/>
    </int2:bookmark>
    <int2:bookmark int2:bookmarkName="_Int_Ifp737S0" int2:invalidationBookmarkName="" int2:hashCode="/aQ3g76OCz+SBq" int2:id="nc4orVA8">
      <int2:state int2:value="Rejected" int2:type="style"/>
    </int2:bookmark>
    <int2:bookmark int2:bookmarkName="_Int_HZJqkX8l" int2:invalidationBookmarkName="" int2:hashCode="4mbq96GARWUY3U" int2:id="nvfDcSZa">
      <int2:state int2:value="Rejected" int2:type="style"/>
    </int2:bookmark>
    <int2:bookmark int2:bookmarkName="_Int_ATnRhYyy" int2:invalidationBookmarkName="" int2:hashCode="IEEkdmk2qlIoq+" int2:id="o0PDTVb0">
      <int2:state int2:value="Rejected" int2:type="style"/>
    </int2:bookmark>
    <int2:bookmark int2:bookmarkName="_Int_NX1AwDfC" int2:invalidationBookmarkName="" int2:hashCode="Lkxvwa9pVMsG7h" int2:id="pBoj7GpT">
      <int2:state int2:value="Rejected" int2:type="gram"/>
    </int2:bookmark>
    <int2:bookmark int2:bookmarkName="_Int_v2Mt8Xax" int2:invalidationBookmarkName="" int2:hashCode="ZRKXymWnGerco4" int2:id="qbsIW4j4">
      <int2:state int2:value="Rejected" int2:type="style"/>
    </int2:bookmark>
    <int2:bookmark int2:bookmarkName="_Int_NfH383ca" int2:invalidationBookmarkName="" int2:hashCode="A8GgspnbheaSmJ" int2:id="qh9Yv4sr">
      <int2:state int2:value="Rejected" int2:type="style"/>
    </int2:bookmark>
    <int2:bookmark int2:bookmarkName="_Int_YLYuOVun" int2:invalidationBookmarkName="" int2:hashCode="UjDH1Vnkat3K2m" int2:id="wyVsLMho">
      <int2:state int2:value="Rejected" int2:type="style"/>
    </int2:bookmark>
    <int2:bookmark int2:bookmarkName="_Int_IcqldvCM" int2:invalidationBookmarkName="" int2:hashCode="00lrrL/M8p7RXo" int2:id="zB3Bkdh3">
      <int2:state int2:value="Rejected" int2:type="style"/>
    </int2:bookmark>
    <int2:bookmark int2:bookmarkName="_Int_PdJe0n6Z" int2:invalidationBookmarkName="" int2:hashCode="MWeBlt2aI4V4I0" int2:id="zCVxLUpe">
      <int2:state int2:value="Rejected" int2:type="style"/>
    </int2:bookmark>
    <int2:bookmark int2:bookmarkName="_Int_rendf1Vi" int2:invalidationBookmarkName="" int2:hashCode="00lrrL/M8p7RXo" int2:id="zWwfsGje">
      <int2:state int2:value="Rejected" int2:type="style"/>
    </int2:bookmark>
    <int2:bookmark int2:bookmarkName="_Int_kFbsgteO" int2:invalidationBookmarkName="" int2:hashCode="UjDH1Vnkat3K2m" int2:id="zj20IATc">
      <int2:state int2:value="Rejected" int2:type="style"/>
    </int2:bookmark>
    <int2:entireDocument int2:id="Dxdw1McS">
      <int2:extLst>
        <oel:ext uri="E302BA01-7950-474C-9AD3-286E660C40A8">
          <int2:similaritySummary int2:version="1" int2:runId="1764001279880" int2:tilesCheckedInThisRun="632" int2:totalNumOfTiles="632" int2:similarityAnnotationCount="4" int2:numWords="10722" int2:numFlaggedWords="84"/>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1AFC2A57-2C7A28E8 7B396377-74AF5F5A 00DE7510-684CC594 62B6C1AB-77777777 19C1447B-77777777 4BD32C57-00FB9D38 7F58ECA1-77777777 3009F44A-2F598781 08ED8C42-1934837C 5B270734-55782988 2C0F81B3-77777777 6D29CD44-75C545B1 2E1C9484-7DAEAC6C 265E2262-77777777 3492E4C4-45AA03BC 113CAAED-2CC33593 3EF51212-23E9F4B8 16B6CB34-2EC15602 7D9E43A8-77777777 189DE0A6-710F2765 39F661A6-023B5B7C 21F5E413-1EA98796 713B64B9-77777777 4AA5D04A-65BB11AC 319A31E7-7EAB2E40 1CB40FFB-2154C59E 42D5D0C6-77777777 4B58546E-61CCB29A 5C25443E-39DCA127 021196D1-174154E3 77D38054-77777777 0A15E499-1F9546C0 73D7762F-0F96EEC2 2BDDE109-152E37F5 324943A4-77777777 13649F9E-77777777 4E014F16-77777777 7CE514EB-77777777 6DB122B7-7CF59C90 6DEB16DA-03B1FE59 3F8DA723-77777777 3851CFD8-77777777 359F5B0D-77777777 11885DD2-77777777 2057C793-103D0F80 03004EEE-77777777 65358A57-77777777 3E6D1A03-14DC2E21 3A615786-1CCDA106 73D49EDA-45D446EE 0BA32AB9-2DD54D70 0DAAB55B-77777777 53458E96-77777777 40A3E6C2-77777777 7EA8A979-77777777 24382F47-77777777 16D78A60-00C5A645 4775B565-4B52C009 019A2C1E-7EED529B 1865B00A-202BF2F0 17D1A0FB-5E892FD8 4DE973B3-6AA85948 30E44B37-432324EF 412654DF-77777777 4B65C5F3-77777777 2F774362-5C7FFE65 15BFA27A-7BECF8D5 756C3EE0-77777777 3EF52184-77777777 52F0D83D-77777777 4DF07CEB-77777777 61CFD6DF-77777777 417D68A4-77777777 201F102A-77777777 5D0A8789-77777777 786DF943-77777777 612D2BA4-77777777 44606545-77777777 19556EF2-77777777 4CA19B6B-77777777 5C4D72C1-77777777 63FE4DFF-77777777 47780902-77777777 53DEFD74-77777777 2FF5C10C-77777777 2F856F58-77777777 70EE4511-77777777 4B6F1C81-77777777 66BE3F66-7FAC6422 112DDCE7-2A5A03BC 4BDA9A26-60B66127 2F25E025-77777777 1E91DD5F-663DACE2 29AE1779-7BE321DE 0BB9DED2-2B97F660 1958D346-43BC7452 72DDCA64-24AA9E22 7FADDECC-77777777 4C49250E-3E0C9AE4 63154A55-5E6FE865 28E485CA-77777777 61ED510D-77777777 684B422D-77777777 2A36AC1D-77777777 0E75A05E-77777777 5195E2BB-1E0C541D 7E27FCB1-6CA304C3 6C12F925-51BF9F05 2EECE43F-3D89605C 50FD1CA1-77777777 4B5369F9-2FE88ED3 00FFAC39-447BBBFC 75DF2415-1D9F3981 7B60B159-2DA35797 2A540FDF-0890E0CA 4FEE5401-5409A909 3E9B5471-0C2C22D7 3F5BD243-16DDEA5B 62E00A88-36BE76A0 4800EC15-77777777 666DB1F3-77777777 1950ACB1-77777777 46FDCDFA-77777777 11D3DB32-77777777 078CCBCF-77777777 3F7371FB-24CF6BFB 4AE88359-77777777 5503CD04-77777777 0DDCEA92-564B4589 2D5EEF47-553421F4 73300B70-433C2BCD 1533C798-77777777 7E7CC817-77777777 0874A53D-77777777 299ECF2A-77777777 4C7E5061-77777777 24DE7614-77777777 056492C5-41ACF1F7 3DE8CC79-77777777 3EDEAA17-77777777 68C200E0-407711C6 7E5F3733-4BA83FFC 7C8DD365-2827FBC9 25D5A31A-3EA8C118 31F50839-77777777 0FDEF4CA-77777777 7761A2C6-77777777 4607C10B-0B2FE32B 7E25CF0B-77777777 717F0C4D-77777777 0B84CBDD-77777777 42C951DA-77777777 008DA24C-378F30B4 3AAC2688-77777777 5497FC40-77777777 65D26233-77777777 65B4F765-77777777 6A83C251-77777777 5BC29B74-77777777 53D29EE9-17A5AD91 5F76180F-77777777 52272E74-33E1D9E0 3BD9F19A-77777777 442E01DD-77777777 1C13D8E4-77777777 340A6070-77777777 4C5326A9-77777777 0D228AC6-77777777 4C9742DE-77777777 0132787E-77777777 5DC05CE0-77777777 084533D9-6E5C7BDB 61E2B68A-77777777 007975C2-1459325F 7A95EBE0-77777777 74DEE599-77777777 6486F692-77777777 4F420A0B-77777777 28AE252B-77777777 7781CD52-77777777 3BD4AC34-77777777 06C95477-77777777 68DF089A-1E72855A 4408DC65-77777777 4F59E13F-77777777 048AAF35-5D369C11 11D751BF-5851BDC6 4C3F15F6-3FE1ADE1 2B3A5F8D-3186982C 3248BB48-77777777 79706E40-77777777 25A103C5-77777777 694278C5-77777777 08CDB9C1-77777777 36201095-77777777 7AA3C341-77777777 0728F701-77777777 00EE08C4-77777777 499890CB-2373AAAB 26A879BB-77777777 7CF794C2-77777777 4ADEE3C7-77777777 1CB98B3F-534A6870 1D0F7123-3561C51F 098C30EE-74740BED 7D4B7CEC-77777777 623DC52B-44E5D606 6859524C-77777777 407ABDAE-3ADE1DDF 6B91657E-7B55D7C1 2DC1A861-77777777 2A0774C8-55800B8A 64A5E280-585ABCDB 7B17E795-77777777 5F1C318B-77777777 0495CB9B-21399794 37E0300E-340D22A5 01B0A4D9-77777777 46EBC348-32BDF24D 5DAF8509-77777777 318F88FB-77777777 6A86CF6F-77777777 76A50D53-1D54F9C8 30A56140-4D5D8218 6F7F2504-23D9F6BA 7BBC0F39-77777777 78A0F8D0-79B41CD2 52762E2F-6008A172 63DD2B7E-3705B060 75FA9ADA-77777777 38BF3520-77777777 50FF83A5-15CFA160 756A33C5-408CDE9E 0650FCD0-77777777 6BFF6EC8-77777777 4149E9D7-77777777 4B9CA842-77777777 53EFCCEF-77777777 3195C850-77777777 5A327695-77777777 5CFC23F2-77777777 4FFBD161-77777777 0A9C679C-77777777 2D3F7855-77777777 4BAAE09E-49CEAC91 25E0CBA9-307FCDEF 3BF1E4E4-77777777 49E6D824-77777777 37FECAB3-77777777 44B304E7-77777777 22CFDD86-77777777 1B721BB9-77777777 039E4AF9-77777777 6AAEDFDC-77777777 51CEFDF8-77777777 0CF20763-77777777 3C1210D8-77777777 1C1D0AEF-77777777 21392BD9-5BC189C5 2953E013-77777777 11C8143E-77777777 43BD521C-77777777 5103CFDE-77777777 1A4A4D5E-77777777 2F86E132-77777777 647A1108-77777777 39EC3FE4-77777777 375BDB74-0E89E9CD 525033C7-7513AA84 1FC644F6-67362D3A 145048E4-77777777 2E7CD8F8-329070C7 069C6DED-77777777 5F41163A-2CF64214 3A31D52F-77777777 24CC311F-77777777 4885479B-77777777 3C18DAE1-77777777 2091ADDA-77777777 0FC73BF2-77777777 69536BC8-77777777 405AD2B0-77777777 77518D84-77777777 0EAEEA28-77777777 73898CB8-3B45E7B7 6C4734E6-1D7880FE 1D313CC5-5654F4EF 77670E8E-4EEF49E1 35BDB88D-77777777 4A5DBCBC-77777777 091E4507-77777777 694AD104-77777777 76417E7C-77777777 499E5ACD-77777777 5B0E38C5-77777777 4BA4D6A6-77777777 0DCB8C87-77777777 54DAD1F0-77777777 69B4B52F-77777777 5497B379-77777777 5ACD1C45-77777777 3A7576B4-1CC5DF27 5AAC7835-55FE8653 4F579D3C-1114E13B 4D83A0F5-03842F4C 3F57F38A-77777777 1CF39A9E-77777777 269070F3-1AA578BD 4BE0E441-3708ED82 218ED781-26DAD480 6D86B582-77777777 0F23F9C6-0C9750A6 7231D18E-43B3EF2D 7C41305D-77777777 6BE962AF-45CC4B09 737BBA00-77777777 6C9B7787-1ECE2226 234554AE-4C2F4709 48757831-2252D158 17D09C07-0D8DA6A1 147FC21C-2CD19574 0446742F-77777777 1DE3D18B-77777777 47EA8A40-77777777 0BC6A167-77777777 5E2AB253-77777777 2708060D-77777777 79DCE9C6-77777777 2B0154F4-77777777 6D24F06D-77777777 3D2872FE-77777777 53D05B9B-77777777 7B572145-77777777 58A45DB5-77777777 34ABDC85-77777777 4037A625-77777777 31EDAC63-6D114FCC 05FB2EBB-77777777 103C6A78-77777777 78CD2959-77777777 71B83E87-77777777 4443C358-77777777 76A9DC02-77777777 6D6A3F25-77777777 20056967-77777777 0AA94ABF-7EDCCC8E 1BA528F4-68F07DA7 0E7DAF11-791894FE 4EB39E74-52DD203D 76368B76-7ED2DC74 3AD66945-2546CEDF 37ADC18F-012F3DA0 1FE75CFF-77777777 09E77882-77777777 1006CCDA-77777777 6FED6E75-77777777 02B35F3E-77777777 36596DD2-7BB4FA3A 1FD6CFC9-77777777 0EEE08DF-77777777 5CD704FD-77777777 3FE73DAB-77777777 2535A835-77777777 1682BFFD-77777777 310C125F-77777777 37298899-77777777 4F6A375D-77777777 38DAC633-77777777 3BF25D15-34535372 5BE9BE34-77777777 3132A6FC-77777777 7F3CE011-77777777 5D6CFA2A-77777777 38C5FF31-37FD1DDF 1EDBBDCA-77777777 6F0CB0B1-77777777 54E36CFC-77777777 33D8F4F6-77777777 253A4D0C-77777777 48AA8A5E-77777777 518B1D27-77777777 60EA3550-77777777 140C173B-433DC8F6 2EE3EBC1-77777777 16CC594A-2EE741ED 388A310B-77777777 28883F93-18959EAC 0DFBB64F-77777777 0C8DA841-77777777 317C77E4-77777777 0F103B1A-77777777 7CB7FCAE-77777777 39658DCE-77777777 07FDF593-77777777 34C2C4CC-77777777 2F048906-77777777 5C096686-77777777 6FAEF71F-77777777 264B554D-77777777 33143A2C-77777777 2A08839A-77777777 23AD67B7-7A88E335 4E7096DF-77777777 5058B61D-77777777 764F4CD9-77777777 5B442AA0-77777777 61241776-77777777 40A4F3D1-77777777 132A6CA0-77777777 5D95E57A-77777777 5A9171BB-54A46EDC 5523E074-681D2CE5 5C66B621-77777777 364CA829-0A7CE9F0 12A151AE-77777777 0859E940-2F3C1F02 7C55F604-77777777 08CBF962-77777777 142AD6BB-77777777 26F7868C-2D055BE1 00F17058-77777777 496F9E62-77777777 7E80EAE1-4349D310 32BFB6A5-77777777 7FCEA9FC-77777777 07FBC648-56FE3A8D 60F25F6B-77777777 4D436C9A-77777777 53EED4B6-3D3CFB6D 0C633AD0-77777777 3FE6D1E4-420C7D71 150EE53B-77777777 777CD442-77777777 0AE7E14A-77777777 1B5AA0EC-3773FDF7 7EDC4BBB-77777777 64524881-77777777 43B47B91-77777777 7DF5496E-3A8277AE 460F0668-77777777 43124D11-2B3AE026 30236982-7F1ECDD7 3B39D7B4-77777777 4B93F5CB-4F5C6B4C 536F387F-6307C162 3CADB6AC-7B6BAA1C 5D450E34-77777777 2ACDA6C3-1F9DE487 2E83524B-77777777 7EF8DDB6-77777777 2C5E807C-10BC48D2 4073E825-77777777 399D97C7-77777777 6DD479F1-4124C480 0B570BCA-77777777 256BF3D0-77777777 39754B94-4FC341B3 63E13E83-77777777 532807F2-77777777 41C5BF62-50FE7C95 5A4BDEBA-77777777 2BAC7464-77777777 11F9EC9C-77777777 3BF6CCB4-77777777 0617D96E-77777777 5BFD01BD-77777777 14389305-77777777 596CD4BF-77777777 3F2A8A7D-77777777 5E0FB4DA-77777777 1B99E810-6FFCC94B 7A68719F-77777777 13DBC95D-77777777 71C8BE23-77777777 3D333E40-77777777 71E7E88D-77777777 68D1581D-77777777 422E4A25-77777777 04DF3FB7-69655863 039C13E5-77777777 15B3E573-77777777 31763B87-77777777 1FD68036-77777777 03016D1D-286F895C 68C3AEAD-29B927C7 36110515-77777777 45FCC621-77777777 0D49AF1E-77777777 5ECFBE2E-77777777 62BFD1F6-77777777 73E6AFBE-77777777 73F10302-77777777 000D4EA7-77777777 198F17F0-77777777 21961FAB-77777777 17499D36-24590499 7E20E9DB-77777777 4FB878D2-77777777 72FFF4EA-77777777 6063B309-77777777 6BD84E0A-77777777 6436B371-77777777 218EDFC7-77777777 012B9416-77777777 7FDCCBB5-77777777 547FD60A-77777777 4743299B-77777777 769FEF54-77777777 70AD696A-0643EF54 47B20A1C-77777777 143A9EBB-77777777 27E81525-67A44787 0D80028A-77777777 02EE104C-77777777 01F3F4E0-77777777 0705F0E0-77777777 09F66E08-77777777 4DE7DEA6-77777777 5355615C-77777777 0D84F2FF-77777777 406ADBAE-5877A81C 5E7A8125-648BE487 1CB9479A-77777777 0AFCACA6-77777777 1A781DA5-77777777 0D160568-77777777 20DA1EAE-77777777 6AD7C004-77777777 0D8B4DA0-77777777 0B7345EE-3553C2A2 3861FFD6-6E817023 468EF0BA-04EC31C4 3D3F3B28-1207B021 2EE69DD1-77777777 020975DD-16A395E8 7DA7C894-77777777 19702F99-77777777 7FDECCB5-77777777 21602A93-77777777 014E15C2-77777777 2BA56A7A-57368EC3 03F28A3D-77777777 0AAE02D1-77777777 50AED40B-77777777 5E099076-77777777 2FF7D4A9-77777777 51A63069-77777777 6F9BFDE4-77777777 4E67F42F-77777777 050F9F8C-77777777 436863A0-77777777 16C2B995-77777777 47565568-2810CA75 56174D2C-77777777 56F87B62-77777777 15A235BF-77777777 0AF49D62-77777777 65466688-77777777 58D85682-77777777 7E7B90AA-77777777 6569C8FC-77777777 265055B9-77777777 72F55C71-77777777 49E84AC5-77777777 6F893ACF-77777777 7EA20FD5-77777777 2A464927-77777777 657130DC-77777777 426C6401-77777777 53454C69-77777777 24912E04-550E7DF2 709F0912-77777777 202BEB88-77777777 4FF77AC6-558C9A3C 642DEAE0-77777777 50987142-77777777 033DE1AC-77777777 78073E26-77777777 48E840A0-77777777 11041E75-77777777 66112A4B-77777777 3B907D80-77777777 312B73D0-77777777 6B06C402-7AAB485E 7D9A6B92-77777777 281DC0FE-77777777 18819AFB-77777777 3F234655-77777777 474DF8BB-77777777 154BED36-77777777 1CD7EAD7-77777777 2258F2C1-260721E0 496595E1-77777777 5933A251-77777777 2CE6E581-77777777 30FF44CE-77777777 4BFF5C7D-77777777 1E8C1675-77777777 7F464152-284A9D9A 4544D72E-77777777 7CFFEB3B-77777777 00F02961-77777777 187013C8-77777777 1EB39336-77777777 6A233C65-77777777 64D0D29B-77777777 3A2C79B9-4A81D6C3 574679E2-77777777 45BEBE79-77777777 419E0CF6-64DA4E9F 67640D82-77777777 046733C2-77777777 063952CD-77777777 602A3439-77777777 4E225FEC-77777777 17C6CC2F-72453A4B 4093ECAF-77777777 05EBC59A-77777777 4108581F-77777777 7829796C-77777777 6A240E1B-77777777 043E14FA-501C8C75 5CB77543-77777777 051A7F42-77777777 6490BA60-77777777 1F4AE5F2-7AAA6B9C 17642C10-77777777 78FB2FA9-77777777 57605C08-77777777 26B77F7E-76EF299E 68A2BD6B-77777777 46499800-77777777 10590195-77777777 419E72D7-77777777 76A88768-77777777 3A5F90CD-77777777 7F42D139-77777777 41618639-77777777 5566FE9D-77777777 6B42B8EE-77777777 79BD71E0-77777777 73C6A279-77777777 2653DECA-77777777 7A96B555-77777777 02B788CD-77777777 5607CACE-77777777 03FC32BC-77777777 7D32FE01-108A060B 284776E8-77777777 58A97693-77777777 7836CC80-77777777 6950484D-77777777 47F2B147-77777777 4487BB92-77777777 2633B485-77777777 28A11C0C-77777777 47BDC802-77777777 56AED1C9-77777777 0BB2FCCA-77777777 6C989305-77777777 344D0527-77777777 09CB7706-77777777 5DA1CA17-77777777 22D2B4F1-1A1693EA 08743A33-77777777 6DE9764A-77777777 306BE4D4-77777777 36365ABB-6F352929 5E4376DF-77777777 5D343907-77777777 377CB096-77777777 458F4BAD-6578E9BA 2556F5E1-77777777 14237DE6-77777777 30A1AD22-77777777 457BBD41-77777777 37184087-77777777 387053AF-77777777 484735D8-77777777 6EE96E11-590167D8 0C3070C6-77777777 3963134D-77777777 28E853BB-77777777 73E0EFD7-77777777 175E132E-77777777 0F1279CC-77777777 52D72F6C-77777777 24431170-77777777 3C00A8F0-77777777 005DE252-77777777 2CC0232E-77777777 621268D0-77777777 774BD843-77777777 33B48757-77777777 2FB8D7F8-77777777 614203E2-77777777 3C9BD72F-77777777 419AF6FF-25F9A63B 71027511-77777777 0652049E-77777777 1387C30B-77777777 5A5245D3-77777777 214D9EC6-77777777 39D0D3B8-756AFA53 1B56FFC1-77777777 739E54A5-77777777 1C222D5D-77777777 66330028-24123AA4 4D99E149-77777777 236496CC-77777777 64F9CB73-77777777 5DFEF595-77777777 19204A2B-63E2C231 06CA22D3-77777777 13A6ABE8-77777777 7C1DA00B-77777777 1791D21D-77777777 50366FA3-77777777 53659688-77777777 7B4CC2D5-77777777 4ADB6701-04233FC4 5E0B7458-77777777 787B2BC8-6A708994 284B935D-6A605C0C 76612C6D-77777777 08F2430B-77777777 5102B09F-77777777 6F3EA35E-77777777 510E44A9-77777777 3C7AA80C-64BC5AD0 58B38819-77777777 0E5638B9-77777777 2850119D-77777777 4BB44E3A-77777777 62BD724D-77777777 051265AF-77777777 2BC1DA9E-77777777 01DEB298-77777777 6CE8B5A0-77777777 4E7D0863-77777777 78DCD945-77777777 412E4F37-77777777 6025A086-77777777 2DA94B07-34DA1965 5200A66A-61241D62 66A9722F-2B054DD4 6D7584F3-0A5B2BBC 70AE86AD-77777777 084DF664-5DA4C367 31F2148C-77777777 2F0B1DDF-77777777 5885B3C6-77777777 1C4EA2E0-77777777 0FCB2D17-77777777 008D8A4D-77777777 50FF4F43-77777777 6232183F-77777777 36D91143-77777777 40781227-77777777 595D41B3-77777777 69AE6091-77777777 61BB9422-77777777 742EC70C-77777777 5A75D7D2-77777777 75E5700C-77777777 7E08779D-77777777 25E1BA99-77777777 5FC03D19-77777777 6CF4C6CA-77777777 057B2401-77777777 6A5CA242-77777777 7EC9AD3E-77777777 1A08199D-77777777 43CB59B4-77777777 6B3D14AC-77777777 214EF2DD-07BFF345 6CC7BCCF-77777777 219CBA73-77777777 14A9A140-77777777 4A9BD510-77777777 5749A539-77777777 3F545074-77777777 209F3654-77777777 16F3F33C-77777777 176044E8-77777777 634031F9-77777777 30CA186A-77777777 5417771E-77777777 2341A739-77777777 28B8E9B6-77777777 58EAA0D7-77777777 14C9B2F1-77777777 18E27AA8-77777777 43882DDD-77777777 5A543EEA-77777777 6CFE89B8-77777777 7BF65B90-77777777 3523AFF4-77777777 73AFED3B-77777777 3F2CF8BB-77777777 3B4EE0FF-77777777 5C1A5FEA-77777777 7ADE8692-77777777 45DD84D4-77777777 5E3D812C-77777777 7913EBA0-77777777 0C43421A-77777777 0B4BA55B-77777777 70135997-77777777 3160E546-77777777 6D488C2A-77777777 13360A04-77777777 5B6D177E-77777777 032B1139-77777777 26406005-77777777 0EB06F05-77777777 091037DD-77777777 6844D9D6-77777777 41404748-77777777 1BC7565E-77777777 118858DF-77777777 66AA5E7B-77777777 1FED55A1-77777777 4238A422-77777777 4861FCD5-77777777 4EC2AC54-77777777 4F9EA6EB-38305FF7 11AAA363-062F8D43 456EA50B-29E86965 5FE3FCE3-4279B78C 7F19555B-4C2ACDD2 06A8D415-4CB89B5E 6B569871-4FD35DB8 142DEA17-4DC8B58B 50B00844-494562D4 442D5D72-60C21597 5C8B0F59-34A788A7 49FB7C36-12D9FE0A 652E2CF9-6699C25E 64FDA9F0-68CE925A 18028E42-3DA0F3EB 2CE91BC7-7160EBFD 7D9B9CF1-10F4ED26 67758148-14043EF8 254D5EC3-77777777 437664D4-77777777 219FDD13-77777777 0CF0D59B-77777777 1029F364-01034998 326D1F1B-0FD651EE 1F4F1000-77777777 37258487-77777777 3559EF2F-77777777 5639A422-77777777 7C5A7FD1-77777777 36E68277-77777777 4AD76131-77777777 43B87B3A-77777777 175C4587-77777777 49E3FD45-77777777 4A7826DE-77777777 7E77F494-77777777 138D3037-77777777 2A7F57F1-77777777 725D8799-77777777 0927EAA0-77777777 5B60C122-0AFB3FA3 29DE1A5B-77777777 1FF0490F-77777777 602F7DC5-77777777 18F8C6AF-77777777 1AEAF26E-77777777 42632B0C-77777777 717730F7-77777777 4C59DA70-77777777 2E1DD6DA-77777777 49C82CB5-77777777 1F67E87C-77777777 704E9085-77777777 110B365B-77777777 4F10BE37-77777777 505E3618-77777777 494E290F-77777777 568A0555-77777777 07FB6267-77777777 51FAB8B2-77777777 199BC3CD-77777777 07B348B9-77777777 03F98BFF-77777777 177C5E40-77777777 193881F6-77777777 27DE8380-77777777 0436CDE0-77777777 4584AB6B-77777777 0DB105AF-77777777 5B33CDEF-77777777 6D702EFA-77777777 03C70EE8-77777777 645EEC68-77777777 28A04519-77777777 27879877-77777777 17F0D28B-77777777 0CC9D2A6-77777777 35A2EDF7-77777777 1C12AF4A-77777777 13DB7C4F-77777777 663C8EAE-77777777 3C3A9AF4-77777777 2F575224-77777777 43F6FE34-77777777 395FE605-77777777 2F083332-77777777 68A0D5C9-77777777 7D366AF0-77777777 2BB1811C-77777777 53B2D5AE-77777777 1D4391B1-15333853 187DBEBB-22D7D366 5FF825EB-7823E4D8 7B409CC2-15AB16B8 61E85DF3-34DE711E 6216C9CD-45D46E3D 13AA6F9E-669F5D54 5CB00145-7D9D6B18 16AE44E4-68002FFC 2E134A96-0F73F79E 4A2D8F64-3650CF46 3D554EE2-0F2A4C6B 61DDD11E-1DCB7A83 4438F17E-77777777 57953F78-77777777 081B017B-200B5961 013B027D-05E0C529 4FDB15EE-77777777 22E51EDC-77777777 4ADDA33B-77777777 33CBE8F3-77777777 30B475F0-77777777 161D52DB-77777777 7E0046CA-77777777 40E1BFF8-77777777 2F8E588C-77777777 02E7C955-77777777 11236686-77777777 1620CF58-77777777 03BF10FB-77777777 53FB0E87-77777777 19A4DD07-77777777 64C015D4-77777777 38126060-77777777 34080E1B-77777777 3411E35F-77777777 2D4C8AE1-77777777 6C78ABA2-77777777 5371F7AA-77777777 56372812-77777777 1D092949-24F8FD87 03819AD5-77777777 1E1D9188-77777777 6F64D210-77777777 09DBB0D8-77777777 684740CF-77777777 108E3DE9-77777777 3BE9DF06-77777777 161DB8AE-77777777 0D42BA57-77777777 53F347E3-77777777 3719B6B8-77777777 7D671B8B-77777777 77988E6A-77777777 329C8081-52696E24 38FAA26A-77777777 02359647-77777777 5CD2C622-37D1F012 1D07E3DE-77777777 4A037D49-77777777 02EA3AEE-77777777 6EE37507-77777777 270D9312-77777777 4ECFD7CE-77777777 1696D181-77777777 32F00945-77777777 50707019-77777777 0489543D-77777777 237163E1-77777777 50117FA9-12DC3B34 4A5B56D4-77777777 2D1ED417-77777777 12BB3E5D-77777777 1EF2FC28-77777777 6AC04C51-77777777 6E3CABB2-77777777 2893B790-77777777 45F5D85E-77777777 037A6BD0-77777777 0A86BFFD-77777777 4289E5E2-77777777 3F44E725-77777777 51643A53-77777777 0D1E71B9-77777777 63FD8B70-77777777 10DB4199-77777777 4670525D-77777777 56817205-77777777 3F0010D8-77777777 0092FEF2-77777777 224B408A-77777777 3BF7B192-77777777 2863FF4D-77777777 1F45F342-77777777 288018BE-70E1A914 5541FB34-77777777 666E4414-25490E81 1D01D666-77777777 6D542267-6F031EBB 5434BAF5-5C5CEB6B 4F291D3D-6269FE1B 463F0BB8-3468170E 66DDC82E-77777777 6D6A9C59-77777777 2DFD05E8-77777777 5ED86D9F-77777777 2FF24C85-77777777 7D6E6966-77777777 0FCE5B27-77777777 5B6A5E93-77777777 1ABB0F30-77777777 1542597D-77777777 3730054E-77777777 4848576E-77777777 1A4EE57D-77777777 64018157-77777777 28CBC8FD-77777777 2CEA5858-77777777 354BF7EB-77777777 3E72C4F1-77777777 53FA31D5-77777777 4056A1E1-77777777 568D04FC-77777777 7B0525FD-77777777 0F8F5113-77777777 08260A9E-77777777 3671F22B-77777777 4C6419E3-77777777 3741F122-77777777 77CC6CC1-77777777 78752C49-77777777 4230D63E-77777777 6697EDC0-77777777 6D88C7CC-77777777 3365D046-77777777 63F3EE4F-77777777 00E9E309-77777777 0D5F3838-77777777 438D3C08-77777777 18FF6044-77777777 268CFD1F-77777777 5DA0FD87-3E6E7B7A 70C7CA0C-657FA755 6B91657E-7B55D7C1 2DC1A861-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21DA0"/>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844B0E"/>
    <w:multiLevelType w:val="multilevel"/>
    <w:tmpl w:val="41E416D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32415F"/>
    <w:multiLevelType w:val="multilevel"/>
    <w:tmpl w:val="444A6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5181A61"/>
    <w:multiLevelType w:val="multilevel"/>
    <w:tmpl w:val="604EE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545610C"/>
    <w:multiLevelType w:val="multilevel"/>
    <w:tmpl w:val="90FEF11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5CA5657"/>
    <w:multiLevelType w:val="multilevel"/>
    <w:tmpl w:val="F9EED05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060478E1"/>
    <w:multiLevelType w:val="multilevel"/>
    <w:tmpl w:val="6994F4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08BA6E48"/>
    <w:multiLevelType w:val="multilevel"/>
    <w:tmpl w:val="39EED3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09570B1E"/>
    <w:multiLevelType w:val="multilevel"/>
    <w:tmpl w:val="84C292B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15:restartNumberingAfterBreak="0">
    <w:nsid w:val="0B6F5C1B"/>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0C3924E5"/>
    <w:multiLevelType w:val="multilevel"/>
    <w:tmpl w:val="27BE327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 w15:restartNumberingAfterBreak="0">
    <w:nsid w:val="0D8C5472"/>
    <w:multiLevelType w:val="multilevel"/>
    <w:tmpl w:val="CB5E8AD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0E6331A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0926AC3"/>
    <w:multiLevelType w:val="multilevel"/>
    <w:tmpl w:val="066251C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 w15:restartNumberingAfterBreak="0">
    <w:nsid w:val="138F0049"/>
    <w:multiLevelType w:val="multilevel"/>
    <w:tmpl w:val="27FAEFA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 w15:restartNumberingAfterBreak="0">
    <w:nsid w:val="138F7F47"/>
    <w:multiLevelType w:val="multilevel"/>
    <w:tmpl w:val="2CAAC94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6" w15:restartNumberingAfterBreak="0">
    <w:nsid w:val="14B22AFF"/>
    <w:multiLevelType w:val="multilevel"/>
    <w:tmpl w:val="6D14002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7" w15:restartNumberingAfterBreak="0">
    <w:nsid w:val="15591E36"/>
    <w:multiLevelType w:val="multilevel"/>
    <w:tmpl w:val="8A1E314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8" w15:restartNumberingAfterBreak="0">
    <w:nsid w:val="15B0248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5ED63AE"/>
    <w:multiLevelType w:val="multilevel"/>
    <w:tmpl w:val="879E4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16B9605C"/>
    <w:multiLevelType w:val="multilevel"/>
    <w:tmpl w:val="7FE025E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75B299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8A231DC"/>
    <w:multiLevelType w:val="multilevel"/>
    <w:tmpl w:val="FCE6A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18FF1597"/>
    <w:multiLevelType w:val="multilevel"/>
    <w:tmpl w:val="6C68499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19BA2CCE"/>
    <w:multiLevelType w:val="multilevel"/>
    <w:tmpl w:val="ED08DA5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1B6473D7"/>
    <w:multiLevelType w:val="multilevel"/>
    <w:tmpl w:val="87FA00D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6" w15:restartNumberingAfterBreak="0">
    <w:nsid w:val="1BDA270C"/>
    <w:multiLevelType w:val="multilevel"/>
    <w:tmpl w:val="3D22A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1EFC6F05"/>
    <w:multiLevelType w:val="multilevel"/>
    <w:tmpl w:val="DC2866C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8" w15:restartNumberingAfterBreak="0">
    <w:nsid w:val="201F0034"/>
    <w:multiLevelType w:val="multilevel"/>
    <w:tmpl w:val="EB8036B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9" w15:restartNumberingAfterBreak="0">
    <w:nsid w:val="21003E80"/>
    <w:multiLevelType w:val="multilevel"/>
    <w:tmpl w:val="3F366D9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34C5796"/>
    <w:multiLevelType w:val="multilevel"/>
    <w:tmpl w:val="D9260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243677D1"/>
    <w:multiLevelType w:val="multilevel"/>
    <w:tmpl w:val="9BE05DF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2" w15:restartNumberingAfterBreak="0">
    <w:nsid w:val="24A80B63"/>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64904E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27EC5309"/>
    <w:multiLevelType w:val="multilevel"/>
    <w:tmpl w:val="92FEBB7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5" w15:restartNumberingAfterBreak="0">
    <w:nsid w:val="298E589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29EB568D"/>
    <w:multiLevelType w:val="multilevel"/>
    <w:tmpl w:val="6A6887C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7" w15:restartNumberingAfterBreak="0">
    <w:nsid w:val="2AE60591"/>
    <w:multiLevelType w:val="multilevel"/>
    <w:tmpl w:val="27C079D4"/>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2BA0610A"/>
    <w:multiLevelType w:val="multilevel"/>
    <w:tmpl w:val="3208A85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2EAE7F9E"/>
    <w:multiLevelType w:val="multilevel"/>
    <w:tmpl w:val="51906DB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0" w15:restartNumberingAfterBreak="0">
    <w:nsid w:val="2F3B1620"/>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2F411F60"/>
    <w:multiLevelType w:val="multilevel"/>
    <w:tmpl w:val="AEA0D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2FF51761"/>
    <w:multiLevelType w:val="multilevel"/>
    <w:tmpl w:val="315CE73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3" w15:restartNumberingAfterBreak="0">
    <w:nsid w:val="302358D9"/>
    <w:multiLevelType w:val="multilevel"/>
    <w:tmpl w:val="678E4BA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4" w15:restartNumberingAfterBreak="0">
    <w:nsid w:val="312C2B3B"/>
    <w:multiLevelType w:val="multilevel"/>
    <w:tmpl w:val="6A78D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361F14D1"/>
    <w:multiLevelType w:val="multilevel"/>
    <w:tmpl w:val="472CEB4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380F495E"/>
    <w:multiLevelType w:val="multilevel"/>
    <w:tmpl w:val="A76A0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38E974B4"/>
    <w:multiLevelType w:val="multilevel"/>
    <w:tmpl w:val="18D4F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394A1451"/>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3A8138F8"/>
    <w:multiLevelType w:val="multilevel"/>
    <w:tmpl w:val="6B285D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0" w15:restartNumberingAfterBreak="0">
    <w:nsid w:val="3B527D6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3C1A6F6B"/>
    <w:multiLevelType w:val="multilevel"/>
    <w:tmpl w:val="45683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2" w15:restartNumberingAfterBreak="0">
    <w:nsid w:val="3C2B08AA"/>
    <w:multiLevelType w:val="multilevel"/>
    <w:tmpl w:val="318C398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3" w15:restartNumberingAfterBreak="0">
    <w:nsid w:val="3D8A07D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3DB33B74"/>
    <w:multiLevelType w:val="multilevel"/>
    <w:tmpl w:val="4860FA8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5" w15:restartNumberingAfterBreak="0">
    <w:nsid w:val="3EDF265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42213F3B"/>
    <w:multiLevelType w:val="multilevel"/>
    <w:tmpl w:val="EBA0102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7" w15:restartNumberingAfterBreak="0">
    <w:nsid w:val="42796801"/>
    <w:multiLevelType w:val="multilevel"/>
    <w:tmpl w:val="97C62D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8" w15:restartNumberingAfterBreak="0">
    <w:nsid w:val="439150ED"/>
    <w:multiLevelType w:val="multilevel"/>
    <w:tmpl w:val="3F22662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443856D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44D55D1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45C83E6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47C2323A"/>
    <w:multiLevelType w:val="multilevel"/>
    <w:tmpl w:val="2B222C5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47CF090E"/>
    <w:multiLevelType w:val="multilevel"/>
    <w:tmpl w:val="346EAB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4" w15:restartNumberingAfterBreak="0">
    <w:nsid w:val="485D6C0B"/>
    <w:multiLevelType w:val="multilevel"/>
    <w:tmpl w:val="41F0241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5"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6" w15:restartNumberingAfterBreak="0">
    <w:nsid w:val="49032E3D"/>
    <w:multiLevelType w:val="multilevel"/>
    <w:tmpl w:val="1EF28C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7" w15:restartNumberingAfterBreak="0">
    <w:nsid w:val="4C337D5E"/>
    <w:multiLevelType w:val="multilevel"/>
    <w:tmpl w:val="9DAAE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8" w15:restartNumberingAfterBreak="0">
    <w:nsid w:val="4E7637EA"/>
    <w:multiLevelType w:val="multilevel"/>
    <w:tmpl w:val="AA2830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9" w15:restartNumberingAfterBreak="0">
    <w:nsid w:val="4EC52549"/>
    <w:multiLevelType w:val="multilevel"/>
    <w:tmpl w:val="43A8DE3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0" w15:restartNumberingAfterBreak="0">
    <w:nsid w:val="4F5230C0"/>
    <w:multiLevelType w:val="multilevel"/>
    <w:tmpl w:val="AACE1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505B67CD"/>
    <w:multiLevelType w:val="multilevel"/>
    <w:tmpl w:val="C7BCF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2" w15:restartNumberingAfterBreak="0">
    <w:nsid w:val="53325985"/>
    <w:multiLevelType w:val="multilevel"/>
    <w:tmpl w:val="00528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3" w15:restartNumberingAfterBreak="0">
    <w:nsid w:val="54503C68"/>
    <w:multiLevelType w:val="multilevel"/>
    <w:tmpl w:val="4BB4CB9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4" w15:restartNumberingAfterBreak="0">
    <w:nsid w:val="55C818EF"/>
    <w:multiLevelType w:val="multilevel"/>
    <w:tmpl w:val="63F082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566F3735"/>
    <w:multiLevelType w:val="multilevel"/>
    <w:tmpl w:val="383E10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6" w15:restartNumberingAfterBreak="0">
    <w:nsid w:val="56A96389"/>
    <w:multiLevelType w:val="multilevel"/>
    <w:tmpl w:val="97622CA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7" w15:restartNumberingAfterBreak="0">
    <w:nsid w:val="576F08EC"/>
    <w:multiLevelType w:val="multilevel"/>
    <w:tmpl w:val="E496C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8"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9" w15:restartNumberingAfterBreak="0">
    <w:nsid w:val="57DD7443"/>
    <w:multiLevelType w:val="multilevel"/>
    <w:tmpl w:val="F2EE486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0" w15:restartNumberingAfterBreak="0">
    <w:nsid w:val="598B750B"/>
    <w:multiLevelType w:val="multilevel"/>
    <w:tmpl w:val="EFBA5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1" w15:restartNumberingAfterBreak="0">
    <w:nsid w:val="5B910B97"/>
    <w:multiLevelType w:val="multilevel"/>
    <w:tmpl w:val="B98EEF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2" w15:restartNumberingAfterBreak="0">
    <w:nsid w:val="5BE36DFC"/>
    <w:multiLevelType w:val="multilevel"/>
    <w:tmpl w:val="31B0B14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3" w15:restartNumberingAfterBreak="0">
    <w:nsid w:val="5C48098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5E4E1A18"/>
    <w:multiLevelType w:val="multilevel"/>
    <w:tmpl w:val="71AC62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5" w15:restartNumberingAfterBreak="0">
    <w:nsid w:val="5E70291B"/>
    <w:multiLevelType w:val="multilevel"/>
    <w:tmpl w:val="66C873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6" w15:restartNumberingAfterBreak="0">
    <w:nsid w:val="5F7C621F"/>
    <w:multiLevelType w:val="multilevel"/>
    <w:tmpl w:val="0D469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7" w15:restartNumberingAfterBreak="0">
    <w:nsid w:val="605F72AF"/>
    <w:multiLevelType w:val="multilevel"/>
    <w:tmpl w:val="E79039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61565D29"/>
    <w:multiLevelType w:val="multilevel"/>
    <w:tmpl w:val="7D440E8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9" w15:restartNumberingAfterBreak="0">
    <w:nsid w:val="632A7D07"/>
    <w:multiLevelType w:val="multilevel"/>
    <w:tmpl w:val="8578D1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0" w15:restartNumberingAfterBreak="0">
    <w:nsid w:val="635161FF"/>
    <w:multiLevelType w:val="multilevel"/>
    <w:tmpl w:val="E90885C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641F3E72"/>
    <w:multiLevelType w:val="multilevel"/>
    <w:tmpl w:val="C9E02E7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65C0363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65DE4F4F"/>
    <w:multiLevelType w:val="multilevel"/>
    <w:tmpl w:val="909E9D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4" w15:restartNumberingAfterBreak="0">
    <w:nsid w:val="675D1599"/>
    <w:multiLevelType w:val="multilevel"/>
    <w:tmpl w:val="8B9C5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5" w15:restartNumberingAfterBreak="0">
    <w:nsid w:val="6A35444F"/>
    <w:multiLevelType w:val="multilevel"/>
    <w:tmpl w:val="75FA8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6" w15:restartNumberingAfterBreak="0">
    <w:nsid w:val="6CCC1F2D"/>
    <w:multiLevelType w:val="multilevel"/>
    <w:tmpl w:val="BB5C2E6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7" w15:restartNumberingAfterBreak="0">
    <w:nsid w:val="6D0B123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8" w15:restartNumberingAfterBreak="0">
    <w:nsid w:val="6F12433F"/>
    <w:multiLevelType w:val="multilevel"/>
    <w:tmpl w:val="584266B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9" w15:restartNumberingAfterBreak="0">
    <w:nsid w:val="6F19662F"/>
    <w:multiLevelType w:val="multilevel"/>
    <w:tmpl w:val="BAFCF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0" w15:restartNumberingAfterBreak="0">
    <w:nsid w:val="6FE97D51"/>
    <w:multiLevelType w:val="multilevel"/>
    <w:tmpl w:val="C3E84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1"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2" w15:restartNumberingAfterBreak="0">
    <w:nsid w:val="71D54AE4"/>
    <w:multiLevelType w:val="multilevel"/>
    <w:tmpl w:val="BC48A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3" w15:restartNumberingAfterBreak="0">
    <w:nsid w:val="71D6601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4" w15:restartNumberingAfterBreak="0">
    <w:nsid w:val="72667B1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5" w15:restartNumberingAfterBreak="0">
    <w:nsid w:val="7433080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6" w15:restartNumberingAfterBreak="0">
    <w:nsid w:val="75EC3C9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7" w15:restartNumberingAfterBreak="0">
    <w:nsid w:val="772346B4"/>
    <w:multiLevelType w:val="multilevel"/>
    <w:tmpl w:val="6A78E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8" w15:restartNumberingAfterBreak="0">
    <w:nsid w:val="7818155C"/>
    <w:multiLevelType w:val="multilevel"/>
    <w:tmpl w:val="42A07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9" w15:restartNumberingAfterBreak="0">
    <w:nsid w:val="78FB7E6F"/>
    <w:multiLevelType w:val="multilevel"/>
    <w:tmpl w:val="6A304B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0" w15:restartNumberingAfterBreak="0">
    <w:nsid w:val="78FD588A"/>
    <w:multiLevelType w:val="hybridMultilevel"/>
    <w:tmpl w:val="94748DB4"/>
    <w:lvl w:ilvl="0" w:tplc="2D56A8C8">
      <w:start w:val="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1" w15:restartNumberingAfterBreak="0">
    <w:nsid w:val="796A3855"/>
    <w:multiLevelType w:val="multilevel"/>
    <w:tmpl w:val="86F4D50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2" w15:restartNumberingAfterBreak="0">
    <w:nsid w:val="797F5FB9"/>
    <w:multiLevelType w:val="multilevel"/>
    <w:tmpl w:val="3378120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3" w15:restartNumberingAfterBreak="0">
    <w:nsid w:val="79D07D96"/>
    <w:multiLevelType w:val="multilevel"/>
    <w:tmpl w:val="5718C05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4" w15:restartNumberingAfterBreak="0">
    <w:nsid w:val="7A2E7F44"/>
    <w:multiLevelType w:val="multilevel"/>
    <w:tmpl w:val="5F82865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5" w15:restartNumberingAfterBreak="0">
    <w:nsid w:val="7AD93C5A"/>
    <w:multiLevelType w:val="multilevel"/>
    <w:tmpl w:val="022E1B4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6" w15:restartNumberingAfterBreak="0">
    <w:nsid w:val="7C692CD8"/>
    <w:multiLevelType w:val="multilevel"/>
    <w:tmpl w:val="26504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7" w15:restartNumberingAfterBreak="0">
    <w:nsid w:val="7C73177A"/>
    <w:multiLevelType w:val="multilevel"/>
    <w:tmpl w:val="9320D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8" w15:restartNumberingAfterBreak="0">
    <w:nsid w:val="7E75102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9" w15:restartNumberingAfterBreak="0">
    <w:nsid w:val="7F2C1F71"/>
    <w:multiLevelType w:val="multilevel"/>
    <w:tmpl w:val="C9BA76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92819689">
    <w:abstractNumId w:val="110"/>
  </w:num>
  <w:num w:numId="2" w16cid:durableId="1500121260">
    <w:abstractNumId w:val="65"/>
  </w:num>
  <w:num w:numId="3" w16cid:durableId="438111508">
    <w:abstractNumId w:val="101"/>
  </w:num>
  <w:num w:numId="4" w16cid:durableId="106121269">
    <w:abstractNumId w:val="22"/>
  </w:num>
  <w:num w:numId="5" w16cid:durableId="1859468656">
    <w:abstractNumId w:val="115"/>
  </w:num>
  <w:num w:numId="6" w16cid:durableId="407923627">
    <w:abstractNumId w:val="113"/>
  </w:num>
  <w:num w:numId="7" w16cid:durableId="1173763238">
    <w:abstractNumId w:val="77"/>
  </w:num>
  <w:num w:numId="8" w16cid:durableId="515197422">
    <w:abstractNumId w:val="54"/>
  </w:num>
  <w:num w:numId="9" w16cid:durableId="650984044">
    <w:abstractNumId w:val="16"/>
  </w:num>
  <w:num w:numId="10" w16cid:durableId="676225712">
    <w:abstractNumId w:val="107"/>
  </w:num>
  <w:num w:numId="11" w16cid:durableId="654647421">
    <w:abstractNumId w:val="76"/>
  </w:num>
  <w:num w:numId="12" w16cid:durableId="972827862">
    <w:abstractNumId w:val="79"/>
  </w:num>
  <w:num w:numId="13" w16cid:durableId="73359902">
    <w:abstractNumId w:val="51"/>
  </w:num>
  <w:num w:numId="14" w16cid:durableId="1233615214">
    <w:abstractNumId w:val="13"/>
  </w:num>
  <w:num w:numId="15" w16cid:durableId="1037585576">
    <w:abstractNumId w:val="111"/>
  </w:num>
  <w:num w:numId="16" w16cid:durableId="1454127918">
    <w:abstractNumId w:val="94"/>
  </w:num>
  <w:num w:numId="17" w16cid:durableId="1655717882">
    <w:abstractNumId w:val="36"/>
  </w:num>
  <w:num w:numId="18" w16cid:durableId="679818721">
    <w:abstractNumId w:val="8"/>
  </w:num>
  <w:num w:numId="19" w16cid:durableId="820851363">
    <w:abstractNumId w:val="3"/>
  </w:num>
  <w:num w:numId="20" w16cid:durableId="1752123437">
    <w:abstractNumId w:val="69"/>
  </w:num>
  <w:num w:numId="21" w16cid:durableId="776406381">
    <w:abstractNumId w:val="11"/>
  </w:num>
  <w:num w:numId="22" w16cid:durableId="2003772795">
    <w:abstractNumId w:val="116"/>
  </w:num>
  <w:num w:numId="23" w16cid:durableId="471214588">
    <w:abstractNumId w:val="10"/>
  </w:num>
  <w:num w:numId="24" w16cid:durableId="747188340">
    <w:abstractNumId w:val="100"/>
  </w:num>
  <w:num w:numId="25" w16cid:durableId="1617635105">
    <w:abstractNumId w:val="25"/>
  </w:num>
  <w:num w:numId="26" w16cid:durableId="1919750537">
    <w:abstractNumId w:val="108"/>
  </w:num>
  <w:num w:numId="27" w16cid:durableId="1917666381">
    <w:abstractNumId w:val="5"/>
  </w:num>
  <w:num w:numId="28" w16cid:durableId="836925604">
    <w:abstractNumId w:val="93"/>
  </w:num>
  <w:num w:numId="29" w16cid:durableId="881479433">
    <w:abstractNumId w:val="80"/>
  </w:num>
  <w:num w:numId="30" w16cid:durableId="164788852">
    <w:abstractNumId w:val="85"/>
  </w:num>
  <w:num w:numId="31" w16cid:durableId="735323509">
    <w:abstractNumId w:val="19"/>
  </w:num>
  <w:num w:numId="32" w16cid:durableId="1000431254">
    <w:abstractNumId w:val="49"/>
  </w:num>
  <w:num w:numId="33" w16cid:durableId="434404662">
    <w:abstractNumId w:val="28"/>
  </w:num>
  <w:num w:numId="34" w16cid:durableId="792409853">
    <w:abstractNumId w:val="63"/>
  </w:num>
  <w:num w:numId="35" w16cid:durableId="70469880">
    <w:abstractNumId w:val="67"/>
  </w:num>
  <w:num w:numId="36" w16cid:durableId="1255548974">
    <w:abstractNumId w:val="57"/>
  </w:num>
  <w:num w:numId="37" w16cid:durableId="509951972">
    <w:abstractNumId w:val="43"/>
  </w:num>
  <w:num w:numId="38" w16cid:durableId="1491873496">
    <w:abstractNumId w:val="72"/>
  </w:num>
  <w:num w:numId="39" w16cid:durableId="1277179892">
    <w:abstractNumId w:val="84"/>
  </w:num>
  <w:num w:numId="40" w16cid:durableId="1137721610">
    <w:abstractNumId w:val="68"/>
  </w:num>
  <w:num w:numId="41" w16cid:durableId="1569337486">
    <w:abstractNumId w:val="117"/>
  </w:num>
  <w:num w:numId="42" w16cid:durableId="1771851078">
    <w:abstractNumId w:val="6"/>
  </w:num>
  <w:num w:numId="43" w16cid:durableId="1096747610">
    <w:abstractNumId w:val="27"/>
  </w:num>
  <w:num w:numId="44" w16cid:durableId="1853105471">
    <w:abstractNumId w:val="95"/>
  </w:num>
  <w:num w:numId="45" w16cid:durableId="2016615092">
    <w:abstractNumId w:val="64"/>
  </w:num>
  <w:num w:numId="46" w16cid:durableId="439030946">
    <w:abstractNumId w:val="81"/>
  </w:num>
  <w:num w:numId="47" w16cid:durableId="315690756">
    <w:abstractNumId w:val="44"/>
  </w:num>
  <w:num w:numId="48" w16cid:durableId="1252278660">
    <w:abstractNumId w:val="15"/>
  </w:num>
  <w:num w:numId="49" w16cid:durableId="1719351677">
    <w:abstractNumId w:val="88"/>
  </w:num>
  <w:num w:numId="50" w16cid:durableId="1107427397">
    <w:abstractNumId w:val="30"/>
  </w:num>
  <w:num w:numId="51" w16cid:durableId="371266753">
    <w:abstractNumId w:val="82"/>
  </w:num>
  <w:num w:numId="52" w16cid:durableId="491869272">
    <w:abstractNumId w:val="34"/>
  </w:num>
  <w:num w:numId="53" w16cid:durableId="1351251430">
    <w:abstractNumId w:val="86"/>
  </w:num>
  <w:num w:numId="54" w16cid:durableId="1368607436">
    <w:abstractNumId w:val="109"/>
  </w:num>
  <w:num w:numId="55" w16cid:durableId="1588029100">
    <w:abstractNumId w:val="114"/>
  </w:num>
  <w:num w:numId="56" w16cid:durableId="415832180">
    <w:abstractNumId w:val="102"/>
  </w:num>
  <w:num w:numId="57" w16cid:durableId="1178735139">
    <w:abstractNumId w:val="52"/>
  </w:num>
  <w:num w:numId="58" w16cid:durableId="721834200">
    <w:abstractNumId w:val="66"/>
  </w:num>
  <w:num w:numId="59" w16cid:durableId="686251813">
    <w:abstractNumId w:val="2"/>
  </w:num>
  <w:num w:numId="60" w16cid:durableId="1960641414">
    <w:abstractNumId w:val="17"/>
  </w:num>
  <w:num w:numId="61" w16cid:durableId="39089564">
    <w:abstractNumId w:val="56"/>
  </w:num>
  <w:num w:numId="62" w16cid:durableId="1192718157">
    <w:abstractNumId w:val="26"/>
  </w:num>
  <w:num w:numId="63" w16cid:durableId="1777825955">
    <w:abstractNumId w:val="89"/>
  </w:num>
  <w:num w:numId="64" w16cid:durableId="286199487">
    <w:abstractNumId w:val="31"/>
  </w:num>
  <w:num w:numId="65" w16cid:durableId="1119490663">
    <w:abstractNumId w:val="71"/>
  </w:num>
  <w:num w:numId="66" w16cid:durableId="1353922786">
    <w:abstractNumId w:val="39"/>
  </w:num>
  <w:num w:numId="67" w16cid:durableId="492723980">
    <w:abstractNumId w:val="75"/>
  </w:num>
  <w:num w:numId="68" w16cid:durableId="526941613">
    <w:abstractNumId w:val="41"/>
  </w:num>
  <w:num w:numId="69" w16cid:durableId="320043301">
    <w:abstractNumId w:val="73"/>
  </w:num>
  <w:num w:numId="70" w16cid:durableId="2037610982">
    <w:abstractNumId w:val="7"/>
  </w:num>
  <w:num w:numId="71" w16cid:durableId="1079794559">
    <w:abstractNumId w:val="46"/>
  </w:num>
  <w:num w:numId="72" w16cid:durableId="503403534">
    <w:abstractNumId w:val="42"/>
  </w:num>
  <w:num w:numId="73" w16cid:durableId="194734275">
    <w:abstractNumId w:val="14"/>
  </w:num>
  <w:num w:numId="74" w16cid:durableId="1810784339">
    <w:abstractNumId w:val="78"/>
  </w:num>
  <w:num w:numId="75" w16cid:durableId="1491748033">
    <w:abstractNumId w:val="91"/>
  </w:num>
  <w:num w:numId="76" w16cid:durableId="670565925">
    <w:abstractNumId w:val="24"/>
  </w:num>
  <w:num w:numId="77" w16cid:durableId="211696971">
    <w:abstractNumId w:val="32"/>
  </w:num>
  <w:num w:numId="78" w16cid:durableId="1773429901">
    <w:abstractNumId w:val="48"/>
  </w:num>
  <w:num w:numId="79" w16cid:durableId="804733676">
    <w:abstractNumId w:val="37"/>
  </w:num>
  <w:num w:numId="80" w16cid:durableId="488864096">
    <w:abstractNumId w:val="98"/>
  </w:num>
  <w:num w:numId="81" w16cid:durableId="1599749197">
    <w:abstractNumId w:val="47"/>
  </w:num>
  <w:num w:numId="82" w16cid:durableId="1726679607">
    <w:abstractNumId w:val="29"/>
  </w:num>
  <w:num w:numId="83" w16cid:durableId="1630209448">
    <w:abstractNumId w:val="58"/>
  </w:num>
  <w:num w:numId="84" w16cid:durableId="928663234">
    <w:abstractNumId w:val="74"/>
  </w:num>
  <w:num w:numId="85" w16cid:durableId="2017072952">
    <w:abstractNumId w:val="87"/>
  </w:num>
  <w:num w:numId="86" w16cid:durableId="58405484">
    <w:abstractNumId w:val="38"/>
  </w:num>
  <w:num w:numId="87" w16cid:durableId="1817530714">
    <w:abstractNumId w:val="20"/>
  </w:num>
  <w:num w:numId="88" w16cid:durableId="2141336387">
    <w:abstractNumId w:val="70"/>
  </w:num>
  <w:num w:numId="89" w16cid:durableId="1325282792">
    <w:abstractNumId w:val="4"/>
  </w:num>
  <w:num w:numId="90" w16cid:durableId="1319654748">
    <w:abstractNumId w:val="90"/>
  </w:num>
  <w:num w:numId="91" w16cid:durableId="556555801">
    <w:abstractNumId w:val="1"/>
  </w:num>
  <w:num w:numId="92" w16cid:durableId="1903828627">
    <w:abstractNumId w:val="23"/>
  </w:num>
  <w:num w:numId="93" w16cid:durableId="281425930">
    <w:abstractNumId w:val="62"/>
  </w:num>
  <w:num w:numId="94" w16cid:durableId="1491553762">
    <w:abstractNumId w:val="45"/>
  </w:num>
  <w:num w:numId="95" w16cid:durableId="965625632">
    <w:abstractNumId w:val="96"/>
  </w:num>
  <w:num w:numId="96" w16cid:durableId="1481145624">
    <w:abstractNumId w:val="119"/>
  </w:num>
  <w:num w:numId="97" w16cid:durableId="29957555">
    <w:abstractNumId w:val="112"/>
  </w:num>
  <w:num w:numId="98" w16cid:durableId="1042821728">
    <w:abstractNumId w:val="99"/>
  </w:num>
  <w:num w:numId="99" w16cid:durableId="1853110161">
    <w:abstractNumId w:val="103"/>
  </w:num>
  <w:num w:numId="100" w16cid:durableId="618881364">
    <w:abstractNumId w:val="106"/>
  </w:num>
  <w:num w:numId="101" w16cid:durableId="731123573">
    <w:abstractNumId w:val="21"/>
  </w:num>
  <w:num w:numId="102" w16cid:durableId="645163634">
    <w:abstractNumId w:val="33"/>
  </w:num>
  <w:num w:numId="103" w16cid:durableId="1961719856">
    <w:abstractNumId w:val="104"/>
  </w:num>
  <w:num w:numId="104" w16cid:durableId="1643929151">
    <w:abstractNumId w:val="35"/>
  </w:num>
  <w:num w:numId="105" w16cid:durableId="559948777">
    <w:abstractNumId w:val="105"/>
  </w:num>
  <w:num w:numId="106" w16cid:durableId="326710352">
    <w:abstractNumId w:val="118"/>
  </w:num>
  <w:num w:numId="107" w16cid:durableId="80491748">
    <w:abstractNumId w:val="12"/>
  </w:num>
  <w:num w:numId="108" w16cid:durableId="2054036347">
    <w:abstractNumId w:val="83"/>
  </w:num>
  <w:num w:numId="109" w16cid:durableId="1692992069">
    <w:abstractNumId w:val="97"/>
  </w:num>
  <w:num w:numId="110" w16cid:durableId="223293300">
    <w:abstractNumId w:val="61"/>
  </w:num>
  <w:num w:numId="111" w16cid:durableId="415637372">
    <w:abstractNumId w:val="59"/>
  </w:num>
  <w:num w:numId="112" w16cid:durableId="103891462">
    <w:abstractNumId w:val="40"/>
  </w:num>
  <w:num w:numId="113" w16cid:durableId="13725709">
    <w:abstractNumId w:val="55"/>
  </w:num>
  <w:num w:numId="114" w16cid:durableId="750154200">
    <w:abstractNumId w:val="0"/>
  </w:num>
  <w:num w:numId="115" w16cid:durableId="1129009838">
    <w:abstractNumId w:val="50"/>
  </w:num>
  <w:num w:numId="116" w16cid:durableId="441190815">
    <w:abstractNumId w:val="18"/>
  </w:num>
  <w:num w:numId="117" w16cid:durableId="1168407121">
    <w:abstractNumId w:val="53"/>
  </w:num>
  <w:num w:numId="118" w16cid:durableId="50736949">
    <w:abstractNumId w:val="60"/>
  </w:num>
  <w:num w:numId="119" w16cid:durableId="1095900951">
    <w:abstractNumId w:val="9"/>
  </w:num>
  <w:num w:numId="120" w16cid:durableId="607589163">
    <w:abstractNumId w:val="92"/>
  </w:num>
  <w:numIdMacAtCleanup w:val="1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029EE"/>
    <w:rsid w:val="00012010"/>
    <w:rsid w:val="00012D9B"/>
    <w:rsid w:val="000179FB"/>
    <w:rsid w:val="000264A2"/>
    <w:rsid w:val="000400E4"/>
    <w:rsid w:val="00052534"/>
    <w:rsid w:val="0005375B"/>
    <w:rsid w:val="000561C3"/>
    <w:rsid w:val="000624E4"/>
    <w:rsid w:val="00063B4C"/>
    <w:rsid w:val="00075503"/>
    <w:rsid w:val="00081D59"/>
    <w:rsid w:val="000829B7"/>
    <w:rsid w:val="00086A80"/>
    <w:rsid w:val="00086D71"/>
    <w:rsid w:val="000901A5"/>
    <w:rsid w:val="0009124B"/>
    <w:rsid w:val="00093369"/>
    <w:rsid w:val="00096908"/>
    <w:rsid w:val="00097F97"/>
    <w:rsid w:val="000A456F"/>
    <w:rsid w:val="000B05FC"/>
    <w:rsid w:val="000B0D9D"/>
    <w:rsid w:val="000B32F1"/>
    <w:rsid w:val="000D05D8"/>
    <w:rsid w:val="000D0641"/>
    <w:rsid w:val="000D23C5"/>
    <w:rsid w:val="000D2B00"/>
    <w:rsid w:val="000D4B6F"/>
    <w:rsid w:val="000D6F9F"/>
    <w:rsid w:val="000E020F"/>
    <w:rsid w:val="000E21A2"/>
    <w:rsid w:val="000E2BC6"/>
    <w:rsid w:val="000F2BAA"/>
    <w:rsid w:val="000F5078"/>
    <w:rsid w:val="000F56C6"/>
    <w:rsid w:val="000F768D"/>
    <w:rsid w:val="0010749A"/>
    <w:rsid w:val="001167E0"/>
    <w:rsid w:val="00116CB1"/>
    <w:rsid w:val="0012068A"/>
    <w:rsid w:val="0012257D"/>
    <w:rsid w:val="00123B4C"/>
    <w:rsid w:val="00130BF0"/>
    <w:rsid w:val="00134692"/>
    <w:rsid w:val="001563AD"/>
    <w:rsid w:val="001601E6"/>
    <w:rsid w:val="00160842"/>
    <w:rsid w:val="00162C12"/>
    <w:rsid w:val="0017024D"/>
    <w:rsid w:val="00171652"/>
    <w:rsid w:val="00172C13"/>
    <w:rsid w:val="001812F3"/>
    <w:rsid w:val="00196D91"/>
    <w:rsid w:val="001A4C8C"/>
    <w:rsid w:val="001B5E00"/>
    <w:rsid w:val="001C3AF6"/>
    <w:rsid w:val="001D1485"/>
    <w:rsid w:val="001D5D7F"/>
    <w:rsid w:val="001D6EC6"/>
    <w:rsid w:val="001F07F4"/>
    <w:rsid w:val="001F19A6"/>
    <w:rsid w:val="001F4F58"/>
    <w:rsid w:val="001F6AEC"/>
    <w:rsid w:val="00202572"/>
    <w:rsid w:val="00211184"/>
    <w:rsid w:val="0021364B"/>
    <w:rsid w:val="00221C48"/>
    <w:rsid w:val="00224277"/>
    <w:rsid w:val="00225422"/>
    <w:rsid w:val="00232C1A"/>
    <w:rsid w:val="00236359"/>
    <w:rsid w:val="002369BC"/>
    <w:rsid w:val="00245ADA"/>
    <w:rsid w:val="0025020C"/>
    <w:rsid w:val="002505E0"/>
    <w:rsid w:val="00252C81"/>
    <w:rsid w:val="00256951"/>
    <w:rsid w:val="00257516"/>
    <w:rsid w:val="0025768C"/>
    <w:rsid w:val="00260B04"/>
    <w:rsid w:val="00260ED6"/>
    <w:rsid w:val="002651C6"/>
    <w:rsid w:val="00265D12"/>
    <w:rsid w:val="00280031"/>
    <w:rsid w:val="0028075F"/>
    <w:rsid w:val="002865F5"/>
    <w:rsid w:val="00292A36"/>
    <w:rsid w:val="002B0A4A"/>
    <w:rsid w:val="002B31F5"/>
    <w:rsid w:val="002B4DB5"/>
    <w:rsid w:val="002C0256"/>
    <w:rsid w:val="002C728C"/>
    <w:rsid w:val="002D0687"/>
    <w:rsid w:val="002D64A3"/>
    <w:rsid w:val="002D72A6"/>
    <w:rsid w:val="002E1AB6"/>
    <w:rsid w:val="002E2D95"/>
    <w:rsid w:val="002F2062"/>
    <w:rsid w:val="002F58A3"/>
    <w:rsid w:val="002F5E53"/>
    <w:rsid w:val="00300D77"/>
    <w:rsid w:val="00304D7F"/>
    <w:rsid w:val="003070A1"/>
    <w:rsid w:val="00312A5A"/>
    <w:rsid w:val="003135AD"/>
    <w:rsid w:val="00321C5C"/>
    <w:rsid w:val="003227EF"/>
    <w:rsid w:val="00323936"/>
    <w:rsid w:val="00324E9B"/>
    <w:rsid w:val="003309AE"/>
    <w:rsid w:val="00342135"/>
    <w:rsid w:val="00345FA0"/>
    <w:rsid w:val="00386E3C"/>
    <w:rsid w:val="0038721B"/>
    <w:rsid w:val="00393F39"/>
    <w:rsid w:val="00394162"/>
    <w:rsid w:val="00394D86"/>
    <w:rsid w:val="00396057"/>
    <w:rsid w:val="003A6389"/>
    <w:rsid w:val="003A64C4"/>
    <w:rsid w:val="003A66FD"/>
    <w:rsid w:val="003B01A9"/>
    <w:rsid w:val="003B06DD"/>
    <w:rsid w:val="003B1E32"/>
    <w:rsid w:val="003B2598"/>
    <w:rsid w:val="003B7949"/>
    <w:rsid w:val="003E00D3"/>
    <w:rsid w:val="003E1AE6"/>
    <w:rsid w:val="0040372F"/>
    <w:rsid w:val="00403A1A"/>
    <w:rsid w:val="004043DD"/>
    <w:rsid w:val="00404F80"/>
    <w:rsid w:val="00407903"/>
    <w:rsid w:val="0041260D"/>
    <w:rsid w:val="00416A0A"/>
    <w:rsid w:val="00426EEB"/>
    <w:rsid w:val="00431B90"/>
    <w:rsid w:val="00461632"/>
    <w:rsid w:val="00496294"/>
    <w:rsid w:val="004A48F4"/>
    <w:rsid w:val="004A6B65"/>
    <w:rsid w:val="004C1D25"/>
    <w:rsid w:val="004D4021"/>
    <w:rsid w:val="004D4CB3"/>
    <w:rsid w:val="004E2988"/>
    <w:rsid w:val="004E3F34"/>
    <w:rsid w:val="004F172A"/>
    <w:rsid w:val="00500012"/>
    <w:rsid w:val="00501972"/>
    <w:rsid w:val="005119DE"/>
    <w:rsid w:val="0051455B"/>
    <w:rsid w:val="005224CA"/>
    <w:rsid w:val="005346D8"/>
    <w:rsid w:val="00535AD8"/>
    <w:rsid w:val="005367A9"/>
    <w:rsid w:val="005415C5"/>
    <w:rsid w:val="005446BF"/>
    <w:rsid w:val="0054772C"/>
    <w:rsid w:val="0055147E"/>
    <w:rsid w:val="005670EA"/>
    <w:rsid w:val="005905FA"/>
    <w:rsid w:val="005915B4"/>
    <w:rsid w:val="0059639A"/>
    <w:rsid w:val="005A0DA5"/>
    <w:rsid w:val="005A45AF"/>
    <w:rsid w:val="005B3EDE"/>
    <w:rsid w:val="005B4460"/>
    <w:rsid w:val="005B61C0"/>
    <w:rsid w:val="005B6E67"/>
    <w:rsid w:val="005C5E80"/>
    <w:rsid w:val="005D5072"/>
    <w:rsid w:val="005D627F"/>
    <w:rsid w:val="005D7A1E"/>
    <w:rsid w:val="005E1650"/>
    <w:rsid w:val="005E19E0"/>
    <w:rsid w:val="005E2DCB"/>
    <w:rsid w:val="005F4551"/>
    <w:rsid w:val="00604A87"/>
    <w:rsid w:val="00614135"/>
    <w:rsid w:val="006149E7"/>
    <w:rsid w:val="0061613E"/>
    <w:rsid w:val="00621776"/>
    <w:rsid w:val="00621872"/>
    <w:rsid w:val="00621E78"/>
    <w:rsid w:val="00631506"/>
    <w:rsid w:val="00636D9A"/>
    <w:rsid w:val="00645179"/>
    <w:rsid w:val="00653CA1"/>
    <w:rsid w:val="006557F3"/>
    <w:rsid w:val="00663299"/>
    <w:rsid w:val="00682699"/>
    <w:rsid w:val="0068434E"/>
    <w:rsid w:val="00685551"/>
    <w:rsid w:val="006A3F0D"/>
    <w:rsid w:val="006A4515"/>
    <w:rsid w:val="006B034D"/>
    <w:rsid w:val="006B1C78"/>
    <w:rsid w:val="006C4975"/>
    <w:rsid w:val="006C573C"/>
    <w:rsid w:val="006C74D6"/>
    <w:rsid w:val="006C78AA"/>
    <w:rsid w:val="006D5318"/>
    <w:rsid w:val="006D664C"/>
    <w:rsid w:val="006D70E3"/>
    <w:rsid w:val="006E19BD"/>
    <w:rsid w:val="006E1EBD"/>
    <w:rsid w:val="006E3DFA"/>
    <w:rsid w:val="006F027C"/>
    <w:rsid w:val="006F04D4"/>
    <w:rsid w:val="006F0B8D"/>
    <w:rsid w:val="006F4AB2"/>
    <w:rsid w:val="00705ED1"/>
    <w:rsid w:val="007063BA"/>
    <w:rsid w:val="007145B1"/>
    <w:rsid w:val="00725580"/>
    <w:rsid w:val="007277F1"/>
    <w:rsid w:val="00730C3C"/>
    <w:rsid w:val="0073280B"/>
    <w:rsid w:val="00736E31"/>
    <w:rsid w:val="00750B5B"/>
    <w:rsid w:val="00761499"/>
    <w:rsid w:val="00766DC8"/>
    <w:rsid w:val="0077163A"/>
    <w:rsid w:val="00776742"/>
    <w:rsid w:val="00785752"/>
    <w:rsid w:val="007916D2"/>
    <w:rsid w:val="00797729"/>
    <w:rsid w:val="00797A99"/>
    <w:rsid w:val="007A4E02"/>
    <w:rsid w:val="007A56D8"/>
    <w:rsid w:val="007A59C8"/>
    <w:rsid w:val="007A712E"/>
    <w:rsid w:val="007B59C7"/>
    <w:rsid w:val="007B5FCD"/>
    <w:rsid w:val="007C246B"/>
    <w:rsid w:val="007C685B"/>
    <w:rsid w:val="007D2DCE"/>
    <w:rsid w:val="007D4C8B"/>
    <w:rsid w:val="007E083C"/>
    <w:rsid w:val="007E200C"/>
    <w:rsid w:val="007E4DA9"/>
    <w:rsid w:val="007E5B38"/>
    <w:rsid w:val="007F17BE"/>
    <w:rsid w:val="007F7847"/>
    <w:rsid w:val="00804B94"/>
    <w:rsid w:val="00804D1E"/>
    <w:rsid w:val="00805D6A"/>
    <w:rsid w:val="0080789E"/>
    <w:rsid w:val="00807B11"/>
    <w:rsid w:val="0082760D"/>
    <w:rsid w:val="00831FF0"/>
    <w:rsid w:val="008402E8"/>
    <w:rsid w:val="008466CB"/>
    <w:rsid w:val="008664F0"/>
    <w:rsid w:val="0087123B"/>
    <w:rsid w:val="00873138"/>
    <w:rsid w:val="00876236"/>
    <w:rsid w:val="00880B2D"/>
    <w:rsid w:val="0088225D"/>
    <w:rsid w:val="00883AB0"/>
    <w:rsid w:val="00885210"/>
    <w:rsid w:val="0089313D"/>
    <w:rsid w:val="00894108"/>
    <w:rsid w:val="008A30D2"/>
    <w:rsid w:val="008A7274"/>
    <w:rsid w:val="008B18A1"/>
    <w:rsid w:val="008B1DFA"/>
    <w:rsid w:val="008C38C3"/>
    <w:rsid w:val="008C5717"/>
    <w:rsid w:val="008C7B28"/>
    <w:rsid w:val="008D6F0F"/>
    <w:rsid w:val="008E3A85"/>
    <w:rsid w:val="008E7B2E"/>
    <w:rsid w:val="00901883"/>
    <w:rsid w:val="009020CA"/>
    <w:rsid w:val="0090290B"/>
    <w:rsid w:val="009061D4"/>
    <w:rsid w:val="009127D3"/>
    <w:rsid w:val="00912D1B"/>
    <w:rsid w:val="0091543A"/>
    <w:rsid w:val="00916814"/>
    <w:rsid w:val="0092157D"/>
    <w:rsid w:val="00925577"/>
    <w:rsid w:val="0093536F"/>
    <w:rsid w:val="00941918"/>
    <w:rsid w:val="00956BEB"/>
    <w:rsid w:val="009649AB"/>
    <w:rsid w:val="0097206F"/>
    <w:rsid w:val="00972B49"/>
    <w:rsid w:val="009737D4"/>
    <w:rsid w:val="00975585"/>
    <w:rsid w:val="009863B0"/>
    <w:rsid w:val="009863B7"/>
    <w:rsid w:val="00991F6F"/>
    <w:rsid w:val="00993194"/>
    <w:rsid w:val="00995444"/>
    <w:rsid w:val="009955F4"/>
    <w:rsid w:val="009C5968"/>
    <w:rsid w:val="009D06C5"/>
    <w:rsid w:val="009D534C"/>
    <w:rsid w:val="009D728C"/>
    <w:rsid w:val="009E5B14"/>
    <w:rsid w:val="009F050E"/>
    <w:rsid w:val="009F5CEC"/>
    <w:rsid w:val="00A03C93"/>
    <w:rsid w:val="00A04A61"/>
    <w:rsid w:val="00A12176"/>
    <w:rsid w:val="00A27719"/>
    <w:rsid w:val="00A40D9D"/>
    <w:rsid w:val="00A53C09"/>
    <w:rsid w:val="00A54C0E"/>
    <w:rsid w:val="00A56613"/>
    <w:rsid w:val="00A70BCA"/>
    <w:rsid w:val="00A7437E"/>
    <w:rsid w:val="00A8379B"/>
    <w:rsid w:val="00A90798"/>
    <w:rsid w:val="00A90A7A"/>
    <w:rsid w:val="00A939F5"/>
    <w:rsid w:val="00AA1E7E"/>
    <w:rsid w:val="00AA263B"/>
    <w:rsid w:val="00AA437C"/>
    <w:rsid w:val="00AB2BA2"/>
    <w:rsid w:val="00AB670E"/>
    <w:rsid w:val="00AB78F0"/>
    <w:rsid w:val="00AC6B91"/>
    <w:rsid w:val="00AD3D96"/>
    <w:rsid w:val="00AE1DA2"/>
    <w:rsid w:val="00AE3B3C"/>
    <w:rsid w:val="00AF05A4"/>
    <w:rsid w:val="00B01396"/>
    <w:rsid w:val="00B03F5C"/>
    <w:rsid w:val="00B10DB6"/>
    <w:rsid w:val="00B11558"/>
    <w:rsid w:val="00B2418B"/>
    <w:rsid w:val="00B26973"/>
    <w:rsid w:val="00B40F4C"/>
    <w:rsid w:val="00B43728"/>
    <w:rsid w:val="00B44B91"/>
    <w:rsid w:val="00B4554A"/>
    <w:rsid w:val="00B45C07"/>
    <w:rsid w:val="00B539EC"/>
    <w:rsid w:val="00B54340"/>
    <w:rsid w:val="00B56DF6"/>
    <w:rsid w:val="00B575E2"/>
    <w:rsid w:val="00B7073C"/>
    <w:rsid w:val="00B70853"/>
    <w:rsid w:val="00B711AB"/>
    <w:rsid w:val="00B7685E"/>
    <w:rsid w:val="00B76A50"/>
    <w:rsid w:val="00B77532"/>
    <w:rsid w:val="00B83977"/>
    <w:rsid w:val="00B858A1"/>
    <w:rsid w:val="00BA6AFE"/>
    <w:rsid w:val="00BB1F89"/>
    <w:rsid w:val="00BB4380"/>
    <w:rsid w:val="00BB65AC"/>
    <w:rsid w:val="00BC46AC"/>
    <w:rsid w:val="00BD1C73"/>
    <w:rsid w:val="00BD2909"/>
    <w:rsid w:val="00BD7C18"/>
    <w:rsid w:val="00BF1B3D"/>
    <w:rsid w:val="00BF4FD4"/>
    <w:rsid w:val="00BF76BC"/>
    <w:rsid w:val="00C01575"/>
    <w:rsid w:val="00C0310E"/>
    <w:rsid w:val="00C0646D"/>
    <w:rsid w:val="00C1139A"/>
    <w:rsid w:val="00C1327B"/>
    <w:rsid w:val="00C17316"/>
    <w:rsid w:val="00C17A49"/>
    <w:rsid w:val="00C17D3C"/>
    <w:rsid w:val="00C31031"/>
    <w:rsid w:val="00C36C9B"/>
    <w:rsid w:val="00C408C6"/>
    <w:rsid w:val="00C4324D"/>
    <w:rsid w:val="00C513FA"/>
    <w:rsid w:val="00C53C1B"/>
    <w:rsid w:val="00C56DB7"/>
    <w:rsid w:val="00C672FD"/>
    <w:rsid w:val="00C751FB"/>
    <w:rsid w:val="00C813A9"/>
    <w:rsid w:val="00C91479"/>
    <w:rsid w:val="00C91997"/>
    <w:rsid w:val="00C965B4"/>
    <w:rsid w:val="00CA0E64"/>
    <w:rsid w:val="00CA7734"/>
    <w:rsid w:val="00CB3AF6"/>
    <w:rsid w:val="00CB3C13"/>
    <w:rsid w:val="00CB5CDF"/>
    <w:rsid w:val="00CB5E56"/>
    <w:rsid w:val="00CD38B5"/>
    <w:rsid w:val="00CD3F75"/>
    <w:rsid w:val="00CE108D"/>
    <w:rsid w:val="00CE3FD1"/>
    <w:rsid w:val="00CE620E"/>
    <w:rsid w:val="00CF1ED5"/>
    <w:rsid w:val="00D016EC"/>
    <w:rsid w:val="00D063E7"/>
    <w:rsid w:val="00D06610"/>
    <w:rsid w:val="00D13A82"/>
    <w:rsid w:val="00D13DB7"/>
    <w:rsid w:val="00D332B8"/>
    <w:rsid w:val="00D43CDA"/>
    <w:rsid w:val="00D4414F"/>
    <w:rsid w:val="00D442E8"/>
    <w:rsid w:val="00D55989"/>
    <w:rsid w:val="00D56D39"/>
    <w:rsid w:val="00D6353C"/>
    <w:rsid w:val="00D729B2"/>
    <w:rsid w:val="00D75B36"/>
    <w:rsid w:val="00D77051"/>
    <w:rsid w:val="00D808E0"/>
    <w:rsid w:val="00D80BEC"/>
    <w:rsid w:val="00D83EA0"/>
    <w:rsid w:val="00D92C94"/>
    <w:rsid w:val="00D9794C"/>
    <w:rsid w:val="00DA260E"/>
    <w:rsid w:val="00DA3018"/>
    <w:rsid w:val="00DA4855"/>
    <w:rsid w:val="00DB71AC"/>
    <w:rsid w:val="00DC00D1"/>
    <w:rsid w:val="00DD02A4"/>
    <w:rsid w:val="00DD3044"/>
    <w:rsid w:val="00DE0254"/>
    <w:rsid w:val="00DE0913"/>
    <w:rsid w:val="00DE1A02"/>
    <w:rsid w:val="00DE3934"/>
    <w:rsid w:val="00DE60E6"/>
    <w:rsid w:val="00E05C6C"/>
    <w:rsid w:val="00E157E1"/>
    <w:rsid w:val="00E15A4E"/>
    <w:rsid w:val="00E16359"/>
    <w:rsid w:val="00E2182C"/>
    <w:rsid w:val="00E22DBD"/>
    <w:rsid w:val="00E325CF"/>
    <w:rsid w:val="00E34217"/>
    <w:rsid w:val="00E345D7"/>
    <w:rsid w:val="00E40B0D"/>
    <w:rsid w:val="00E43FE8"/>
    <w:rsid w:val="00E60C31"/>
    <w:rsid w:val="00E653D0"/>
    <w:rsid w:val="00E71420"/>
    <w:rsid w:val="00E72C5E"/>
    <w:rsid w:val="00E8041C"/>
    <w:rsid w:val="00E8069E"/>
    <w:rsid w:val="00E80A65"/>
    <w:rsid w:val="00E80E8A"/>
    <w:rsid w:val="00E82FFC"/>
    <w:rsid w:val="00E84406"/>
    <w:rsid w:val="00E94DA0"/>
    <w:rsid w:val="00EA2A69"/>
    <w:rsid w:val="00EA5CC3"/>
    <w:rsid w:val="00EB56BE"/>
    <w:rsid w:val="00EB7533"/>
    <w:rsid w:val="00EF4691"/>
    <w:rsid w:val="00EF4994"/>
    <w:rsid w:val="00EF6341"/>
    <w:rsid w:val="00F003F1"/>
    <w:rsid w:val="00F02CBE"/>
    <w:rsid w:val="00F040ED"/>
    <w:rsid w:val="00F0560A"/>
    <w:rsid w:val="00F1409F"/>
    <w:rsid w:val="00F158D7"/>
    <w:rsid w:val="00F20EE5"/>
    <w:rsid w:val="00F2215D"/>
    <w:rsid w:val="00F32BB2"/>
    <w:rsid w:val="00F33A08"/>
    <w:rsid w:val="00F42381"/>
    <w:rsid w:val="00F44833"/>
    <w:rsid w:val="00F4596D"/>
    <w:rsid w:val="00F45D21"/>
    <w:rsid w:val="00F47331"/>
    <w:rsid w:val="00F544B0"/>
    <w:rsid w:val="00F569EA"/>
    <w:rsid w:val="00F67C87"/>
    <w:rsid w:val="00F70E89"/>
    <w:rsid w:val="00F72C60"/>
    <w:rsid w:val="00F81121"/>
    <w:rsid w:val="00F84C23"/>
    <w:rsid w:val="00FA33F6"/>
    <w:rsid w:val="00FA638C"/>
    <w:rsid w:val="00FA6423"/>
    <w:rsid w:val="00FC016E"/>
    <w:rsid w:val="00FD238F"/>
    <w:rsid w:val="00FD3122"/>
    <w:rsid w:val="00FD3DE0"/>
    <w:rsid w:val="00FD7729"/>
    <w:rsid w:val="00FD7C22"/>
    <w:rsid w:val="00FE1386"/>
    <w:rsid w:val="00FE5C58"/>
    <w:rsid w:val="00FE658C"/>
    <w:rsid w:val="00FF2A38"/>
    <w:rsid w:val="00FF59F8"/>
    <w:rsid w:val="00FF5B5D"/>
    <w:rsid w:val="00FF5F13"/>
    <w:rsid w:val="02365156"/>
    <w:rsid w:val="0251E3CD"/>
    <w:rsid w:val="027DDB55"/>
    <w:rsid w:val="030B3BD3"/>
    <w:rsid w:val="031BE8FF"/>
    <w:rsid w:val="032ABBD7"/>
    <w:rsid w:val="0384D403"/>
    <w:rsid w:val="04027D16"/>
    <w:rsid w:val="041CBE67"/>
    <w:rsid w:val="042D09A6"/>
    <w:rsid w:val="059715B8"/>
    <w:rsid w:val="05DEA2D4"/>
    <w:rsid w:val="066210F9"/>
    <w:rsid w:val="068DAF83"/>
    <w:rsid w:val="072869EF"/>
    <w:rsid w:val="073104EB"/>
    <w:rsid w:val="0733D756"/>
    <w:rsid w:val="07C868F5"/>
    <w:rsid w:val="080B8D2A"/>
    <w:rsid w:val="0878A1CD"/>
    <w:rsid w:val="08C4900B"/>
    <w:rsid w:val="08E9FA30"/>
    <w:rsid w:val="0919525F"/>
    <w:rsid w:val="092EEFEE"/>
    <w:rsid w:val="099F93D0"/>
    <w:rsid w:val="0A45B2D3"/>
    <w:rsid w:val="0A554BF7"/>
    <w:rsid w:val="0AD6BBA6"/>
    <w:rsid w:val="0AE0D6C7"/>
    <w:rsid w:val="0B271CCD"/>
    <w:rsid w:val="0BB8E8B2"/>
    <w:rsid w:val="0BE2A9A8"/>
    <w:rsid w:val="0C6314CF"/>
    <w:rsid w:val="0C90963F"/>
    <w:rsid w:val="0D81841C"/>
    <w:rsid w:val="0DDF3390"/>
    <w:rsid w:val="0E3AB6F0"/>
    <w:rsid w:val="0E4A3EEC"/>
    <w:rsid w:val="0E8A1A22"/>
    <w:rsid w:val="0E9C8FF8"/>
    <w:rsid w:val="0F2CAC67"/>
    <w:rsid w:val="0F6125D0"/>
    <w:rsid w:val="0F72A6F8"/>
    <w:rsid w:val="117A978F"/>
    <w:rsid w:val="11C23D69"/>
    <w:rsid w:val="12B572A0"/>
    <w:rsid w:val="12DCD325"/>
    <w:rsid w:val="13A72E64"/>
    <w:rsid w:val="1536B60A"/>
    <w:rsid w:val="158DFDE4"/>
    <w:rsid w:val="159C97BC"/>
    <w:rsid w:val="15E7D5A0"/>
    <w:rsid w:val="16749BAF"/>
    <w:rsid w:val="172E73C0"/>
    <w:rsid w:val="175C988C"/>
    <w:rsid w:val="1761314F"/>
    <w:rsid w:val="177BE96D"/>
    <w:rsid w:val="179EE2F5"/>
    <w:rsid w:val="17C5AB7B"/>
    <w:rsid w:val="187DF350"/>
    <w:rsid w:val="1894FE29"/>
    <w:rsid w:val="18954557"/>
    <w:rsid w:val="18F294C7"/>
    <w:rsid w:val="190D9115"/>
    <w:rsid w:val="1918331A"/>
    <w:rsid w:val="196C6BD4"/>
    <w:rsid w:val="19A98914"/>
    <w:rsid w:val="19AF2092"/>
    <w:rsid w:val="1A3EF1B2"/>
    <w:rsid w:val="1AA61012"/>
    <w:rsid w:val="1B0AC2CB"/>
    <w:rsid w:val="1C2651F2"/>
    <w:rsid w:val="1C6545A0"/>
    <w:rsid w:val="1C90EB68"/>
    <w:rsid w:val="1C93F530"/>
    <w:rsid w:val="1CB941C4"/>
    <w:rsid w:val="1D2FA0A3"/>
    <w:rsid w:val="1D9A0C36"/>
    <w:rsid w:val="1DB31417"/>
    <w:rsid w:val="1E03315E"/>
    <w:rsid w:val="1E166B1B"/>
    <w:rsid w:val="1E381EA4"/>
    <w:rsid w:val="1E3D800A"/>
    <w:rsid w:val="1E6A07CA"/>
    <w:rsid w:val="1F3257B3"/>
    <w:rsid w:val="1F4A4C78"/>
    <w:rsid w:val="1F54B9AD"/>
    <w:rsid w:val="1FAE6F0F"/>
    <w:rsid w:val="2052E21A"/>
    <w:rsid w:val="208779BC"/>
    <w:rsid w:val="20C3C94F"/>
    <w:rsid w:val="20FCE11E"/>
    <w:rsid w:val="213710EF"/>
    <w:rsid w:val="21BD36AD"/>
    <w:rsid w:val="21F0904A"/>
    <w:rsid w:val="22101ABC"/>
    <w:rsid w:val="226683B1"/>
    <w:rsid w:val="2267A8BF"/>
    <w:rsid w:val="2388B18B"/>
    <w:rsid w:val="23E82549"/>
    <w:rsid w:val="244FCCFD"/>
    <w:rsid w:val="24558DBD"/>
    <w:rsid w:val="249E4050"/>
    <w:rsid w:val="250BAB9F"/>
    <w:rsid w:val="2531C64C"/>
    <w:rsid w:val="256E29EC"/>
    <w:rsid w:val="259F393B"/>
    <w:rsid w:val="25BEC74A"/>
    <w:rsid w:val="26066EFB"/>
    <w:rsid w:val="2622D5F6"/>
    <w:rsid w:val="26CA2665"/>
    <w:rsid w:val="26DD2F40"/>
    <w:rsid w:val="26F5272F"/>
    <w:rsid w:val="27448B5D"/>
    <w:rsid w:val="27A59A72"/>
    <w:rsid w:val="27C2ACF5"/>
    <w:rsid w:val="27D8DE6E"/>
    <w:rsid w:val="2809A314"/>
    <w:rsid w:val="2886039B"/>
    <w:rsid w:val="28A3D0F3"/>
    <w:rsid w:val="28C71100"/>
    <w:rsid w:val="297F8BFA"/>
    <w:rsid w:val="298B6955"/>
    <w:rsid w:val="29D25F45"/>
    <w:rsid w:val="2A2281E8"/>
    <w:rsid w:val="2B0846F5"/>
    <w:rsid w:val="2B0DD577"/>
    <w:rsid w:val="2B1B5BA8"/>
    <w:rsid w:val="2B358078"/>
    <w:rsid w:val="2B8625A8"/>
    <w:rsid w:val="2CD0D47A"/>
    <w:rsid w:val="2CE14FF7"/>
    <w:rsid w:val="2D1BE3C8"/>
    <w:rsid w:val="2D2E0EBD"/>
    <w:rsid w:val="2D67AA47"/>
    <w:rsid w:val="2D67D113"/>
    <w:rsid w:val="2D7D1DAE"/>
    <w:rsid w:val="2DAA8F8F"/>
    <w:rsid w:val="2DC6C7D6"/>
    <w:rsid w:val="2DEBAED5"/>
    <w:rsid w:val="2DF413C7"/>
    <w:rsid w:val="2E745740"/>
    <w:rsid w:val="2F662944"/>
    <w:rsid w:val="2FC232F4"/>
    <w:rsid w:val="2FE98DB6"/>
    <w:rsid w:val="2FFAA825"/>
    <w:rsid w:val="311E33C9"/>
    <w:rsid w:val="3137A910"/>
    <w:rsid w:val="31A1267D"/>
    <w:rsid w:val="31E60C6E"/>
    <w:rsid w:val="3212B283"/>
    <w:rsid w:val="321FFC6A"/>
    <w:rsid w:val="3250BDE6"/>
    <w:rsid w:val="326F2AA6"/>
    <w:rsid w:val="32E02F17"/>
    <w:rsid w:val="3302005A"/>
    <w:rsid w:val="33A3FB08"/>
    <w:rsid w:val="3413DD05"/>
    <w:rsid w:val="34432AA9"/>
    <w:rsid w:val="34DA7A12"/>
    <w:rsid w:val="34F61CD3"/>
    <w:rsid w:val="3525D5D1"/>
    <w:rsid w:val="35EE01A3"/>
    <w:rsid w:val="36FC989F"/>
    <w:rsid w:val="372807E5"/>
    <w:rsid w:val="373353E7"/>
    <w:rsid w:val="37438CA2"/>
    <w:rsid w:val="378C474A"/>
    <w:rsid w:val="3932AE31"/>
    <w:rsid w:val="394E45AE"/>
    <w:rsid w:val="39DC7015"/>
    <w:rsid w:val="3A6F3302"/>
    <w:rsid w:val="3A71B4F7"/>
    <w:rsid w:val="3D50470B"/>
    <w:rsid w:val="3DDE78B7"/>
    <w:rsid w:val="3DF26056"/>
    <w:rsid w:val="3EB15323"/>
    <w:rsid w:val="3F17FEC5"/>
    <w:rsid w:val="3FAA296E"/>
    <w:rsid w:val="3FF8F285"/>
    <w:rsid w:val="401ED7A6"/>
    <w:rsid w:val="4039D54B"/>
    <w:rsid w:val="406285E1"/>
    <w:rsid w:val="407F47BC"/>
    <w:rsid w:val="40B0F7CF"/>
    <w:rsid w:val="40B3002E"/>
    <w:rsid w:val="4111BF38"/>
    <w:rsid w:val="41D155CB"/>
    <w:rsid w:val="42555745"/>
    <w:rsid w:val="42DC9887"/>
    <w:rsid w:val="42F6E610"/>
    <w:rsid w:val="430F2774"/>
    <w:rsid w:val="4350C6E9"/>
    <w:rsid w:val="439D19E4"/>
    <w:rsid w:val="4469F613"/>
    <w:rsid w:val="45A595D7"/>
    <w:rsid w:val="45AAD9AD"/>
    <w:rsid w:val="45C4C6B5"/>
    <w:rsid w:val="45E1FDA3"/>
    <w:rsid w:val="45FE3DD9"/>
    <w:rsid w:val="4610CDE9"/>
    <w:rsid w:val="46A3E04C"/>
    <w:rsid w:val="470D1FCC"/>
    <w:rsid w:val="47245642"/>
    <w:rsid w:val="4782082A"/>
    <w:rsid w:val="496C3EA8"/>
    <w:rsid w:val="498C1163"/>
    <w:rsid w:val="49DB338B"/>
    <w:rsid w:val="4A86A7C4"/>
    <w:rsid w:val="4B08DF67"/>
    <w:rsid w:val="4B8666E0"/>
    <w:rsid w:val="4BD1D2FD"/>
    <w:rsid w:val="4C103CD4"/>
    <w:rsid w:val="4C72D9C6"/>
    <w:rsid w:val="4CAE2C17"/>
    <w:rsid w:val="4CC9F930"/>
    <w:rsid w:val="4D233173"/>
    <w:rsid w:val="4D2995ED"/>
    <w:rsid w:val="4DA15E5C"/>
    <w:rsid w:val="4DD281E7"/>
    <w:rsid w:val="4DD9B5ED"/>
    <w:rsid w:val="4DE34502"/>
    <w:rsid w:val="4E08A2EF"/>
    <w:rsid w:val="4EAD1099"/>
    <w:rsid w:val="4EE2EAAC"/>
    <w:rsid w:val="4F48D9CF"/>
    <w:rsid w:val="4F6151B3"/>
    <w:rsid w:val="4F8813ED"/>
    <w:rsid w:val="4FBEFB81"/>
    <w:rsid w:val="5056C78B"/>
    <w:rsid w:val="50898A27"/>
    <w:rsid w:val="509DA0C5"/>
    <w:rsid w:val="509DE14C"/>
    <w:rsid w:val="50B52D27"/>
    <w:rsid w:val="50BC55B2"/>
    <w:rsid w:val="511F3BEC"/>
    <w:rsid w:val="514F3D5D"/>
    <w:rsid w:val="5168E196"/>
    <w:rsid w:val="521D76C1"/>
    <w:rsid w:val="5221F6DE"/>
    <w:rsid w:val="5281E355"/>
    <w:rsid w:val="52875C2E"/>
    <w:rsid w:val="5364238D"/>
    <w:rsid w:val="53A01DD7"/>
    <w:rsid w:val="541C5B71"/>
    <w:rsid w:val="546AC345"/>
    <w:rsid w:val="54B8F3EE"/>
    <w:rsid w:val="54BA0C59"/>
    <w:rsid w:val="54D6AA51"/>
    <w:rsid w:val="552B12E2"/>
    <w:rsid w:val="5536F3ED"/>
    <w:rsid w:val="555833AB"/>
    <w:rsid w:val="55B3D9C0"/>
    <w:rsid w:val="56024DB5"/>
    <w:rsid w:val="561022AB"/>
    <w:rsid w:val="56812CC2"/>
    <w:rsid w:val="568A9877"/>
    <w:rsid w:val="57C03C69"/>
    <w:rsid w:val="580E28D7"/>
    <w:rsid w:val="581F6928"/>
    <w:rsid w:val="58A8B613"/>
    <w:rsid w:val="5955BAF3"/>
    <w:rsid w:val="59C05C75"/>
    <w:rsid w:val="5A449873"/>
    <w:rsid w:val="5A7D486B"/>
    <w:rsid w:val="5B5FC2A6"/>
    <w:rsid w:val="5C35918D"/>
    <w:rsid w:val="5C4B511B"/>
    <w:rsid w:val="5C8C45B7"/>
    <w:rsid w:val="5E3B890B"/>
    <w:rsid w:val="5F41BA40"/>
    <w:rsid w:val="5F63D658"/>
    <w:rsid w:val="5F931FB2"/>
    <w:rsid w:val="5F9F27EC"/>
    <w:rsid w:val="5FAD96D6"/>
    <w:rsid w:val="5FB1D871"/>
    <w:rsid w:val="60CEAD9E"/>
    <w:rsid w:val="610FA52C"/>
    <w:rsid w:val="611024AA"/>
    <w:rsid w:val="612D80B2"/>
    <w:rsid w:val="614A4FB2"/>
    <w:rsid w:val="6191D8AA"/>
    <w:rsid w:val="61A171B9"/>
    <w:rsid w:val="61BC5875"/>
    <w:rsid w:val="61BED09A"/>
    <w:rsid w:val="61E3E9E0"/>
    <w:rsid w:val="621E18EF"/>
    <w:rsid w:val="6294EAAB"/>
    <w:rsid w:val="6336D0D9"/>
    <w:rsid w:val="63565B64"/>
    <w:rsid w:val="63814012"/>
    <w:rsid w:val="638CB85E"/>
    <w:rsid w:val="63EA4946"/>
    <w:rsid w:val="6454D82F"/>
    <w:rsid w:val="64551BF3"/>
    <w:rsid w:val="64A6355E"/>
    <w:rsid w:val="64CD829F"/>
    <w:rsid w:val="653D80D2"/>
    <w:rsid w:val="656EC398"/>
    <w:rsid w:val="65AB30ED"/>
    <w:rsid w:val="66308859"/>
    <w:rsid w:val="666D66F3"/>
    <w:rsid w:val="66BED4BC"/>
    <w:rsid w:val="68162E02"/>
    <w:rsid w:val="688CB93D"/>
    <w:rsid w:val="69407805"/>
    <w:rsid w:val="6943A902"/>
    <w:rsid w:val="694A85F7"/>
    <w:rsid w:val="69CD727C"/>
    <w:rsid w:val="6AD0A962"/>
    <w:rsid w:val="6B62D3EA"/>
    <w:rsid w:val="6B7E4E59"/>
    <w:rsid w:val="6B94D492"/>
    <w:rsid w:val="6BC27A5B"/>
    <w:rsid w:val="6C46B7B2"/>
    <w:rsid w:val="6C550932"/>
    <w:rsid w:val="6C8540C4"/>
    <w:rsid w:val="6CCAF701"/>
    <w:rsid w:val="6CF6E2A0"/>
    <w:rsid w:val="6D46460D"/>
    <w:rsid w:val="6D78BB2D"/>
    <w:rsid w:val="6DF86C20"/>
    <w:rsid w:val="6F38796E"/>
    <w:rsid w:val="6F3B1D3E"/>
    <w:rsid w:val="70B45C40"/>
    <w:rsid w:val="70DFAD07"/>
    <w:rsid w:val="714C510B"/>
    <w:rsid w:val="71C5B65B"/>
    <w:rsid w:val="722C2BD8"/>
    <w:rsid w:val="723897E8"/>
    <w:rsid w:val="72F04411"/>
    <w:rsid w:val="74E7D7D5"/>
    <w:rsid w:val="76096C69"/>
    <w:rsid w:val="7642F8E2"/>
    <w:rsid w:val="76B230D4"/>
    <w:rsid w:val="76B9E45B"/>
    <w:rsid w:val="76BF0F8D"/>
    <w:rsid w:val="76D212CF"/>
    <w:rsid w:val="76D4F2AB"/>
    <w:rsid w:val="76D98574"/>
    <w:rsid w:val="76E44706"/>
    <w:rsid w:val="774A688F"/>
    <w:rsid w:val="778E0EEB"/>
    <w:rsid w:val="77ACBB3D"/>
    <w:rsid w:val="7815A3D2"/>
    <w:rsid w:val="796B0E76"/>
    <w:rsid w:val="7981C51D"/>
    <w:rsid w:val="79F588B1"/>
    <w:rsid w:val="7A0B4562"/>
    <w:rsid w:val="7B550090"/>
    <w:rsid w:val="7BF90626"/>
    <w:rsid w:val="7C66AB36"/>
    <w:rsid w:val="7CB62FFE"/>
    <w:rsid w:val="7D2E8043"/>
    <w:rsid w:val="7D3A3640"/>
    <w:rsid w:val="7DFCBC49"/>
    <w:rsid w:val="7DFD9003"/>
    <w:rsid w:val="7E06603D"/>
    <w:rsid w:val="7E0A0F6C"/>
    <w:rsid w:val="7E691D3F"/>
    <w:rsid w:val="7E8DED0E"/>
    <w:rsid w:val="7EF54E09"/>
    <w:rsid w:val="7F349595"/>
    <w:rsid w:val="7FCF312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2F97EF6E-1B5B-4D22-8F61-AE05B1ACFF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9"/>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unhideWhenUsed/>
    <w:qFormat/>
    <w:rsid w:val="00FE5C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9"/>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3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semiHidden/>
    <w:rsid w:val="00FE5C58"/>
    <w:rPr>
      <w:rFonts w:asciiTheme="majorHAnsi" w:eastAsiaTheme="majorEastAsia" w:hAnsiTheme="majorHAnsi" w:cstheme="majorBidi"/>
      <w:color w:val="1F3763" w:themeColor="accent1" w:themeShade="7F"/>
      <w:sz w:val="24"/>
      <w:szCs w:val="24"/>
    </w:rPr>
  </w:style>
  <w:style w:type="paragraph" w:customStyle="1" w:styleId="p1">
    <w:name w:val="p1"/>
    <w:basedOn w:val="Normal"/>
    <w:rsid w:val="006C573C"/>
    <w:pPr>
      <w:spacing w:before="100" w:beforeAutospacing="1" w:after="100" w:afterAutospacing="1" w:line="240" w:lineRule="auto"/>
      <w:jc w:val="left"/>
    </w:pPr>
    <w:rPr>
      <w:rFonts w:ascii="Times New Roman" w:hAnsi="Times New Roman" w:cs="Times New Roman"/>
      <w:kern w:val="0"/>
      <w:sz w:val="24"/>
      <w:szCs w:val="24"/>
      <w:lang w:eastAsia="en-GB"/>
      <w14:ligatures w14:val="none"/>
    </w:rPr>
  </w:style>
  <w:style w:type="character" w:customStyle="1" w:styleId="s1">
    <w:name w:val="s1"/>
    <w:basedOn w:val="DefaultParagraphFont"/>
    <w:rsid w:val="006C573C"/>
  </w:style>
  <w:style w:type="paragraph" w:customStyle="1" w:styleId="p2">
    <w:name w:val="p2"/>
    <w:basedOn w:val="Normal"/>
    <w:rsid w:val="006C573C"/>
    <w:pPr>
      <w:spacing w:before="100" w:beforeAutospacing="1" w:after="100" w:afterAutospacing="1" w:line="240" w:lineRule="auto"/>
      <w:jc w:val="left"/>
    </w:pPr>
    <w:rPr>
      <w:rFonts w:ascii="Times New Roman" w:hAnsi="Times New Roman" w:cs="Times New Roman"/>
      <w:kern w:val="0"/>
      <w:sz w:val="24"/>
      <w:szCs w:val="24"/>
      <w:lang w:eastAsia="en-GB"/>
      <w14:ligatures w14:val="none"/>
    </w:rPr>
  </w:style>
  <w:style w:type="character" w:customStyle="1" w:styleId="s2">
    <w:name w:val="s2"/>
    <w:basedOn w:val="DefaultParagraphFont"/>
    <w:rsid w:val="006C573C"/>
  </w:style>
  <w:style w:type="paragraph" w:customStyle="1" w:styleId="p3">
    <w:name w:val="p3"/>
    <w:basedOn w:val="Normal"/>
    <w:rsid w:val="0088225D"/>
    <w:pPr>
      <w:spacing w:before="100" w:beforeAutospacing="1" w:after="100" w:afterAutospacing="1" w:line="240" w:lineRule="auto"/>
      <w:jc w:val="left"/>
    </w:pPr>
    <w:rPr>
      <w:rFonts w:ascii="Times New Roman" w:hAnsi="Times New Roman" w:cs="Times New Roman"/>
      <w:kern w:val="0"/>
      <w:sz w:val="24"/>
      <w:szCs w:val="24"/>
      <w:lang w:eastAsia="en-GB"/>
      <w14:ligatures w14:val="none"/>
    </w:rPr>
  </w:style>
  <w:style w:type="character" w:customStyle="1" w:styleId="s3">
    <w:name w:val="s3"/>
    <w:basedOn w:val="DefaultParagraphFont"/>
    <w:rsid w:val="0088225D"/>
  </w:style>
  <w:style w:type="character" w:customStyle="1" w:styleId="s4">
    <w:name w:val="s4"/>
    <w:basedOn w:val="DefaultParagraphFont"/>
    <w:rsid w:val="0088225D"/>
  </w:style>
  <w:style w:type="table" w:styleId="GridTable5Dark-Accent1">
    <w:name w:val="Grid Table 5 Dark Accent 1"/>
    <w:basedOn w:val="TableNormal"/>
    <w:uiPriority w:val="50"/>
    <w:rsid w:val="005346D8"/>
    <w:pPr>
      <w:spacing w:after="0" w:line="240" w:lineRule="auto"/>
    </w:pPr>
    <w:rPr>
      <w:sz w:val="24"/>
      <w:szCs w:val="24"/>
      <w:lang w:eastAsia="en-GB"/>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character" w:customStyle="1" w:styleId="apple-converted-space">
    <w:name w:val="apple-converted-space"/>
    <w:basedOn w:val="DefaultParagraphFont"/>
    <w:rsid w:val="00B539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sChild>
        </w:div>
        <w:div w:id="599801021">
          <w:marLeft w:val="0"/>
          <w:marRight w:val="0"/>
          <w:marTop w:val="0"/>
          <w:marBottom w:val="0"/>
          <w:divBdr>
            <w:top w:val="none" w:sz="0" w:space="0" w:color="auto"/>
            <w:left w:val="none" w:sz="0" w:space="0" w:color="auto"/>
            <w:bottom w:val="none" w:sz="0" w:space="0" w:color="auto"/>
            <w:right w:val="none" w:sz="0" w:space="0" w:color="auto"/>
          </w:divBdr>
          <w:divsChild>
            <w:div w:id="74667017">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521018314">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1470906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483475160">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152769638">
          <w:marLeft w:val="0"/>
          <w:marRight w:val="0"/>
          <w:marTop w:val="0"/>
          <w:marBottom w:val="0"/>
          <w:divBdr>
            <w:top w:val="none" w:sz="0" w:space="0" w:color="auto"/>
            <w:left w:val="none" w:sz="0" w:space="0" w:color="auto"/>
            <w:bottom w:val="none" w:sz="0" w:space="0" w:color="auto"/>
            <w:right w:val="none" w:sz="0" w:space="0" w:color="auto"/>
          </w:divBdr>
        </w:div>
        <w:div w:id="584068066">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353263071">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 w:id="1164130810">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sChild>
        </w:div>
        <w:div w:id="747002016">
          <w:marLeft w:val="0"/>
          <w:marRight w:val="0"/>
          <w:marTop w:val="0"/>
          <w:marBottom w:val="0"/>
          <w:divBdr>
            <w:top w:val="none" w:sz="0" w:space="0" w:color="auto"/>
            <w:left w:val="none" w:sz="0" w:space="0" w:color="auto"/>
            <w:bottom w:val="none" w:sz="0" w:space="0" w:color="auto"/>
            <w:right w:val="none" w:sz="0" w:space="0" w:color="auto"/>
          </w:divBdr>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210922336">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37441657">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267857331">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sChild>
        </w:div>
        <w:div w:id="2068188862">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6"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5" ma:contentTypeDescription="Create a new document." ma:contentTypeScope="" ma:versionID="a2d9e6bc13fc2ce189ded3fbea36a6ae">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3267ddba92d0504699a49a363a42aaaf"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AutoTags" minOccurs="0"/>
                <xsd:element ref="ns3:MediaLengthInSeconds" minOccurs="0"/>
                <xsd:element ref="ns3:MediaServiceObjectDetectorVersions" minOccurs="0"/>
                <xsd:element ref="ns3:MediaServiceDateTaken" minOccurs="0"/>
                <xsd:element ref="ns3:MediaServiceSystemTags" minOccurs="0"/>
                <xsd:element ref="ns3:MediaServiceGenerationTime" minOccurs="0"/>
                <xsd:element ref="ns3:MediaServiceEventHashCode" minOccurs="0"/>
                <xsd:element ref="ns3: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AutoTags" ma:index="15" nillable="true" ma:displayName="Tags" ma:internalName="MediaServiceAutoTags"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BillingMetadata" ma:index="22"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51D8B7A-FECD-4BC1-A308-A4EA241DDE62}">
  <ds:schemaRefs>
    <ds:schemaRef ds:uri="http://schemas.microsoft.com/sharepoint/v3/contenttype/forms"/>
  </ds:schemaRefs>
</ds:datastoreItem>
</file>

<file path=customXml/itemProps2.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customXml/itemProps3.xml><?xml version="1.0" encoding="utf-8"?>
<ds:datastoreItem xmlns:ds="http://schemas.openxmlformats.org/officeDocument/2006/customXml" ds:itemID="{F0B652BF-8DAD-4D9B-901B-6752EC79A819}">
  <ds:schemaRefs>
    <ds:schemaRef ds:uri="http://schemas.microsoft.com/office/2006/metadata/properties"/>
    <ds:schemaRef ds:uri="http://schemas.microsoft.com/office/infopath/2007/PartnerControls"/>
    <ds:schemaRef ds:uri="d8e79d84-78fb-44a9-92e9-d04bdd8f0359"/>
  </ds:schemaRefs>
</ds:datastoreItem>
</file>

<file path=customXml/itemProps4.xml><?xml version="1.0" encoding="utf-8"?>
<ds:datastoreItem xmlns:ds="http://schemas.openxmlformats.org/officeDocument/2006/customXml" ds:itemID="{2F3253FE-C5A0-4507-A9AE-ED23C392F00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13543</Words>
  <Characters>77200</Characters>
  <Application>Microsoft Office Word</Application>
  <DocSecurity>4</DocSecurity>
  <Lines>643</Lines>
  <Paragraphs>181</Paragraphs>
  <ScaleCrop>false</ScaleCrop>
  <Company>University of Wales Trinity Saint David</Company>
  <LinksUpToDate>false</LinksUpToDate>
  <CharactersWithSpaces>90562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Nazish Shazady (2224320)</cp:lastModifiedBy>
  <cp:revision>253</cp:revision>
  <dcterms:created xsi:type="dcterms:W3CDTF">2025-11-20T10:11:00Z</dcterms:created>
  <dcterms:modified xsi:type="dcterms:W3CDTF">2025-11-25T14:08:00Z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