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88059A" w14:textId="77777777" w:rsidR="00324CA2" w:rsidRDefault="00324CA2" w:rsidP="00324CA2">
      <w:pPr>
        <w:rPr>
          <w:rFonts w:asciiTheme="majorHAnsi" w:eastAsiaTheme="majorEastAsia" w:hAnsiTheme="majorHAnsi" w:cstheme="majorBidi"/>
          <w:color w:val="000000" w:themeColor="text1"/>
          <w:sz w:val="24"/>
          <w:szCs w:val="24"/>
        </w:rPr>
      </w:pPr>
    </w:p>
    <w:p w14:paraId="494BCBBF" w14:textId="35764A4F" w:rsidR="00324CA2" w:rsidRPr="00324CA2" w:rsidRDefault="00324CA2" w:rsidP="00BD2626">
      <w:pPr>
        <w:spacing w:line="360" w:lineRule="auto"/>
        <w:jc w:val="center"/>
        <w:rPr>
          <w:rFonts w:asciiTheme="majorHAnsi" w:eastAsiaTheme="majorEastAsia" w:hAnsiTheme="majorHAnsi" w:cstheme="majorBidi"/>
          <w:b/>
          <w:sz w:val="24"/>
          <w:szCs w:val="24"/>
        </w:rPr>
      </w:pPr>
      <w:r w:rsidRPr="00324CA2">
        <w:rPr>
          <w:rFonts w:asciiTheme="majorHAnsi" w:eastAsiaTheme="majorEastAsia" w:hAnsiTheme="majorHAnsi" w:cstheme="majorBidi"/>
          <w:b/>
          <w:color w:val="000000" w:themeColor="text1"/>
          <w:sz w:val="24"/>
          <w:szCs w:val="24"/>
        </w:rPr>
        <w:t xml:space="preserve">Reflection </w:t>
      </w:r>
      <w:r w:rsidR="00BD2626">
        <w:rPr>
          <w:rFonts w:asciiTheme="majorHAnsi" w:eastAsiaTheme="majorEastAsia" w:hAnsiTheme="majorHAnsi" w:cstheme="majorBidi"/>
          <w:b/>
          <w:color w:val="000000" w:themeColor="text1"/>
          <w:sz w:val="24"/>
          <w:szCs w:val="24"/>
        </w:rPr>
        <w:t>T</w:t>
      </w:r>
      <w:r w:rsidRPr="00324CA2">
        <w:rPr>
          <w:rFonts w:asciiTheme="majorHAnsi" w:eastAsiaTheme="majorEastAsia" w:hAnsiTheme="majorHAnsi" w:cstheme="majorBidi"/>
          <w:b/>
          <w:color w:val="000000" w:themeColor="text1"/>
          <w:sz w:val="24"/>
          <w:szCs w:val="24"/>
        </w:rPr>
        <w:t>hree</w:t>
      </w:r>
    </w:p>
    <w:p w14:paraId="590A55D9" w14:textId="77777777" w:rsidR="003768C1" w:rsidRDefault="003768C1" w:rsidP="00776B38">
      <w:pPr>
        <w:spacing w:line="360" w:lineRule="auto"/>
      </w:pPr>
    </w:p>
    <w:p w14:paraId="50640EC0" w14:textId="0E1857ED" w:rsidR="00324CA2" w:rsidRDefault="00776B38" w:rsidP="00776B38">
      <w:pPr>
        <w:spacing w:line="360" w:lineRule="auto"/>
        <w:rPr>
          <w:rFonts w:asciiTheme="minorHAnsi" w:hAnsiTheme="minorHAnsi"/>
          <w:b/>
          <w:bCs/>
          <w:sz w:val="24"/>
          <w:szCs w:val="24"/>
        </w:rPr>
      </w:pPr>
      <w:r>
        <w:rPr>
          <w:rFonts w:asciiTheme="minorHAnsi" w:hAnsiTheme="minorHAnsi"/>
          <w:b/>
          <w:bCs/>
          <w:sz w:val="24"/>
          <w:szCs w:val="24"/>
        </w:rPr>
        <w:t>Description</w:t>
      </w:r>
    </w:p>
    <w:p w14:paraId="164201EA" w14:textId="55CCB022" w:rsidR="00776B38" w:rsidRDefault="00776B38" w:rsidP="00776B38">
      <w:pPr>
        <w:spacing w:line="360" w:lineRule="auto"/>
        <w:rPr>
          <w:rFonts w:asciiTheme="minorHAnsi" w:hAnsiTheme="minorHAnsi"/>
          <w:sz w:val="24"/>
          <w:szCs w:val="24"/>
        </w:rPr>
      </w:pPr>
      <w:r>
        <w:rPr>
          <w:rFonts w:asciiTheme="minorHAnsi" w:hAnsiTheme="minorHAnsi"/>
          <w:sz w:val="24"/>
          <w:szCs w:val="24"/>
        </w:rPr>
        <w:t>As part of my role as a Therapy Assistant Practitioner I screen patients to determine whether the</w:t>
      </w:r>
      <w:r w:rsidR="00284156">
        <w:rPr>
          <w:rFonts w:asciiTheme="minorHAnsi" w:hAnsiTheme="minorHAnsi"/>
          <w:sz w:val="24"/>
          <w:szCs w:val="24"/>
        </w:rPr>
        <w:t>y</w:t>
      </w:r>
      <w:r>
        <w:rPr>
          <w:rFonts w:asciiTheme="minorHAnsi" w:hAnsiTheme="minorHAnsi"/>
          <w:sz w:val="24"/>
          <w:szCs w:val="24"/>
        </w:rPr>
        <w:t xml:space="preserve"> require</w:t>
      </w:r>
      <w:r w:rsidR="00284156">
        <w:rPr>
          <w:rFonts w:asciiTheme="minorHAnsi" w:hAnsiTheme="minorHAnsi"/>
          <w:sz w:val="24"/>
          <w:szCs w:val="24"/>
        </w:rPr>
        <w:t xml:space="preserve"> </w:t>
      </w:r>
      <w:r>
        <w:rPr>
          <w:rFonts w:asciiTheme="minorHAnsi" w:hAnsiTheme="minorHAnsi"/>
          <w:sz w:val="24"/>
          <w:szCs w:val="24"/>
        </w:rPr>
        <w:t xml:space="preserve">any input/support from Allied Health Professional (AHP).  I recently encountered </w:t>
      </w:r>
      <w:r w:rsidR="00EB5B43">
        <w:rPr>
          <w:rFonts w:asciiTheme="minorHAnsi" w:hAnsiTheme="minorHAnsi"/>
          <w:sz w:val="24"/>
          <w:szCs w:val="24"/>
        </w:rPr>
        <w:t xml:space="preserve">a challenging but enlightening situation when I was screening a </w:t>
      </w:r>
      <w:r w:rsidR="00C4378C">
        <w:rPr>
          <w:rFonts w:asciiTheme="minorHAnsi" w:hAnsiTheme="minorHAnsi"/>
          <w:sz w:val="24"/>
          <w:szCs w:val="24"/>
        </w:rPr>
        <w:t xml:space="preserve">profoundly </w:t>
      </w:r>
      <w:r w:rsidR="00EB5B43">
        <w:rPr>
          <w:rFonts w:asciiTheme="minorHAnsi" w:hAnsiTheme="minorHAnsi"/>
          <w:sz w:val="24"/>
          <w:szCs w:val="24"/>
        </w:rPr>
        <w:t xml:space="preserve">deaf patient.  </w:t>
      </w:r>
      <w:r w:rsidR="00C4378C">
        <w:rPr>
          <w:rFonts w:asciiTheme="minorHAnsi" w:hAnsiTheme="minorHAnsi"/>
          <w:sz w:val="24"/>
          <w:szCs w:val="24"/>
        </w:rPr>
        <w:t>Typically,</w:t>
      </w:r>
      <w:r w:rsidR="00EB5B43">
        <w:rPr>
          <w:rFonts w:asciiTheme="minorHAnsi" w:hAnsiTheme="minorHAnsi"/>
          <w:sz w:val="24"/>
          <w:szCs w:val="24"/>
        </w:rPr>
        <w:t xml:space="preserve"> the wards are a busy environment with various sounds </w:t>
      </w:r>
      <w:r w:rsidR="0056415B">
        <w:rPr>
          <w:rFonts w:asciiTheme="minorHAnsi" w:hAnsiTheme="minorHAnsi"/>
          <w:sz w:val="24"/>
          <w:szCs w:val="24"/>
        </w:rPr>
        <w:t>and verbal communication suddenly became a unique situation where traditional methods of interacting with a patient were no longer suitable</w:t>
      </w:r>
      <w:r w:rsidR="00C4378C">
        <w:rPr>
          <w:rFonts w:asciiTheme="minorHAnsi" w:hAnsiTheme="minorHAnsi"/>
          <w:sz w:val="24"/>
          <w:szCs w:val="24"/>
        </w:rPr>
        <w:t xml:space="preserve">.  This experience challenged me to adapt my communication methods and enhance the patient’s overall experience.  The patient communicated through various methods </w:t>
      </w:r>
      <w:r w:rsidR="00284156">
        <w:rPr>
          <w:rFonts w:asciiTheme="minorHAnsi" w:hAnsiTheme="minorHAnsi"/>
          <w:sz w:val="24"/>
          <w:szCs w:val="24"/>
        </w:rPr>
        <w:t>such as</w:t>
      </w:r>
      <w:r w:rsidR="00C4378C">
        <w:rPr>
          <w:rFonts w:asciiTheme="minorHAnsi" w:hAnsiTheme="minorHAnsi"/>
          <w:sz w:val="24"/>
          <w:szCs w:val="24"/>
        </w:rPr>
        <w:t xml:space="preserve"> lip reading,</w:t>
      </w:r>
      <w:r w:rsidR="00284156">
        <w:rPr>
          <w:rFonts w:asciiTheme="minorHAnsi" w:hAnsiTheme="minorHAnsi"/>
          <w:sz w:val="24"/>
          <w:szCs w:val="24"/>
        </w:rPr>
        <w:t xml:space="preserve"> and</w:t>
      </w:r>
      <w:r w:rsidR="00C4378C">
        <w:rPr>
          <w:rFonts w:asciiTheme="minorHAnsi" w:hAnsiTheme="minorHAnsi"/>
          <w:sz w:val="24"/>
          <w:szCs w:val="24"/>
        </w:rPr>
        <w:t xml:space="preserve"> gestures.  I employed multiple strategies to bridge the communication gap while maintaining a professional and respectful environment.  This interaction highlighted the challenges and solutions associated with providing equitable care to patients with hearing loss.</w:t>
      </w:r>
    </w:p>
    <w:p w14:paraId="4548435B" w14:textId="77777777" w:rsidR="00C4378C" w:rsidRDefault="00C4378C" w:rsidP="00776B38">
      <w:pPr>
        <w:spacing w:line="360" w:lineRule="auto"/>
        <w:rPr>
          <w:rFonts w:asciiTheme="minorHAnsi" w:hAnsiTheme="minorHAnsi"/>
          <w:sz w:val="24"/>
          <w:szCs w:val="24"/>
        </w:rPr>
      </w:pPr>
    </w:p>
    <w:p w14:paraId="540BD5DF" w14:textId="34534786" w:rsidR="00C4378C" w:rsidRDefault="00C4378C" w:rsidP="00776B38">
      <w:pPr>
        <w:spacing w:line="360" w:lineRule="auto"/>
        <w:rPr>
          <w:rFonts w:asciiTheme="minorHAnsi" w:hAnsiTheme="minorHAnsi"/>
          <w:b/>
          <w:bCs/>
          <w:sz w:val="24"/>
          <w:szCs w:val="24"/>
        </w:rPr>
      </w:pPr>
      <w:r>
        <w:rPr>
          <w:rFonts w:asciiTheme="minorHAnsi" w:hAnsiTheme="minorHAnsi"/>
          <w:b/>
          <w:bCs/>
          <w:sz w:val="24"/>
          <w:szCs w:val="24"/>
        </w:rPr>
        <w:t>Feelings</w:t>
      </w:r>
    </w:p>
    <w:p w14:paraId="61366C23" w14:textId="1FD8364E" w:rsidR="00C4378C" w:rsidRDefault="00C4378C" w:rsidP="00776B38">
      <w:pPr>
        <w:spacing w:line="360" w:lineRule="auto"/>
        <w:rPr>
          <w:rFonts w:asciiTheme="minorHAnsi" w:hAnsiTheme="minorHAnsi"/>
          <w:sz w:val="24"/>
          <w:szCs w:val="24"/>
        </w:rPr>
      </w:pPr>
      <w:r>
        <w:rPr>
          <w:rFonts w:asciiTheme="minorHAnsi" w:hAnsiTheme="minorHAnsi"/>
          <w:sz w:val="24"/>
          <w:szCs w:val="24"/>
        </w:rPr>
        <w:t xml:space="preserve">Initially I felt apprehensive about my ability to communicate effectively and </w:t>
      </w:r>
      <w:r w:rsidR="00947CF1">
        <w:rPr>
          <w:rFonts w:asciiTheme="minorHAnsi" w:hAnsiTheme="minorHAnsi"/>
          <w:sz w:val="24"/>
          <w:szCs w:val="24"/>
        </w:rPr>
        <w:t>screen the patient sufficiently.   My apprehension stemmed from a lack of prior experience with deaf patients, which is a common response among health care professionals (Abou-Abdallah and Lamyman 2021; Tannenbaum-Baruchi, Feder-Bubis, and Aharonson-Daniel, L., 2024).  However, as the interaction progressed, I felt increasingly confident as I adapted my approach and saw the patient’s positive response.  While I was satisfied with the outcome, I recognise</w:t>
      </w:r>
      <w:r w:rsidR="003012B5">
        <w:rPr>
          <w:rFonts w:asciiTheme="minorHAnsi" w:hAnsiTheme="minorHAnsi"/>
          <w:sz w:val="24"/>
          <w:szCs w:val="24"/>
        </w:rPr>
        <w:t xml:space="preserve"> the limitations that occurred due to the unavailability of an interpreter </w:t>
      </w:r>
      <w:r w:rsidR="00284156">
        <w:rPr>
          <w:rFonts w:asciiTheme="minorHAnsi" w:hAnsiTheme="minorHAnsi"/>
          <w:sz w:val="24"/>
          <w:szCs w:val="24"/>
        </w:rPr>
        <w:t xml:space="preserve">that </w:t>
      </w:r>
      <w:r w:rsidR="003012B5">
        <w:rPr>
          <w:rFonts w:asciiTheme="minorHAnsi" w:hAnsiTheme="minorHAnsi"/>
          <w:sz w:val="24"/>
          <w:szCs w:val="24"/>
        </w:rPr>
        <w:t xml:space="preserve">could have been a barrier to optimal care.  </w:t>
      </w:r>
    </w:p>
    <w:p w14:paraId="01B43489" w14:textId="77777777" w:rsidR="003012B5" w:rsidRDefault="003012B5" w:rsidP="00776B38">
      <w:pPr>
        <w:spacing w:line="360" w:lineRule="auto"/>
        <w:rPr>
          <w:rFonts w:asciiTheme="minorHAnsi" w:hAnsiTheme="minorHAnsi"/>
          <w:sz w:val="24"/>
          <w:szCs w:val="24"/>
        </w:rPr>
      </w:pPr>
    </w:p>
    <w:p w14:paraId="0F280F74" w14:textId="36AACE18" w:rsidR="003012B5" w:rsidRDefault="003012B5" w:rsidP="00776B38">
      <w:pPr>
        <w:spacing w:line="360" w:lineRule="auto"/>
        <w:rPr>
          <w:rFonts w:asciiTheme="minorHAnsi" w:hAnsiTheme="minorHAnsi"/>
          <w:b/>
          <w:bCs/>
          <w:sz w:val="24"/>
          <w:szCs w:val="24"/>
        </w:rPr>
      </w:pPr>
      <w:r>
        <w:rPr>
          <w:rFonts w:asciiTheme="minorHAnsi" w:hAnsiTheme="minorHAnsi"/>
          <w:b/>
          <w:bCs/>
          <w:sz w:val="24"/>
          <w:szCs w:val="24"/>
        </w:rPr>
        <w:t>Evaluation</w:t>
      </w:r>
    </w:p>
    <w:p w14:paraId="193C477F" w14:textId="44B24881" w:rsidR="003012B5" w:rsidRDefault="003012B5" w:rsidP="00776B38">
      <w:pPr>
        <w:spacing w:line="360" w:lineRule="auto"/>
        <w:rPr>
          <w:rFonts w:asciiTheme="minorHAnsi" w:hAnsiTheme="minorHAnsi"/>
          <w:sz w:val="24"/>
          <w:szCs w:val="24"/>
        </w:rPr>
      </w:pPr>
      <w:r>
        <w:rPr>
          <w:rFonts w:asciiTheme="minorHAnsi" w:hAnsiTheme="minorHAnsi"/>
          <w:sz w:val="24"/>
          <w:szCs w:val="24"/>
        </w:rPr>
        <w:t xml:space="preserve">The screening had both strengths and areas where I could improve upon.  On the positive side, I effectively used written communication and real-time transcription tools, which allowed the patient to follow the discussion clearly.  This aligns with evidence suggesting that written methods and assistive technologies can improve </w:t>
      </w:r>
      <w:r>
        <w:rPr>
          <w:rFonts w:asciiTheme="minorHAnsi" w:hAnsiTheme="minorHAnsi"/>
          <w:sz w:val="24"/>
          <w:szCs w:val="24"/>
        </w:rPr>
        <w:lastRenderedPageBreak/>
        <w:t xml:space="preserve">communication with deaf patients, (Tannenbaum-Baruchi, Feder-Bubis, and Aharonson-Daniel, L., 2024; Rezende, Guerra, Carvalho, 2021).  </w:t>
      </w:r>
      <w:r w:rsidR="000C7CB6">
        <w:rPr>
          <w:rFonts w:asciiTheme="minorHAnsi" w:hAnsiTheme="minorHAnsi"/>
          <w:sz w:val="24"/>
          <w:szCs w:val="24"/>
        </w:rPr>
        <w:t>I also did my very best to ensure the environment was quiet as possible, free from distractions, which was essential to facilitate lip-reading (Abou-Abdallah and Lamyman, 2021; Royal National Institute for Deaf People</w:t>
      </w:r>
      <w:r w:rsidR="00796E47">
        <w:rPr>
          <w:rFonts w:asciiTheme="minorHAnsi" w:hAnsiTheme="minorHAnsi"/>
          <w:sz w:val="24"/>
          <w:szCs w:val="24"/>
        </w:rPr>
        <w:t xml:space="preserve"> (RNID)</w:t>
      </w:r>
      <w:r w:rsidR="000C7CB6">
        <w:rPr>
          <w:rFonts w:asciiTheme="minorHAnsi" w:hAnsiTheme="minorHAnsi"/>
          <w:sz w:val="24"/>
          <w:szCs w:val="24"/>
        </w:rPr>
        <w:t>, 2024).</w:t>
      </w:r>
    </w:p>
    <w:p w14:paraId="710AA4DA" w14:textId="75222647" w:rsidR="000C7CB6" w:rsidRDefault="000C7CB6" w:rsidP="00776B38">
      <w:pPr>
        <w:spacing w:line="360" w:lineRule="auto"/>
        <w:rPr>
          <w:rFonts w:asciiTheme="minorHAnsi" w:hAnsiTheme="minorHAnsi"/>
          <w:sz w:val="24"/>
          <w:szCs w:val="24"/>
        </w:rPr>
      </w:pPr>
      <w:r>
        <w:rPr>
          <w:rFonts w:asciiTheme="minorHAnsi" w:hAnsiTheme="minorHAnsi"/>
          <w:sz w:val="24"/>
          <w:szCs w:val="24"/>
        </w:rPr>
        <w:t xml:space="preserve">The lack of a professional interpreter limited the depth of communication.  Research highlights that interpreters are essential for ensuring accurate and culturally sensitive communication, particularly in healthcare settings (Tannenbaum-Baruchi, Feder-Bubis, and Aharonson-Daniel, L., 2024).  Additionally, while the patient appeared satisfied, I could have better prepared for this interaction by having more training in deaf awareness and communication strategies (Abou-Abdallah and Lamyman, 2021).  </w:t>
      </w:r>
    </w:p>
    <w:p w14:paraId="7C439C1B" w14:textId="77777777" w:rsidR="000C7CB6" w:rsidRDefault="000C7CB6" w:rsidP="00776B38">
      <w:pPr>
        <w:spacing w:line="360" w:lineRule="auto"/>
        <w:rPr>
          <w:rFonts w:asciiTheme="minorHAnsi" w:hAnsiTheme="minorHAnsi"/>
          <w:sz w:val="24"/>
          <w:szCs w:val="24"/>
        </w:rPr>
      </w:pPr>
    </w:p>
    <w:p w14:paraId="44110250" w14:textId="5F05A40A" w:rsidR="000C7CB6" w:rsidRDefault="000C7CB6" w:rsidP="00776B38">
      <w:pPr>
        <w:spacing w:line="360" w:lineRule="auto"/>
        <w:rPr>
          <w:rFonts w:asciiTheme="minorHAnsi" w:hAnsiTheme="minorHAnsi"/>
          <w:b/>
          <w:bCs/>
          <w:sz w:val="24"/>
          <w:szCs w:val="24"/>
        </w:rPr>
      </w:pPr>
      <w:r>
        <w:rPr>
          <w:rFonts w:asciiTheme="minorHAnsi" w:hAnsiTheme="minorHAnsi"/>
          <w:b/>
          <w:bCs/>
          <w:sz w:val="24"/>
          <w:szCs w:val="24"/>
        </w:rPr>
        <w:t>Analysis</w:t>
      </w:r>
    </w:p>
    <w:p w14:paraId="34BE7B93" w14:textId="2B0709A5" w:rsidR="000C7CB6" w:rsidRDefault="000C7CB6" w:rsidP="00776B38">
      <w:pPr>
        <w:spacing w:line="360" w:lineRule="auto"/>
        <w:rPr>
          <w:rFonts w:asciiTheme="minorHAnsi" w:hAnsiTheme="minorHAnsi"/>
          <w:sz w:val="24"/>
          <w:szCs w:val="24"/>
        </w:rPr>
      </w:pPr>
      <w:r>
        <w:rPr>
          <w:rFonts w:asciiTheme="minorHAnsi" w:hAnsiTheme="minorHAnsi"/>
          <w:sz w:val="24"/>
          <w:szCs w:val="24"/>
        </w:rPr>
        <w:t>This situation revealed key barriers and strategies for improving communication with deaf patients.  Communication difficulties often occur due to healthcare professionals limited training and resources to support the needs of these patients (Abou-Abdallah and Lamyman, 2021</w:t>
      </w:r>
      <w:r w:rsidR="00796E47">
        <w:rPr>
          <w:rFonts w:asciiTheme="minorHAnsi" w:hAnsiTheme="minorHAnsi"/>
          <w:sz w:val="24"/>
          <w:szCs w:val="24"/>
        </w:rPr>
        <w:t xml:space="preserve">; Tannenbaum-Baruchi, Feder-Bubis, and Aharonson-Daniel, L., 2024).  For example, some clinicians are unaware of how to access interpreting services or use assistive technologies (Rezende, Guerra, Carvalho, 2021).  </w:t>
      </w:r>
    </w:p>
    <w:p w14:paraId="37C69345" w14:textId="66C5FAEA" w:rsidR="00796E47" w:rsidRDefault="00796E47" w:rsidP="00776B38">
      <w:pPr>
        <w:spacing w:line="360" w:lineRule="auto"/>
        <w:rPr>
          <w:rFonts w:asciiTheme="minorHAnsi" w:hAnsiTheme="minorHAnsi"/>
          <w:sz w:val="24"/>
          <w:szCs w:val="24"/>
        </w:rPr>
      </w:pPr>
      <w:r>
        <w:rPr>
          <w:rFonts w:asciiTheme="minorHAnsi" w:hAnsiTheme="minorHAnsi"/>
          <w:sz w:val="24"/>
          <w:szCs w:val="24"/>
        </w:rPr>
        <w:t>With this particular patient, using a combination of written notes and transcription tools helped as I did not have access to a BSL interpreter at the time.  However, research shows that relying on written communication alone may not fully address a deaf patients’ needs as literacy levels among deaf individuals can vary (Abou-Abdallah and Lamyman, 2021; Tannenbaum-Baruchi, Feder-Bubis, and Aharonson-Daniel, L., 2024).  The RNID stress the importance of asking patients about their preferred communication methods early on in the interaction (RNID, 2024).  By doing so, I was able to adapt effectively to communicate with the patient.</w:t>
      </w:r>
    </w:p>
    <w:p w14:paraId="7BE9C4C1" w14:textId="5A5359A0" w:rsidR="00796E47" w:rsidRDefault="00796E47" w:rsidP="00776B38">
      <w:pPr>
        <w:spacing w:line="360" w:lineRule="auto"/>
        <w:rPr>
          <w:rFonts w:asciiTheme="minorHAnsi" w:hAnsiTheme="minorHAnsi"/>
          <w:sz w:val="24"/>
          <w:szCs w:val="24"/>
        </w:rPr>
      </w:pPr>
      <w:r>
        <w:rPr>
          <w:rFonts w:asciiTheme="minorHAnsi" w:hAnsiTheme="minorHAnsi"/>
          <w:sz w:val="24"/>
          <w:szCs w:val="24"/>
        </w:rPr>
        <w:t xml:space="preserve">In addition, creating a conducive environment by reducing background noise and ensuring adequate lighting was consistent with best practices for enhancing communication (Abou-Abdallah and Lamyman, 2021).  </w:t>
      </w:r>
    </w:p>
    <w:p w14:paraId="4CE75C6C" w14:textId="77777777" w:rsidR="00796E47" w:rsidRDefault="00796E47" w:rsidP="00776B38">
      <w:pPr>
        <w:spacing w:line="360" w:lineRule="auto"/>
        <w:rPr>
          <w:rFonts w:asciiTheme="minorHAnsi" w:hAnsiTheme="minorHAnsi"/>
          <w:sz w:val="24"/>
          <w:szCs w:val="24"/>
        </w:rPr>
      </w:pPr>
    </w:p>
    <w:p w14:paraId="1BF1E422" w14:textId="21B65CC6" w:rsidR="00796E47" w:rsidRPr="00BD2626" w:rsidRDefault="00796E47" w:rsidP="00776B38">
      <w:pPr>
        <w:spacing w:line="360" w:lineRule="auto"/>
        <w:rPr>
          <w:rFonts w:asciiTheme="minorHAnsi" w:hAnsiTheme="minorHAnsi"/>
          <w:b/>
          <w:bCs/>
          <w:sz w:val="24"/>
          <w:szCs w:val="24"/>
        </w:rPr>
      </w:pPr>
      <w:r w:rsidRPr="00BD2626">
        <w:rPr>
          <w:rFonts w:asciiTheme="minorHAnsi" w:hAnsiTheme="minorHAnsi"/>
          <w:b/>
          <w:bCs/>
          <w:sz w:val="24"/>
          <w:szCs w:val="24"/>
        </w:rPr>
        <w:t>Conclusion</w:t>
      </w:r>
    </w:p>
    <w:p w14:paraId="027E5D68" w14:textId="5ABBD1A4" w:rsidR="00796E47" w:rsidRDefault="00796E47" w:rsidP="00776B38">
      <w:pPr>
        <w:spacing w:line="360" w:lineRule="auto"/>
        <w:rPr>
          <w:rFonts w:asciiTheme="minorHAnsi" w:hAnsiTheme="minorHAnsi"/>
          <w:sz w:val="24"/>
          <w:szCs w:val="24"/>
        </w:rPr>
      </w:pPr>
      <w:r>
        <w:rPr>
          <w:rFonts w:asciiTheme="minorHAnsi" w:hAnsiTheme="minorHAnsi"/>
          <w:sz w:val="24"/>
          <w:szCs w:val="24"/>
        </w:rPr>
        <w:lastRenderedPageBreak/>
        <w:t>From this experience I learned that communication with deaf patients requires a flexible and patient-centred approach.  Asking about preferred communication methods, leveraging assistive technologies, and modifying the environment were effective strategies in this case</w:t>
      </w:r>
      <w:r w:rsidR="00A33C7F">
        <w:rPr>
          <w:rFonts w:asciiTheme="minorHAnsi" w:hAnsiTheme="minorHAnsi"/>
          <w:sz w:val="24"/>
          <w:szCs w:val="24"/>
        </w:rPr>
        <w:t xml:space="preserve">.  However, the lack of interpreter </w:t>
      </w:r>
      <w:r w:rsidR="00E62A22">
        <w:rPr>
          <w:rFonts w:asciiTheme="minorHAnsi" w:hAnsiTheme="minorHAnsi"/>
          <w:sz w:val="24"/>
          <w:szCs w:val="24"/>
        </w:rPr>
        <w:t xml:space="preserve">highlighted the need for improvement.  </w:t>
      </w:r>
    </w:p>
    <w:p w14:paraId="5F92BF68" w14:textId="4A3051FC" w:rsidR="00E62A22" w:rsidRDefault="0060772A" w:rsidP="00776B38">
      <w:pPr>
        <w:spacing w:line="360" w:lineRule="auto"/>
        <w:rPr>
          <w:rFonts w:asciiTheme="minorHAnsi" w:hAnsiTheme="minorHAnsi"/>
          <w:sz w:val="24"/>
          <w:szCs w:val="24"/>
        </w:rPr>
      </w:pPr>
      <w:r>
        <w:rPr>
          <w:rFonts w:asciiTheme="minorHAnsi" w:hAnsiTheme="minorHAnsi"/>
          <w:sz w:val="24"/>
          <w:szCs w:val="24"/>
        </w:rPr>
        <w:t>This experience</w:t>
      </w:r>
      <w:r w:rsidR="00E62A22">
        <w:rPr>
          <w:rFonts w:asciiTheme="minorHAnsi" w:hAnsiTheme="minorHAnsi"/>
          <w:sz w:val="24"/>
          <w:szCs w:val="24"/>
        </w:rPr>
        <w:t xml:space="preserve"> also highlighted the importance of my professional development in deaf awareness.  With, more training I could better prepare myself for similar interactions in the future to feel more confident in navigating complex communication scenarios.</w:t>
      </w:r>
    </w:p>
    <w:p w14:paraId="20619124" w14:textId="77777777" w:rsidR="00E62A22" w:rsidRDefault="00E62A22" w:rsidP="00776B38">
      <w:pPr>
        <w:spacing w:line="360" w:lineRule="auto"/>
        <w:rPr>
          <w:rFonts w:asciiTheme="minorHAnsi" w:hAnsiTheme="minorHAnsi"/>
          <w:sz w:val="24"/>
          <w:szCs w:val="24"/>
        </w:rPr>
      </w:pPr>
    </w:p>
    <w:p w14:paraId="44C160B0" w14:textId="7A2E7870" w:rsidR="00E62A22" w:rsidRPr="00BD2626" w:rsidRDefault="00E62A22" w:rsidP="00776B38">
      <w:pPr>
        <w:spacing w:line="360" w:lineRule="auto"/>
        <w:rPr>
          <w:rFonts w:asciiTheme="minorHAnsi" w:hAnsiTheme="minorHAnsi"/>
          <w:b/>
          <w:bCs/>
          <w:sz w:val="24"/>
          <w:szCs w:val="24"/>
        </w:rPr>
      </w:pPr>
      <w:r w:rsidRPr="00BD2626">
        <w:rPr>
          <w:rFonts w:asciiTheme="minorHAnsi" w:hAnsiTheme="minorHAnsi"/>
          <w:b/>
          <w:bCs/>
          <w:sz w:val="24"/>
          <w:szCs w:val="24"/>
        </w:rPr>
        <w:t>Action Plan</w:t>
      </w:r>
    </w:p>
    <w:p w14:paraId="27574A79" w14:textId="39E0977B" w:rsidR="00E62A22" w:rsidRDefault="00E62A22" w:rsidP="00776B38">
      <w:pPr>
        <w:spacing w:line="360" w:lineRule="auto"/>
        <w:rPr>
          <w:rFonts w:asciiTheme="minorHAnsi" w:hAnsiTheme="minorHAnsi"/>
          <w:sz w:val="24"/>
          <w:szCs w:val="24"/>
        </w:rPr>
      </w:pPr>
      <w:r>
        <w:rPr>
          <w:rFonts w:asciiTheme="minorHAnsi" w:hAnsiTheme="minorHAnsi"/>
          <w:sz w:val="24"/>
          <w:szCs w:val="24"/>
        </w:rPr>
        <w:t>To improve my future practice, I plan to:</w:t>
      </w:r>
    </w:p>
    <w:p w14:paraId="009004EE" w14:textId="6B825E33" w:rsidR="00E62A22" w:rsidRDefault="00E62A22" w:rsidP="00E62A22">
      <w:pPr>
        <w:pStyle w:val="ListParagraph"/>
        <w:numPr>
          <w:ilvl w:val="0"/>
          <w:numId w:val="2"/>
        </w:numPr>
        <w:spacing w:line="360" w:lineRule="auto"/>
        <w:rPr>
          <w:rFonts w:asciiTheme="minorHAnsi" w:hAnsiTheme="minorHAnsi"/>
          <w:sz w:val="24"/>
          <w:szCs w:val="24"/>
        </w:rPr>
      </w:pPr>
      <w:r>
        <w:rPr>
          <w:rFonts w:asciiTheme="minorHAnsi" w:hAnsiTheme="minorHAnsi"/>
          <w:sz w:val="24"/>
          <w:szCs w:val="24"/>
        </w:rPr>
        <w:t>Participate in deaf awareness training</w:t>
      </w:r>
      <w:r w:rsidR="0060772A">
        <w:rPr>
          <w:rFonts w:asciiTheme="minorHAnsi" w:hAnsiTheme="minorHAnsi"/>
          <w:sz w:val="24"/>
          <w:szCs w:val="24"/>
        </w:rPr>
        <w:t xml:space="preserve"> via e-learning to enhance my skills (Abou-Abdallah and Lamyman, 2021; Tannenbaum-Baruchi, Feder-Bubis, and Aharonson-Daniel, L., 2024).  </w:t>
      </w:r>
    </w:p>
    <w:p w14:paraId="4A18F841" w14:textId="7B7EDCB2" w:rsidR="0060772A" w:rsidRDefault="0060772A" w:rsidP="00E62A22">
      <w:pPr>
        <w:pStyle w:val="ListParagraph"/>
        <w:numPr>
          <w:ilvl w:val="0"/>
          <w:numId w:val="2"/>
        </w:numPr>
        <w:spacing w:line="360" w:lineRule="auto"/>
        <w:rPr>
          <w:rFonts w:asciiTheme="minorHAnsi" w:hAnsiTheme="minorHAnsi"/>
          <w:sz w:val="24"/>
          <w:szCs w:val="24"/>
        </w:rPr>
      </w:pPr>
      <w:r>
        <w:rPr>
          <w:rFonts w:asciiTheme="minorHAnsi" w:hAnsiTheme="minorHAnsi"/>
          <w:sz w:val="24"/>
          <w:szCs w:val="24"/>
        </w:rPr>
        <w:t>Use visual communication aids – familiarise myself with tools like pictograms and other visual aids that can support communication in the absence of an interpreter (Rezende, Guerra, Carvalho, 2021).</w:t>
      </w:r>
    </w:p>
    <w:p w14:paraId="1BA95C25" w14:textId="10CF35AD" w:rsidR="0060772A" w:rsidRDefault="0060772A" w:rsidP="00E62A22">
      <w:pPr>
        <w:pStyle w:val="ListParagraph"/>
        <w:numPr>
          <w:ilvl w:val="0"/>
          <w:numId w:val="2"/>
        </w:numPr>
        <w:spacing w:line="360" w:lineRule="auto"/>
        <w:rPr>
          <w:rFonts w:asciiTheme="minorHAnsi" w:hAnsiTheme="minorHAnsi"/>
          <w:sz w:val="24"/>
          <w:szCs w:val="24"/>
        </w:rPr>
      </w:pPr>
      <w:r>
        <w:rPr>
          <w:rFonts w:asciiTheme="minorHAnsi" w:hAnsiTheme="minorHAnsi"/>
          <w:sz w:val="24"/>
          <w:szCs w:val="24"/>
        </w:rPr>
        <w:t>Advocate and raise awareness amongst team and colleagues (RNID 2024).</w:t>
      </w:r>
    </w:p>
    <w:p w14:paraId="6DF4C4D4" w14:textId="77777777" w:rsidR="0060772A" w:rsidRDefault="0060772A" w:rsidP="0060772A">
      <w:pPr>
        <w:spacing w:line="360" w:lineRule="auto"/>
        <w:rPr>
          <w:rFonts w:asciiTheme="minorHAnsi" w:hAnsiTheme="minorHAnsi"/>
          <w:sz w:val="24"/>
          <w:szCs w:val="24"/>
        </w:rPr>
      </w:pPr>
    </w:p>
    <w:p w14:paraId="76009AD6" w14:textId="40B018EF" w:rsidR="0060772A" w:rsidRDefault="0060772A" w:rsidP="0060772A">
      <w:pPr>
        <w:spacing w:line="360" w:lineRule="auto"/>
        <w:rPr>
          <w:rFonts w:asciiTheme="minorHAnsi" w:hAnsiTheme="minorHAnsi"/>
          <w:sz w:val="24"/>
          <w:szCs w:val="24"/>
        </w:rPr>
      </w:pPr>
    </w:p>
    <w:p w14:paraId="6616E771" w14:textId="77777777" w:rsidR="0060772A" w:rsidRDefault="0060772A" w:rsidP="0060772A">
      <w:pPr>
        <w:spacing w:line="360" w:lineRule="auto"/>
        <w:rPr>
          <w:rFonts w:asciiTheme="minorHAnsi" w:hAnsiTheme="minorHAnsi"/>
          <w:sz w:val="24"/>
          <w:szCs w:val="24"/>
        </w:rPr>
      </w:pPr>
    </w:p>
    <w:p w14:paraId="4B989398" w14:textId="77777777" w:rsidR="0060772A" w:rsidRDefault="0060772A" w:rsidP="0060772A">
      <w:pPr>
        <w:spacing w:line="360" w:lineRule="auto"/>
        <w:rPr>
          <w:rFonts w:asciiTheme="minorHAnsi" w:hAnsiTheme="minorHAnsi"/>
          <w:sz w:val="24"/>
          <w:szCs w:val="24"/>
        </w:rPr>
      </w:pPr>
    </w:p>
    <w:p w14:paraId="6BEE67FE" w14:textId="77777777" w:rsidR="0060772A" w:rsidRDefault="0060772A" w:rsidP="0060772A">
      <w:pPr>
        <w:spacing w:line="360" w:lineRule="auto"/>
        <w:rPr>
          <w:rFonts w:asciiTheme="minorHAnsi" w:hAnsiTheme="minorHAnsi"/>
          <w:sz w:val="24"/>
          <w:szCs w:val="24"/>
        </w:rPr>
      </w:pPr>
    </w:p>
    <w:p w14:paraId="350D8257" w14:textId="77777777" w:rsidR="00BD2626" w:rsidRDefault="00BD2626" w:rsidP="0060772A">
      <w:pPr>
        <w:spacing w:line="360" w:lineRule="auto"/>
        <w:rPr>
          <w:rFonts w:asciiTheme="minorHAnsi" w:hAnsiTheme="minorHAnsi"/>
          <w:sz w:val="24"/>
          <w:szCs w:val="24"/>
        </w:rPr>
      </w:pPr>
    </w:p>
    <w:p w14:paraId="33C4231B" w14:textId="77777777" w:rsidR="00BD2626" w:rsidRDefault="00BD2626" w:rsidP="0060772A">
      <w:pPr>
        <w:spacing w:line="360" w:lineRule="auto"/>
        <w:rPr>
          <w:rFonts w:asciiTheme="minorHAnsi" w:hAnsiTheme="minorHAnsi"/>
          <w:sz w:val="24"/>
          <w:szCs w:val="24"/>
        </w:rPr>
      </w:pPr>
    </w:p>
    <w:p w14:paraId="00BBCDE3" w14:textId="77777777" w:rsidR="00BD2626" w:rsidRDefault="00BD2626" w:rsidP="0060772A">
      <w:pPr>
        <w:spacing w:line="360" w:lineRule="auto"/>
        <w:rPr>
          <w:rFonts w:asciiTheme="minorHAnsi" w:hAnsiTheme="minorHAnsi"/>
          <w:sz w:val="24"/>
          <w:szCs w:val="24"/>
        </w:rPr>
      </w:pPr>
    </w:p>
    <w:p w14:paraId="184871E8" w14:textId="77777777" w:rsidR="00BD2626" w:rsidRDefault="00BD2626" w:rsidP="0060772A">
      <w:pPr>
        <w:spacing w:line="360" w:lineRule="auto"/>
        <w:rPr>
          <w:rFonts w:asciiTheme="minorHAnsi" w:hAnsiTheme="minorHAnsi"/>
          <w:sz w:val="24"/>
          <w:szCs w:val="24"/>
        </w:rPr>
      </w:pPr>
    </w:p>
    <w:p w14:paraId="63A78967" w14:textId="77777777" w:rsidR="00BD2626" w:rsidRDefault="00BD2626" w:rsidP="0060772A">
      <w:pPr>
        <w:spacing w:line="360" w:lineRule="auto"/>
        <w:rPr>
          <w:rFonts w:asciiTheme="minorHAnsi" w:hAnsiTheme="minorHAnsi"/>
          <w:sz w:val="24"/>
          <w:szCs w:val="24"/>
        </w:rPr>
      </w:pPr>
    </w:p>
    <w:p w14:paraId="51271A81" w14:textId="77777777" w:rsidR="00BD2626" w:rsidRDefault="00BD2626" w:rsidP="0060772A">
      <w:pPr>
        <w:spacing w:line="360" w:lineRule="auto"/>
        <w:rPr>
          <w:rFonts w:asciiTheme="minorHAnsi" w:hAnsiTheme="minorHAnsi"/>
          <w:sz w:val="24"/>
          <w:szCs w:val="24"/>
        </w:rPr>
      </w:pPr>
    </w:p>
    <w:p w14:paraId="39891FF1" w14:textId="77777777" w:rsidR="00BD2626" w:rsidRDefault="00BD2626" w:rsidP="0060772A">
      <w:pPr>
        <w:spacing w:line="360" w:lineRule="auto"/>
        <w:rPr>
          <w:rFonts w:asciiTheme="minorHAnsi" w:hAnsiTheme="minorHAnsi"/>
          <w:sz w:val="24"/>
          <w:szCs w:val="24"/>
        </w:rPr>
      </w:pPr>
    </w:p>
    <w:p w14:paraId="48ABF08E" w14:textId="77777777" w:rsidR="00BD2626" w:rsidRDefault="00BD2626" w:rsidP="0060772A">
      <w:pPr>
        <w:spacing w:line="360" w:lineRule="auto"/>
        <w:rPr>
          <w:rFonts w:asciiTheme="minorHAnsi" w:hAnsiTheme="minorHAnsi"/>
          <w:sz w:val="24"/>
          <w:szCs w:val="24"/>
        </w:rPr>
      </w:pPr>
    </w:p>
    <w:p w14:paraId="06CBC2E8" w14:textId="386FD364" w:rsidR="0060772A" w:rsidRPr="00BD2626" w:rsidRDefault="0060772A" w:rsidP="0060772A">
      <w:pPr>
        <w:spacing w:line="360" w:lineRule="auto"/>
        <w:rPr>
          <w:rFonts w:asciiTheme="minorHAnsi" w:hAnsiTheme="minorHAnsi"/>
          <w:b/>
          <w:bCs/>
          <w:sz w:val="24"/>
          <w:szCs w:val="24"/>
        </w:rPr>
      </w:pPr>
      <w:r w:rsidRPr="00BD2626">
        <w:rPr>
          <w:rFonts w:asciiTheme="minorHAnsi" w:hAnsiTheme="minorHAnsi"/>
          <w:b/>
          <w:bCs/>
          <w:sz w:val="24"/>
          <w:szCs w:val="24"/>
        </w:rPr>
        <w:lastRenderedPageBreak/>
        <w:t>References</w:t>
      </w:r>
    </w:p>
    <w:p w14:paraId="077A0BEA" w14:textId="48E5068B" w:rsidR="0060772A" w:rsidRPr="008054BE" w:rsidRDefault="0060772A" w:rsidP="0060772A">
      <w:pPr>
        <w:spacing w:before="100" w:beforeAutospacing="1" w:after="100" w:afterAutospacing="1" w:line="360" w:lineRule="auto"/>
        <w:rPr>
          <w:color w:val="000000"/>
          <w:sz w:val="24"/>
          <w:szCs w:val="24"/>
        </w:rPr>
      </w:pPr>
      <w:r w:rsidRPr="008054BE">
        <w:rPr>
          <w:color w:val="000000"/>
          <w:sz w:val="24"/>
          <w:szCs w:val="24"/>
        </w:rPr>
        <w:t>Abou-Abdallah, M.</w:t>
      </w:r>
      <w:r>
        <w:rPr>
          <w:color w:val="000000"/>
          <w:sz w:val="24"/>
          <w:szCs w:val="24"/>
        </w:rPr>
        <w:t>,</w:t>
      </w:r>
      <w:r w:rsidRPr="008054BE">
        <w:rPr>
          <w:color w:val="000000"/>
          <w:sz w:val="24"/>
          <w:szCs w:val="24"/>
        </w:rPr>
        <w:t xml:space="preserve"> and Lamyman, A.</w:t>
      </w:r>
      <w:r>
        <w:rPr>
          <w:color w:val="000000"/>
          <w:sz w:val="24"/>
          <w:szCs w:val="24"/>
        </w:rPr>
        <w:t xml:space="preserve">, </w:t>
      </w:r>
      <w:r w:rsidRPr="008054BE">
        <w:rPr>
          <w:color w:val="000000"/>
          <w:sz w:val="24"/>
          <w:szCs w:val="24"/>
        </w:rPr>
        <w:t>(2021) ‘Exploring communication difficulties with deaf patients’, </w:t>
      </w:r>
      <w:r w:rsidRPr="008054BE">
        <w:rPr>
          <w:i/>
          <w:iCs/>
          <w:color w:val="000000"/>
          <w:sz w:val="24"/>
          <w:szCs w:val="24"/>
        </w:rPr>
        <w:t>Clinical Medicine</w:t>
      </w:r>
      <w:r w:rsidRPr="008054BE">
        <w:rPr>
          <w:color w:val="000000"/>
          <w:sz w:val="24"/>
          <w:szCs w:val="24"/>
        </w:rPr>
        <w:t xml:space="preserve">, 21(4), pp. e380–e383. </w:t>
      </w:r>
      <w:r>
        <w:rPr>
          <w:color w:val="000000"/>
          <w:sz w:val="24"/>
          <w:szCs w:val="24"/>
        </w:rPr>
        <w:t xml:space="preserve"> </w:t>
      </w:r>
      <w:r w:rsidRPr="008054BE">
        <w:rPr>
          <w:color w:val="000000"/>
          <w:sz w:val="24"/>
          <w:szCs w:val="24"/>
        </w:rPr>
        <w:t>DOI: 10.7861/clinmed.2021-0111.</w:t>
      </w:r>
    </w:p>
    <w:p w14:paraId="4A7024E0" w14:textId="77777777" w:rsidR="00407071" w:rsidRPr="008054BE" w:rsidRDefault="00407071" w:rsidP="00407071">
      <w:pPr>
        <w:spacing w:before="100" w:beforeAutospacing="1" w:after="100" w:afterAutospacing="1" w:line="360" w:lineRule="auto"/>
        <w:rPr>
          <w:color w:val="000000"/>
          <w:sz w:val="24"/>
          <w:szCs w:val="24"/>
        </w:rPr>
      </w:pPr>
      <w:r w:rsidRPr="008054BE">
        <w:rPr>
          <w:color w:val="000000"/>
          <w:sz w:val="24"/>
          <w:szCs w:val="24"/>
        </w:rPr>
        <w:t>Rezende, R.F., Guerra, L.B. and Carvalho, S.A.S. (2021) ‘The perspective of deaf patients on health care’, </w:t>
      </w:r>
      <w:r w:rsidRPr="008054BE">
        <w:rPr>
          <w:i/>
          <w:iCs/>
          <w:color w:val="000000"/>
          <w:sz w:val="24"/>
          <w:szCs w:val="24"/>
        </w:rPr>
        <w:t>Rev. CEFAC</w:t>
      </w:r>
      <w:r w:rsidRPr="008054BE">
        <w:rPr>
          <w:color w:val="000000"/>
          <w:sz w:val="24"/>
          <w:szCs w:val="24"/>
        </w:rPr>
        <w:t xml:space="preserve">, 23(2), pp. e0620. </w:t>
      </w:r>
      <w:r>
        <w:rPr>
          <w:color w:val="000000"/>
          <w:sz w:val="24"/>
          <w:szCs w:val="24"/>
        </w:rPr>
        <w:t xml:space="preserve"> </w:t>
      </w:r>
      <w:r w:rsidRPr="008054BE">
        <w:rPr>
          <w:color w:val="000000"/>
          <w:sz w:val="24"/>
          <w:szCs w:val="24"/>
        </w:rPr>
        <w:t>DOI: 10.1590/1982-0216/20212320620.</w:t>
      </w:r>
    </w:p>
    <w:p w14:paraId="7027C85A" w14:textId="78A37767" w:rsidR="0060772A" w:rsidRPr="008054BE" w:rsidRDefault="0060772A" w:rsidP="0060772A">
      <w:pPr>
        <w:spacing w:before="100" w:beforeAutospacing="1" w:after="100" w:afterAutospacing="1" w:line="360" w:lineRule="auto"/>
        <w:rPr>
          <w:color w:val="000000"/>
          <w:sz w:val="24"/>
          <w:szCs w:val="24"/>
        </w:rPr>
      </w:pPr>
      <w:r w:rsidRPr="008054BE">
        <w:rPr>
          <w:color w:val="000000"/>
          <w:sz w:val="24"/>
          <w:szCs w:val="24"/>
        </w:rPr>
        <w:t>R</w:t>
      </w:r>
      <w:r>
        <w:rPr>
          <w:color w:val="000000"/>
          <w:sz w:val="24"/>
          <w:szCs w:val="24"/>
        </w:rPr>
        <w:t>oyal National Institute for Deaf People (R</w:t>
      </w:r>
      <w:r w:rsidRPr="008054BE">
        <w:rPr>
          <w:color w:val="000000"/>
          <w:sz w:val="24"/>
          <w:szCs w:val="24"/>
        </w:rPr>
        <w:t>NID</w:t>
      </w:r>
      <w:r>
        <w:rPr>
          <w:color w:val="000000"/>
          <w:sz w:val="24"/>
          <w:szCs w:val="24"/>
        </w:rPr>
        <w:t>)</w:t>
      </w:r>
      <w:r w:rsidRPr="008054BE">
        <w:rPr>
          <w:color w:val="000000"/>
          <w:sz w:val="24"/>
          <w:szCs w:val="24"/>
        </w:rPr>
        <w:t xml:space="preserve"> (</w:t>
      </w:r>
      <w:r>
        <w:rPr>
          <w:color w:val="000000"/>
          <w:sz w:val="24"/>
          <w:szCs w:val="24"/>
        </w:rPr>
        <w:t>2024)</w:t>
      </w:r>
      <w:r w:rsidRPr="008054BE">
        <w:rPr>
          <w:color w:val="000000"/>
          <w:sz w:val="24"/>
          <w:szCs w:val="24"/>
        </w:rPr>
        <w:t> </w:t>
      </w:r>
      <w:r w:rsidRPr="008054BE">
        <w:rPr>
          <w:i/>
          <w:iCs/>
          <w:color w:val="000000"/>
          <w:sz w:val="24"/>
          <w:szCs w:val="24"/>
        </w:rPr>
        <w:t>Access to health and social care</w:t>
      </w:r>
      <w:r w:rsidR="00BD2626" w:rsidRPr="008054BE">
        <w:rPr>
          <w:color w:val="000000"/>
          <w:sz w:val="24"/>
          <w:szCs w:val="24"/>
        </w:rPr>
        <w:t xml:space="preserve">.  </w:t>
      </w:r>
      <w:r w:rsidRPr="008054BE">
        <w:rPr>
          <w:color w:val="000000"/>
          <w:sz w:val="24"/>
          <w:szCs w:val="24"/>
        </w:rPr>
        <w:t>Available at: </w:t>
      </w:r>
      <w:r w:rsidRPr="008054BE">
        <w:rPr>
          <w:color w:val="0000FF"/>
          <w:sz w:val="24"/>
          <w:szCs w:val="24"/>
          <w:u w:val="single"/>
        </w:rPr>
        <w:t>https://rnid.org.uk/information-and-support/your-rights/access-to-health-and-social-care/</w:t>
      </w:r>
      <w:r w:rsidRPr="008054BE">
        <w:rPr>
          <w:color w:val="000000"/>
          <w:sz w:val="24"/>
          <w:szCs w:val="24"/>
        </w:rPr>
        <w:t xml:space="preserve"> (Accessed: </w:t>
      </w:r>
      <w:r w:rsidR="00407071">
        <w:rPr>
          <w:color w:val="000000"/>
          <w:sz w:val="24"/>
          <w:szCs w:val="24"/>
        </w:rPr>
        <w:t>3</w:t>
      </w:r>
      <w:r w:rsidRPr="008054BE">
        <w:rPr>
          <w:color w:val="000000"/>
          <w:sz w:val="24"/>
          <w:szCs w:val="24"/>
        </w:rPr>
        <w:t xml:space="preserve"> January 2025).</w:t>
      </w:r>
    </w:p>
    <w:p w14:paraId="05C47835" w14:textId="38D40C28" w:rsidR="0060772A" w:rsidRPr="008054BE" w:rsidRDefault="0060772A" w:rsidP="0060772A">
      <w:pPr>
        <w:spacing w:before="100" w:beforeAutospacing="1" w:after="100" w:afterAutospacing="1" w:line="360" w:lineRule="auto"/>
        <w:rPr>
          <w:color w:val="000000"/>
          <w:sz w:val="24"/>
          <w:szCs w:val="24"/>
        </w:rPr>
      </w:pPr>
      <w:r w:rsidRPr="008054BE">
        <w:rPr>
          <w:color w:val="000000"/>
          <w:sz w:val="24"/>
          <w:szCs w:val="24"/>
        </w:rPr>
        <w:t>Tannenbaum-Baruchi, C., Feder-Bubis, P.</w:t>
      </w:r>
      <w:r>
        <w:rPr>
          <w:color w:val="000000"/>
          <w:sz w:val="24"/>
          <w:szCs w:val="24"/>
        </w:rPr>
        <w:t>,</w:t>
      </w:r>
      <w:r w:rsidRPr="008054BE">
        <w:rPr>
          <w:color w:val="000000"/>
          <w:sz w:val="24"/>
          <w:szCs w:val="24"/>
        </w:rPr>
        <w:t xml:space="preserve"> and Aharonson-Daniel, L.</w:t>
      </w:r>
      <w:r>
        <w:rPr>
          <w:color w:val="000000"/>
          <w:sz w:val="24"/>
          <w:szCs w:val="24"/>
        </w:rPr>
        <w:t>,</w:t>
      </w:r>
      <w:r w:rsidRPr="008054BE">
        <w:rPr>
          <w:color w:val="000000"/>
          <w:sz w:val="24"/>
          <w:szCs w:val="24"/>
        </w:rPr>
        <w:t xml:space="preserve"> (2024) ‘Communication barriers to optimal access to emergency rooms according to deaf and hard-of-hearing patients and health care workers’, </w:t>
      </w:r>
      <w:r w:rsidRPr="008054BE">
        <w:rPr>
          <w:i/>
          <w:iCs/>
          <w:color w:val="000000"/>
          <w:sz w:val="24"/>
          <w:szCs w:val="24"/>
        </w:rPr>
        <w:t>Academic Emergency Medicine</w:t>
      </w:r>
      <w:r w:rsidRPr="008054BE">
        <w:rPr>
          <w:color w:val="000000"/>
          <w:sz w:val="24"/>
          <w:szCs w:val="24"/>
        </w:rPr>
        <w:t xml:space="preserve">. </w:t>
      </w:r>
      <w:r w:rsidR="00BD2626">
        <w:rPr>
          <w:color w:val="000000"/>
          <w:sz w:val="24"/>
          <w:szCs w:val="24"/>
        </w:rPr>
        <w:t xml:space="preserve"> </w:t>
      </w:r>
      <w:r w:rsidRPr="008054BE">
        <w:rPr>
          <w:color w:val="000000"/>
          <w:sz w:val="24"/>
          <w:szCs w:val="24"/>
        </w:rPr>
        <w:t>DOI: 10.1111/acem.15037.</w:t>
      </w:r>
    </w:p>
    <w:p w14:paraId="37B3EAB6" w14:textId="77777777" w:rsidR="0060772A" w:rsidRPr="0060772A" w:rsidRDefault="0060772A" w:rsidP="0060772A">
      <w:pPr>
        <w:spacing w:line="360" w:lineRule="auto"/>
        <w:rPr>
          <w:rFonts w:asciiTheme="minorHAnsi" w:hAnsiTheme="minorHAnsi"/>
          <w:sz w:val="24"/>
          <w:szCs w:val="24"/>
        </w:rPr>
      </w:pPr>
    </w:p>
    <w:p w14:paraId="55E0CCED" w14:textId="77777777" w:rsidR="000C7CB6" w:rsidRPr="000C7CB6" w:rsidRDefault="000C7CB6" w:rsidP="00776B38">
      <w:pPr>
        <w:spacing w:line="360" w:lineRule="auto"/>
        <w:rPr>
          <w:rFonts w:asciiTheme="minorHAnsi" w:hAnsiTheme="minorHAnsi"/>
          <w:b/>
          <w:bCs/>
          <w:sz w:val="24"/>
          <w:szCs w:val="24"/>
        </w:rPr>
      </w:pPr>
    </w:p>
    <w:p w14:paraId="4E237B09" w14:textId="77777777" w:rsidR="00C4378C" w:rsidRPr="00C4378C" w:rsidRDefault="00C4378C" w:rsidP="00776B38">
      <w:pPr>
        <w:spacing w:line="360" w:lineRule="auto"/>
        <w:rPr>
          <w:rFonts w:asciiTheme="minorHAnsi" w:hAnsiTheme="minorHAnsi"/>
          <w:b/>
          <w:bCs/>
          <w:sz w:val="24"/>
          <w:szCs w:val="24"/>
        </w:rPr>
      </w:pPr>
    </w:p>
    <w:p w14:paraId="1BFA2C4B" w14:textId="77777777" w:rsidR="00C4378C" w:rsidRPr="00C4378C" w:rsidRDefault="00C4378C" w:rsidP="00776B38">
      <w:pPr>
        <w:spacing w:line="360" w:lineRule="auto"/>
        <w:rPr>
          <w:rFonts w:asciiTheme="minorHAnsi" w:hAnsiTheme="minorHAnsi"/>
          <w:b/>
          <w:bCs/>
          <w:sz w:val="24"/>
          <w:szCs w:val="24"/>
        </w:rPr>
      </w:pPr>
    </w:p>
    <w:p w14:paraId="4E9EDD26" w14:textId="3B166D8E" w:rsidR="00C4378C" w:rsidRPr="00776B38" w:rsidRDefault="00C4378C" w:rsidP="00776B38">
      <w:pPr>
        <w:spacing w:line="360" w:lineRule="auto"/>
        <w:rPr>
          <w:rFonts w:asciiTheme="minorHAnsi" w:hAnsiTheme="minorHAnsi"/>
          <w:sz w:val="24"/>
          <w:szCs w:val="24"/>
        </w:rPr>
      </w:pPr>
    </w:p>
    <w:sectPr w:rsidR="00C4378C" w:rsidRPr="00776B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66DC9"/>
    <w:multiLevelType w:val="hybridMultilevel"/>
    <w:tmpl w:val="E892BF50"/>
    <w:lvl w:ilvl="0" w:tplc="F89863B6">
      <w:start w:val="1"/>
      <w:numFmt w:val="decimal"/>
      <w:lvlText w:val="%1."/>
      <w:lvlJc w:val="left"/>
      <w:pPr>
        <w:ind w:left="720" w:hanging="360"/>
      </w:pPr>
      <w:rPr>
        <w:rFonts w:hint="default"/>
      </w:rPr>
    </w:lvl>
    <w:lvl w:ilvl="1" w:tplc="9C36542E">
      <w:start w:val="1"/>
      <w:numFmt w:val="bullet"/>
      <w:lvlText w:val="o"/>
      <w:lvlJc w:val="left"/>
      <w:pPr>
        <w:ind w:left="1440" w:hanging="360"/>
      </w:pPr>
      <w:rPr>
        <w:rFonts w:ascii="Courier New" w:hAnsi="Courier New" w:hint="default"/>
      </w:rPr>
    </w:lvl>
    <w:lvl w:ilvl="2" w:tplc="010A4A9C">
      <w:start w:val="1"/>
      <w:numFmt w:val="bullet"/>
      <w:lvlText w:val=""/>
      <w:lvlJc w:val="left"/>
      <w:pPr>
        <w:ind w:left="2160" w:hanging="360"/>
      </w:pPr>
      <w:rPr>
        <w:rFonts w:ascii="Wingdings" w:hAnsi="Wingdings" w:hint="default"/>
      </w:rPr>
    </w:lvl>
    <w:lvl w:ilvl="3" w:tplc="D2467C90">
      <w:start w:val="1"/>
      <w:numFmt w:val="bullet"/>
      <w:lvlText w:val=""/>
      <w:lvlJc w:val="left"/>
      <w:pPr>
        <w:ind w:left="2880" w:hanging="360"/>
      </w:pPr>
      <w:rPr>
        <w:rFonts w:ascii="Symbol" w:hAnsi="Symbol" w:hint="default"/>
      </w:rPr>
    </w:lvl>
    <w:lvl w:ilvl="4" w:tplc="39F86BA2">
      <w:start w:val="1"/>
      <w:numFmt w:val="bullet"/>
      <w:lvlText w:val="o"/>
      <w:lvlJc w:val="left"/>
      <w:pPr>
        <w:ind w:left="3600" w:hanging="360"/>
      </w:pPr>
      <w:rPr>
        <w:rFonts w:ascii="Courier New" w:hAnsi="Courier New" w:hint="default"/>
      </w:rPr>
    </w:lvl>
    <w:lvl w:ilvl="5" w:tplc="B6DCA4AC">
      <w:start w:val="1"/>
      <w:numFmt w:val="bullet"/>
      <w:lvlText w:val=""/>
      <w:lvlJc w:val="left"/>
      <w:pPr>
        <w:ind w:left="4320" w:hanging="360"/>
      </w:pPr>
      <w:rPr>
        <w:rFonts w:ascii="Wingdings" w:hAnsi="Wingdings" w:hint="default"/>
      </w:rPr>
    </w:lvl>
    <w:lvl w:ilvl="6" w:tplc="086C8A92">
      <w:start w:val="1"/>
      <w:numFmt w:val="bullet"/>
      <w:lvlText w:val=""/>
      <w:lvlJc w:val="left"/>
      <w:pPr>
        <w:ind w:left="5040" w:hanging="360"/>
      </w:pPr>
      <w:rPr>
        <w:rFonts w:ascii="Symbol" w:hAnsi="Symbol" w:hint="default"/>
      </w:rPr>
    </w:lvl>
    <w:lvl w:ilvl="7" w:tplc="64BAA596">
      <w:start w:val="1"/>
      <w:numFmt w:val="bullet"/>
      <w:lvlText w:val="o"/>
      <w:lvlJc w:val="left"/>
      <w:pPr>
        <w:ind w:left="5760" w:hanging="360"/>
      </w:pPr>
      <w:rPr>
        <w:rFonts w:ascii="Courier New" w:hAnsi="Courier New" w:hint="default"/>
      </w:rPr>
    </w:lvl>
    <w:lvl w:ilvl="8" w:tplc="F31298E2">
      <w:start w:val="1"/>
      <w:numFmt w:val="bullet"/>
      <w:lvlText w:val=""/>
      <w:lvlJc w:val="left"/>
      <w:pPr>
        <w:ind w:left="6480" w:hanging="360"/>
      </w:pPr>
      <w:rPr>
        <w:rFonts w:ascii="Wingdings" w:hAnsi="Wingdings" w:hint="default"/>
      </w:rPr>
    </w:lvl>
  </w:abstractNum>
  <w:abstractNum w:abstractNumId="1" w15:restartNumberingAfterBreak="0">
    <w:nsid w:val="47DC7C0F"/>
    <w:multiLevelType w:val="hybridMultilevel"/>
    <w:tmpl w:val="78720F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FF25C0D"/>
    <w:multiLevelType w:val="multilevel"/>
    <w:tmpl w:val="5AE0C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85248648">
    <w:abstractNumId w:val="0"/>
  </w:num>
  <w:num w:numId="2" w16cid:durableId="1255044602">
    <w:abstractNumId w:val="1"/>
  </w:num>
  <w:num w:numId="3" w16cid:durableId="21211478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4CA2"/>
    <w:rsid w:val="000B22CE"/>
    <w:rsid w:val="000C7CB6"/>
    <w:rsid w:val="00284156"/>
    <w:rsid w:val="003012B5"/>
    <w:rsid w:val="00324CA2"/>
    <w:rsid w:val="003768C1"/>
    <w:rsid w:val="00407071"/>
    <w:rsid w:val="0056415B"/>
    <w:rsid w:val="005811E5"/>
    <w:rsid w:val="0060772A"/>
    <w:rsid w:val="00776B38"/>
    <w:rsid w:val="00796E47"/>
    <w:rsid w:val="0084427B"/>
    <w:rsid w:val="00947CF1"/>
    <w:rsid w:val="00A33C7F"/>
    <w:rsid w:val="00A80A43"/>
    <w:rsid w:val="00AC4DCF"/>
    <w:rsid w:val="00BD2626"/>
    <w:rsid w:val="00BE79CD"/>
    <w:rsid w:val="00C4378C"/>
    <w:rsid w:val="00E62A22"/>
    <w:rsid w:val="00EB5B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2F6AFD"/>
  <w15:chartTrackingRefBased/>
  <w15:docId w15:val="{30283B7C-3B0B-4144-B23E-7CC7134856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4CA2"/>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324C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24C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4CA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4CA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4CA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4CA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4CA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4CA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4CA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4C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4CA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4CA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4CA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4CA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4C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4C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4C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4CA2"/>
    <w:rPr>
      <w:rFonts w:eastAsiaTheme="majorEastAsia" w:cstheme="majorBidi"/>
      <w:color w:val="272727" w:themeColor="text1" w:themeTint="D8"/>
    </w:rPr>
  </w:style>
  <w:style w:type="paragraph" w:styleId="Title">
    <w:name w:val="Title"/>
    <w:basedOn w:val="Normal"/>
    <w:next w:val="Normal"/>
    <w:link w:val="TitleChar"/>
    <w:uiPriority w:val="10"/>
    <w:qFormat/>
    <w:rsid w:val="00324CA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4C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4CA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4C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4CA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24CA2"/>
    <w:rPr>
      <w:i/>
      <w:iCs/>
      <w:color w:val="404040" w:themeColor="text1" w:themeTint="BF"/>
    </w:rPr>
  </w:style>
  <w:style w:type="paragraph" w:styleId="ListParagraph">
    <w:name w:val="List Paragraph"/>
    <w:basedOn w:val="Normal"/>
    <w:uiPriority w:val="34"/>
    <w:qFormat/>
    <w:rsid w:val="00324CA2"/>
    <w:pPr>
      <w:ind w:left="720"/>
      <w:contextualSpacing/>
    </w:pPr>
  </w:style>
  <w:style w:type="character" w:styleId="IntenseEmphasis">
    <w:name w:val="Intense Emphasis"/>
    <w:basedOn w:val="DefaultParagraphFont"/>
    <w:uiPriority w:val="21"/>
    <w:qFormat/>
    <w:rsid w:val="00324CA2"/>
    <w:rPr>
      <w:i/>
      <w:iCs/>
      <w:color w:val="0F4761" w:themeColor="accent1" w:themeShade="BF"/>
    </w:rPr>
  </w:style>
  <w:style w:type="paragraph" w:styleId="IntenseQuote">
    <w:name w:val="Intense Quote"/>
    <w:basedOn w:val="Normal"/>
    <w:next w:val="Normal"/>
    <w:link w:val="IntenseQuoteChar"/>
    <w:uiPriority w:val="30"/>
    <w:qFormat/>
    <w:rsid w:val="00324C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4CA2"/>
    <w:rPr>
      <w:i/>
      <w:iCs/>
      <w:color w:val="0F4761" w:themeColor="accent1" w:themeShade="BF"/>
    </w:rPr>
  </w:style>
  <w:style w:type="character" w:styleId="IntenseReference">
    <w:name w:val="Intense Reference"/>
    <w:basedOn w:val="DefaultParagraphFont"/>
    <w:uiPriority w:val="32"/>
    <w:qFormat/>
    <w:rsid w:val="00324CA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117</TotalTime>
  <Pages>4</Pages>
  <Words>921</Words>
  <Characters>5252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OBrien, Kerry Julianne</dc:creator>
  <cp:keywords/>
  <dc:description/>
  <cp:lastModifiedBy>OBrien, Kerry Julianne</cp:lastModifiedBy>
  <cp:revision>4</cp:revision>
  <dcterms:created xsi:type="dcterms:W3CDTF">2025-01-21T19:47:00Z</dcterms:created>
  <dcterms:modified xsi:type="dcterms:W3CDTF">2025-01-27T17:41:00Z</dcterms:modified>
</cp:coreProperties>
</file>