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8257948"/>
        <w:docPartObj>
          <w:docPartGallery w:val="Cover Pages"/>
          <w:docPartUnique/>
        </w:docPartObj>
      </w:sdtPr>
      <w:sdtEndPr>
        <w:rPr>
          <w:b/>
          <w:bCs/>
        </w:rPr>
      </w:sdtEndPr>
      <w:sdtContent>
        <w:p w14:paraId="15F41FBD" w14:textId="26383D6C" w:rsidR="0040386C" w:rsidRDefault="0040386C">
          <w:r>
            <w:rPr>
              <w:noProof/>
            </w:rPr>
            <mc:AlternateContent>
              <mc:Choice Requires="wpg">
                <w:drawing>
                  <wp:anchor distT="0" distB="0" distL="114300" distR="114300" simplePos="0" relativeHeight="251662336" behindDoc="0" locked="0" layoutInCell="1" allowOverlap="1" wp14:anchorId="517240D1" wp14:editId="272D83B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599E7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31B750" wp14:editId="3D2564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591306B" w14:textId="33C406E8" w:rsidR="0040386C" w:rsidRDefault="00AC15A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31B750" id="_x0000_t202" coordsize="21600,21600" o:spt="202" path="m,l,21600r21600,l21600,xe">
                    <v:stroke joinstyle="miter"/>
                    <v:path gradientshapeok="t" o:connecttype="rect"/>
                  </v:shapetype>
                  <v:shape id="Text Box 53"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591306B" w14:textId="33C406E8" w:rsidR="0040386C" w:rsidRDefault="00AC15A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0674083" w14:textId="5C511756" w:rsidR="0040386C" w:rsidRDefault="00552330">
          <w:pPr>
            <w:rPr>
              <w:b/>
              <w:bCs/>
            </w:rPr>
          </w:pPr>
          <w:r>
            <w:rPr>
              <w:noProof/>
            </w:rPr>
            <mc:AlternateContent>
              <mc:Choice Requires="wps">
                <w:drawing>
                  <wp:anchor distT="0" distB="0" distL="114300" distR="114300" simplePos="0" relativeHeight="251655168" behindDoc="0" locked="0" layoutInCell="1" allowOverlap="1" wp14:anchorId="00984B86" wp14:editId="70965470">
                    <wp:simplePos x="0" y="0"/>
                    <wp:positionH relativeFrom="page">
                      <wp:posOffset>219075</wp:posOffset>
                    </wp:positionH>
                    <wp:positionV relativeFrom="page">
                      <wp:posOffset>1819275</wp:posOffset>
                    </wp:positionV>
                    <wp:extent cx="6248400" cy="3762375"/>
                    <wp:effectExtent l="0" t="0" r="0" b="9525"/>
                    <wp:wrapSquare wrapText="bothSides"/>
                    <wp:docPr id="154" name="Text Box 54"/>
                    <wp:cNvGraphicFramePr/>
                    <a:graphic xmlns:a="http://schemas.openxmlformats.org/drawingml/2006/main">
                      <a:graphicData uri="http://schemas.microsoft.com/office/word/2010/wordprocessingShape">
                        <wps:wsp>
                          <wps:cNvSpPr txBox="1"/>
                          <wps:spPr>
                            <a:xfrm>
                              <a:off x="0" y="0"/>
                              <a:ext cx="6248400" cy="3762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09B52" w14:textId="3E4D704D" w:rsidR="0040386C" w:rsidRDefault="00170AAC" w:rsidP="0011068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86C">
                                      <w:rPr>
                                        <w:caps/>
                                        <w:color w:val="4472C4" w:themeColor="accent1"/>
                                        <w:sz w:val="64"/>
                                        <w:szCs w:val="64"/>
                                      </w:rPr>
                                      <w:t>Research proposal</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C38A4F" w14:textId="4FB8258F" w:rsidR="0040386C" w:rsidRDefault="0040386C" w:rsidP="00110681">
                                    <w:pPr>
                                      <w:jc w:val="center"/>
                                      <w:rPr>
                                        <w:smallCaps/>
                                        <w:color w:val="404040" w:themeColor="text1" w:themeTint="BF"/>
                                        <w:sz w:val="36"/>
                                        <w:szCs w:val="36"/>
                                      </w:rPr>
                                    </w:pPr>
                                    <w:r w:rsidRPr="00110681">
                                      <w:rPr>
                                        <w:color w:val="404040" w:themeColor="text1" w:themeTint="BF"/>
                                        <w:sz w:val="32"/>
                                        <w:szCs w:val="32"/>
                                      </w:rPr>
                                      <w:t xml:space="preserve">The impact of </w:t>
                                    </w:r>
                                    <w:r w:rsidR="004D7B91" w:rsidRPr="00110681">
                                      <w:rPr>
                                        <w:color w:val="404040" w:themeColor="text1" w:themeTint="BF"/>
                                        <w:sz w:val="32"/>
                                        <w:szCs w:val="32"/>
                                      </w:rPr>
                                      <w:t xml:space="preserve">corporate sustainability programmes on </w:t>
                                    </w:r>
                                    <w:r w:rsidR="00AC15A5" w:rsidRPr="00110681">
                                      <w:rPr>
                                        <w:color w:val="404040" w:themeColor="text1" w:themeTint="BF"/>
                                        <w:sz w:val="32"/>
                                        <w:szCs w:val="32"/>
                                      </w:rPr>
                                      <w:t>retention and employee engagement in South Wales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984B86" id="Text Box 54" o:spid="_x0000_s1027" type="#_x0000_t202" style="position:absolute;margin-left:17.25pt;margin-top:143.25pt;width:492pt;height:296.2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" filled="f" stroked="f" strokeweight=".5pt">
                    <v:textbox inset="126pt,0,54pt,0">
                      <w:txbxContent>
                        <w:p w14:paraId="5E309B52" w14:textId="3E4D704D" w:rsidR="0040386C" w:rsidRDefault="00170AAC" w:rsidP="0011068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86C">
                                <w:rPr>
                                  <w:caps/>
                                  <w:color w:val="4472C4" w:themeColor="accent1"/>
                                  <w:sz w:val="64"/>
                                  <w:szCs w:val="64"/>
                                </w:rPr>
                                <w:t>Research proposal</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C38A4F" w14:textId="4FB8258F" w:rsidR="0040386C" w:rsidRDefault="0040386C" w:rsidP="00110681">
                              <w:pPr>
                                <w:jc w:val="center"/>
                                <w:rPr>
                                  <w:smallCaps/>
                                  <w:color w:val="404040" w:themeColor="text1" w:themeTint="BF"/>
                                  <w:sz w:val="36"/>
                                  <w:szCs w:val="36"/>
                                </w:rPr>
                              </w:pPr>
                              <w:r w:rsidRPr="00110681">
                                <w:rPr>
                                  <w:color w:val="404040" w:themeColor="text1" w:themeTint="BF"/>
                                  <w:sz w:val="32"/>
                                  <w:szCs w:val="32"/>
                                </w:rPr>
                                <w:t xml:space="preserve">The impact of </w:t>
                              </w:r>
                              <w:r w:rsidR="004D7B91" w:rsidRPr="00110681">
                                <w:rPr>
                                  <w:color w:val="404040" w:themeColor="text1" w:themeTint="BF"/>
                                  <w:sz w:val="32"/>
                                  <w:szCs w:val="32"/>
                                </w:rPr>
                                <w:t xml:space="preserve">corporate sustainability programmes on </w:t>
                              </w:r>
                              <w:r w:rsidR="00AC15A5" w:rsidRPr="00110681">
                                <w:rPr>
                                  <w:color w:val="404040" w:themeColor="text1" w:themeTint="BF"/>
                                  <w:sz w:val="32"/>
                                  <w:szCs w:val="32"/>
                                </w:rPr>
                                <w:t>retention and employee engagement in South Wales</w:t>
                              </w:r>
                            </w:p>
                          </w:sdtContent>
                        </w:sdt>
                      </w:txbxContent>
                    </v:textbox>
                    <w10:wrap type="square" anchorx="page" anchory="page"/>
                  </v:shape>
                </w:pict>
              </mc:Fallback>
            </mc:AlternateContent>
          </w:r>
          <w:r w:rsidR="00110681">
            <w:rPr>
              <w:noProof/>
            </w:rPr>
            <mc:AlternateContent>
              <mc:Choice Requires="wps">
                <w:drawing>
                  <wp:anchor distT="0" distB="0" distL="114300" distR="114300" simplePos="0" relativeHeight="251658240" behindDoc="0" locked="0" layoutInCell="1" allowOverlap="1" wp14:anchorId="1823E67E" wp14:editId="49502A54">
                    <wp:simplePos x="0" y="0"/>
                    <wp:positionH relativeFrom="page">
                      <wp:posOffset>219075</wp:posOffset>
                    </wp:positionH>
                    <wp:positionV relativeFrom="page">
                      <wp:posOffset>8743950</wp:posOffset>
                    </wp:positionV>
                    <wp:extent cx="56769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56769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DE486" w14:textId="423A3AAB" w:rsidR="0040386C" w:rsidRDefault="0040386C" w:rsidP="00110681">
                                    <w:pPr>
                                      <w:pStyle w:val="NoSpacing"/>
                                      <w:jc w:val="center"/>
                                      <w:rPr>
                                        <w:color w:val="595959" w:themeColor="text1" w:themeTint="A6"/>
                                        <w:sz w:val="28"/>
                                        <w:szCs w:val="28"/>
                                      </w:rPr>
                                    </w:pPr>
                                    <w:r>
                                      <w:rPr>
                                        <w:color w:val="595959" w:themeColor="text1" w:themeTint="A6"/>
                                        <w:sz w:val="28"/>
                                        <w:szCs w:val="28"/>
                                      </w:rPr>
                                      <w:t>Corina Cernat</w:t>
                                    </w:r>
                                  </w:p>
                                </w:sdtContent>
                              </w:sdt>
                              <w:p w14:paraId="6FC4B0E8" w14:textId="44BC2B12" w:rsidR="0040386C" w:rsidRDefault="00170AAC" w:rsidP="00110681">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0386C">
                                      <w:rPr>
                                        <w:color w:val="595959" w:themeColor="text1" w:themeTint="A6"/>
                                        <w:sz w:val="18"/>
                                        <w:szCs w:val="18"/>
                                      </w:rPr>
                                      <w:t>2019920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1823E67E" id="Text Box 52" o:spid="_x0000_s1028" type="#_x0000_t202" style="position:absolute;margin-left:17.25pt;margin-top:688.5pt;width:447pt;height:1in;z-index:251658240;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DE486" w14:textId="423A3AAB" w:rsidR="0040386C" w:rsidRDefault="0040386C" w:rsidP="00110681">
                              <w:pPr>
                                <w:pStyle w:val="NoSpacing"/>
                                <w:jc w:val="center"/>
                                <w:rPr>
                                  <w:color w:val="595959" w:themeColor="text1" w:themeTint="A6"/>
                                  <w:sz w:val="28"/>
                                  <w:szCs w:val="28"/>
                                </w:rPr>
                              </w:pPr>
                              <w:r>
                                <w:rPr>
                                  <w:color w:val="595959" w:themeColor="text1" w:themeTint="A6"/>
                                  <w:sz w:val="28"/>
                                  <w:szCs w:val="28"/>
                                </w:rPr>
                                <w:t>Corina Cernat</w:t>
                              </w:r>
                            </w:p>
                          </w:sdtContent>
                        </w:sdt>
                        <w:p w14:paraId="6FC4B0E8" w14:textId="44BC2B12" w:rsidR="0040386C" w:rsidRDefault="00170AAC" w:rsidP="00110681">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0386C">
                                <w:rPr>
                                  <w:color w:val="595959" w:themeColor="text1" w:themeTint="A6"/>
                                  <w:sz w:val="18"/>
                                  <w:szCs w:val="18"/>
                                </w:rPr>
                                <w:t>2019920</w:t>
                              </w:r>
                            </w:sdtContent>
                          </w:sdt>
                        </w:p>
                      </w:txbxContent>
                    </v:textbox>
                    <w10:wrap type="square" anchorx="page" anchory="page"/>
                  </v:shape>
                </w:pict>
              </mc:Fallback>
            </mc:AlternateContent>
          </w:r>
          <w:r w:rsidR="0040386C">
            <w:rPr>
              <w:b/>
              <w:bCs/>
            </w:rPr>
            <w:br w:type="page"/>
          </w:r>
        </w:p>
      </w:sdtContent>
    </w:sdt>
    <w:p w14:paraId="598255E7" w14:textId="132FEB6C" w:rsidR="00D502A6" w:rsidRPr="00E21B64" w:rsidRDefault="00D502A6" w:rsidP="00D502A6">
      <w:pPr>
        <w:spacing w:after="0" w:line="360" w:lineRule="auto"/>
        <w:rPr>
          <w:b/>
          <w:bCs/>
        </w:rPr>
      </w:pPr>
      <w:r w:rsidRPr="00E21B64">
        <w:rPr>
          <w:b/>
          <w:bCs/>
        </w:rPr>
        <w:lastRenderedPageBreak/>
        <w:t>Introduction</w:t>
      </w:r>
    </w:p>
    <w:p w14:paraId="7601E6CA" w14:textId="774F3B96" w:rsidR="00D502A6" w:rsidRPr="00395F2C" w:rsidRDefault="00D502A6" w:rsidP="00D502A6">
      <w:pPr>
        <w:spacing w:after="0" w:line="360" w:lineRule="auto"/>
        <w:jc w:val="both"/>
      </w:pPr>
      <w:r w:rsidRPr="00395F2C">
        <w:t xml:space="preserve">Businesses </w:t>
      </w:r>
      <w:r>
        <w:t>in the 21</w:t>
      </w:r>
      <w:r w:rsidRPr="006336CA">
        <w:rPr>
          <w:vertAlign w:val="superscript"/>
        </w:rPr>
        <w:t>st</w:t>
      </w:r>
      <w:r>
        <w:t xml:space="preserve"> century </w:t>
      </w:r>
      <w:r w:rsidRPr="00395F2C">
        <w:t xml:space="preserve">are </w:t>
      </w:r>
      <w:r>
        <w:t xml:space="preserve">becoming more aware of the impact on the environment and are </w:t>
      </w:r>
      <w:r w:rsidRPr="00395F2C">
        <w:t>adopting a higher purpose that includes long-term sustainability, social responsibility, and environmental care. It</w:t>
      </w:r>
      <w:r>
        <w:t xml:space="preserve"> is </w:t>
      </w:r>
      <w:r w:rsidRPr="00395F2C">
        <w:t xml:space="preserve">becoming more and more obvious that companies that put sustainability first benefit from being </w:t>
      </w:r>
      <w:r w:rsidR="005A02E5">
        <w:t>a</w:t>
      </w:r>
      <w:r w:rsidRPr="00395F2C">
        <w:t xml:space="preserve">ble to draw in and </w:t>
      </w:r>
      <w:r>
        <w:t>retain</w:t>
      </w:r>
      <w:r w:rsidRPr="00395F2C">
        <w:t xml:space="preserve"> </w:t>
      </w:r>
      <w:r>
        <w:t>talented candidates. This is being enforced by studies like the one completed by Delloite (2022) in US that concluded 72% of employees are more likely to work for an organisation with sustainable programmes. In UK research conducted by Walters (2022) indicated that 34% of professionals would turn down a job offer from a firm whose environmental beliefs conflicted with their own. According to CIPHR (2022), millennials, referring to people born between 1980 and early 2000s, have higher expectations when it comes to the environmental and sustainable practices within the organizations and two thirds would choose to work and stay in a company that has a strong sustainability strategy.</w:t>
      </w:r>
    </w:p>
    <w:p w14:paraId="41FFCFFD" w14:textId="35ADE0B4" w:rsidR="00D502A6" w:rsidRDefault="00D502A6" w:rsidP="00D502A6">
      <w:pPr>
        <w:spacing w:after="0" w:line="360" w:lineRule="auto"/>
        <w:jc w:val="both"/>
      </w:pPr>
      <w:r>
        <w:t>In a survey conducted in 2022 by Tyl for Natwest on 500 different sizes UK companies, it established that more than half of them do not have a strategy on corporate sustainability programmes, 64% of the businesses being in Wales (Tyl by Natwest, 2022). Among the benefits these initiatives could bring to their organisations, 45% believed it can lead to a positive brand reputation, and only 13% perceived the benefit of improving employee retention.</w:t>
      </w:r>
      <w:r w:rsidR="005A02E5">
        <w:t xml:space="preserve"> </w:t>
      </w:r>
    </w:p>
    <w:p w14:paraId="2D5B48DB" w14:textId="6BC194B2" w:rsidR="00C51B95" w:rsidRDefault="00FB318C" w:rsidP="00D502A6">
      <w:pPr>
        <w:spacing w:after="0" w:line="360" w:lineRule="auto"/>
        <w:jc w:val="both"/>
      </w:pPr>
      <w:r>
        <w:t>In Wales the</w:t>
      </w:r>
      <w:r w:rsidR="00C51B95">
        <w:t xml:space="preserve"> government and policy communities have not only been more interested in interacting with fundamental economics than </w:t>
      </w:r>
      <w:r w:rsidR="00D77929">
        <w:t>most</w:t>
      </w:r>
      <w:r w:rsidR="00C51B95">
        <w:t xml:space="preserve"> governments to date, but they have also passed well-being legislation that is especially meant to guarantee sustainability over the long run</w:t>
      </w:r>
      <w:r>
        <w:t xml:space="preserve">, according to </w:t>
      </w:r>
      <w:r w:rsidR="00413140">
        <w:t>Lang and Marsden (2023).</w:t>
      </w:r>
      <w:r w:rsidR="004C742C">
        <w:t xml:space="preserve"> It is the only country in the world </w:t>
      </w:r>
      <w:r w:rsidR="00BC5D87">
        <w:t xml:space="preserve">with legislation related to </w:t>
      </w:r>
      <w:r w:rsidR="000F1313">
        <w:t xml:space="preserve">the Sustainable Development Goals, thanks to the </w:t>
      </w:r>
      <w:r w:rsidR="009F0520">
        <w:t>Well-being of Future Generations (Wales) Act 2015 (GOV, 2023).</w:t>
      </w:r>
      <w:r w:rsidR="008B06F7">
        <w:t xml:space="preserve"> </w:t>
      </w:r>
      <w:r w:rsidR="00934DA3">
        <w:t xml:space="preserve">The research to be conducted in this project can help determine how the </w:t>
      </w:r>
      <w:r w:rsidR="00460437">
        <w:t>businesses in South Wales are</w:t>
      </w:r>
      <w:r w:rsidR="00664ED8">
        <w:t xml:space="preserve"> incorporating sustainability programmes </w:t>
      </w:r>
      <w:r w:rsidR="00414382">
        <w:t xml:space="preserve">in the workplace </w:t>
      </w:r>
      <w:r w:rsidR="003C7E71">
        <w:t>and their influence on the employees of the most sustainable nation in UK.</w:t>
      </w:r>
    </w:p>
    <w:p w14:paraId="24A070C5" w14:textId="36B735C7" w:rsidR="00D502A6" w:rsidRDefault="00D502A6" w:rsidP="00170AAC">
      <w:pPr>
        <w:spacing w:after="0" w:line="360" w:lineRule="auto"/>
        <w:jc w:val="both"/>
      </w:pPr>
      <w:r>
        <w:t xml:space="preserve">Employees feel fulfilled when they work on significant initiatives that reflect their beliefs and the mission of the firm. The connection to a higher purpose frequently results in improved motivation, work satisfaction, and a greater commitment to the organisation, according to McBride Sustainability (2023). They continue, stating that employees who actively participate in corporate social responsibility projects report a greater sense of connection and commitment to their company. Knowing that their job is contributing to positive social and environmental change enhances morale and motivates employees to stay with the firm longer.  </w:t>
      </w:r>
      <w:r>
        <w:tab/>
      </w:r>
      <w:r>
        <w:br/>
        <w:t xml:space="preserve">Strategic HR strategies can be informed by knowledge of how sustainability efforts affect employee commitment. Second, sustainability programmes can help to satisfy the demand of employees for </w:t>
      </w:r>
      <w:r>
        <w:lastRenderedPageBreak/>
        <w:t>meaningful work environments where they can harmonise personal beliefs with organisational aims, which may increase employee engagement (</w:t>
      </w:r>
      <w:r w:rsidRPr="00305E21">
        <w:t>Podgorodnichenko</w:t>
      </w:r>
      <w:r>
        <w:t xml:space="preserve"> et al, 2022). Furthermore, through examining the relationship between sustainability initiatives and staff retention and engagement, businesses can pinpoint areas in which their sustainability strategies need to be strengthened to maintain their appeal to both present and potential employees while simultaneously making a positive impact on the environment and society.</w:t>
      </w:r>
    </w:p>
    <w:p w14:paraId="11678AC9" w14:textId="77777777" w:rsidR="00170AAC" w:rsidRDefault="00170AAC" w:rsidP="00170AAC">
      <w:pPr>
        <w:spacing w:after="0" w:line="360" w:lineRule="auto"/>
        <w:jc w:val="both"/>
      </w:pPr>
    </w:p>
    <w:p w14:paraId="3A12EDB0" w14:textId="77777777" w:rsidR="00D502A6" w:rsidRPr="00886C0C" w:rsidRDefault="00D502A6" w:rsidP="00D502A6">
      <w:pPr>
        <w:spacing w:after="0" w:line="360" w:lineRule="auto"/>
        <w:rPr>
          <w:b/>
          <w:bCs/>
        </w:rPr>
      </w:pPr>
      <w:r w:rsidRPr="00886C0C">
        <w:rPr>
          <w:b/>
          <w:bCs/>
        </w:rPr>
        <w:t>Literature review</w:t>
      </w:r>
    </w:p>
    <w:p w14:paraId="2FFD4ABC" w14:textId="095680E6" w:rsidR="00D502A6" w:rsidRDefault="00D502A6" w:rsidP="00D502A6">
      <w:pPr>
        <w:spacing w:after="0" w:line="360" w:lineRule="auto"/>
        <w:ind w:right="-46"/>
        <w:jc w:val="both"/>
      </w:pPr>
      <w:r>
        <w:t>In the recent years there has been an increased interest in the corporate sustainable initiatives’ topic in the organizational behaviour and human resources management literature, with majority of the research being conducted on the macro level implications (</w:t>
      </w:r>
      <w:r w:rsidRPr="00486674">
        <w:t>Jones &amp; Rupp, 2018</w:t>
      </w:r>
      <w:r>
        <w:t xml:space="preserve">; </w:t>
      </w:r>
      <w:r w:rsidRPr="000769D2">
        <w:t>Ahmad et al., 202</w:t>
      </w:r>
      <w:r>
        <w:t>2;) and the positive impact on the companies’ financial performance (</w:t>
      </w:r>
      <w:r w:rsidRPr="003D113C">
        <w:t>Singh &amp; Misra, 2</w:t>
      </w:r>
      <w:r>
        <w:t xml:space="preserve">021). </w:t>
      </w:r>
      <w:r w:rsidR="00E2309F">
        <w:t>F</w:t>
      </w:r>
      <w:r w:rsidRPr="00B368C2">
        <w:t>ew studies</w:t>
      </w:r>
      <w:r>
        <w:t xml:space="preserve"> </w:t>
      </w:r>
      <w:r w:rsidRPr="00B368C2">
        <w:t>have distinctly examined the results at the individual level</w:t>
      </w:r>
      <w:r>
        <w:t>, however several studies examining the employee’s perspective on the organisations sustainable programmes have indicated a strong connection between these initiatives and their turnover intention (</w:t>
      </w:r>
      <w:r w:rsidRPr="009A6632">
        <w:t>Bapat</w:t>
      </w:r>
      <w:r>
        <w:t xml:space="preserve"> &amp; </w:t>
      </w:r>
      <w:r w:rsidRPr="009A6632">
        <w:t>Upadhyay, 2021</w:t>
      </w:r>
      <w:r>
        <w:t xml:space="preserve">; </w:t>
      </w:r>
      <w:r w:rsidRPr="005C22F9">
        <w:t>Podgorodnichenko et al. 2021</w:t>
      </w:r>
      <w:r>
        <w:t>) while others (Ouakouak et al, 2019) have argued that the employee retention is not connected to their perception of the internal or external sustainable initiatives. Research conducted by Farooq et al (2019) has demonstrated that the influence on employees is different depending on the type of corporate sustainable initiatives. The highest positive level of influence is provided by the activities focusing on the employees themselves, followed by those focusing on the community and society. The employee engagement is likely to rise when they feel connected and part of a larger purpose at work. It will not seem like an inconvenience. Instead, it will seem like a responsible activity that they will be carrying out even outside of the organisation. It will increase satisfaction among them. It is difficult to assume that working for organisations that implement corporate sustainability initiatives will provide all employees with a sense of purpose, but it is safe to say that they are more likely to recognise their employers' efforts, which can help them decide as to whether to remain in that environment.</w:t>
      </w:r>
    </w:p>
    <w:p w14:paraId="21812E27" w14:textId="764A3198" w:rsidR="001A4F42" w:rsidRPr="001A4F42" w:rsidRDefault="00D502A6" w:rsidP="00D502A6">
      <w:pPr>
        <w:spacing w:after="0" w:line="360" w:lineRule="auto"/>
        <w:ind w:right="-46"/>
        <w:jc w:val="both"/>
      </w:pPr>
      <w:r>
        <w:t>Employees who are pleased of their organisation are also more willing to share online the sustainable initiatives performed at their workplace, according to Lalwani (2021). This can help that company to gain a reputation as a desirable employer and engage potential employees without ever meeting them. That's a significant benefit of participating in a sustainability effort.</w:t>
      </w:r>
    </w:p>
    <w:p w14:paraId="420E61C1" w14:textId="77777777" w:rsidR="00170AAC" w:rsidRDefault="00170AAC" w:rsidP="00D502A6">
      <w:pPr>
        <w:spacing w:after="0" w:line="360" w:lineRule="auto"/>
        <w:ind w:right="-46"/>
        <w:jc w:val="both"/>
        <w:rPr>
          <w:b/>
          <w:bCs/>
        </w:rPr>
      </w:pPr>
    </w:p>
    <w:p w14:paraId="6F5C3D8E" w14:textId="4B16BAF0" w:rsidR="00D502A6" w:rsidRPr="00E21B64" w:rsidRDefault="00D502A6" w:rsidP="00170AAC">
      <w:pPr>
        <w:spacing w:after="0" w:line="240" w:lineRule="auto"/>
        <w:ind w:right="-46"/>
        <w:jc w:val="both"/>
        <w:rPr>
          <w:b/>
          <w:bCs/>
        </w:rPr>
      </w:pPr>
      <w:r w:rsidRPr="00E21B64">
        <w:rPr>
          <w:b/>
          <w:bCs/>
        </w:rPr>
        <w:t>Aim</w:t>
      </w:r>
    </w:p>
    <w:p w14:paraId="19334068" w14:textId="59C6583E" w:rsidR="00D502A6" w:rsidRDefault="00D502A6" w:rsidP="00170AAC">
      <w:pPr>
        <w:spacing w:after="0" w:line="360" w:lineRule="auto"/>
        <w:jc w:val="both"/>
      </w:pPr>
      <w:r>
        <w:t xml:space="preserve">The aim of the research is to investigate the relationship between the corporate sustainability programmes and how this affects the retention and engagement of employees in South Wales. </w:t>
      </w:r>
    </w:p>
    <w:p w14:paraId="5E3A9FA9" w14:textId="77777777" w:rsidR="00D502A6" w:rsidRPr="00E21B64" w:rsidRDefault="00D502A6" w:rsidP="00D502A6">
      <w:pPr>
        <w:spacing w:after="0" w:line="360" w:lineRule="auto"/>
        <w:rPr>
          <w:b/>
          <w:bCs/>
        </w:rPr>
      </w:pPr>
      <w:r w:rsidRPr="00E21B64">
        <w:rPr>
          <w:b/>
          <w:bCs/>
        </w:rPr>
        <w:lastRenderedPageBreak/>
        <w:t>Objectives</w:t>
      </w:r>
    </w:p>
    <w:p w14:paraId="0A0BF3FC" w14:textId="77777777" w:rsidR="00D502A6" w:rsidRPr="009A7F42" w:rsidRDefault="00D502A6" w:rsidP="00D502A6">
      <w:pPr>
        <w:pStyle w:val="ListParagraph"/>
        <w:numPr>
          <w:ilvl w:val="0"/>
          <w:numId w:val="1"/>
        </w:numPr>
        <w:spacing w:after="0" w:line="360" w:lineRule="auto"/>
        <w:rPr>
          <w:rFonts w:cstheme="minorHAnsi"/>
        </w:rPr>
      </w:pPr>
      <w:r w:rsidRPr="009A7F42">
        <w:rPr>
          <w:rFonts w:eastAsia="Times New Roman" w:cstheme="minorHAnsi"/>
          <w:color w:val="374151"/>
          <w:kern w:val="0"/>
          <w:lang w:eastAsia="en-GB"/>
          <w14:ligatures w14:val="none"/>
        </w:rPr>
        <w:t>To explore the relationship between employee perception of corporate sustainability efforts and their commitment to the organization</w:t>
      </w:r>
      <w:r>
        <w:rPr>
          <w:rFonts w:eastAsia="Times New Roman" w:cstheme="minorHAnsi"/>
          <w:color w:val="374151"/>
          <w:kern w:val="0"/>
          <w:lang w:eastAsia="en-GB"/>
          <w14:ligatures w14:val="none"/>
        </w:rPr>
        <w:t>.</w:t>
      </w:r>
    </w:p>
    <w:p w14:paraId="079BB902" w14:textId="77777777" w:rsidR="00D502A6" w:rsidRDefault="00D502A6" w:rsidP="00D502A6">
      <w:pPr>
        <w:pStyle w:val="ListParagraph"/>
        <w:numPr>
          <w:ilvl w:val="0"/>
          <w:numId w:val="1"/>
        </w:numPr>
        <w:spacing w:after="0" w:line="360" w:lineRule="auto"/>
        <w:rPr>
          <w:rFonts w:cstheme="minorHAnsi"/>
        </w:rPr>
      </w:pPr>
      <w:r w:rsidRPr="009A7F42">
        <w:rPr>
          <w:rFonts w:cstheme="minorHAnsi"/>
        </w:rPr>
        <w:t>To assess the level of awareness and participation of employees in corporate sustainability initiatives.</w:t>
      </w:r>
    </w:p>
    <w:p w14:paraId="7C152683" w14:textId="77777777" w:rsidR="00D502A6" w:rsidRDefault="00D502A6" w:rsidP="00D502A6">
      <w:pPr>
        <w:pStyle w:val="ListParagraph"/>
        <w:numPr>
          <w:ilvl w:val="0"/>
          <w:numId w:val="1"/>
        </w:numPr>
        <w:spacing w:after="0" w:line="360" w:lineRule="auto"/>
        <w:rPr>
          <w:rFonts w:cstheme="minorHAnsi"/>
        </w:rPr>
      </w:pPr>
      <w:r w:rsidRPr="009A7F42">
        <w:rPr>
          <w:rFonts w:cstheme="minorHAnsi"/>
        </w:rPr>
        <w:t xml:space="preserve">To investigate </w:t>
      </w:r>
      <w:r w:rsidRPr="00541357">
        <w:rPr>
          <w:rFonts w:cstheme="minorHAnsi"/>
        </w:rPr>
        <w:t>possible obstacles or problems that prevent corporate sustainability initiatives from improving employee engagement and retention</w:t>
      </w:r>
      <w:r>
        <w:rPr>
          <w:rFonts w:cstheme="minorHAnsi"/>
        </w:rPr>
        <w:t>.</w:t>
      </w:r>
    </w:p>
    <w:p w14:paraId="527376E9" w14:textId="77777777" w:rsidR="00D502A6" w:rsidRPr="00D05EFF" w:rsidRDefault="00D502A6" w:rsidP="00D502A6">
      <w:pPr>
        <w:pStyle w:val="ListParagraph"/>
        <w:spacing w:after="0" w:line="360" w:lineRule="auto"/>
        <w:rPr>
          <w:rFonts w:cstheme="minorHAnsi"/>
        </w:rPr>
      </w:pPr>
    </w:p>
    <w:p w14:paraId="32A5A448" w14:textId="77777777" w:rsidR="00D502A6" w:rsidRPr="00E21B64" w:rsidRDefault="00D502A6" w:rsidP="00D502A6">
      <w:pPr>
        <w:spacing w:after="0" w:line="360" w:lineRule="auto"/>
        <w:rPr>
          <w:b/>
          <w:bCs/>
        </w:rPr>
      </w:pPr>
      <w:r w:rsidRPr="00E21B64">
        <w:rPr>
          <w:b/>
          <w:bCs/>
        </w:rPr>
        <w:t>Research approach</w:t>
      </w:r>
    </w:p>
    <w:p w14:paraId="179C3D9E" w14:textId="77777777" w:rsidR="00D502A6" w:rsidRPr="00E21B64" w:rsidRDefault="00D502A6" w:rsidP="00D502A6">
      <w:pPr>
        <w:spacing w:after="0" w:line="360" w:lineRule="auto"/>
        <w:jc w:val="both"/>
        <w:rPr>
          <w:rFonts w:cstheme="minorHAnsi"/>
          <w:lang w:val="en-US" w:eastAsia="en-GB"/>
        </w:rPr>
      </w:pPr>
      <w:r w:rsidRPr="00E21B64">
        <w:rPr>
          <w:rFonts w:cstheme="minorHAnsi"/>
          <w:lang w:val="en-US" w:eastAsia="en-GB"/>
        </w:rPr>
        <w:t>An inductive approach w</w:t>
      </w:r>
      <w:r>
        <w:rPr>
          <w:rFonts w:cstheme="minorHAnsi"/>
          <w:lang w:val="en-US" w:eastAsia="en-GB"/>
        </w:rPr>
        <w:t xml:space="preserve">ill be </w:t>
      </w:r>
      <w:r w:rsidRPr="00E21B64">
        <w:rPr>
          <w:rFonts w:cstheme="minorHAnsi"/>
          <w:lang w:val="en-US" w:eastAsia="en-GB"/>
        </w:rPr>
        <w:t xml:space="preserve">applied to the research for this study.  The goal is to arrive at a broad conclusion that will help businesses in South Wales to better understand the relationship between the corporate sustainability programs and the employee engagement and retention. </w:t>
      </w:r>
    </w:p>
    <w:p w14:paraId="5FF4999C" w14:textId="2E6DA4DF" w:rsidR="00D502A6" w:rsidRDefault="00D502A6" w:rsidP="00D502A6">
      <w:pPr>
        <w:spacing w:after="0" w:line="360" w:lineRule="auto"/>
        <w:jc w:val="both"/>
        <w:rPr>
          <w:rFonts w:cstheme="minorHAnsi"/>
          <w:lang w:val="en-US" w:eastAsia="en-GB"/>
        </w:rPr>
      </w:pPr>
      <w:r w:rsidRPr="00E21B64">
        <w:rPr>
          <w:rFonts w:cstheme="minorHAnsi"/>
          <w:lang w:val="en-US" w:eastAsia="en-GB"/>
        </w:rPr>
        <w:t xml:space="preserve">A mixed method approach </w:t>
      </w:r>
      <w:r w:rsidR="00703762">
        <w:rPr>
          <w:rFonts w:cstheme="minorHAnsi"/>
          <w:lang w:val="en-US" w:eastAsia="en-GB"/>
        </w:rPr>
        <w:t>will be</w:t>
      </w:r>
      <w:r w:rsidRPr="00E21B64">
        <w:rPr>
          <w:rFonts w:cstheme="minorHAnsi"/>
          <w:lang w:val="en-US" w:eastAsia="en-GB"/>
        </w:rPr>
        <w:t xml:space="preserve"> applied since this can yield a more thorough knowledge of the research question and provide a variety of evidence, according to Mukumbang (2023). The roles of quantitative and qualitative methods are evident in helping to comprehend the circumstance (the what), meaning, norms, and values (the why or how) within a single research question (Wasti et al, 2022).</w:t>
      </w:r>
    </w:p>
    <w:p w14:paraId="45B5CCE3" w14:textId="77777777" w:rsidR="00D502A6" w:rsidRPr="005E33B2" w:rsidRDefault="00D502A6" w:rsidP="00D502A6">
      <w:pPr>
        <w:spacing w:after="0" w:line="360" w:lineRule="auto"/>
        <w:jc w:val="both"/>
        <w:rPr>
          <w:rFonts w:cstheme="minorHAnsi"/>
          <w:lang w:val="en-US" w:eastAsia="en-GB"/>
        </w:rPr>
      </w:pPr>
    </w:p>
    <w:p w14:paraId="6A820AC9" w14:textId="77777777" w:rsidR="00D502A6" w:rsidRPr="00DB7422" w:rsidRDefault="00D502A6" w:rsidP="00D502A6">
      <w:pPr>
        <w:spacing w:after="0" w:line="360" w:lineRule="auto"/>
        <w:jc w:val="both"/>
        <w:rPr>
          <w:rFonts w:cstheme="minorHAnsi"/>
          <w:b/>
          <w:bCs/>
          <w:lang w:val="en-US" w:eastAsia="en-GB"/>
        </w:rPr>
      </w:pPr>
      <w:r w:rsidRPr="00E21B64">
        <w:rPr>
          <w:rFonts w:cstheme="minorHAnsi"/>
          <w:b/>
          <w:bCs/>
          <w:lang w:val="en-US" w:eastAsia="en-GB"/>
        </w:rPr>
        <w:t>Data collection methods</w:t>
      </w:r>
    </w:p>
    <w:p w14:paraId="19E4B78F" w14:textId="77777777" w:rsidR="00D502A6" w:rsidRDefault="00D502A6" w:rsidP="00D502A6">
      <w:pPr>
        <w:spacing w:after="0" w:line="360" w:lineRule="auto"/>
        <w:jc w:val="both"/>
        <w:rPr>
          <w:rFonts w:eastAsia="Times New Roman" w:cstheme="minorHAnsi"/>
          <w:kern w:val="0"/>
          <w:lang w:eastAsia="en-GB"/>
          <w14:ligatures w14:val="none"/>
        </w:rPr>
      </w:pPr>
      <w:r w:rsidRPr="00EE5037">
        <w:t xml:space="preserve">The main research consists of a questionnaire that </w:t>
      </w:r>
      <w:r>
        <w:t xml:space="preserve">will </w:t>
      </w:r>
      <w:r w:rsidRPr="00EE5037">
        <w:t xml:space="preserve">enable the researcher to </w:t>
      </w:r>
      <w:r>
        <w:t xml:space="preserve">collect </w:t>
      </w:r>
      <w:r w:rsidRPr="00EE5037">
        <w:t xml:space="preserve">large amount of data, conduct a statistical analysis, and develop a hypothesis. The questionnaire will include half quantitative questions and half open-ended questions necessary to gather qualitative insights into </w:t>
      </w:r>
      <w:r w:rsidRPr="00EE5037">
        <w:rPr>
          <w:rFonts w:eastAsia="Times New Roman" w:cstheme="minorHAnsi"/>
          <w:kern w:val="0"/>
          <w:lang w:eastAsia="en-GB"/>
          <w14:ligatures w14:val="none"/>
        </w:rPr>
        <w:t>exploring the relationship between employee perception of corporate sustainability efforts and their commitment to the organization, as well as any obstacles in preventing employee engagement with the corporate sustainable programmes.</w:t>
      </w:r>
    </w:p>
    <w:p w14:paraId="76520FE9" w14:textId="246103D4" w:rsidR="00703762" w:rsidRDefault="00D502A6" w:rsidP="00D502A6">
      <w:pPr>
        <w:spacing w:after="0" w:line="360" w:lineRule="auto"/>
        <w:jc w:val="both"/>
      </w:pPr>
      <w:r>
        <w:rPr>
          <w:rFonts w:eastAsia="Times New Roman" w:cstheme="minorHAnsi"/>
          <w:kern w:val="0"/>
          <w:lang w:eastAsia="en-GB"/>
          <w14:ligatures w14:val="none"/>
        </w:rPr>
        <w:t>Secondary research will also be conducted, mainly consisting of reviewing existing literature that concludes how the corporate sustainable programmes affect the employee engagement and retention glo</w:t>
      </w:r>
      <w:r w:rsidR="00703762">
        <w:rPr>
          <w:rFonts w:eastAsia="Times New Roman" w:cstheme="minorHAnsi"/>
          <w:kern w:val="0"/>
          <w:lang w:eastAsia="en-GB"/>
          <w14:ligatures w14:val="none"/>
        </w:rPr>
        <w:t>b</w:t>
      </w:r>
      <w:r>
        <w:rPr>
          <w:rFonts w:eastAsia="Times New Roman" w:cstheme="minorHAnsi"/>
          <w:kern w:val="0"/>
          <w:lang w:eastAsia="en-GB"/>
          <w14:ligatures w14:val="none"/>
        </w:rPr>
        <w:t>ally. This will also help the researcher to identify existing gaps in the subject being studied and even to recommend future areas for investigation.</w:t>
      </w:r>
    </w:p>
    <w:p w14:paraId="01B0187B" w14:textId="77777777" w:rsidR="00170AAC" w:rsidRPr="00170AAC" w:rsidRDefault="00170AAC" w:rsidP="00D502A6">
      <w:pPr>
        <w:spacing w:after="0" w:line="360" w:lineRule="auto"/>
        <w:jc w:val="both"/>
      </w:pPr>
    </w:p>
    <w:p w14:paraId="53201F8E" w14:textId="56B84594" w:rsidR="00D502A6" w:rsidRPr="00E21B64" w:rsidRDefault="00D502A6" w:rsidP="00D502A6">
      <w:pPr>
        <w:spacing w:after="0" w:line="360" w:lineRule="auto"/>
        <w:jc w:val="both"/>
        <w:rPr>
          <w:rFonts w:cstheme="minorHAnsi"/>
          <w:b/>
          <w:bCs/>
          <w:lang w:val="en-US" w:eastAsia="en-GB"/>
        </w:rPr>
      </w:pPr>
      <w:r w:rsidRPr="00E21B64">
        <w:rPr>
          <w:rFonts w:cstheme="minorHAnsi"/>
          <w:b/>
          <w:bCs/>
          <w:lang w:val="en-US" w:eastAsia="en-GB"/>
        </w:rPr>
        <w:t>Sampling</w:t>
      </w:r>
    </w:p>
    <w:p w14:paraId="126776A3" w14:textId="77777777" w:rsidR="00D502A6" w:rsidRPr="00B82543" w:rsidRDefault="00D502A6" w:rsidP="00D502A6">
      <w:pPr>
        <w:spacing w:after="0" w:line="360" w:lineRule="auto"/>
        <w:jc w:val="both"/>
      </w:pPr>
      <w:r w:rsidRPr="00B82543">
        <w:t>Sampling can be defined as the process of choosing sampling units from the population to estimate parameters and ensure accurate representation. Researchers</w:t>
      </w:r>
      <w:r>
        <w:t xml:space="preserve"> can</w:t>
      </w:r>
      <w:r w:rsidRPr="00B82543">
        <w:t xml:space="preserve"> use</w:t>
      </w:r>
      <w:r>
        <w:t xml:space="preserve"> </w:t>
      </w:r>
      <w:r w:rsidRPr="00B82543">
        <w:t>inferential statistics to identify the characteristics of a population based on a sample of observations (Singh, 2016).</w:t>
      </w:r>
      <w:r>
        <w:t xml:space="preserve">  Ensuring t</w:t>
      </w:r>
      <w:r w:rsidRPr="00B82543">
        <w:t xml:space="preserve">hat the </w:t>
      </w:r>
      <w:r w:rsidRPr="00B82543">
        <w:lastRenderedPageBreak/>
        <w:t>sample is representative of the population being investigated is crucial since, in the absence of this, the results might not fairly represent the traits, viewpoints, or actions of the public, producing biassed or false conclusions. The possibility of getting a representative sample is increased by using a well-chosen sampling strategy</w:t>
      </w:r>
      <w:r>
        <w:t xml:space="preserve"> (McEwan, 2020)</w:t>
      </w:r>
      <w:r w:rsidRPr="00B82543">
        <w:t>.</w:t>
      </w:r>
    </w:p>
    <w:p w14:paraId="263EFBD8" w14:textId="77777777" w:rsidR="00D502A6" w:rsidRDefault="00D502A6" w:rsidP="00D502A6">
      <w:pPr>
        <w:spacing w:after="0" w:line="360" w:lineRule="auto"/>
        <w:jc w:val="both"/>
      </w:pPr>
      <w:r w:rsidRPr="00B82543">
        <w:t>After assessing the research objective, the characteristics of the target population, and available resources, a random sample w</w:t>
      </w:r>
      <w:r>
        <w:t>ill be</w:t>
      </w:r>
      <w:r w:rsidRPr="00B82543">
        <w:t xml:space="preserve"> drawn from the employed South Wales population. The questionnaire </w:t>
      </w:r>
      <w:r>
        <w:t xml:space="preserve">will be addressed to </w:t>
      </w:r>
      <w:r w:rsidRPr="00B82543">
        <w:t>100 adult full-time and part-time workers in South Wales.</w:t>
      </w:r>
    </w:p>
    <w:p w14:paraId="0088D544" w14:textId="77777777" w:rsidR="00860665" w:rsidRPr="00DB7422" w:rsidRDefault="00860665" w:rsidP="00D502A6">
      <w:pPr>
        <w:spacing w:after="0" w:line="360" w:lineRule="auto"/>
        <w:jc w:val="both"/>
      </w:pPr>
    </w:p>
    <w:p w14:paraId="595062E3" w14:textId="77777777" w:rsidR="00D502A6" w:rsidRPr="00E21B64" w:rsidRDefault="00D502A6" w:rsidP="00D502A6">
      <w:pPr>
        <w:spacing w:after="0" w:line="360" w:lineRule="auto"/>
        <w:jc w:val="both"/>
        <w:rPr>
          <w:b/>
          <w:bCs/>
          <w:sz w:val="16"/>
          <w:szCs w:val="16"/>
        </w:rPr>
      </w:pPr>
      <w:r w:rsidRPr="00E21B64">
        <w:rPr>
          <w:rFonts w:cstheme="minorHAnsi"/>
          <w:b/>
          <w:bCs/>
          <w:lang w:val="en-US" w:eastAsia="en-GB"/>
        </w:rPr>
        <w:t>Data analysis</w:t>
      </w:r>
    </w:p>
    <w:p w14:paraId="7CFB7C54" w14:textId="775B4A4C" w:rsidR="00D502A6" w:rsidRDefault="00D502A6" w:rsidP="00D502A6">
      <w:pPr>
        <w:spacing w:after="0" w:line="360" w:lineRule="auto"/>
        <w:jc w:val="both"/>
      </w:pPr>
      <w:r>
        <w:t xml:space="preserve">The quantitative data will be analysed through charts, graphs, and pivot tables in Excel. The latter are a useful tool for large data analysis as it facilitates understanding and comparing responses </w:t>
      </w:r>
      <w:r w:rsidR="00170AAC">
        <w:t>in</w:t>
      </w:r>
      <w:r>
        <w:t xml:space="preserve"> the survey from various respondents and gain more precise insights (McKee, 2021). For the open-ended questions a thematic analysis method will be utilized to identify repeating patterns (Kiger &amp; Varpio, 2020). </w:t>
      </w:r>
    </w:p>
    <w:p w14:paraId="23E62E84" w14:textId="77777777" w:rsidR="002D64E4" w:rsidRDefault="002D64E4" w:rsidP="00D502A6">
      <w:pPr>
        <w:spacing w:after="0" w:line="360" w:lineRule="auto"/>
        <w:jc w:val="both"/>
        <w:rPr>
          <w:rFonts w:cstheme="minorHAnsi"/>
          <w:b/>
          <w:bCs/>
          <w:lang w:val="en-US" w:eastAsia="en-GB"/>
        </w:rPr>
      </w:pPr>
    </w:p>
    <w:p w14:paraId="56DD8C2A" w14:textId="77CA387E" w:rsidR="00D502A6" w:rsidRPr="00E21B64" w:rsidRDefault="00D502A6" w:rsidP="00D502A6">
      <w:pPr>
        <w:spacing w:after="0" w:line="360" w:lineRule="auto"/>
        <w:jc w:val="both"/>
        <w:rPr>
          <w:rFonts w:cstheme="minorHAnsi"/>
          <w:b/>
          <w:bCs/>
          <w:lang w:val="en-US" w:eastAsia="en-GB"/>
        </w:rPr>
      </w:pPr>
      <w:r w:rsidRPr="00E21B64">
        <w:rPr>
          <w:rFonts w:cstheme="minorHAnsi"/>
          <w:b/>
          <w:bCs/>
          <w:lang w:val="en-US" w:eastAsia="en-GB"/>
        </w:rPr>
        <w:t>Ethical considerations</w:t>
      </w:r>
    </w:p>
    <w:p w14:paraId="017E6600" w14:textId="2D05D0A8" w:rsidR="00D502A6" w:rsidRDefault="00D502A6" w:rsidP="007B050F">
      <w:pPr>
        <w:spacing w:after="0" w:line="360" w:lineRule="auto"/>
        <w:jc w:val="both"/>
      </w:pPr>
      <w:r w:rsidRPr="00E21B64">
        <w:t>As the foundation of honesty and responsible conduct, ethical considerations are essential to all research projects. The ethical conduct can increase trust in the researcher and the university, generate new knowledge and promote values like fairness and accountability, according to Resnik (2020).</w:t>
      </w:r>
      <w:r>
        <w:t xml:space="preserve"> </w:t>
      </w:r>
      <w:r w:rsidRPr="00E21B64">
        <w:t>The rights, dignity, and general well-being of every study subject must come first for researchers. This entails getting informed consent, protecting privacy and confidentiality, and reducing any risk of injury or pain (McGregor, 2023). In addition, researchers need to follow accepted ethical standards and values like integrity, openness, and responsibility. Fairness, equity, and justice are also important concerns that need to be properly handled to prevent discrimination and exploitation of any kind.</w:t>
      </w:r>
      <w:r>
        <w:t xml:space="preserve"> </w:t>
      </w:r>
      <w:r w:rsidRPr="00E21B64">
        <w:t>The</w:t>
      </w:r>
      <w:r>
        <w:t xml:space="preserve"> </w:t>
      </w:r>
      <w:r w:rsidRPr="00E21B64">
        <w:t>sample population invited to complete the questionnaire will be informed about the protection of their privacy and data collected, and anonymity of the study.</w:t>
      </w:r>
    </w:p>
    <w:p w14:paraId="691BAFF1" w14:textId="77777777" w:rsidR="00D502A6" w:rsidRPr="005E33B2" w:rsidRDefault="00D502A6" w:rsidP="00D502A6">
      <w:pPr>
        <w:spacing w:after="0" w:line="360" w:lineRule="auto"/>
        <w:rPr>
          <w:b/>
          <w:bCs/>
        </w:rPr>
      </w:pPr>
      <w:r w:rsidRPr="005E33B2">
        <w:rPr>
          <w:b/>
          <w:bCs/>
        </w:rPr>
        <w:t>Limitations</w:t>
      </w:r>
    </w:p>
    <w:p w14:paraId="5CE41E32" w14:textId="77777777" w:rsidR="00C557CA" w:rsidRDefault="00D502A6" w:rsidP="00C557CA">
      <w:pPr>
        <w:spacing w:after="0" w:line="360" w:lineRule="auto"/>
        <w:jc w:val="both"/>
      </w:pPr>
      <w:r w:rsidRPr="005E33B2">
        <w:t>There may be restrictions on the amount of data that can be collected as well as time constraints since the research must be finished by a specific date.</w:t>
      </w:r>
      <w:r>
        <w:t xml:space="preserve"> It might become difficult to identify a theory related to how the corporate sustainability programmes impact the employed population of South Wales if the sample size will be proven insufficient.</w:t>
      </w:r>
    </w:p>
    <w:p w14:paraId="54F0E6ED" w14:textId="77777777" w:rsidR="00437575" w:rsidRDefault="00437575" w:rsidP="00C557CA">
      <w:pPr>
        <w:spacing w:after="0" w:line="360" w:lineRule="auto"/>
        <w:jc w:val="both"/>
      </w:pPr>
    </w:p>
    <w:p w14:paraId="397299F6" w14:textId="400859C3" w:rsidR="00D6468A" w:rsidRDefault="00D6468A" w:rsidP="00C557CA">
      <w:pPr>
        <w:spacing w:after="0" w:line="360" w:lineRule="auto"/>
        <w:jc w:val="both"/>
      </w:pPr>
    </w:p>
    <w:p w14:paraId="27B87FBC" w14:textId="77777777" w:rsidR="00D6468A" w:rsidRDefault="00D6468A">
      <w:pPr>
        <w:sectPr w:rsidR="00D6468A" w:rsidSect="0040386C">
          <w:pgSz w:w="11906" w:h="16838"/>
          <w:pgMar w:top="1440" w:right="1440" w:bottom="1440" w:left="1440" w:header="708" w:footer="708" w:gutter="0"/>
          <w:pgNumType w:start="0"/>
          <w:cols w:space="708"/>
          <w:titlePg/>
          <w:docGrid w:linePitch="360"/>
        </w:sectPr>
      </w:pPr>
    </w:p>
    <w:p w14:paraId="17C580FF" w14:textId="0414329A" w:rsidR="005F50E1" w:rsidRDefault="005F50E1">
      <w:r>
        <w:lastRenderedPageBreak/>
        <w:t>Gantt Chart</w:t>
      </w:r>
    </w:p>
    <w:p w14:paraId="7D24F9B8" w14:textId="53A24EF6" w:rsidR="00D6468A" w:rsidRDefault="00D6468A" w:rsidP="00D47F3E">
      <w:pPr>
        <w:sectPr w:rsidR="00D6468A" w:rsidSect="00D6468A">
          <w:pgSz w:w="16838" w:h="11906" w:orient="landscape" w:code="9"/>
          <w:pgMar w:top="1440" w:right="1440" w:bottom="1440" w:left="1440" w:header="709" w:footer="709" w:gutter="0"/>
          <w:pgNumType w:start="0"/>
          <w:cols w:space="708"/>
          <w:titlePg/>
          <w:docGrid w:linePitch="360"/>
        </w:sectPr>
      </w:pPr>
      <w:r w:rsidRPr="00D6468A">
        <w:rPr>
          <w:noProof/>
        </w:rPr>
        <w:drawing>
          <wp:inline distT="0" distB="0" distL="0" distR="0" wp14:anchorId="63B43C24" wp14:editId="6F286E86">
            <wp:extent cx="8496300" cy="5266371"/>
            <wp:effectExtent l="0" t="0" r="0" b="0"/>
            <wp:docPr id="108409083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90838" name="Picture 1" descr="A screenshot of a graph&#10;&#10;Description automatically generated"/>
                    <pic:cNvPicPr/>
                  </pic:nvPicPr>
                  <pic:blipFill>
                    <a:blip r:embed="rId8"/>
                    <a:stretch>
                      <a:fillRect/>
                    </a:stretch>
                  </pic:blipFill>
                  <pic:spPr>
                    <a:xfrm>
                      <a:off x="0" y="0"/>
                      <a:ext cx="8503815" cy="5271029"/>
                    </a:xfrm>
                    <a:prstGeom prst="rect">
                      <a:avLst/>
                    </a:prstGeom>
                  </pic:spPr>
                </pic:pic>
              </a:graphicData>
            </a:graphic>
          </wp:inline>
        </w:drawing>
      </w:r>
    </w:p>
    <w:p w14:paraId="79B59F17" w14:textId="0E2FDAA8" w:rsidR="00D502A6" w:rsidRPr="00C557CA" w:rsidRDefault="00D502A6" w:rsidP="00C557CA">
      <w:pPr>
        <w:spacing w:after="0" w:line="360" w:lineRule="auto"/>
        <w:jc w:val="both"/>
      </w:pPr>
      <w:r w:rsidRPr="005B7E80">
        <w:rPr>
          <w:b/>
          <w:bCs/>
        </w:rPr>
        <w:lastRenderedPageBreak/>
        <w:t>References</w:t>
      </w:r>
      <w:r w:rsidRPr="00FE3B61">
        <w:rPr>
          <w:sz w:val="24"/>
          <w:szCs w:val="24"/>
        </w:rPr>
        <w:t>:</w:t>
      </w:r>
    </w:p>
    <w:p w14:paraId="47A52D17" w14:textId="77777777" w:rsidR="00D502A6" w:rsidRPr="00D67F4E" w:rsidRDefault="00D502A6" w:rsidP="00D67F4E">
      <w:pPr>
        <w:jc w:val="both"/>
        <w:rPr>
          <w:rFonts w:cstheme="minorHAnsi"/>
        </w:rPr>
      </w:pPr>
      <w:r w:rsidRPr="00D67F4E">
        <w:rPr>
          <w:rFonts w:cstheme="minorHAnsi"/>
        </w:rPr>
        <w:t xml:space="preserve">Ahmad, N., Ullah, Z., Aldhaen, E., Han, H., &amp; Scholz, M. (2022). A CSR perspective to foster employee creativity in the banking sector: The role of work engagement and psychological safety, </w:t>
      </w:r>
      <w:r w:rsidRPr="00D67F4E">
        <w:rPr>
          <w:rFonts w:cstheme="minorHAnsi"/>
          <w:i/>
          <w:iCs/>
        </w:rPr>
        <w:t>Journal of Retailing and Consumer Services</w:t>
      </w:r>
      <w:r w:rsidRPr="00D67F4E">
        <w:rPr>
          <w:rFonts w:cstheme="minorHAnsi"/>
        </w:rPr>
        <w:t xml:space="preserve">, 67, 102968. </w:t>
      </w:r>
      <w:hyperlink r:id="rId9" w:history="1">
        <w:r w:rsidRPr="00D67F4E">
          <w:rPr>
            <w:rStyle w:val="Hyperlink"/>
            <w:rFonts w:cstheme="minorHAnsi"/>
          </w:rPr>
          <w:t>https://doi-rg.ezproxy.uwtsd.ac.uk/10.1016/j.jretconser</w:t>
        </w:r>
      </w:hyperlink>
      <w:r w:rsidRPr="00D67F4E">
        <w:rPr>
          <w:rFonts w:cstheme="minorHAnsi"/>
        </w:rPr>
        <w:t>, accessed on 17.02.2024</w:t>
      </w:r>
      <w:r w:rsidRPr="00D67F4E">
        <w:rPr>
          <w:rFonts w:cstheme="minorHAnsi"/>
        </w:rPr>
        <w:tab/>
      </w:r>
    </w:p>
    <w:p w14:paraId="26BFAF63" w14:textId="77777777" w:rsidR="00D502A6" w:rsidRPr="00D67F4E" w:rsidRDefault="00D502A6" w:rsidP="00D67F4E">
      <w:pPr>
        <w:jc w:val="both"/>
        <w:rPr>
          <w:rFonts w:cstheme="minorHAnsi"/>
        </w:rPr>
      </w:pPr>
      <w:r w:rsidRPr="00D67F4E">
        <w:rPr>
          <w:rFonts w:cstheme="minorHAnsi"/>
        </w:rPr>
        <w:t xml:space="preserve">Bapat, S. Upadhyay, P., 2021. Implications of CSR initiatives on employee engagement. </w:t>
      </w:r>
      <w:r w:rsidRPr="00D67F4E">
        <w:rPr>
          <w:rFonts w:cstheme="minorHAnsi"/>
          <w:i/>
          <w:iCs/>
        </w:rPr>
        <w:t>Social Responsibility Journal</w:t>
      </w:r>
      <w:r w:rsidRPr="00D67F4E">
        <w:rPr>
          <w:rFonts w:cstheme="minorHAnsi"/>
        </w:rPr>
        <w:t>, 17(2), pp. 149-163.</w:t>
      </w:r>
    </w:p>
    <w:p w14:paraId="22B82F40" w14:textId="77777777" w:rsidR="00D502A6" w:rsidRPr="00D67F4E" w:rsidRDefault="00D502A6" w:rsidP="00D67F4E">
      <w:pPr>
        <w:jc w:val="both"/>
        <w:rPr>
          <w:rFonts w:cstheme="minorHAnsi"/>
        </w:rPr>
      </w:pPr>
      <w:r w:rsidRPr="00D67F4E">
        <w:rPr>
          <w:rFonts w:cstheme="minorHAnsi"/>
        </w:rPr>
        <w:t xml:space="preserve">CIPHR, (2022), </w:t>
      </w:r>
      <w:r w:rsidRPr="00D67F4E">
        <w:rPr>
          <w:rFonts w:cstheme="minorHAnsi"/>
          <w:i/>
          <w:iCs/>
        </w:rPr>
        <w:t>How sustainable business practices foster great talent attraction and retention</w:t>
      </w:r>
      <w:r w:rsidRPr="00D67F4E">
        <w:rPr>
          <w:rFonts w:cstheme="minorHAnsi"/>
        </w:rPr>
        <w:t xml:space="preserve">, available at </w:t>
      </w:r>
      <w:hyperlink r:id="rId10" w:history="1">
        <w:r w:rsidRPr="00D67F4E">
          <w:rPr>
            <w:rStyle w:val="Hyperlink"/>
            <w:rFonts w:cstheme="minorHAnsi"/>
          </w:rPr>
          <w:t>How sustainable business practices foster great talent attraction and retention - Ciphr</w:t>
        </w:r>
      </w:hyperlink>
      <w:r w:rsidRPr="00D67F4E">
        <w:rPr>
          <w:rFonts w:cstheme="minorHAnsi"/>
        </w:rPr>
        <w:t>, accessed on 19.02.2024</w:t>
      </w:r>
    </w:p>
    <w:p w14:paraId="0EF96C44" w14:textId="77777777" w:rsidR="00D502A6" w:rsidRPr="00D67F4E" w:rsidRDefault="00D502A6" w:rsidP="00D67F4E">
      <w:pPr>
        <w:jc w:val="both"/>
        <w:rPr>
          <w:rFonts w:cstheme="minorHAnsi"/>
        </w:rPr>
      </w:pPr>
      <w:r w:rsidRPr="00D67F4E">
        <w:rPr>
          <w:rFonts w:cstheme="minorHAnsi"/>
        </w:rPr>
        <w:t xml:space="preserve">Deloitte, (2022), </w:t>
      </w:r>
      <w:r w:rsidRPr="00D67F4E">
        <w:rPr>
          <w:rFonts w:cstheme="minorHAnsi"/>
          <w:i/>
          <w:iCs/>
        </w:rPr>
        <w:t xml:space="preserve">In a competitive labour market for retail workers, sustainability programs could give employers an edge, </w:t>
      </w:r>
      <w:r w:rsidRPr="00D67F4E">
        <w:rPr>
          <w:rFonts w:cstheme="minorHAnsi"/>
        </w:rPr>
        <w:t xml:space="preserve">available at </w:t>
      </w:r>
      <w:hyperlink r:id="rId11" w:anchor="endnote-sup-1" w:history="1">
        <w:r w:rsidRPr="00D67F4E">
          <w:rPr>
            <w:rStyle w:val="Hyperlink"/>
            <w:rFonts w:cstheme="minorHAnsi"/>
          </w:rPr>
          <w:t>Retail sustainability and retention | Deloitte Insights</w:t>
        </w:r>
      </w:hyperlink>
      <w:r w:rsidRPr="00D67F4E">
        <w:rPr>
          <w:rFonts w:cstheme="minorHAnsi"/>
        </w:rPr>
        <w:t>, accessed on 19.02.2024</w:t>
      </w:r>
    </w:p>
    <w:p w14:paraId="11BB2128"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Farooq, M., Farooq, O. and Cheffi, W. (2019) “How Do Employees Respond to the CSR Initiatives of their Organizations: Empirical Evidence from Developing Countries,” </w:t>
      </w:r>
      <w:r w:rsidRPr="00D67F4E">
        <w:rPr>
          <w:rFonts w:cstheme="minorHAnsi"/>
          <w:i/>
          <w:iCs/>
          <w:color w:val="3A3A3A"/>
          <w:shd w:val="clear" w:color="auto" w:fill="FFFFFF"/>
        </w:rPr>
        <w:t>Sustainability (Basel, Switzerland)</w:t>
      </w:r>
      <w:r w:rsidRPr="00D67F4E">
        <w:rPr>
          <w:rFonts w:cstheme="minorHAnsi"/>
          <w:color w:val="3A3A3A"/>
          <w:shd w:val="clear" w:color="auto" w:fill="FFFFFF"/>
        </w:rPr>
        <w:t xml:space="preserve">, 11(9), pp. 2646-. Available at: </w:t>
      </w:r>
      <w:hyperlink r:id="rId12" w:history="1">
        <w:r w:rsidRPr="00D67F4E">
          <w:rPr>
            <w:rStyle w:val="Hyperlink"/>
            <w:rFonts w:cstheme="minorHAnsi"/>
            <w:shd w:val="clear" w:color="auto" w:fill="FFFFFF"/>
          </w:rPr>
          <w:t>https://doi.org/10.3390/su11092646</w:t>
        </w:r>
      </w:hyperlink>
      <w:r w:rsidRPr="00D67F4E">
        <w:rPr>
          <w:rFonts w:cstheme="minorHAnsi"/>
          <w:color w:val="3A3A3A"/>
          <w:shd w:val="clear" w:color="auto" w:fill="FFFFFF"/>
        </w:rPr>
        <w:t>, accessed on 15.02.2024</w:t>
      </w:r>
    </w:p>
    <w:p w14:paraId="33E3C7A9" w14:textId="3A938527" w:rsidR="00EC53EA" w:rsidRPr="00D67F4E" w:rsidRDefault="00EC53EA" w:rsidP="00D67F4E">
      <w:pPr>
        <w:jc w:val="both"/>
        <w:rPr>
          <w:rFonts w:cstheme="minorHAnsi"/>
          <w:color w:val="3A3A3A"/>
          <w:shd w:val="clear" w:color="auto" w:fill="FFFFFF"/>
        </w:rPr>
      </w:pPr>
      <w:r w:rsidRPr="00D67F4E">
        <w:rPr>
          <w:rFonts w:cstheme="minorHAnsi"/>
          <w:color w:val="3A3A3A"/>
          <w:shd w:val="clear" w:color="auto" w:fill="FFFFFF"/>
        </w:rPr>
        <w:t xml:space="preserve">GOV, (2023), </w:t>
      </w:r>
      <w:r w:rsidRPr="00D67F4E">
        <w:rPr>
          <w:rFonts w:cstheme="minorHAnsi"/>
          <w:i/>
          <w:iCs/>
          <w:color w:val="3A3A3A"/>
          <w:shd w:val="clear" w:color="auto" w:fill="FFFFFF"/>
        </w:rPr>
        <w:t xml:space="preserve">Written Statement: Sustainable development in Wales and beyond: measuring our progress, </w:t>
      </w:r>
      <w:r w:rsidRPr="00D67F4E">
        <w:rPr>
          <w:rFonts w:cstheme="minorHAnsi"/>
          <w:color w:val="3A3A3A"/>
          <w:shd w:val="clear" w:color="auto" w:fill="FFFFFF"/>
        </w:rPr>
        <w:t xml:space="preserve"> available at </w:t>
      </w:r>
      <w:hyperlink r:id="rId13" w:anchor=":~:text=Wales%20is%20the%20only%20country,Generations%20(Wales)%20Act%202015." w:history="1">
        <w:r w:rsidR="00D16498" w:rsidRPr="00D67F4E">
          <w:rPr>
            <w:rStyle w:val="Hyperlink"/>
            <w:rFonts w:cstheme="minorHAnsi"/>
          </w:rPr>
          <w:t>Written Statement: Sustainable development in Wales and beyond: measuring our progress (10 November 2023) | GOV.WALES</w:t>
        </w:r>
      </w:hyperlink>
      <w:r w:rsidR="00D16498" w:rsidRPr="00D67F4E">
        <w:rPr>
          <w:rFonts w:cstheme="minorHAnsi"/>
        </w:rPr>
        <w:t>, accessed on 21.02.2024</w:t>
      </w:r>
    </w:p>
    <w:p w14:paraId="52F3B4B3"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 xml:space="preserve">Jones, D. A., &amp; Rupp, D. E. (2018). Social responsibility in and of organizations: The psychology of corporate social responsibility among organizational members. In </w:t>
      </w:r>
      <w:r w:rsidRPr="00D67F4E">
        <w:rPr>
          <w:rFonts w:cstheme="minorHAnsi"/>
          <w:i/>
          <w:iCs/>
          <w:color w:val="3A3A3A"/>
          <w:shd w:val="clear" w:color="auto" w:fill="FFFFFF"/>
        </w:rPr>
        <w:t>N. Ander and organizational psychology</w:t>
      </w:r>
      <w:r w:rsidRPr="00D67F4E">
        <w:rPr>
          <w:rFonts w:cstheme="minorHAnsi"/>
          <w:color w:val="3A3A3A"/>
          <w:shd w:val="clear" w:color="auto" w:fill="FFFFFF"/>
        </w:rPr>
        <w:t xml:space="preserve"> (2nd ed., pp. 333–350). SAGE. </w:t>
      </w:r>
      <w:hyperlink r:id="rId14" w:history="1">
        <w:r w:rsidRPr="00D67F4E">
          <w:rPr>
            <w:rStyle w:val="Hyperlink"/>
            <w:rFonts w:cstheme="minorHAnsi"/>
            <w:shd w:val="clear" w:color="auto" w:fill="FFFFFF"/>
          </w:rPr>
          <w:t>https://doi-org.ezproxy.uwtsd.ac.uk/10.1093/acrefore/9</w:t>
        </w:r>
      </w:hyperlink>
      <w:r w:rsidRPr="00D67F4E">
        <w:rPr>
          <w:rFonts w:cstheme="minorHAnsi"/>
          <w:color w:val="3A3A3A"/>
          <w:shd w:val="clear" w:color="auto" w:fill="FFFFFF"/>
        </w:rPr>
        <w:t>, accessed on 17.02.2024</w:t>
      </w:r>
    </w:p>
    <w:p w14:paraId="6A682791"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Kiger, M.E. and Varpio, L. (2020) “Thematic analysis of qualitative data: AMEE Guide No. 131,” </w:t>
      </w:r>
      <w:r w:rsidRPr="00D67F4E">
        <w:rPr>
          <w:rFonts w:cstheme="minorHAnsi"/>
          <w:i/>
          <w:iCs/>
          <w:color w:val="3A3A3A"/>
          <w:shd w:val="clear" w:color="auto" w:fill="FFFFFF"/>
        </w:rPr>
        <w:t>Medical teacher</w:t>
      </w:r>
      <w:r w:rsidRPr="00D67F4E">
        <w:rPr>
          <w:rFonts w:cstheme="minorHAnsi"/>
          <w:color w:val="3A3A3A"/>
          <w:shd w:val="clear" w:color="auto" w:fill="FFFFFF"/>
        </w:rPr>
        <w:t xml:space="preserve">, 42(8), pp. 846–854. Available at: </w:t>
      </w:r>
      <w:hyperlink r:id="rId15" w:history="1">
        <w:r w:rsidRPr="00D67F4E">
          <w:rPr>
            <w:rStyle w:val="Hyperlink"/>
            <w:rFonts w:cstheme="minorHAnsi"/>
            <w:shd w:val="clear" w:color="auto" w:fill="FFFFFF"/>
          </w:rPr>
          <w:t>https://doi.org/10.1080/0142159X.2020.1755030</w:t>
        </w:r>
      </w:hyperlink>
      <w:r w:rsidRPr="00D67F4E">
        <w:rPr>
          <w:rFonts w:cstheme="minorHAnsi"/>
          <w:color w:val="3A3A3A"/>
          <w:shd w:val="clear" w:color="auto" w:fill="FFFFFF"/>
        </w:rPr>
        <w:t>, accessed on 20.02.2024</w:t>
      </w:r>
    </w:p>
    <w:p w14:paraId="38C2DF23" w14:textId="77777777" w:rsidR="00D502A6" w:rsidRPr="00D67F4E" w:rsidRDefault="00D502A6" w:rsidP="00D67F4E">
      <w:pPr>
        <w:jc w:val="both"/>
        <w:rPr>
          <w:rFonts w:cstheme="minorHAnsi"/>
        </w:rPr>
      </w:pPr>
      <w:r w:rsidRPr="00D67F4E">
        <w:rPr>
          <w:rFonts w:cstheme="minorHAnsi"/>
          <w:color w:val="3A3A3A"/>
          <w:shd w:val="clear" w:color="auto" w:fill="FFFFFF"/>
        </w:rPr>
        <w:t xml:space="preserve">Lalwani, P. (2021), </w:t>
      </w:r>
      <w:r w:rsidRPr="00D67F4E">
        <w:rPr>
          <w:rFonts w:cstheme="minorHAnsi"/>
          <w:i/>
          <w:iCs/>
          <w:color w:val="3A3A3A"/>
          <w:shd w:val="clear" w:color="auto" w:fill="FFFFFF"/>
        </w:rPr>
        <w:t xml:space="preserve">World Environment Day Special: Can Corporte Sustainability Initiatives Drive Employee Engagement?, </w:t>
      </w:r>
      <w:r w:rsidRPr="00D67F4E">
        <w:rPr>
          <w:rFonts w:cstheme="minorHAnsi"/>
          <w:color w:val="3A3A3A"/>
          <w:shd w:val="clear" w:color="auto" w:fill="FFFFFF"/>
        </w:rPr>
        <w:t xml:space="preserve">available at </w:t>
      </w:r>
      <w:hyperlink r:id="rId16" w:history="1">
        <w:r w:rsidRPr="00D67F4E">
          <w:rPr>
            <w:rStyle w:val="Hyperlink"/>
            <w:rFonts w:cstheme="minorHAnsi"/>
          </w:rPr>
          <w:t>Can Corporate Sustainabiliy Initiatives Drive Employee Engagement? - Spiceworks</w:t>
        </w:r>
      </w:hyperlink>
      <w:r w:rsidRPr="00D67F4E">
        <w:rPr>
          <w:rFonts w:cstheme="minorHAnsi"/>
        </w:rPr>
        <w:t>, accessed on 16.02.2024</w:t>
      </w:r>
    </w:p>
    <w:p w14:paraId="79939D25" w14:textId="4307C3A3" w:rsidR="00486823" w:rsidRPr="00D67F4E" w:rsidRDefault="00486823" w:rsidP="00D67F4E">
      <w:pPr>
        <w:jc w:val="both"/>
        <w:rPr>
          <w:rFonts w:cstheme="minorHAnsi"/>
        </w:rPr>
      </w:pPr>
      <w:r w:rsidRPr="00D67F4E">
        <w:rPr>
          <w:rFonts w:cstheme="minorHAnsi"/>
          <w:color w:val="3A3A3A"/>
          <w:shd w:val="clear" w:color="auto" w:fill="FFFFFF"/>
        </w:rPr>
        <w:t>Lang, M. and Marsden, T. (2023) “Territorializing sustainability: decoupling and the foundational economy in Wales,” </w:t>
      </w:r>
      <w:r w:rsidRPr="00D67F4E">
        <w:rPr>
          <w:rFonts w:cstheme="minorHAnsi"/>
          <w:i/>
          <w:iCs/>
          <w:color w:val="3A3A3A"/>
          <w:shd w:val="clear" w:color="auto" w:fill="FFFFFF"/>
        </w:rPr>
        <w:t>Territory, politics, governance</w:t>
      </w:r>
      <w:r w:rsidRPr="00D67F4E">
        <w:rPr>
          <w:rFonts w:cstheme="minorHAnsi"/>
          <w:color w:val="3A3A3A"/>
          <w:shd w:val="clear" w:color="auto" w:fill="FFFFFF"/>
        </w:rPr>
        <w:t xml:space="preserve">, 11(8), pp. 1635–1648. Available at: </w:t>
      </w:r>
      <w:hyperlink r:id="rId17" w:history="1">
        <w:r w:rsidRPr="00D67F4E">
          <w:rPr>
            <w:rStyle w:val="Hyperlink"/>
            <w:rFonts w:cstheme="minorHAnsi"/>
            <w:shd w:val="clear" w:color="auto" w:fill="FFFFFF"/>
          </w:rPr>
          <w:t>https://doi.org/10.1080/21622671.2021.1941230</w:t>
        </w:r>
      </w:hyperlink>
      <w:r w:rsidRPr="00D67F4E">
        <w:rPr>
          <w:rFonts w:cstheme="minorHAnsi"/>
          <w:color w:val="3A3A3A"/>
          <w:shd w:val="clear" w:color="auto" w:fill="FFFFFF"/>
        </w:rPr>
        <w:t>, accessed on 21.02.2024</w:t>
      </w:r>
    </w:p>
    <w:p w14:paraId="26F7060D" w14:textId="77777777" w:rsidR="00D502A6" w:rsidRPr="00D67F4E" w:rsidRDefault="00D502A6" w:rsidP="00D67F4E">
      <w:pPr>
        <w:jc w:val="both"/>
        <w:rPr>
          <w:rFonts w:cstheme="minorHAnsi"/>
        </w:rPr>
      </w:pPr>
      <w:r w:rsidRPr="00D67F4E">
        <w:rPr>
          <w:rFonts w:cstheme="minorHAnsi"/>
        </w:rPr>
        <w:t xml:space="preserve">McBride Sustainability, (2023), </w:t>
      </w:r>
      <w:r w:rsidRPr="00D67F4E">
        <w:rPr>
          <w:rFonts w:cstheme="minorHAnsi"/>
          <w:i/>
          <w:iCs/>
        </w:rPr>
        <w:t>Unlocking the Power of Employee Engagement: CSR Initiatives That Make a Difference</w:t>
      </w:r>
      <w:r w:rsidRPr="00D67F4E">
        <w:rPr>
          <w:rFonts w:cstheme="minorHAnsi"/>
        </w:rPr>
        <w:t xml:space="preserve">, available at </w:t>
      </w:r>
      <w:hyperlink r:id="rId18" w:anchor=":~:text=Employees%20who%20actively%20participate%20in,stay%20with%20the%20company%20longer." w:history="1">
        <w:r w:rsidRPr="00D67F4E">
          <w:rPr>
            <w:rStyle w:val="Hyperlink"/>
            <w:rFonts w:cstheme="minorHAnsi"/>
          </w:rPr>
          <w:t>Unlocking the Power of Employee Engagement: CSR Initiatives That Make a Difference (linkedin.com)</w:t>
        </w:r>
      </w:hyperlink>
      <w:r w:rsidRPr="00D67F4E">
        <w:rPr>
          <w:rFonts w:cstheme="minorHAnsi"/>
        </w:rPr>
        <w:t>, accessed on 07.02.2024</w:t>
      </w:r>
    </w:p>
    <w:p w14:paraId="6DAFED5F" w14:textId="77777777" w:rsidR="00D502A6" w:rsidRPr="00D67F4E" w:rsidRDefault="00D502A6" w:rsidP="00D67F4E">
      <w:pPr>
        <w:jc w:val="both"/>
        <w:rPr>
          <w:rFonts w:cstheme="minorHAnsi"/>
          <w:color w:val="3A3A3A"/>
          <w:shd w:val="clear" w:color="auto" w:fill="FFFFFF"/>
        </w:rPr>
      </w:pPr>
      <w:r w:rsidRPr="00D67F4E">
        <w:rPr>
          <w:rFonts w:cstheme="minorHAnsi"/>
        </w:rPr>
        <w:t xml:space="preserve">McGregor, S. L. T, (2023), </w:t>
      </w:r>
      <w:r w:rsidRPr="00D67F4E">
        <w:rPr>
          <w:rFonts w:cstheme="minorHAnsi"/>
          <w:color w:val="3A3A3A"/>
          <w:shd w:val="clear" w:color="auto" w:fill="FFFFFF"/>
        </w:rPr>
        <w:t>“Ethical Considerations in Research about Organizations: Compendium of Strategies,” </w:t>
      </w:r>
      <w:r w:rsidRPr="00D67F4E">
        <w:rPr>
          <w:rFonts w:cstheme="minorHAnsi"/>
          <w:i/>
          <w:iCs/>
          <w:color w:val="3A3A3A"/>
          <w:shd w:val="clear" w:color="auto" w:fill="FFFFFF"/>
        </w:rPr>
        <w:t>Ethics in Progress</w:t>
      </w:r>
      <w:r w:rsidRPr="00D67F4E">
        <w:rPr>
          <w:rFonts w:cstheme="minorHAnsi"/>
          <w:color w:val="3A3A3A"/>
          <w:shd w:val="clear" w:color="auto" w:fill="FFFFFF"/>
        </w:rPr>
        <w:t xml:space="preserve">, 14(2). Available at: </w:t>
      </w:r>
      <w:hyperlink r:id="rId19" w:history="1">
        <w:r w:rsidRPr="00D67F4E">
          <w:rPr>
            <w:rStyle w:val="Hyperlink"/>
            <w:rFonts w:cstheme="minorHAnsi"/>
            <w:shd w:val="clear" w:color="auto" w:fill="FFFFFF"/>
          </w:rPr>
          <w:t>https://doi.org/10.14746/eip.2023.2.1</w:t>
        </w:r>
      </w:hyperlink>
      <w:r w:rsidRPr="00D67F4E">
        <w:rPr>
          <w:rFonts w:cstheme="minorHAnsi"/>
          <w:color w:val="3A3A3A"/>
          <w:shd w:val="clear" w:color="auto" w:fill="FFFFFF"/>
        </w:rPr>
        <w:t>, accessed on 15.02.2024</w:t>
      </w:r>
    </w:p>
    <w:p w14:paraId="11324EC0"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lastRenderedPageBreak/>
        <w:t>McEwan, B. (2020) “Sampling and validity,” </w:t>
      </w:r>
      <w:r w:rsidRPr="00D67F4E">
        <w:rPr>
          <w:rFonts w:cstheme="minorHAnsi"/>
          <w:i/>
          <w:iCs/>
          <w:color w:val="3A3A3A"/>
          <w:shd w:val="clear" w:color="auto" w:fill="FFFFFF"/>
        </w:rPr>
        <w:t>Annals of the International Communication Association</w:t>
      </w:r>
      <w:r w:rsidRPr="00D67F4E">
        <w:rPr>
          <w:rFonts w:cstheme="minorHAnsi"/>
          <w:color w:val="3A3A3A"/>
          <w:shd w:val="clear" w:color="auto" w:fill="FFFFFF"/>
        </w:rPr>
        <w:t xml:space="preserve">, 44(3), pp. 235–247. Available at: </w:t>
      </w:r>
      <w:hyperlink r:id="rId20" w:history="1">
        <w:r w:rsidRPr="00D67F4E">
          <w:rPr>
            <w:rStyle w:val="Hyperlink"/>
            <w:rFonts w:cstheme="minorHAnsi"/>
            <w:shd w:val="clear" w:color="auto" w:fill="FFFFFF"/>
          </w:rPr>
          <w:t>https://doi.org/10.1080/23808985.2020.1792793</w:t>
        </w:r>
      </w:hyperlink>
      <w:r w:rsidRPr="00D67F4E">
        <w:rPr>
          <w:rFonts w:cstheme="minorHAnsi"/>
          <w:color w:val="3A3A3A"/>
          <w:shd w:val="clear" w:color="auto" w:fill="FFFFFF"/>
        </w:rPr>
        <w:t>, accessed on 20.02.2024</w:t>
      </w:r>
    </w:p>
    <w:p w14:paraId="5203CB54" w14:textId="77777777" w:rsidR="00D502A6" w:rsidRPr="00D67F4E" w:rsidRDefault="00D502A6" w:rsidP="00D67F4E">
      <w:pPr>
        <w:jc w:val="both"/>
        <w:rPr>
          <w:rFonts w:cstheme="minorHAnsi"/>
        </w:rPr>
      </w:pPr>
      <w:r w:rsidRPr="00D67F4E">
        <w:rPr>
          <w:rFonts w:cstheme="minorHAnsi"/>
          <w:color w:val="3A3A3A"/>
          <w:shd w:val="clear" w:color="auto" w:fill="FFFFFF"/>
        </w:rPr>
        <w:t>McKee, T.E. (2021) “Analyzing An Audit Population Via Either Excel Pivot Tables and/or R Language Cluster Analysis,” </w:t>
      </w:r>
      <w:r w:rsidRPr="00D67F4E">
        <w:rPr>
          <w:rFonts w:cstheme="minorHAnsi"/>
          <w:i/>
          <w:iCs/>
          <w:color w:val="3A3A3A"/>
          <w:shd w:val="clear" w:color="auto" w:fill="FFFFFF"/>
        </w:rPr>
        <w:t>Current issues in auditing</w:t>
      </w:r>
      <w:r w:rsidRPr="00D67F4E">
        <w:rPr>
          <w:rFonts w:cstheme="minorHAnsi"/>
          <w:color w:val="3A3A3A"/>
          <w:shd w:val="clear" w:color="auto" w:fill="FFFFFF"/>
        </w:rPr>
        <w:t xml:space="preserve">, 15(1), pp. I1–I14. Available at: </w:t>
      </w:r>
      <w:hyperlink r:id="rId21" w:history="1">
        <w:r w:rsidRPr="00D67F4E">
          <w:rPr>
            <w:rStyle w:val="Hyperlink"/>
            <w:rFonts w:cstheme="minorHAnsi"/>
            <w:shd w:val="clear" w:color="auto" w:fill="FFFFFF"/>
          </w:rPr>
          <w:t>https://doi.org/10.2308/CIIA-2019-502</w:t>
        </w:r>
      </w:hyperlink>
      <w:r w:rsidRPr="00D67F4E">
        <w:rPr>
          <w:rFonts w:cstheme="minorHAnsi"/>
          <w:color w:val="3A3A3A"/>
          <w:shd w:val="clear" w:color="auto" w:fill="FFFFFF"/>
        </w:rPr>
        <w:t>, accessed on 20.02.2024</w:t>
      </w:r>
    </w:p>
    <w:p w14:paraId="769C3C77" w14:textId="14BD94AA"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Mukumbang, F. C. (2023). Retroductive Theorizing:</w:t>
      </w:r>
      <w:r w:rsidR="00E56904">
        <w:rPr>
          <w:rFonts w:cstheme="minorHAnsi"/>
          <w:color w:val="3A3A3A"/>
          <w:shd w:val="clear" w:color="auto" w:fill="FFFFFF"/>
        </w:rPr>
        <w:t xml:space="preserve"> </w:t>
      </w:r>
      <w:r w:rsidRPr="00D67F4E">
        <w:rPr>
          <w:rFonts w:cstheme="minorHAnsi"/>
          <w:color w:val="3A3A3A"/>
          <w:shd w:val="clear" w:color="auto" w:fill="FFFFFF"/>
        </w:rPr>
        <w:t>A Contribution of Critical Realism to Mixed Methods Research</w:t>
      </w:r>
      <w:r w:rsidRPr="00D67F4E">
        <w:rPr>
          <w:rFonts w:cstheme="minorHAnsi"/>
          <w:i/>
          <w:iCs/>
          <w:color w:val="3A3A3A"/>
          <w:shd w:val="clear" w:color="auto" w:fill="FFFFFF"/>
        </w:rPr>
        <w:t>. Journal of Mixed Methos Research</w:t>
      </w:r>
      <w:r w:rsidRPr="00D67F4E">
        <w:rPr>
          <w:rFonts w:cstheme="minorHAnsi"/>
          <w:color w:val="3A3A3A"/>
          <w:shd w:val="clear" w:color="auto" w:fill="FFFFFF"/>
        </w:rPr>
        <w:t xml:space="preserve">, 17(1), 93-114. </w:t>
      </w:r>
      <w:hyperlink r:id="rId22" w:history="1">
        <w:r w:rsidRPr="00D67F4E">
          <w:rPr>
            <w:rStyle w:val="Hyperlink"/>
            <w:rFonts w:cstheme="minorHAnsi"/>
            <w:shd w:val="clear" w:color="auto" w:fill="FFFFFF"/>
          </w:rPr>
          <w:t>https://doi-org.ezproxy.uwtsd.ac.uk/10.1177/15586898211049847</w:t>
        </w:r>
      </w:hyperlink>
      <w:r w:rsidRPr="00D67F4E">
        <w:rPr>
          <w:rFonts w:cstheme="minorHAnsi"/>
          <w:color w:val="3A3A3A"/>
          <w:shd w:val="clear" w:color="auto" w:fill="FFFFFF"/>
        </w:rPr>
        <w:t>, accessed on 15.02.2024</w:t>
      </w:r>
    </w:p>
    <w:p w14:paraId="62C89119" w14:textId="77777777" w:rsidR="00D502A6" w:rsidRPr="00D67F4E" w:rsidRDefault="00D502A6" w:rsidP="00D67F4E">
      <w:pPr>
        <w:jc w:val="both"/>
        <w:rPr>
          <w:rFonts w:cstheme="minorHAnsi"/>
        </w:rPr>
      </w:pPr>
      <w:r w:rsidRPr="00D67F4E">
        <w:rPr>
          <w:rFonts w:cstheme="minorHAnsi"/>
        </w:rPr>
        <w:t xml:space="preserve">Ouakouak, M. L., Arya, B., &amp; Zaitouni, M. (2019). Corporate social responsibility and intention to quit: Mediating role of organizational citizenship behaviour. </w:t>
      </w:r>
      <w:r w:rsidRPr="00D67F4E">
        <w:rPr>
          <w:rFonts w:cstheme="minorHAnsi"/>
          <w:i/>
          <w:iCs/>
        </w:rPr>
        <w:t>International Journal of Productivity and Performance Management</w:t>
      </w:r>
      <w:r w:rsidRPr="00D67F4E">
        <w:rPr>
          <w:rFonts w:cstheme="minorHAnsi"/>
        </w:rPr>
        <w:t>, 69(3), 447–465. https://doi.org/10.1108/ IJPPM-02-2019-0087, accessed on 17.02.2024</w:t>
      </w:r>
    </w:p>
    <w:p w14:paraId="43734D44"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Podgorodnichenko, N. </w:t>
      </w:r>
      <w:r w:rsidRPr="00D67F4E">
        <w:rPr>
          <w:rFonts w:cstheme="minorHAnsi"/>
          <w:i/>
          <w:iCs/>
          <w:color w:val="3A3A3A"/>
          <w:shd w:val="clear" w:color="auto" w:fill="FFFFFF"/>
        </w:rPr>
        <w:t>et al.</w:t>
      </w:r>
      <w:r w:rsidRPr="00D67F4E">
        <w:rPr>
          <w:rFonts w:cstheme="minorHAnsi"/>
          <w:color w:val="3A3A3A"/>
          <w:shd w:val="clear" w:color="auto" w:fill="FFFFFF"/>
        </w:rPr>
        <w:t> (2021) “Sustainability through sensemaking: Human resource professionals’ engagement and enactment of corporate social responsibility,” </w:t>
      </w:r>
      <w:r w:rsidRPr="00D67F4E">
        <w:rPr>
          <w:rFonts w:cstheme="minorHAnsi"/>
          <w:i/>
          <w:iCs/>
          <w:color w:val="3A3A3A"/>
          <w:shd w:val="clear" w:color="auto" w:fill="FFFFFF"/>
        </w:rPr>
        <w:t>Journal of cleaner production</w:t>
      </w:r>
      <w:r w:rsidRPr="00D67F4E">
        <w:rPr>
          <w:rFonts w:cstheme="minorHAnsi"/>
          <w:color w:val="3A3A3A"/>
          <w:shd w:val="clear" w:color="auto" w:fill="FFFFFF"/>
        </w:rPr>
        <w:t xml:space="preserve">, 293, pp. 126150-. Available at: </w:t>
      </w:r>
      <w:hyperlink r:id="rId23" w:history="1">
        <w:r w:rsidRPr="00D67F4E">
          <w:rPr>
            <w:rStyle w:val="Hyperlink"/>
            <w:rFonts w:cstheme="minorHAnsi"/>
            <w:shd w:val="clear" w:color="auto" w:fill="FFFFFF"/>
          </w:rPr>
          <w:t>https://doi.org/10.1016/j.jclepro.2021.126150</w:t>
        </w:r>
      </w:hyperlink>
      <w:r w:rsidRPr="00D67F4E">
        <w:rPr>
          <w:rFonts w:cstheme="minorHAnsi"/>
          <w:color w:val="3A3A3A"/>
          <w:shd w:val="clear" w:color="auto" w:fill="FFFFFF"/>
        </w:rPr>
        <w:t>, accessed on 17.02.2024</w:t>
      </w:r>
    </w:p>
    <w:p w14:paraId="3967F3BC"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Podgorodnichenko, N., Edgar, F. and Akmal, A. (2022) “An integrative literature review of the CSR-HRM nexus: Learning from research-practice gaps,” </w:t>
      </w:r>
      <w:r w:rsidRPr="00D67F4E">
        <w:rPr>
          <w:rFonts w:cstheme="minorHAnsi"/>
          <w:i/>
          <w:iCs/>
          <w:color w:val="3A3A3A"/>
          <w:shd w:val="clear" w:color="auto" w:fill="FFFFFF"/>
        </w:rPr>
        <w:t>Human resource management review</w:t>
      </w:r>
      <w:r w:rsidRPr="00D67F4E">
        <w:rPr>
          <w:rFonts w:cstheme="minorHAnsi"/>
          <w:color w:val="3A3A3A"/>
          <w:shd w:val="clear" w:color="auto" w:fill="FFFFFF"/>
        </w:rPr>
        <w:t xml:space="preserve">, 32(3), pp. 100839-. Available at: </w:t>
      </w:r>
      <w:hyperlink r:id="rId24" w:history="1">
        <w:r w:rsidRPr="00D67F4E">
          <w:rPr>
            <w:rStyle w:val="Hyperlink"/>
            <w:rFonts w:cstheme="minorHAnsi"/>
            <w:shd w:val="clear" w:color="auto" w:fill="FFFFFF"/>
          </w:rPr>
          <w:t>https://doi.org/10.1016/j.hrmr.2021.100839</w:t>
        </w:r>
      </w:hyperlink>
      <w:r w:rsidRPr="00D67F4E">
        <w:rPr>
          <w:rFonts w:cstheme="minorHAnsi"/>
          <w:color w:val="3A3A3A"/>
          <w:shd w:val="clear" w:color="auto" w:fill="FFFFFF"/>
        </w:rPr>
        <w:t>, accessed on 17.02.2024</w:t>
      </w:r>
    </w:p>
    <w:p w14:paraId="63FE3874" w14:textId="77777777" w:rsidR="00D502A6" w:rsidRPr="00D67F4E" w:rsidRDefault="00D502A6" w:rsidP="00D67F4E">
      <w:pPr>
        <w:jc w:val="both"/>
        <w:rPr>
          <w:rFonts w:cstheme="minorHAnsi"/>
          <w:color w:val="333333"/>
          <w:shd w:val="clear" w:color="auto" w:fill="F7F7F7"/>
        </w:rPr>
      </w:pPr>
      <w:r w:rsidRPr="00D67F4E">
        <w:rPr>
          <w:rFonts w:cstheme="minorHAnsi"/>
          <w:color w:val="333333"/>
          <w:shd w:val="clear" w:color="auto" w:fill="F7F7F7"/>
        </w:rPr>
        <w:t xml:space="preserve">Resnik D. B., (2020) “Essay: What Is Ethics in Research &amp; Why Is It Important?” </w:t>
      </w:r>
      <w:r w:rsidRPr="00D67F4E">
        <w:rPr>
          <w:rFonts w:cstheme="minorHAnsi"/>
          <w:i/>
          <w:iCs/>
          <w:color w:val="333333"/>
          <w:shd w:val="clear" w:color="auto" w:fill="F7F7F7"/>
        </w:rPr>
        <w:t>National Institute of Environmental Health Sciences.</w:t>
      </w:r>
      <w:r w:rsidRPr="00D67F4E">
        <w:rPr>
          <w:rFonts w:cstheme="minorHAnsi"/>
          <w:color w:val="333333"/>
          <w:shd w:val="clear" w:color="auto" w:fill="F7F7F7"/>
        </w:rPr>
        <w:t xml:space="preserve"> Available online at: </w:t>
      </w:r>
      <w:hyperlink r:id="rId25" w:history="1">
        <w:r w:rsidRPr="00D67F4E">
          <w:rPr>
            <w:rStyle w:val="Hyperlink"/>
            <w:rFonts w:cstheme="minorHAnsi"/>
            <w:color w:val="0281BF"/>
            <w:u w:val="none"/>
            <w:shd w:val="clear" w:color="auto" w:fill="F7F7F7"/>
          </w:rPr>
          <w:t>https://www.niehs.nih.gov/research/resources/bioethics/whatis/index.cfm</w:t>
        </w:r>
      </w:hyperlink>
      <w:r w:rsidRPr="00D67F4E">
        <w:rPr>
          <w:rFonts w:cstheme="minorHAnsi"/>
          <w:color w:val="333333"/>
          <w:shd w:val="clear" w:color="auto" w:fill="F7F7F7"/>
        </w:rPr>
        <w:t>, accessed on 15.02.2024</w:t>
      </w:r>
    </w:p>
    <w:p w14:paraId="2AC8AD15"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Singh, K. (2016) </w:t>
      </w:r>
      <w:r w:rsidRPr="00D67F4E">
        <w:rPr>
          <w:rFonts w:cstheme="minorHAnsi"/>
          <w:i/>
          <w:iCs/>
          <w:color w:val="3A3A3A"/>
          <w:shd w:val="clear" w:color="auto" w:fill="FFFFFF"/>
        </w:rPr>
        <w:t>Quantitative social research methods</w:t>
      </w:r>
      <w:r w:rsidRPr="00D67F4E">
        <w:rPr>
          <w:rFonts w:cstheme="minorHAnsi"/>
          <w:color w:val="3A3A3A"/>
          <w:shd w:val="clear" w:color="auto" w:fill="FFFFFF"/>
        </w:rPr>
        <w:t>. New Delhi: SAGE.</w:t>
      </w:r>
    </w:p>
    <w:p w14:paraId="6FA4CA87" w14:textId="77777777" w:rsidR="00D502A6" w:rsidRPr="00D67F4E" w:rsidRDefault="00D502A6" w:rsidP="00D67F4E">
      <w:pPr>
        <w:jc w:val="both"/>
        <w:rPr>
          <w:rFonts w:cstheme="minorHAnsi"/>
          <w:color w:val="3A3A3A"/>
          <w:shd w:val="clear" w:color="auto" w:fill="FFFFFF"/>
        </w:rPr>
      </w:pPr>
      <w:r w:rsidRPr="00D67F4E">
        <w:rPr>
          <w:rFonts w:cstheme="minorHAnsi"/>
          <w:color w:val="3A3A3A"/>
          <w:shd w:val="clear" w:color="auto" w:fill="FFFFFF"/>
        </w:rPr>
        <w:t>Singh, K., &amp; Misra, M. (2021). Linking corporate social responsibility (CSR) and organizational performance: The moderating effect of corporate reputation</w:t>
      </w:r>
      <w:r w:rsidRPr="00D67F4E">
        <w:rPr>
          <w:rFonts w:cstheme="minorHAnsi"/>
          <w:i/>
          <w:iCs/>
          <w:color w:val="3A3A3A"/>
          <w:shd w:val="clear" w:color="auto" w:fill="FFFFFF"/>
        </w:rPr>
        <w:t>. European Research on Management and Business Economics</w:t>
      </w:r>
      <w:r w:rsidRPr="00D67F4E">
        <w:rPr>
          <w:rFonts w:cstheme="minorHAnsi"/>
          <w:color w:val="3A3A3A"/>
          <w:shd w:val="clear" w:color="auto" w:fill="FFFFFF"/>
        </w:rPr>
        <w:t xml:space="preserve">, 27(1), 100139, </w:t>
      </w:r>
      <w:hyperlink r:id="rId26" w:history="1">
        <w:r w:rsidRPr="00D67F4E">
          <w:rPr>
            <w:rStyle w:val="Hyperlink"/>
            <w:rFonts w:cstheme="minorHAnsi"/>
            <w:shd w:val="clear" w:color="auto" w:fill="FFFFFF"/>
          </w:rPr>
          <w:t>https://doi-org.ezproxy.uwtsd.ac.uk/10.1016/j.iedeen.202</w:t>
        </w:r>
      </w:hyperlink>
    </w:p>
    <w:p w14:paraId="1FFA9D53" w14:textId="77777777" w:rsidR="00D502A6" w:rsidRPr="00D67F4E" w:rsidRDefault="00D502A6" w:rsidP="00D67F4E">
      <w:pPr>
        <w:jc w:val="both"/>
        <w:rPr>
          <w:rFonts w:cstheme="minorHAnsi"/>
        </w:rPr>
      </w:pPr>
      <w:r w:rsidRPr="00D67F4E">
        <w:rPr>
          <w:rFonts w:cstheme="minorHAnsi"/>
          <w:color w:val="3A3A3A"/>
          <w:shd w:val="clear" w:color="auto" w:fill="FFFFFF"/>
        </w:rPr>
        <w:t xml:space="preserve">Tyl by Natwest, (2022), </w:t>
      </w:r>
      <w:r w:rsidRPr="00D67F4E">
        <w:rPr>
          <w:rFonts w:cstheme="minorHAnsi"/>
          <w:i/>
          <w:iCs/>
          <w:color w:val="3A3A3A"/>
          <w:shd w:val="clear" w:color="auto" w:fill="FFFFFF"/>
        </w:rPr>
        <w:t xml:space="preserve">The Power of Giving Back, </w:t>
      </w:r>
      <w:r w:rsidRPr="00D67F4E">
        <w:rPr>
          <w:rFonts w:cstheme="minorHAnsi"/>
          <w:color w:val="3A3A3A"/>
          <w:shd w:val="clear" w:color="auto" w:fill="FFFFFF"/>
        </w:rPr>
        <w:t xml:space="preserve">available at </w:t>
      </w:r>
      <w:hyperlink r:id="rId27" w:history="1">
        <w:r w:rsidRPr="00D67F4E">
          <w:rPr>
            <w:rStyle w:val="Hyperlink"/>
            <w:rFonts w:cstheme="minorHAnsi"/>
          </w:rPr>
          <w:t>The Power of Giving Back - Tyl by NatWest</w:t>
        </w:r>
      </w:hyperlink>
      <w:r w:rsidRPr="00D67F4E">
        <w:rPr>
          <w:rFonts w:cstheme="minorHAnsi"/>
        </w:rPr>
        <w:t>, accessed on 18.02.2024</w:t>
      </w:r>
    </w:p>
    <w:p w14:paraId="6C722B6D" w14:textId="77777777" w:rsidR="00D502A6" w:rsidRPr="00D67F4E" w:rsidRDefault="00D502A6" w:rsidP="00D67F4E">
      <w:pPr>
        <w:jc w:val="both"/>
        <w:rPr>
          <w:rFonts w:cstheme="minorHAnsi"/>
          <w:color w:val="3A3A3A"/>
          <w:shd w:val="clear" w:color="auto" w:fill="FFFFFF"/>
        </w:rPr>
      </w:pPr>
      <w:r w:rsidRPr="00D67F4E">
        <w:rPr>
          <w:rFonts w:cstheme="minorHAnsi"/>
        </w:rPr>
        <w:t xml:space="preserve">Walters, R. (2022), Environment, social and governance: mindset over must a review of labour market trends in an ESG-focused era, available at </w:t>
      </w:r>
      <w:hyperlink r:id="rId28" w:history="1">
        <w:r w:rsidRPr="00D67F4E">
          <w:rPr>
            <w:rStyle w:val="Hyperlink"/>
            <w:rFonts w:cstheme="minorHAnsi"/>
          </w:rPr>
          <w:t>ESG-Mindset-Over-Must.pdf (robertwalters.co.uk)</w:t>
        </w:r>
      </w:hyperlink>
      <w:r w:rsidRPr="00D67F4E">
        <w:rPr>
          <w:rFonts w:cstheme="minorHAnsi"/>
        </w:rPr>
        <w:t>, accessed on 19.02.2024</w:t>
      </w:r>
    </w:p>
    <w:p w14:paraId="72F8F03A" w14:textId="77777777" w:rsidR="00D502A6" w:rsidRPr="00D67F4E" w:rsidRDefault="00D502A6" w:rsidP="00D67F4E">
      <w:pPr>
        <w:jc w:val="both"/>
        <w:rPr>
          <w:rFonts w:cstheme="minorHAnsi"/>
        </w:rPr>
      </w:pPr>
      <w:r w:rsidRPr="00D67F4E">
        <w:rPr>
          <w:rFonts w:cstheme="minorHAnsi"/>
          <w:color w:val="3A3A3A"/>
          <w:shd w:val="clear" w:color="auto" w:fill="FFFFFF"/>
        </w:rPr>
        <w:t>Wasti, S.P. </w:t>
      </w:r>
      <w:r w:rsidRPr="00D67F4E">
        <w:rPr>
          <w:rFonts w:cstheme="minorHAnsi"/>
          <w:i/>
          <w:iCs/>
          <w:color w:val="3A3A3A"/>
          <w:shd w:val="clear" w:color="auto" w:fill="FFFFFF"/>
        </w:rPr>
        <w:t>et al.</w:t>
      </w:r>
      <w:r w:rsidRPr="00D67F4E">
        <w:rPr>
          <w:rFonts w:cstheme="minorHAnsi"/>
          <w:color w:val="3A3A3A"/>
          <w:shd w:val="clear" w:color="auto" w:fill="FFFFFF"/>
        </w:rPr>
        <w:t> (2022) “The Growing Importance of Mixed-Methods research in Health,” </w:t>
      </w:r>
      <w:r w:rsidRPr="00D67F4E">
        <w:rPr>
          <w:rFonts w:cstheme="minorHAnsi"/>
          <w:i/>
          <w:iCs/>
          <w:color w:val="3A3A3A"/>
          <w:shd w:val="clear" w:color="auto" w:fill="FFFFFF"/>
        </w:rPr>
        <w:t>Nepal Journal of Epidemiology</w:t>
      </w:r>
      <w:r w:rsidRPr="00D67F4E">
        <w:rPr>
          <w:rFonts w:cstheme="minorHAnsi"/>
          <w:color w:val="3A3A3A"/>
          <w:shd w:val="clear" w:color="auto" w:fill="FFFFFF"/>
        </w:rPr>
        <w:t xml:space="preserve">, 12(1), pp. 1175–1178. Available at: </w:t>
      </w:r>
      <w:hyperlink r:id="rId29" w:history="1">
        <w:r w:rsidRPr="00D67F4E">
          <w:rPr>
            <w:rStyle w:val="Hyperlink"/>
            <w:rFonts w:cstheme="minorHAnsi"/>
            <w:shd w:val="clear" w:color="auto" w:fill="FFFFFF"/>
          </w:rPr>
          <w:t>https://doi.org/10.3126/nje.v12i1.4363</w:t>
        </w:r>
      </w:hyperlink>
      <w:r w:rsidRPr="00D67F4E">
        <w:rPr>
          <w:rFonts w:cstheme="minorHAnsi"/>
          <w:color w:val="3A3A3A"/>
          <w:shd w:val="clear" w:color="auto" w:fill="FFFFFF"/>
        </w:rPr>
        <w:t>, accessed on 14.02.2024</w:t>
      </w:r>
    </w:p>
    <w:p w14:paraId="42F7EEB9" w14:textId="29FA5D67" w:rsidR="00626A83" w:rsidRPr="00D67F4E" w:rsidRDefault="00626A83" w:rsidP="00D67F4E">
      <w:pPr>
        <w:jc w:val="both"/>
        <w:rPr>
          <w:rFonts w:cstheme="minorHAnsi"/>
        </w:rPr>
      </w:pPr>
    </w:p>
    <w:sectPr w:rsidR="00626A83" w:rsidRPr="00D67F4E" w:rsidSect="00D6468A">
      <w:pgSz w:w="11906" w:h="16838" w:code="9"/>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D747C43"/>
    <w:multiLevelType w:val="multilevel"/>
    <w:tmpl w:val="EF6A3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55D6479F"/>
    <w:multiLevelType w:val="hybridMultilevel"/>
    <w:tmpl w:val="B3B6D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5019899">
    <w:abstractNumId w:val="1"/>
  </w:num>
  <w:num w:numId="2" w16cid:durableId="815417243">
    <w:abstractNumId w:val="0"/>
  </w:num>
  <w:num w:numId="3" w16cid:durableId="1832982825">
    <w:abstractNumId w:val="2"/>
  </w:num>
  <w:num w:numId="4" w16cid:durableId="2035106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C44"/>
    <w:rsid w:val="000047A2"/>
    <w:rsid w:val="00006199"/>
    <w:rsid w:val="000121F1"/>
    <w:rsid w:val="00020D8B"/>
    <w:rsid w:val="00020EAA"/>
    <w:rsid w:val="00021A8B"/>
    <w:rsid w:val="00025251"/>
    <w:rsid w:val="000267BA"/>
    <w:rsid w:val="00027980"/>
    <w:rsid w:val="000769D2"/>
    <w:rsid w:val="000A08AE"/>
    <w:rsid w:val="000A3969"/>
    <w:rsid w:val="000A687A"/>
    <w:rsid w:val="000C7C52"/>
    <w:rsid w:val="000E6F9E"/>
    <w:rsid w:val="000F1313"/>
    <w:rsid w:val="00105EC3"/>
    <w:rsid w:val="00110681"/>
    <w:rsid w:val="001149FC"/>
    <w:rsid w:val="00121413"/>
    <w:rsid w:val="0014193E"/>
    <w:rsid w:val="001574B8"/>
    <w:rsid w:val="00170AAC"/>
    <w:rsid w:val="001A4F42"/>
    <w:rsid w:val="001A6078"/>
    <w:rsid w:val="001E2FAD"/>
    <w:rsid w:val="001F0793"/>
    <w:rsid w:val="00206136"/>
    <w:rsid w:val="002241BE"/>
    <w:rsid w:val="00234163"/>
    <w:rsid w:val="0028037D"/>
    <w:rsid w:val="0029000E"/>
    <w:rsid w:val="002B006F"/>
    <w:rsid w:val="002B5558"/>
    <w:rsid w:val="002C5B56"/>
    <w:rsid w:val="002D64E4"/>
    <w:rsid w:val="002E4006"/>
    <w:rsid w:val="002E5D6C"/>
    <w:rsid w:val="002F6DD4"/>
    <w:rsid w:val="00305E21"/>
    <w:rsid w:val="0032130B"/>
    <w:rsid w:val="00323159"/>
    <w:rsid w:val="00337618"/>
    <w:rsid w:val="00340FE7"/>
    <w:rsid w:val="0039650A"/>
    <w:rsid w:val="003A5DC0"/>
    <w:rsid w:val="003B3EE2"/>
    <w:rsid w:val="003C7E71"/>
    <w:rsid w:val="003D113C"/>
    <w:rsid w:val="003D3BA0"/>
    <w:rsid w:val="003F181D"/>
    <w:rsid w:val="004028EE"/>
    <w:rsid w:val="0040386C"/>
    <w:rsid w:val="00413140"/>
    <w:rsid w:val="00414382"/>
    <w:rsid w:val="00415186"/>
    <w:rsid w:val="004160C2"/>
    <w:rsid w:val="0042661C"/>
    <w:rsid w:val="00437575"/>
    <w:rsid w:val="00460437"/>
    <w:rsid w:val="00480785"/>
    <w:rsid w:val="00486674"/>
    <w:rsid w:val="00486823"/>
    <w:rsid w:val="004A49D8"/>
    <w:rsid w:val="004B7FBD"/>
    <w:rsid w:val="004C6756"/>
    <w:rsid w:val="004C6C44"/>
    <w:rsid w:val="004C742C"/>
    <w:rsid w:val="004D330D"/>
    <w:rsid w:val="004D7B91"/>
    <w:rsid w:val="004E0A28"/>
    <w:rsid w:val="004E76B4"/>
    <w:rsid w:val="00504BF2"/>
    <w:rsid w:val="005112C8"/>
    <w:rsid w:val="00526415"/>
    <w:rsid w:val="005305D7"/>
    <w:rsid w:val="00535A13"/>
    <w:rsid w:val="00552330"/>
    <w:rsid w:val="005739CC"/>
    <w:rsid w:val="00582A02"/>
    <w:rsid w:val="00593B68"/>
    <w:rsid w:val="005A02E5"/>
    <w:rsid w:val="005B7651"/>
    <w:rsid w:val="005B7E80"/>
    <w:rsid w:val="005C22F9"/>
    <w:rsid w:val="005C2C8A"/>
    <w:rsid w:val="005D77A4"/>
    <w:rsid w:val="005E6D6A"/>
    <w:rsid w:val="005E7C32"/>
    <w:rsid w:val="005F50E1"/>
    <w:rsid w:val="006055AD"/>
    <w:rsid w:val="00626A83"/>
    <w:rsid w:val="00663B54"/>
    <w:rsid w:val="00664ED8"/>
    <w:rsid w:val="006761A8"/>
    <w:rsid w:val="006B6500"/>
    <w:rsid w:val="006C44AF"/>
    <w:rsid w:val="006C474F"/>
    <w:rsid w:val="00703762"/>
    <w:rsid w:val="00716FC0"/>
    <w:rsid w:val="007206BB"/>
    <w:rsid w:val="007266BD"/>
    <w:rsid w:val="00733138"/>
    <w:rsid w:val="00741ACD"/>
    <w:rsid w:val="0074766D"/>
    <w:rsid w:val="00750F13"/>
    <w:rsid w:val="0075428E"/>
    <w:rsid w:val="00766322"/>
    <w:rsid w:val="007B050F"/>
    <w:rsid w:val="007E677A"/>
    <w:rsid w:val="0080685F"/>
    <w:rsid w:val="00822AF0"/>
    <w:rsid w:val="0084203C"/>
    <w:rsid w:val="008473C2"/>
    <w:rsid w:val="0085783C"/>
    <w:rsid w:val="00860665"/>
    <w:rsid w:val="0087177F"/>
    <w:rsid w:val="00886C0C"/>
    <w:rsid w:val="008A1521"/>
    <w:rsid w:val="008B06F7"/>
    <w:rsid w:val="008C1400"/>
    <w:rsid w:val="008D3040"/>
    <w:rsid w:val="008F4DCD"/>
    <w:rsid w:val="00913AEE"/>
    <w:rsid w:val="00914A05"/>
    <w:rsid w:val="00922C14"/>
    <w:rsid w:val="00934DA3"/>
    <w:rsid w:val="00956D7C"/>
    <w:rsid w:val="00993608"/>
    <w:rsid w:val="009A2E1E"/>
    <w:rsid w:val="009A6632"/>
    <w:rsid w:val="009C5618"/>
    <w:rsid w:val="009D7B91"/>
    <w:rsid w:val="009E245F"/>
    <w:rsid w:val="009F0520"/>
    <w:rsid w:val="00A04DB3"/>
    <w:rsid w:val="00A24B7A"/>
    <w:rsid w:val="00A42A14"/>
    <w:rsid w:val="00A87D99"/>
    <w:rsid w:val="00AA7130"/>
    <w:rsid w:val="00AC00FD"/>
    <w:rsid w:val="00AC15A5"/>
    <w:rsid w:val="00AC4D2A"/>
    <w:rsid w:val="00AD227C"/>
    <w:rsid w:val="00AF1B37"/>
    <w:rsid w:val="00B04C75"/>
    <w:rsid w:val="00B10AFB"/>
    <w:rsid w:val="00B31791"/>
    <w:rsid w:val="00B36069"/>
    <w:rsid w:val="00B368C2"/>
    <w:rsid w:val="00B82543"/>
    <w:rsid w:val="00B96E9D"/>
    <w:rsid w:val="00BA0B4B"/>
    <w:rsid w:val="00BB412B"/>
    <w:rsid w:val="00BB6D2D"/>
    <w:rsid w:val="00BC5D87"/>
    <w:rsid w:val="00BF35E5"/>
    <w:rsid w:val="00BF38C7"/>
    <w:rsid w:val="00C05173"/>
    <w:rsid w:val="00C406E2"/>
    <w:rsid w:val="00C47B91"/>
    <w:rsid w:val="00C51B95"/>
    <w:rsid w:val="00C557CA"/>
    <w:rsid w:val="00C57AD5"/>
    <w:rsid w:val="00C8062A"/>
    <w:rsid w:val="00C809D0"/>
    <w:rsid w:val="00C81C7B"/>
    <w:rsid w:val="00C91238"/>
    <w:rsid w:val="00CB3502"/>
    <w:rsid w:val="00CB429E"/>
    <w:rsid w:val="00CC7183"/>
    <w:rsid w:val="00CD5E06"/>
    <w:rsid w:val="00CE712D"/>
    <w:rsid w:val="00CF29D9"/>
    <w:rsid w:val="00CF3F72"/>
    <w:rsid w:val="00D042A7"/>
    <w:rsid w:val="00D06B5F"/>
    <w:rsid w:val="00D16498"/>
    <w:rsid w:val="00D409EC"/>
    <w:rsid w:val="00D45A58"/>
    <w:rsid w:val="00D47F3E"/>
    <w:rsid w:val="00D502A6"/>
    <w:rsid w:val="00D56ED9"/>
    <w:rsid w:val="00D6468A"/>
    <w:rsid w:val="00D67B32"/>
    <w:rsid w:val="00D67F4E"/>
    <w:rsid w:val="00D77929"/>
    <w:rsid w:val="00D91FF1"/>
    <w:rsid w:val="00DA43DD"/>
    <w:rsid w:val="00DB57D8"/>
    <w:rsid w:val="00DD31B2"/>
    <w:rsid w:val="00DE1579"/>
    <w:rsid w:val="00E07D3C"/>
    <w:rsid w:val="00E2309F"/>
    <w:rsid w:val="00E2587D"/>
    <w:rsid w:val="00E274C2"/>
    <w:rsid w:val="00E3686C"/>
    <w:rsid w:val="00E56904"/>
    <w:rsid w:val="00E711F1"/>
    <w:rsid w:val="00E77C89"/>
    <w:rsid w:val="00E94405"/>
    <w:rsid w:val="00E96290"/>
    <w:rsid w:val="00EA0203"/>
    <w:rsid w:val="00EA66B0"/>
    <w:rsid w:val="00EC53EA"/>
    <w:rsid w:val="00EC6914"/>
    <w:rsid w:val="00ED12CD"/>
    <w:rsid w:val="00ED4112"/>
    <w:rsid w:val="00EF484A"/>
    <w:rsid w:val="00F008E7"/>
    <w:rsid w:val="00F12E8D"/>
    <w:rsid w:val="00F1678C"/>
    <w:rsid w:val="00F4740D"/>
    <w:rsid w:val="00F70E86"/>
    <w:rsid w:val="00FB318C"/>
    <w:rsid w:val="00FB59C3"/>
    <w:rsid w:val="00FD1C00"/>
    <w:rsid w:val="00FD6A52"/>
    <w:rsid w:val="00FE3B61"/>
    <w:rsid w:val="00FF17E3"/>
    <w:rsid w:val="00FF4704"/>
    <w:rsid w:val="00FF54C1"/>
    <w:rsid w:val="00FF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B0348"/>
  <w15:chartTrackingRefBased/>
  <w15:docId w15:val="{9FBE6D67-1A32-47AC-AF9E-74AB777E9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2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C44"/>
    <w:pPr>
      <w:ind w:left="720"/>
      <w:contextualSpacing/>
    </w:pPr>
  </w:style>
  <w:style w:type="character" w:styleId="Hyperlink">
    <w:name w:val="Hyperlink"/>
    <w:basedOn w:val="DefaultParagraphFont"/>
    <w:uiPriority w:val="99"/>
    <w:unhideWhenUsed/>
    <w:rsid w:val="00626A83"/>
    <w:rPr>
      <w:color w:val="0563C1" w:themeColor="hyperlink"/>
      <w:u w:val="single"/>
    </w:rPr>
  </w:style>
  <w:style w:type="character" w:styleId="UnresolvedMention">
    <w:name w:val="Unresolved Mention"/>
    <w:basedOn w:val="DefaultParagraphFont"/>
    <w:uiPriority w:val="99"/>
    <w:semiHidden/>
    <w:unhideWhenUsed/>
    <w:rsid w:val="00626A83"/>
    <w:rPr>
      <w:color w:val="605E5C"/>
      <w:shd w:val="clear" w:color="auto" w:fill="E1DFDD"/>
    </w:rPr>
  </w:style>
  <w:style w:type="character" w:styleId="CommentReference">
    <w:name w:val="annotation reference"/>
    <w:basedOn w:val="DefaultParagraphFont"/>
    <w:uiPriority w:val="99"/>
    <w:semiHidden/>
    <w:unhideWhenUsed/>
    <w:rsid w:val="00D502A6"/>
    <w:rPr>
      <w:sz w:val="16"/>
      <w:szCs w:val="16"/>
    </w:rPr>
  </w:style>
  <w:style w:type="paragraph" w:styleId="CommentText">
    <w:name w:val="annotation text"/>
    <w:basedOn w:val="Normal"/>
    <w:link w:val="CommentTextChar"/>
    <w:uiPriority w:val="99"/>
    <w:unhideWhenUsed/>
    <w:rsid w:val="00D502A6"/>
    <w:pPr>
      <w:spacing w:line="240" w:lineRule="auto"/>
    </w:pPr>
    <w:rPr>
      <w:sz w:val="20"/>
      <w:szCs w:val="20"/>
    </w:rPr>
  </w:style>
  <w:style w:type="character" w:customStyle="1" w:styleId="CommentTextChar">
    <w:name w:val="Comment Text Char"/>
    <w:basedOn w:val="DefaultParagraphFont"/>
    <w:link w:val="CommentText"/>
    <w:uiPriority w:val="99"/>
    <w:rsid w:val="00D502A6"/>
    <w:rPr>
      <w:sz w:val="20"/>
      <w:szCs w:val="20"/>
    </w:rPr>
  </w:style>
  <w:style w:type="character" w:styleId="FollowedHyperlink">
    <w:name w:val="FollowedHyperlink"/>
    <w:basedOn w:val="DefaultParagraphFont"/>
    <w:uiPriority w:val="99"/>
    <w:semiHidden/>
    <w:unhideWhenUsed/>
    <w:rsid w:val="00D502A6"/>
    <w:rPr>
      <w:color w:val="954F72" w:themeColor="followedHyperlink"/>
      <w:u w:val="single"/>
    </w:rPr>
  </w:style>
  <w:style w:type="paragraph" w:styleId="NoSpacing">
    <w:name w:val="No Spacing"/>
    <w:link w:val="NoSpacingChar"/>
    <w:uiPriority w:val="1"/>
    <w:qFormat/>
    <w:rsid w:val="004038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0386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698244">
      <w:bodyDiv w:val="1"/>
      <w:marLeft w:val="0"/>
      <w:marRight w:val="0"/>
      <w:marTop w:val="0"/>
      <w:marBottom w:val="0"/>
      <w:divBdr>
        <w:top w:val="none" w:sz="0" w:space="0" w:color="auto"/>
        <w:left w:val="none" w:sz="0" w:space="0" w:color="auto"/>
        <w:bottom w:val="none" w:sz="0" w:space="0" w:color="auto"/>
        <w:right w:val="none" w:sz="0" w:space="0" w:color="auto"/>
      </w:divBdr>
      <w:divsChild>
        <w:div w:id="1620726042">
          <w:marLeft w:val="0"/>
          <w:marRight w:val="0"/>
          <w:marTop w:val="120"/>
          <w:marBottom w:val="120"/>
          <w:divBdr>
            <w:top w:val="none" w:sz="0" w:space="0" w:color="auto"/>
            <w:left w:val="none" w:sz="0" w:space="0" w:color="auto"/>
            <w:bottom w:val="none" w:sz="0" w:space="0" w:color="auto"/>
            <w:right w:val="none" w:sz="0" w:space="0" w:color="auto"/>
          </w:divBdr>
          <w:divsChild>
            <w:div w:id="1473255234">
              <w:marLeft w:val="0"/>
              <w:marRight w:val="0"/>
              <w:marTop w:val="0"/>
              <w:marBottom w:val="0"/>
              <w:divBdr>
                <w:top w:val="none" w:sz="0" w:space="0" w:color="auto"/>
                <w:left w:val="none" w:sz="0" w:space="0" w:color="auto"/>
                <w:bottom w:val="none" w:sz="0" w:space="0" w:color="auto"/>
                <w:right w:val="none" w:sz="0" w:space="0" w:color="auto"/>
              </w:divBdr>
              <w:divsChild>
                <w:div w:id="125647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631971">
          <w:marLeft w:val="0"/>
          <w:marRight w:val="0"/>
          <w:marTop w:val="120"/>
          <w:marBottom w:val="120"/>
          <w:divBdr>
            <w:top w:val="none" w:sz="0" w:space="0" w:color="auto"/>
            <w:left w:val="none" w:sz="0" w:space="0" w:color="auto"/>
            <w:bottom w:val="none" w:sz="0" w:space="0" w:color="auto"/>
            <w:right w:val="none" w:sz="0" w:space="0" w:color="auto"/>
          </w:divBdr>
          <w:divsChild>
            <w:div w:id="748041922">
              <w:marLeft w:val="0"/>
              <w:marRight w:val="0"/>
              <w:marTop w:val="0"/>
              <w:marBottom w:val="0"/>
              <w:divBdr>
                <w:top w:val="none" w:sz="0" w:space="0" w:color="auto"/>
                <w:left w:val="none" w:sz="0" w:space="0" w:color="auto"/>
                <w:bottom w:val="none" w:sz="0" w:space="0" w:color="auto"/>
                <w:right w:val="none" w:sz="0" w:space="0" w:color="auto"/>
              </w:divBdr>
              <w:divsChild>
                <w:div w:id="1692759903">
                  <w:marLeft w:val="0"/>
                  <w:marRight w:val="0"/>
                  <w:marTop w:val="100"/>
                  <w:marBottom w:val="30"/>
                  <w:divBdr>
                    <w:top w:val="single" w:sz="6" w:space="0" w:color="CCCCCC"/>
                    <w:left w:val="single" w:sz="6" w:space="0" w:color="CCCCCC"/>
                    <w:bottom w:val="single" w:sz="6" w:space="0" w:color="CCCCCC"/>
                    <w:right w:val="single" w:sz="6" w:space="0" w:color="CCCCCC"/>
                  </w:divBdr>
                  <w:divsChild>
                    <w:div w:id="1775781155">
                      <w:marLeft w:val="0"/>
                      <w:marRight w:val="0"/>
                      <w:marTop w:val="0"/>
                      <w:marBottom w:val="0"/>
                      <w:divBdr>
                        <w:top w:val="none" w:sz="0" w:space="0" w:color="auto"/>
                        <w:left w:val="none" w:sz="0" w:space="0" w:color="auto"/>
                        <w:bottom w:val="none" w:sz="0" w:space="0" w:color="auto"/>
                        <w:right w:val="none" w:sz="0" w:space="0" w:color="auto"/>
                      </w:divBdr>
                      <w:divsChild>
                        <w:div w:id="178140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4007518">
      <w:bodyDiv w:val="1"/>
      <w:marLeft w:val="0"/>
      <w:marRight w:val="0"/>
      <w:marTop w:val="0"/>
      <w:marBottom w:val="0"/>
      <w:divBdr>
        <w:top w:val="none" w:sz="0" w:space="0" w:color="auto"/>
        <w:left w:val="none" w:sz="0" w:space="0" w:color="auto"/>
        <w:bottom w:val="none" w:sz="0" w:space="0" w:color="auto"/>
        <w:right w:val="none" w:sz="0" w:space="0" w:color="auto"/>
      </w:divBdr>
    </w:div>
    <w:div w:id="1814365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wales/written-statement-sustainable-development-wales-and-beyond-measuring-our-progress" TargetMode="External"/><Relationship Id="rId18" Type="http://schemas.openxmlformats.org/officeDocument/2006/relationships/hyperlink" Target="https://www.linkedin.com/pulse/unlocking-power-employee-engagement-csr-initiatives-2lfye" TargetMode="External"/><Relationship Id="rId26" Type="http://schemas.openxmlformats.org/officeDocument/2006/relationships/hyperlink" Target="https://doi-org.ezproxy.uwtsd.ac.uk/10.1016/j.iedeen.202" TargetMode="External"/><Relationship Id="rId3" Type="http://schemas.openxmlformats.org/officeDocument/2006/relationships/styles" Target="styles.xml"/><Relationship Id="rId21" Type="http://schemas.openxmlformats.org/officeDocument/2006/relationships/hyperlink" Target="https://doi.org/10.2308/CIIA-2019-502" TargetMode="External"/><Relationship Id="rId7" Type="http://schemas.openxmlformats.org/officeDocument/2006/relationships/image" Target="media/image2.png"/><Relationship Id="rId12" Type="http://schemas.openxmlformats.org/officeDocument/2006/relationships/hyperlink" Target="https://doi.org/10.3390/su11092646" TargetMode="External"/><Relationship Id="rId17" Type="http://schemas.openxmlformats.org/officeDocument/2006/relationships/hyperlink" Target="https://doi.org/10.1080/21622671.2021.1941230" TargetMode="External"/><Relationship Id="rId25" Type="http://schemas.openxmlformats.org/officeDocument/2006/relationships/hyperlink" Target="https://www.niehs.nih.gov/research/resources/bioethics/whatis/index.cfm" TargetMode="External"/><Relationship Id="rId2" Type="http://schemas.openxmlformats.org/officeDocument/2006/relationships/numbering" Target="numbering.xml"/><Relationship Id="rId16" Type="http://schemas.openxmlformats.org/officeDocument/2006/relationships/hyperlink" Target="https://www.spiceworks.com/hr/engagement-retention/articles/world-environment-day-special-can-corporate-sustainability-initiatives-drive-employee-engagement/" TargetMode="External"/><Relationship Id="rId20" Type="http://schemas.openxmlformats.org/officeDocument/2006/relationships/hyperlink" Target="https://doi.org/10.1080/23808985.2020.1792793" TargetMode="External"/><Relationship Id="rId29" Type="http://schemas.openxmlformats.org/officeDocument/2006/relationships/hyperlink" Target="https://doi.org/10.3126/nje.v12i1.436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2.deloitte.com/uk/en/insights/environmental-social-governance/retail-employee-sustainability-retention.html/" TargetMode="External"/><Relationship Id="rId24" Type="http://schemas.openxmlformats.org/officeDocument/2006/relationships/hyperlink" Target="https://doi.org/10.1016/j.hrmr.2021.100839" TargetMode="External"/><Relationship Id="rId5" Type="http://schemas.openxmlformats.org/officeDocument/2006/relationships/webSettings" Target="webSettings.xml"/><Relationship Id="rId15" Type="http://schemas.openxmlformats.org/officeDocument/2006/relationships/hyperlink" Target="https://doi.org/10.1080/0142159X.2020.1755030" TargetMode="External"/><Relationship Id="rId23" Type="http://schemas.openxmlformats.org/officeDocument/2006/relationships/hyperlink" Target="https://doi.org/10.1016/j.jclepro.2021.126150" TargetMode="External"/><Relationship Id="rId28" Type="http://schemas.openxmlformats.org/officeDocument/2006/relationships/hyperlink" Target="https://www.robertwalters.co.uk/content/dam/robert-walters/country/united-kingdom/files/whitepapers/ESG-Mindset-Over-Must.pdf" TargetMode="External"/><Relationship Id="rId10" Type="http://schemas.openxmlformats.org/officeDocument/2006/relationships/hyperlink" Target="https://www.ciphr.com/features/how-sustainable-business-practices-foster-great-talent-attraction-and-retention/" TargetMode="External"/><Relationship Id="rId19" Type="http://schemas.openxmlformats.org/officeDocument/2006/relationships/hyperlink" Target="https://doi.org/10.14746/eip.2023.2.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rg.ezproxy.uwtsd.ac.uk/10.1016/j.jretconser" TargetMode="External"/><Relationship Id="rId14" Type="http://schemas.openxmlformats.org/officeDocument/2006/relationships/hyperlink" Target="https://doi-org.ezproxy.uwtsd.ac.uk/10.1093/acrefore/9" TargetMode="External"/><Relationship Id="rId22" Type="http://schemas.openxmlformats.org/officeDocument/2006/relationships/hyperlink" Target="https://doi-org.ezproxy.uwtsd.ac.uk/10.1177/15586898211049847" TargetMode="External"/><Relationship Id="rId27" Type="http://schemas.openxmlformats.org/officeDocument/2006/relationships/hyperlink" Target="https://www.tylbynatwest.com/tyl-talks/power-of-giving-bac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2019920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8</Pages>
  <Words>2748</Words>
  <Characters>15667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The impact of corporate sustainability programmes on retention and employee engagement in South Wales</dc:subject>
  <dc:creator>Corina Cernat</dc:creator>
  <cp:keywords/>
  <dc:description/>
  <cp:lastModifiedBy>Corina Cernat</cp:lastModifiedBy>
  <cp:revision>15</cp:revision>
  <dcterms:created xsi:type="dcterms:W3CDTF">2024-02-21T21:17:00Z</dcterms:created>
  <dcterms:modified xsi:type="dcterms:W3CDTF">2024-02-22T22:30:00Z</dcterms:modified>
</cp:coreProperties>
</file>