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2DB19" w14:textId="1AF9BF4F" w:rsidR="00F607AB" w:rsidRDefault="00F607AB" w:rsidP="00F607AB">
      <w:pPr>
        <w:spacing w:line="360" w:lineRule="auto"/>
        <w:jc w:val="center"/>
        <w:rPr>
          <w:b/>
          <w:sz w:val="44"/>
          <w:szCs w:val="44"/>
        </w:rPr>
      </w:pPr>
      <w:r w:rsidRPr="00F607AB">
        <w:rPr>
          <w:noProof/>
          <w:sz w:val="44"/>
          <w:szCs w:val="44"/>
          <w:lang w:val="en-US"/>
        </w:rPr>
        <w:drawing>
          <wp:anchor distT="19050" distB="19050" distL="19050" distR="19050" simplePos="0" relativeHeight="251658240" behindDoc="0" locked="0" layoutInCell="1" hidden="0" allowOverlap="1" wp14:anchorId="2B0ACA94" wp14:editId="0C2DEAE6">
            <wp:simplePos x="0" y="0"/>
            <wp:positionH relativeFrom="margin">
              <wp:align>center</wp:align>
            </wp:positionH>
            <wp:positionV relativeFrom="margin">
              <wp:posOffset>-75063</wp:posOffset>
            </wp:positionV>
            <wp:extent cx="2332990" cy="924560"/>
            <wp:effectExtent l="0" t="0" r="0" b="0"/>
            <wp:wrapSquare wrapText="bothSides" distT="19050" distB="19050" distL="19050" distR="190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332990" cy="924560"/>
                    </a:xfrm>
                    <a:prstGeom prst="rect">
                      <a:avLst/>
                    </a:prstGeom>
                    <a:ln/>
                  </pic:spPr>
                </pic:pic>
              </a:graphicData>
            </a:graphic>
            <wp14:sizeRelH relativeFrom="margin">
              <wp14:pctWidth>0</wp14:pctWidth>
            </wp14:sizeRelH>
            <wp14:sizeRelV relativeFrom="margin">
              <wp14:pctHeight>0</wp14:pctHeight>
            </wp14:sizeRelV>
          </wp:anchor>
        </w:drawing>
      </w:r>
    </w:p>
    <w:p w14:paraId="67D5F0A6" w14:textId="77777777" w:rsidR="00F607AB" w:rsidRDefault="00F607AB" w:rsidP="00F607AB">
      <w:pPr>
        <w:spacing w:line="360" w:lineRule="auto"/>
        <w:jc w:val="center"/>
        <w:rPr>
          <w:b/>
          <w:sz w:val="44"/>
          <w:szCs w:val="44"/>
        </w:rPr>
      </w:pPr>
    </w:p>
    <w:p w14:paraId="6977F753" w14:textId="3A88538B" w:rsidR="004E0C8A" w:rsidRPr="00F607AB" w:rsidRDefault="003A199D" w:rsidP="00F607AB">
      <w:pPr>
        <w:spacing w:line="360" w:lineRule="auto"/>
        <w:jc w:val="center"/>
        <w:rPr>
          <w:b/>
          <w:sz w:val="44"/>
          <w:szCs w:val="44"/>
        </w:rPr>
      </w:pPr>
      <w:r w:rsidRPr="00F607AB">
        <w:rPr>
          <w:b/>
          <w:sz w:val="44"/>
          <w:szCs w:val="44"/>
        </w:rPr>
        <w:t xml:space="preserve">BMSW4012 </w:t>
      </w:r>
    </w:p>
    <w:p w14:paraId="3A582968" w14:textId="77777777" w:rsidR="004E0C8A" w:rsidRPr="00F607AB" w:rsidRDefault="003A199D" w:rsidP="00F607AB">
      <w:pPr>
        <w:widowControl w:val="0"/>
        <w:spacing w:line="360" w:lineRule="auto"/>
        <w:ind w:right="-12"/>
        <w:jc w:val="center"/>
        <w:rPr>
          <w:b/>
          <w:sz w:val="44"/>
          <w:szCs w:val="44"/>
        </w:rPr>
      </w:pPr>
      <w:r w:rsidRPr="00F607AB">
        <w:rPr>
          <w:b/>
          <w:sz w:val="44"/>
          <w:szCs w:val="44"/>
        </w:rPr>
        <w:t xml:space="preserve">PROFESSIONAL CAREER DEVELOPMENT  </w:t>
      </w:r>
    </w:p>
    <w:p w14:paraId="63395717" w14:textId="77777777" w:rsidR="004E0C8A" w:rsidRPr="00F607AB" w:rsidRDefault="004E0C8A" w:rsidP="00F607AB">
      <w:pPr>
        <w:widowControl w:val="0"/>
        <w:spacing w:line="360" w:lineRule="auto"/>
        <w:ind w:right="-12"/>
        <w:jc w:val="center"/>
        <w:rPr>
          <w:b/>
          <w:sz w:val="44"/>
          <w:szCs w:val="44"/>
        </w:rPr>
      </w:pPr>
    </w:p>
    <w:p w14:paraId="04BFC3D4" w14:textId="77777777" w:rsidR="004E0C8A" w:rsidRPr="00F607AB" w:rsidRDefault="003A199D" w:rsidP="00F607AB">
      <w:pPr>
        <w:widowControl w:val="0"/>
        <w:spacing w:line="360" w:lineRule="auto"/>
        <w:ind w:right="-12"/>
        <w:jc w:val="center"/>
        <w:rPr>
          <w:b/>
          <w:sz w:val="44"/>
          <w:szCs w:val="44"/>
        </w:rPr>
      </w:pPr>
      <w:r w:rsidRPr="00F607AB">
        <w:rPr>
          <w:b/>
          <w:sz w:val="44"/>
          <w:szCs w:val="44"/>
        </w:rPr>
        <w:t>PART 1: REFLECTIVE ESSAY</w:t>
      </w:r>
    </w:p>
    <w:p w14:paraId="4BC849DF" w14:textId="77777777" w:rsidR="004E0C8A" w:rsidRDefault="004E0C8A" w:rsidP="00F607AB">
      <w:pPr>
        <w:widowControl w:val="0"/>
        <w:spacing w:line="360" w:lineRule="auto"/>
        <w:ind w:right="-12"/>
        <w:jc w:val="center"/>
        <w:rPr>
          <w:b/>
          <w:sz w:val="44"/>
          <w:szCs w:val="44"/>
        </w:rPr>
      </w:pPr>
    </w:p>
    <w:p w14:paraId="1D388056" w14:textId="77777777" w:rsidR="00F607AB" w:rsidRDefault="00F607AB" w:rsidP="00F607AB">
      <w:pPr>
        <w:widowControl w:val="0"/>
        <w:spacing w:line="360" w:lineRule="auto"/>
        <w:ind w:right="-12"/>
        <w:jc w:val="center"/>
        <w:rPr>
          <w:b/>
          <w:sz w:val="44"/>
          <w:szCs w:val="44"/>
        </w:rPr>
      </w:pPr>
    </w:p>
    <w:p w14:paraId="6A014694" w14:textId="77777777" w:rsidR="00F607AB" w:rsidRPr="00F607AB" w:rsidRDefault="00F607AB" w:rsidP="00F607AB">
      <w:pPr>
        <w:widowControl w:val="0"/>
        <w:spacing w:line="360" w:lineRule="auto"/>
        <w:ind w:right="-12"/>
        <w:jc w:val="center"/>
        <w:rPr>
          <w:b/>
          <w:sz w:val="44"/>
          <w:szCs w:val="44"/>
        </w:rPr>
      </w:pPr>
    </w:p>
    <w:p w14:paraId="785ADFF6" w14:textId="77777777" w:rsidR="004E0C8A" w:rsidRPr="00F607AB" w:rsidRDefault="004E0C8A" w:rsidP="00F607AB">
      <w:pPr>
        <w:widowControl w:val="0"/>
        <w:spacing w:line="360" w:lineRule="auto"/>
        <w:ind w:right="-12"/>
        <w:jc w:val="center"/>
        <w:rPr>
          <w:b/>
          <w:sz w:val="44"/>
          <w:szCs w:val="44"/>
        </w:rPr>
      </w:pPr>
    </w:p>
    <w:p w14:paraId="514EEBA8" w14:textId="77777777" w:rsidR="004E0C8A" w:rsidRPr="00F607AB" w:rsidRDefault="003A199D" w:rsidP="00F607AB">
      <w:pPr>
        <w:widowControl w:val="0"/>
        <w:spacing w:line="360" w:lineRule="auto"/>
        <w:ind w:right="-12"/>
        <w:jc w:val="center"/>
        <w:rPr>
          <w:b/>
          <w:sz w:val="44"/>
          <w:szCs w:val="44"/>
        </w:rPr>
      </w:pPr>
      <w:r w:rsidRPr="00F607AB">
        <w:rPr>
          <w:b/>
          <w:sz w:val="44"/>
          <w:szCs w:val="44"/>
        </w:rPr>
        <w:t>STUDENT NAME:</w:t>
      </w:r>
    </w:p>
    <w:p w14:paraId="5BB37FA5" w14:textId="77777777" w:rsidR="004E0C8A" w:rsidRDefault="003A199D" w:rsidP="00F607AB">
      <w:pPr>
        <w:widowControl w:val="0"/>
        <w:spacing w:line="360" w:lineRule="auto"/>
        <w:ind w:right="-12"/>
        <w:jc w:val="center"/>
        <w:rPr>
          <w:b/>
          <w:sz w:val="24"/>
          <w:szCs w:val="24"/>
        </w:rPr>
      </w:pPr>
      <w:r w:rsidRPr="00F607AB">
        <w:rPr>
          <w:b/>
          <w:sz w:val="44"/>
          <w:szCs w:val="44"/>
        </w:rPr>
        <w:t>STUDENT ID:</w:t>
      </w:r>
      <w:r>
        <w:br w:type="page"/>
      </w:r>
    </w:p>
    <w:sdt>
      <w:sdtPr>
        <w:id w:val="1686699709"/>
        <w:docPartObj>
          <w:docPartGallery w:val="Table of Contents"/>
          <w:docPartUnique/>
        </w:docPartObj>
      </w:sdtPr>
      <w:sdtContent>
        <w:p w14:paraId="1034C133" w14:textId="77777777" w:rsidR="004E0C8A" w:rsidRDefault="003A199D">
          <w:pPr>
            <w:widowControl w:val="0"/>
            <w:tabs>
              <w:tab w:val="right" w:leader="dot" w:pos="12000"/>
            </w:tabs>
            <w:spacing w:before="60" w:after="200" w:line="360" w:lineRule="auto"/>
            <w:jc w:val="center"/>
            <w:rPr>
              <w:b/>
              <w:sz w:val="28"/>
              <w:szCs w:val="28"/>
            </w:rPr>
          </w:pPr>
          <w:r>
            <w:fldChar w:fldCharType="begin"/>
          </w:r>
          <w:r>
            <w:instrText xml:space="preserve"> TOC \h \u \z \t "Heading 1,1,Heading 2,2,Heading 3,3,Heading 4,4,Heading 5,5,Heading 6,6,"</w:instrText>
          </w:r>
          <w:r>
            <w:fldChar w:fldCharType="separate"/>
          </w:r>
          <w:r>
            <w:rPr>
              <w:b/>
              <w:sz w:val="28"/>
              <w:szCs w:val="28"/>
            </w:rPr>
            <w:t>Table of Contents</w:t>
          </w:r>
        </w:p>
        <w:p w14:paraId="52E4765A" w14:textId="77777777" w:rsidR="004E0C8A" w:rsidRDefault="003A199D">
          <w:pPr>
            <w:widowControl w:val="0"/>
            <w:tabs>
              <w:tab w:val="right" w:leader="dot" w:pos="12000"/>
            </w:tabs>
            <w:spacing w:before="60" w:after="200" w:line="360" w:lineRule="auto"/>
            <w:jc w:val="both"/>
            <w:rPr>
              <w:color w:val="000000"/>
              <w:sz w:val="24"/>
              <w:szCs w:val="24"/>
            </w:rPr>
          </w:pPr>
          <w:hyperlink w:anchor="_wqnjw5htpyap">
            <w:r>
              <w:rPr>
                <w:color w:val="000000"/>
                <w:sz w:val="24"/>
                <w:szCs w:val="24"/>
              </w:rPr>
              <w:t>1.0 Introduction</w:t>
            </w:r>
            <w:r>
              <w:rPr>
                <w:color w:val="000000"/>
                <w:sz w:val="24"/>
                <w:szCs w:val="24"/>
              </w:rPr>
              <w:tab/>
              <w:t>2</w:t>
            </w:r>
          </w:hyperlink>
        </w:p>
        <w:p w14:paraId="219D36B6" w14:textId="77777777" w:rsidR="004E0C8A" w:rsidRDefault="003A199D">
          <w:pPr>
            <w:widowControl w:val="0"/>
            <w:tabs>
              <w:tab w:val="right" w:leader="dot" w:pos="12000"/>
            </w:tabs>
            <w:spacing w:before="60" w:after="200" w:line="360" w:lineRule="auto"/>
            <w:jc w:val="both"/>
            <w:rPr>
              <w:color w:val="000000"/>
              <w:sz w:val="24"/>
              <w:szCs w:val="24"/>
            </w:rPr>
          </w:pPr>
          <w:hyperlink w:anchor="_n8gcqvucs5r7">
            <w:r>
              <w:rPr>
                <w:color w:val="000000"/>
                <w:sz w:val="24"/>
                <w:szCs w:val="24"/>
              </w:rPr>
              <w:t>2.0 Main Body</w:t>
            </w:r>
            <w:r>
              <w:rPr>
                <w:color w:val="000000"/>
                <w:sz w:val="24"/>
                <w:szCs w:val="24"/>
              </w:rPr>
              <w:tab/>
              <w:t>2</w:t>
            </w:r>
          </w:hyperlink>
        </w:p>
        <w:p w14:paraId="274899B1" w14:textId="77777777" w:rsidR="004E0C8A" w:rsidRDefault="003A199D">
          <w:pPr>
            <w:widowControl w:val="0"/>
            <w:tabs>
              <w:tab w:val="right" w:leader="dot" w:pos="12000"/>
            </w:tabs>
            <w:spacing w:before="60" w:after="200" w:line="360" w:lineRule="auto"/>
            <w:jc w:val="both"/>
            <w:rPr>
              <w:color w:val="000000"/>
              <w:sz w:val="24"/>
              <w:szCs w:val="24"/>
            </w:rPr>
          </w:pPr>
          <w:hyperlink w:anchor="_jrysfojr5t0w">
            <w:r>
              <w:rPr>
                <w:color w:val="000000"/>
                <w:sz w:val="24"/>
                <w:szCs w:val="24"/>
              </w:rPr>
              <w:t>3.0 Conclusion</w:t>
            </w:r>
            <w:r>
              <w:rPr>
                <w:color w:val="000000"/>
                <w:sz w:val="24"/>
                <w:szCs w:val="24"/>
              </w:rPr>
              <w:tab/>
              <w:t>6</w:t>
            </w:r>
          </w:hyperlink>
        </w:p>
        <w:p w14:paraId="273CF045" w14:textId="77777777" w:rsidR="004E0C8A" w:rsidRDefault="003A199D">
          <w:pPr>
            <w:widowControl w:val="0"/>
            <w:tabs>
              <w:tab w:val="right" w:leader="dot" w:pos="12000"/>
            </w:tabs>
            <w:spacing w:before="60" w:after="200" w:line="360" w:lineRule="auto"/>
            <w:jc w:val="both"/>
            <w:rPr>
              <w:color w:val="000000"/>
              <w:sz w:val="24"/>
              <w:szCs w:val="24"/>
            </w:rPr>
          </w:pPr>
          <w:hyperlink w:anchor="_q1hwn68zkz6e">
            <w:r>
              <w:rPr>
                <w:color w:val="000000"/>
                <w:sz w:val="24"/>
                <w:szCs w:val="24"/>
              </w:rPr>
              <w:t>4.0 Reference List</w:t>
            </w:r>
            <w:r>
              <w:rPr>
                <w:color w:val="000000"/>
                <w:sz w:val="24"/>
                <w:szCs w:val="24"/>
              </w:rPr>
              <w:tab/>
              <w:t>7</w:t>
            </w:r>
          </w:hyperlink>
          <w:r>
            <w:fldChar w:fldCharType="end"/>
          </w:r>
        </w:p>
      </w:sdtContent>
    </w:sdt>
    <w:p w14:paraId="67DA6027" w14:textId="77777777" w:rsidR="004E0C8A" w:rsidRDefault="003A199D">
      <w:pPr>
        <w:pStyle w:val="Heading1"/>
        <w:keepNext w:val="0"/>
        <w:keepLines w:val="0"/>
      </w:pPr>
      <w:bookmarkStart w:id="0" w:name="_6b4fftodqt2p" w:colFirst="0" w:colLast="0"/>
      <w:bookmarkEnd w:id="0"/>
      <w:r>
        <w:br w:type="page"/>
      </w:r>
    </w:p>
    <w:p w14:paraId="3FA7B73F" w14:textId="77777777" w:rsidR="004E0C8A" w:rsidRDefault="003A199D">
      <w:pPr>
        <w:pStyle w:val="Heading1"/>
        <w:keepNext w:val="0"/>
        <w:keepLines w:val="0"/>
      </w:pPr>
      <w:bookmarkStart w:id="1" w:name="_wqnjw5htpyap" w:colFirst="0" w:colLast="0"/>
      <w:bookmarkEnd w:id="1"/>
      <w:r>
        <w:lastRenderedPageBreak/>
        <w:t>1.0 Introduction</w:t>
      </w:r>
    </w:p>
    <w:p w14:paraId="202DC820" w14:textId="77777777" w:rsidR="004E0C8A" w:rsidRDefault="003A199D">
      <w:pPr>
        <w:spacing w:before="200" w:after="200" w:line="360" w:lineRule="auto"/>
        <w:jc w:val="both"/>
        <w:rPr>
          <w:sz w:val="24"/>
          <w:szCs w:val="24"/>
        </w:rPr>
      </w:pPr>
      <w:r>
        <w:rPr>
          <w:sz w:val="24"/>
          <w:szCs w:val="24"/>
        </w:rPr>
        <w:t xml:space="preserve">The purpose of this reflective essay is to critically assess my own and professional development journey within the Professional Career Development module. I will systematically reflect on my experiences, feelings, and insights gained by using various career development models by using Gibbs' Reflective Cycle (Gibbs, 1988) as a framework. In this module I have come across some powerful theories like Honey and Mumford’s Learning Styles, SWOT analysis, Holland’s Career Theory and Ikigai, and each has had </w:t>
      </w:r>
      <w:proofErr w:type="gramStart"/>
      <w:r>
        <w:rPr>
          <w:sz w:val="24"/>
          <w:szCs w:val="24"/>
        </w:rPr>
        <w:t>a huge impact</w:t>
      </w:r>
      <w:proofErr w:type="gramEnd"/>
      <w:r>
        <w:rPr>
          <w:sz w:val="24"/>
          <w:szCs w:val="24"/>
        </w:rPr>
        <w:t xml:space="preserve"> on my understanding of employability. Reflection, as suggested by Cottrell (2021) is crucial to personal development in the sense that it allows people to transform experiences into real learning. Through this reflection, </w:t>
      </w:r>
      <w:proofErr w:type="gramStart"/>
      <w:r>
        <w:rPr>
          <w:sz w:val="24"/>
          <w:szCs w:val="24"/>
        </w:rPr>
        <w:t>I’d</w:t>
      </w:r>
      <w:proofErr w:type="gramEnd"/>
      <w:r>
        <w:rPr>
          <w:sz w:val="24"/>
          <w:szCs w:val="24"/>
        </w:rPr>
        <w:t xml:space="preserve"> like to show that I’ve applied these models in developing my employability skills, identifying areas for further improvement and how I can progress my professional life.</w:t>
      </w:r>
    </w:p>
    <w:p w14:paraId="17633E1B" w14:textId="77777777" w:rsidR="004E0C8A" w:rsidRDefault="003A199D">
      <w:pPr>
        <w:pStyle w:val="Heading1"/>
        <w:keepNext w:val="0"/>
        <w:keepLines w:val="0"/>
      </w:pPr>
      <w:bookmarkStart w:id="2" w:name="_n8gcqvucs5r7" w:colFirst="0" w:colLast="0"/>
      <w:bookmarkEnd w:id="2"/>
      <w:r>
        <w:t>2.0 Main Body</w:t>
      </w:r>
    </w:p>
    <w:p w14:paraId="55525A6A" w14:textId="77777777" w:rsidR="004E0C8A" w:rsidRDefault="003A199D">
      <w:pPr>
        <w:spacing w:before="200" w:after="200" w:line="360" w:lineRule="auto"/>
        <w:jc w:val="both"/>
        <w:rPr>
          <w:sz w:val="24"/>
          <w:szCs w:val="24"/>
        </w:rPr>
      </w:pPr>
      <w:r>
        <w:rPr>
          <w:sz w:val="24"/>
          <w:szCs w:val="24"/>
        </w:rPr>
        <w:t xml:space="preserve">The Professional Career Development module has been both comprehensive and transformational for me; reflective practice was the starting point where all learning from then on </w:t>
      </w:r>
      <w:proofErr w:type="gramStart"/>
      <w:r>
        <w:rPr>
          <w:sz w:val="24"/>
          <w:szCs w:val="24"/>
        </w:rPr>
        <w:t>was built</w:t>
      </w:r>
      <w:proofErr w:type="gramEnd"/>
      <w:r>
        <w:rPr>
          <w:sz w:val="24"/>
          <w:szCs w:val="24"/>
        </w:rPr>
        <w:t xml:space="preserve"> upon. During weeks three and four, I was exposed to personality assessments such as Honey and Mumford's learning styles </w:t>
      </w:r>
      <w:proofErr w:type="gramStart"/>
      <w:r>
        <w:rPr>
          <w:sz w:val="24"/>
          <w:szCs w:val="24"/>
        </w:rPr>
        <w:t>test</w:t>
      </w:r>
      <w:proofErr w:type="gramEnd"/>
      <w:r>
        <w:rPr>
          <w:sz w:val="24"/>
          <w:szCs w:val="24"/>
        </w:rPr>
        <w:t xml:space="preserve"> that determined me as a 'Reflector' who learns best through observation, thoughtful analysis, and taking action (Honey and Mumford, 2006). A personal SWOT analysis </w:t>
      </w:r>
      <w:proofErr w:type="gramStart"/>
      <w:r>
        <w:rPr>
          <w:sz w:val="24"/>
          <w:szCs w:val="24"/>
        </w:rPr>
        <w:t>was also conducted</w:t>
      </w:r>
      <w:proofErr w:type="gramEnd"/>
      <w:r>
        <w:rPr>
          <w:sz w:val="24"/>
          <w:szCs w:val="24"/>
        </w:rPr>
        <w:t xml:space="preserve"> to help me map my professional attributes and Johari Window exercise to reveal aspects of my personality I was not aware of or others. It continued to discuss career planning tools such as the SMART goals or Holland's Occupational Themes. I learned from Holland’s theory that my dominant personality types (Investigative and Social) make me excel in analytical work environments that include helping others (Holland, 1997). The Myers-Briggs assessment continued to refine my understanding, and I came out as an INFJ (introvert, intuitive, feeling, judging). The sessions on Maslow's hierarchy and the Life Career Rainbow made me aware of the career motivation and work-life balance, while the Japanese concept of Ikigai exposed me to the search for work that coalesces passion with practicality (</w:t>
      </w:r>
      <w:r>
        <w:rPr>
          <w:color w:val="222222"/>
          <w:sz w:val="24"/>
          <w:szCs w:val="24"/>
          <w:highlight w:val="white"/>
        </w:rPr>
        <w:t xml:space="preserve">Botha, 2021). </w:t>
      </w:r>
      <w:r>
        <w:rPr>
          <w:sz w:val="24"/>
          <w:szCs w:val="24"/>
        </w:rPr>
        <w:t xml:space="preserve">Towards the end of the latter weeks, practical employability skills such as networking techniques, </w:t>
      </w:r>
      <w:proofErr w:type="gramStart"/>
      <w:r>
        <w:rPr>
          <w:sz w:val="24"/>
          <w:szCs w:val="24"/>
        </w:rPr>
        <w:t>CV</w:t>
      </w:r>
      <w:proofErr w:type="gramEnd"/>
      <w:r>
        <w:rPr>
          <w:sz w:val="24"/>
          <w:szCs w:val="24"/>
        </w:rPr>
        <w:t xml:space="preserve"> development, and interview </w:t>
      </w:r>
      <w:r>
        <w:rPr>
          <w:sz w:val="24"/>
          <w:szCs w:val="24"/>
        </w:rPr>
        <w:lastRenderedPageBreak/>
        <w:t>preparation using the STAR model were covered, and I was then put through a mock interview experience, where I got to practice those theories in a simulated professional setting.</w:t>
      </w:r>
    </w:p>
    <w:p w14:paraId="53636EB8" w14:textId="37E57C5F" w:rsidR="004E0C8A" w:rsidRDefault="003A199D">
      <w:pPr>
        <w:spacing w:before="200" w:after="200" w:line="360" w:lineRule="auto"/>
        <w:jc w:val="both"/>
        <w:rPr>
          <w:sz w:val="24"/>
          <w:szCs w:val="24"/>
        </w:rPr>
      </w:pPr>
      <w:r>
        <w:rPr>
          <w:sz w:val="24"/>
          <w:szCs w:val="24"/>
        </w:rPr>
        <w:t xml:space="preserve">To begin with, I was skeptical but curious about the career development activities. I was curious if standardized personality assessments could sufficiently describe my professional identity. Having the Honey and Mumford test results describing me as a Reflector at first felt restrictive — was I </w:t>
      </w:r>
      <w:proofErr w:type="gramStart"/>
      <w:r>
        <w:rPr>
          <w:sz w:val="24"/>
          <w:szCs w:val="24"/>
        </w:rPr>
        <w:t>being put</w:t>
      </w:r>
      <w:proofErr w:type="gramEnd"/>
      <w:r>
        <w:rPr>
          <w:sz w:val="24"/>
          <w:szCs w:val="24"/>
        </w:rPr>
        <w:t xml:space="preserve"> in a box? Nevertheless, my attitude shifted from resistance to recognition as the module went on. I was surprised when writing the personal SWOT analysis, as I could clearly talk about my strengths, but I could not be honest about my weaknesses, which showed an emotional blind spot against </w:t>
      </w:r>
      <w:r w:rsidR="00BC590B">
        <w:rPr>
          <w:sz w:val="24"/>
          <w:szCs w:val="24"/>
        </w:rPr>
        <w:t>self-criticism</w:t>
      </w:r>
      <w:r>
        <w:rPr>
          <w:sz w:val="24"/>
          <w:szCs w:val="24"/>
        </w:rPr>
        <w:t xml:space="preserve">. The most emotional exercise was the Johari Window exercise. It was uncomfortable but enlightening to learn how others see me (particularly the qualities in my 'blind spot' that I had not seen in myself). According to work on mindset by Dweck (2017) this discomfort is often a precursor to growth. I felt my session on Ikigai resonated deeply, </w:t>
      </w:r>
      <w:proofErr w:type="gramStart"/>
      <w:r>
        <w:rPr>
          <w:sz w:val="24"/>
          <w:szCs w:val="24"/>
        </w:rPr>
        <w:t>hopeful</w:t>
      </w:r>
      <w:proofErr w:type="gramEnd"/>
      <w:r>
        <w:rPr>
          <w:sz w:val="24"/>
          <w:szCs w:val="24"/>
        </w:rPr>
        <w:t xml:space="preserve"> and excited to picture the intersection of my passions, my skills, market needs, and potential income. By this time, my initial trepidation had been replaced with confidence, based on my own </w:t>
      </w:r>
      <w:proofErr w:type="gramStart"/>
      <w:r w:rsidR="00BC590B">
        <w:rPr>
          <w:sz w:val="24"/>
          <w:szCs w:val="24"/>
        </w:rPr>
        <w:t>self-awareness</w:t>
      </w:r>
      <w:proofErr w:type="gramEnd"/>
      <w:r>
        <w:rPr>
          <w:sz w:val="24"/>
          <w:szCs w:val="24"/>
        </w:rPr>
        <w:t xml:space="preserve"> and using practical preparation techniques. It was a journey of the soul from doubt to </w:t>
      </w:r>
      <w:r w:rsidR="00F607AB">
        <w:rPr>
          <w:sz w:val="24"/>
          <w:szCs w:val="24"/>
        </w:rPr>
        <w:t>assurance and</w:t>
      </w:r>
      <w:r>
        <w:rPr>
          <w:sz w:val="24"/>
          <w:szCs w:val="24"/>
        </w:rPr>
        <w:t xml:space="preserve"> reflected a deeper engagement with the material than I had </w:t>
      </w:r>
      <w:proofErr w:type="gramStart"/>
      <w:r>
        <w:rPr>
          <w:sz w:val="24"/>
          <w:szCs w:val="24"/>
        </w:rPr>
        <w:t>kind of anticipated</w:t>
      </w:r>
      <w:proofErr w:type="gramEnd"/>
      <w:r>
        <w:rPr>
          <w:sz w:val="24"/>
          <w:szCs w:val="24"/>
        </w:rPr>
        <w:t xml:space="preserve"> with this issue.</w:t>
      </w:r>
    </w:p>
    <w:p w14:paraId="289B7D5C" w14:textId="77777777" w:rsidR="004E0C8A" w:rsidRDefault="003A199D">
      <w:pPr>
        <w:spacing w:before="200" w:after="200" w:line="360" w:lineRule="auto"/>
        <w:jc w:val="both"/>
        <w:rPr>
          <w:sz w:val="24"/>
          <w:szCs w:val="24"/>
        </w:rPr>
      </w:pPr>
      <w:r>
        <w:rPr>
          <w:sz w:val="24"/>
          <w:szCs w:val="24"/>
        </w:rPr>
        <w:t xml:space="preserve">The most successful parts of the learning journey were the practical application of the theoretical models. The SWOT analysis was </w:t>
      </w:r>
      <w:proofErr w:type="gramStart"/>
      <w:r>
        <w:rPr>
          <w:sz w:val="24"/>
          <w:szCs w:val="24"/>
        </w:rPr>
        <w:t>highly successful</w:t>
      </w:r>
      <w:proofErr w:type="gramEnd"/>
      <w:r>
        <w:rPr>
          <w:sz w:val="24"/>
          <w:szCs w:val="24"/>
        </w:rPr>
        <w:t xml:space="preserve"> since it provided the formal basis for the objective analysis of the professional position. As Robertson et al. (2020) suggest, self-assessment tools such as the SWOT allow individuals to build the strategic career plans from the personal traits. The Career Theory of Holland similarly proved enlightening by matching the personality type with the corresponding careers that justified the present professional decisions while making me explore new possibilities that did not originally come to mind. The Life Career Rainbow model proved the least successful for the learning type since it seemed too simplistic with the segregation of the life roles. Although theoretically sound, it did not account for the complexity of the relationship between the personal and the professional within the flexible nature of the modern </w:t>
      </w:r>
      <w:r>
        <w:rPr>
          <w:sz w:val="24"/>
          <w:szCs w:val="24"/>
        </w:rPr>
        <w:lastRenderedPageBreak/>
        <w:t xml:space="preserve">workplace. The employability skills classes for the crafting of the </w:t>
      </w:r>
      <w:proofErr w:type="gramStart"/>
      <w:r>
        <w:rPr>
          <w:sz w:val="24"/>
          <w:szCs w:val="24"/>
        </w:rPr>
        <w:t>CV</w:t>
      </w:r>
      <w:proofErr w:type="gramEnd"/>
      <w:r>
        <w:rPr>
          <w:sz w:val="24"/>
          <w:szCs w:val="24"/>
        </w:rPr>
        <w:t xml:space="preserve"> and interviewing skills were highly valuable. The presentation of Gallagher (2022) for the crafting of the </w:t>
      </w:r>
      <w:proofErr w:type="gramStart"/>
      <w:r>
        <w:rPr>
          <w:sz w:val="24"/>
          <w:szCs w:val="24"/>
        </w:rPr>
        <w:t>CV</w:t>
      </w:r>
      <w:proofErr w:type="gramEnd"/>
      <w:r>
        <w:rPr>
          <w:sz w:val="24"/>
          <w:szCs w:val="24"/>
        </w:rPr>
        <w:t xml:space="preserve"> by emphasizing the need for the tailoring of the accomplishments for the position requirements revolutionized the knowledge of successful self-marketing for me. The practice interview with the STAR model prepared me for the formal responses for the behavioral questions since it left me with the practical skill that </w:t>
      </w:r>
      <w:proofErr w:type="gramStart"/>
      <w:r>
        <w:rPr>
          <w:sz w:val="24"/>
          <w:szCs w:val="24"/>
        </w:rPr>
        <w:t>I've</w:t>
      </w:r>
      <w:proofErr w:type="gramEnd"/>
      <w:r>
        <w:rPr>
          <w:sz w:val="24"/>
          <w:szCs w:val="24"/>
        </w:rPr>
        <w:t xml:space="preserve"> already successfully utilized within the recent interview for the internship (</w:t>
      </w:r>
      <w:r>
        <w:rPr>
          <w:color w:val="222222"/>
          <w:sz w:val="24"/>
          <w:szCs w:val="24"/>
          <w:highlight w:val="white"/>
        </w:rPr>
        <w:t xml:space="preserve">Zelikman </w:t>
      </w:r>
      <w:r>
        <w:rPr>
          <w:i/>
          <w:color w:val="222222"/>
          <w:sz w:val="24"/>
          <w:szCs w:val="24"/>
          <w:highlight w:val="white"/>
        </w:rPr>
        <w:t>et al.,</w:t>
      </w:r>
      <w:r>
        <w:rPr>
          <w:color w:val="222222"/>
          <w:sz w:val="24"/>
          <w:szCs w:val="24"/>
          <w:highlight w:val="white"/>
        </w:rPr>
        <w:t xml:space="preserve"> 2024)</w:t>
      </w:r>
      <w:r>
        <w:rPr>
          <w:sz w:val="24"/>
          <w:szCs w:val="24"/>
        </w:rPr>
        <w:t>. The synthesis of the theoretical frameworks with the practical implementation proved the complete learning journey that addressed the "why" and the "how" of the progress of the career.</w:t>
      </w:r>
    </w:p>
    <w:p w14:paraId="7024F734" w14:textId="083EB3A0" w:rsidR="004E0C8A" w:rsidRDefault="003A199D">
      <w:pPr>
        <w:spacing w:before="200" w:after="200" w:line="360" w:lineRule="auto"/>
        <w:jc w:val="both"/>
        <w:rPr>
          <w:sz w:val="24"/>
          <w:szCs w:val="24"/>
        </w:rPr>
      </w:pPr>
      <w:r>
        <w:rPr>
          <w:sz w:val="24"/>
          <w:szCs w:val="24"/>
        </w:rPr>
        <w:t xml:space="preserve">The models that resonated most deeply with me were those that facilitated genuine self-discovery rather than simply categorizing my traits. The Johari Window, for instance, proved particularly illuminating by revealing the discrepancy between my self-perception and how others view me. This helped me understand why certain professional interactions had been </w:t>
      </w:r>
      <w:r w:rsidR="00F607AB">
        <w:rPr>
          <w:sz w:val="24"/>
          <w:szCs w:val="24"/>
        </w:rPr>
        <w:t>challenging I</w:t>
      </w:r>
      <w:r>
        <w:rPr>
          <w:sz w:val="24"/>
          <w:szCs w:val="24"/>
        </w:rPr>
        <w:t xml:space="preserve"> </w:t>
      </w:r>
      <w:proofErr w:type="gramStart"/>
      <w:r>
        <w:rPr>
          <w:sz w:val="24"/>
          <w:szCs w:val="24"/>
        </w:rPr>
        <w:t>wasn't</w:t>
      </w:r>
      <w:proofErr w:type="gramEnd"/>
      <w:r>
        <w:rPr>
          <w:sz w:val="24"/>
          <w:szCs w:val="24"/>
        </w:rPr>
        <w:t xml:space="preserve"> effectively communicating qualities that were obvious to me but hidden from others. Cottrell (2021) emphasizes that such heightened self-awareness is fundamental to developing the emotional intelligence required in modern workplaces. The concept of Ikigai connected strongly with my </w:t>
      </w:r>
      <w:proofErr w:type="gramStart"/>
      <w:r>
        <w:rPr>
          <w:sz w:val="24"/>
          <w:szCs w:val="24"/>
        </w:rPr>
        <w:t>personal experiences</w:t>
      </w:r>
      <w:proofErr w:type="gramEnd"/>
      <w:r>
        <w:rPr>
          <w:sz w:val="24"/>
          <w:szCs w:val="24"/>
        </w:rPr>
        <w:t xml:space="preserve"> of career dissatisfaction. Previously, I had pursued roles that utilized my skills but failed to engage my passions, leading to competence without fulfillment. The Ikigai framework helped me analyze this disconnect by demonstrating that sustainable career satisfaction requires alignment across multiple dimensions—what I love, what </w:t>
      </w:r>
      <w:proofErr w:type="gramStart"/>
      <w:r>
        <w:rPr>
          <w:sz w:val="24"/>
          <w:szCs w:val="24"/>
        </w:rPr>
        <w:t>I'm</w:t>
      </w:r>
      <w:proofErr w:type="gramEnd"/>
      <w:r>
        <w:rPr>
          <w:sz w:val="24"/>
          <w:szCs w:val="24"/>
        </w:rPr>
        <w:t xml:space="preserve"> good at, what the world needs, and what can be financially rewarding. This analysis explained why my previous role in financial administration, while matching my organizational abilities and providing good compensation, </w:t>
      </w:r>
      <w:proofErr w:type="gramStart"/>
      <w:r>
        <w:rPr>
          <w:sz w:val="24"/>
          <w:szCs w:val="24"/>
        </w:rPr>
        <w:t>ultimately felt</w:t>
      </w:r>
      <w:proofErr w:type="gramEnd"/>
      <w:r>
        <w:rPr>
          <w:sz w:val="24"/>
          <w:szCs w:val="24"/>
        </w:rPr>
        <w:t xml:space="preserve"> unfulfilling—it lacked connection to my passion for helping others develop. My SWOT analysis revealed strengths in analytical thinking and empathetic communication, which I now recognize as valuable transferable skills. However, it also highlighted a critical weakness in self-promotion and networking that could limit my career progression. As Smale (2015) notes, technical competence alone is insufficient for career advancement; the ability to build professional relationships and articulate one's value proposition is equally crucial. This analysis has prompted me to reconsider how I approach professional interactions, </w:t>
      </w:r>
      <w:r>
        <w:rPr>
          <w:sz w:val="24"/>
          <w:szCs w:val="24"/>
        </w:rPr>
        <w:lastRenderedPageBreak/>
        <w:t>focusing not just on delivering quality work but also on effectively communicating my contributions and building strategic connections.</w:t>
      </w:r>
    </w:p>
    <w:p w14:paraId="552C7C5A" w14:textId="43203A03" w:rsidR="004E0C8A" w:rsidRDefault="003A199D">
      <w:pPr>
        <w:spacing w:before="200" w:after="200" w:line="360" w:lineRule="auto"/>
        <w:jc w:val="both"/>
        <w:rPr>
          <w:sz w:val="24"/>
          <w:szCs w:val="24"/>
        </w:rPr>
      </w:pPr>
      <w:r>
        <w:rPr>
          <w:sz w:val="24"/>
          <w:szCs w:val="24"/>
        </w:rPr>
        <w:t xml:space="preserve">As a result of doing this reflective process, I have learnt </w:t>
      </w:r>
      <w:proofErr w:type="gramStart"/>
      <w:r>
        <w:rPr>
          <w:sz w:val="24"/>
          <w:szCs w:val="24"/>
        </w:rPr>
        <w:t>a lot</w:t>
      </w:r>
      <w:proofErr w:type="gramEnd"/>
      <w:r>
        <w:rPr>
          <w:sz w:val="24"/>
          <w:szCs w:val="24"/>
        </w:rPr>
        <w:t xml:space="preserve"> about myself as a professional. I have discovered that my inclination to reflect before action as the Honey and Mumford test indicated was not </w:t>
      </w:r>
      <w:r w:rsidR="00F607AB">
        <w:rPr>
          <w:sz w:val="24"/>
          <w:szCs w:val="24"/>
        </w:rPr>
        <w:t>indecisive</w:t>
      </w:r>
      <w:r>
        <w:rPr>
          <w:sz w:val="24"/>
          <w:szCs w:val="24"/>
        </w:rPr>
        <w:t xml:space="preserve"> as I feared, but a useful analytical approach that adds quality to decisions. My INFJ personality type helps explain why </w:t>
      </w:r>
      <w:proofErr w:type="gramStart"/>
      <w:r>
        <w:rPr>
          <w:sz w:val="24"/>
          <w:szCs w:val="24"/>
        </w:rPr>
        <w:t>I’ve</w:t>
      </w:r>
      <w:proofErr w:type="gramEnd"/>
      <w:r>
        <w:rPr>
          <w:sz w:val="24"/>
          <w:szCs w:val="24"/>
        </w:rPr>
        <w:t xml:space="preserve"> been content in mentoring and training roles, because my natural inclination is to support the growth of others. These realizations became much more apparent in the sense that certain career paths have been more aligned with my authentic self, and others have not. I have achieved a great deal of </w:t>
      </w:r>
      <w:r w:rsidR="00F607AB">
        <w:rPr>
          <w:sz w:val="24"/>
          <w:szCs w:val="24"/>
        </w:rPr>
        <w:t>self-awareness</w:t>
      </w:r>
      <w:r>
        <w:rPr>
          <w:sz w:val="24"/>
          <w:szCs w:val="24"/>
        </w:rPr>
        <w:t xml:space="preserve"> and practical skills development that has contributed to my readiness for employability. Although, there are </w:t>
      </w:r>
      <w:proofErr w:type="gramStart"/>
      <w:r>
        <w:rPr>
          <w:sz w:val="24"/>
          <w:szCs w:val="24"/>
        </w:rPr>
        <w:t>some</w:t>
      </w:r>
      <w:proofErr w:type="gramEnd"/>
      <w:r>
        <w:rPr>
          <w:sz w:val="24"/>
          <w:szCs w:val="24"/>
        </w:rPr>
        <w:t xml:space="preserve"> gaps in my professional profile such as leadership experience and digital marketing knowledge which are important for my target career in learning and development. However, Gallagher (2022) highlights that the first step in addressing competency gaps strategically is identifying them. This module has given me the tools to evaluate opportunities better, build compelling apps, and approach interviews with confidence. I have also become proficient in articulating my professional narrative cohesively, the past and present offering a point of connection to a future that brings together purpose and adaptability to future employers.</w:t>
      </w:r>
    </w:p>
    <w:p w14:paraId="26AB6948" w14:textId="2D66E265" w:rsidR="004E0C8A" w:rsidRDefault="003A199D">
      <w:pPr>
        <w:spacing w:before="200" w:after="200" w:line="360" w:lineRule="auto"/>
        <w:jc w:val="both"/>
        <w:rPr>
          <w:sz w:val="24"/>
          <w:szCs w:val="24"/>
        </w:rPr>
      </w:pPr>
      <w:r>
        <w:rPr>
          <w:sz w:val="24"/>
          <w:szCs w:val="24"/>
        </w:rPr>
        <w:t xml:space="preserve">I have </w:t>
      </w:r>
      <w:proofErr w:type="gramStart"/>
      <w:r>
        <w:rPr>
          <w:sz w:val="24"/>
          <w:szCs w:val="24"/>
        </w:rPr>
        <w:t>come up with</w:t>
      </w:r>
      <w:proofErr w:type="gramEnd"/>
      <w:r>
        <w:rPr>
          <w:sz w:val="24"/>
          <w:szCs w:val="24"/>
        </w:rPr>
        <w:t xml:space="preserve"> an action plan to help me </w:t>
      </w:r>
      <w:r w:rsidR="00F607AB">
        <w:rPr>
          <w:sz w:val="24"/>
          <w:szCs w:val="24"/>
        </w:rPr>
        <w:t>improve</w:t>
      </w:r>
      <w:r>
        <w:rPr>
          <w:sz w:val="24"/>
          <w:szCs w:val="24"/>
        </w:rPr>
        <w:t xml:space="preserve"> my professional development based on my reflections. To address my weakness in the networking area revealed in my SWOT analysis, I will start to attend at least two industry events a month for the next six months with the intention of bouncing five meaningful conversations per event and follow up with at least three new connections. </w:t>
      </w:r>
      <w:proofErr w:type="gramStart"/>
      <w:r>
        <w:rPr>
          <w:sz w:val="24"/>
          <w:szCs w:val="24"/>
        </w:rPr>
        <w:t>I’m</w:t>
      </w:r>
      <w:proofErr w:type="gramEnd"/>
      <w:r>
        <w:rPr>
          <w:sz w:val="24"/>
          <w:szCs w:val="24"/>
        </w:rPr>
        <w:t xml:space="preserve"> registered for an upcoming learning and development conference in November to start this process.</w:t>
      </w:r>
    </w:p>
    <w:p w14:paraId="18F2A7CE" w14:textId="4FC065D8" w:rsidR="004E0C8A" w:rsidRDefault="003A199D">
      <w:pPr>
        <w:spacing w:before="200" w:after="200" w:line="360" w:lineRule="auto"/>
        <w:jc w:val="both"/>
        <w:rPr>
          <w:sz w:val="24"/>
          <w:szCs w:val="24"/>
        </w:rPr>
      </w:pPr>
      <w:r>
        <w:rPr>
          <w:sz w:val="24"/>
          <w:szCs w:val="24"/>
        </w:rPr>
        <w:t xml:space="preserve">Secondly, by January 2025, I will volunteer to lead a </w:t>
      </w:r>
      <w:r w:rsidR="00F607AB">
        <w:rPr>
          <w:sz w:val="24"/>
          <w:szCs w:val="24"/>
        </w:rPr>
        <w:t>cross-department</w:t>
      </w:r>
      <w:r>
        <w:rPr>
          <w:sz w:val="24"/>
          <w:szCs w:val="24"/>
        </w:rPr>
        <w:t xml:space="preserve"> project at the workplace I am currently in, and specifically as a training program development to fit my career interest. This will give me concrete examples for candidates in future interviews and increase my confidence in leadership roles. Third, for better digital marketing knowledge, I will have completed an online certification on digital marketing for learning </w:t>
      </w:r>
      <w:r>
        <w:rPr>
          <w:sz w:val="24"/>
          <w:szCs w:val="24"/>
        </w:rPr>
        <w:lastRenderedPageBreak/>
        <w:t>professionals by March 2025, covering especially content creation and analytics which I found critical from the analysis of job descriptions in my target field.</w:t>
      </w:r>
    </w:p>
    <w:p w14:paraId="301C499A" w14:textId="77777777" w:rsidR="004E0C8A" w:rsidRDefault="003A199D">
      <w:pPr>
        <w:spacing w:before="200" w:after="200" w:line="360" w:lineRule="auto"/>
        <w:jc w:val="both"/>
        <w:rPr>
          <w:sz w:val="24"/>
          <w:szCs w:val="24"/>
        </w:rPr>
      </w:pPr>
      <w:proofErr w:type="gramStart"/>
      <w:r>
        <w:rPr>
          <w:sz w:val="24"/>
          <w:szCs w:val="24"/>
        </w:rPr>
        <w:t>In order to</w:t>
      </w:r>
      <w:proofErr w:type="gramEnd"/>
      <w:r>
        <w:rPr>
          <w:sz w:val="24"/>
          <w:szCs w:val="24"/>
        </w:rPr>
        <w:t xml:space="preserve"> use my strength in analytical thinking, I will set up a monthly reflection practice in which I will document my professional progress using the Gibbs model and adjust my strategies based on it. I shall also keep a portfolio of projects and achievements to use for future job applications, as recommended by Cottrell (2021). I will further expand my understanding of career development theories by reading one book of Robertson et al. (2020) to further grow my understanding of my growth mindset approach to a professional challenge.</w:t>
      </w:r>
    </w:p>
    <w:p w14:paraId="48406286" w14:textId="77777777" w:rsidR="004E0C8A" w:rsidRDefault="003A199D">
      <w:pPr>
        <w:pStyle w:val="Heading1"/>
        <w:keepNext w:val="0"/>
        <w:keepLines w:val="0"/>
      </w:pPr>
      <w:bookmarkStart w:id="3" w:name="_jrysfojr5t0w" w:colFirst="0" w:colLast="0"/>
      <w:bookmarkEnd w:id="3"/>
      <w:r>
        <w:t>3.0 Conclusion</w:t>
      </w:r>
    </w:p>
    <w:p w14:paraId="691096C1" w14:textId="77777777" w:rsidR="004E0C8A" w:rsidRDefault="003A199D">
      <w:pPr>
        <w:spacing w:before="200" w:after="200" w:line="360" w:lineRule="auto"/>
        <w:jc w:val="both"/>
        <w:rPr>
          <w:sz w:val="24"/>
          <w:szCs w:val="24"/>
        </w:rPr>
      </w:pPr>
      <w:r>
        <w:rPr>
          <w:sz w:val="24"/>
          <w:szCs w:val="24"/>
        </w:rPr>
        <w:t xml:space="preserve">My journey in the Professional Career Development module, therefore, drastically changed my career planning and employability approach. It is through the structured reflection using Gibbs Cycle that I have come to understand how theoretical models such as Holland's Career Theory, SWOT analysis, and Ikigai are able to </w:t>
      </w:r>
      <w:proofErr w:type="gramStart"/>
      <w:r>
        <w:rPr>
          <w:sz w:val="24"/>
          <w:szCs w:val="24"/>
        </w:rPr>
        <w:t>be put</w:t>
      </w:r>
      <w:proofErr w:type="gramEnd"/>
      <w:r>
        <w:rPr>
          <w:sz w:val="24"/>
          <w:szCs w:val="24"/>
        </w:rPr>
        <w:t xml:space="preserve"> into practice for professional development. According to Cottrell (2021), reflection without action is simply contemplation; and action without reflection is simply behavior. Reflective practice in the context of targeted action planning has not only equipped me with knowledge of the job role but with the actual strategies for seeking career advancement. It prepared me for taking ownership of my professional career, with more </w:t>
      </w:r>
      <w:r w:rsidR="00BC590B">
        <w:rPr>
          <w:sz w:val="24"/>
          <w:szCs w:val="24"/>
        </w:rPr>
        <w:t>self-awareness</w:t>
      </w:r>
      <w:r>
        <w:rPr>
          <w:sz w:val="24"/>
          <w:szCs w:val="24"/>
        </w:rPr>
        <w:t>, more clarity regarding where to and how to go, and with practical tools for continued development. Looking ahead, I am certain that I will be able to navigate future employment landscapes with the same extent of reflection I have used with each new professional experience and task.</w:t>
      </w:r>
    </w:p>
    <w:p w14:paraId="3C744F6B" w14:textId="77777777" w:rsidR="004E0C8A" w:rsidRDefault="003A199D">
      <w:pPr>
        <w:spacing w:before="200" w:after="200" w:line="360" w:lineRule="auto"/>
        <w:jc w:val="both"/>
        <w:rPr>
          <w:b/>
          <w:sz w:val="24"/>
          <w:szCs w:val="24"/>
        </w:rPr>
      </w:pPr>
      <w:r>
        <w:br w:type="page"/>
      </w:r>
    </w:p>
    <w:p w14:paraId="55178586" w14:textId="77777777" w:rsidR="004E0C8A" w:rsidRDefault="003A199D">
      <w:pPr>
        <w:pStyle w:val="Heading1"/>
      </w:pPr>
      <w:bookmarkStart w:id="4" w:name="_q1hwn68zkz6e" w:colFirst="0" w:colLast="0"/>
      <w:bookmarkEnd w:id="4"/>
      <w:r>
        <w:lastRenderedPageBreak/>
        <w:t>4.0 Reference List</w:t>
      </w:r>
    </w:p>
    <w:p w14:paraId="026A54BA" w14:textId="77777777" w:rsidR="00BC590B" w:rsidRDefault="00BC590B">
      <w:pPr>
        <w:spacing w:before="200" w:after="200" w:line="360" w:lineRule="auto"/>
        <w:jc w:val="both"/>
        <w:rPr>
          <w:color w:val="222222"/>
          <w:sz w:val="24"/>
          <w:szCs w:val="24"/>
          <w:highlight w:val="white"/>
        </w:rPr>
      </w:pPr>
      <w:r>
        <w:rPr>
          <w:color w:val="222222"/>
          <w:sz w:val="24"/>
          <w:szCs w:val="24"/>
          <w:highlight w:val="white"/>
        </w:rPr>
        <w:t>Botha, T.E., (2021). Austen’s rainbow: a psychobiographical study of Jane Austen’s career development.</w:t>
      </w:r>
    </w:p>
    <w:p w14:paraId="44411E64" w14:textId="77777777" w:rsidR="00BC590B" w:rsidRDefault="00BC590B">
      <w:pPr>
        <w:spacing w:before="200" w:after="200" w:line="360" w:lineRule="auto"/>
        <w:jc w:val="both"/>
        <w:rPr>
          <w:sz w:val="24"/>
          <w:szCs w:val="24"/>
        </w:rPr>
      </w:pPr>
      <w:r>
        <w:rPr>
          <w:sz w:val="24"/>
          <w:szCs w:val="24"/>
        </w:rPr>
        <w:t xml:space="preserve">Cottrell, S. (2021) </w:t>
      </w:r>
      <w:r>
        <w:rPr>
          <w:i/>
          <w:sz w:val="24"/>
          <w:szCs w:val="24"/>
        </w:rPr>
        <w:t>Skills for success: personal development and employability</w:t>
      </w:r>
      <w:r>
        <w:rPr>
          <w:sz w:val="24"/>
          <w:szCs w:val="24"/>
        </w:rPr>
        <w:t xml:space="preserve">. </w:t>
      </w:r>
      <w:proofErr w:type="gramStart"/>
      <w:r>
        <w:rPr>
          <w:sz w:val="24"/>
          <w:szCs w:val="24"/>
        </w:rPr>
        <w:t>4th</w:t>
      </w:r>
      <w:proofErr w:type="gramEnd"/>
      <w:r>
        <w:rPr>
          <w:sz w:val="24"/>
          <w:szCs w:val="24"/>
        </w:rPr>
        <w:t xml:space="preserve"> edition. London: Red Globe Press.</w:t>
      </w:r>
    </w:p>
    <w:p w14:paraId="1137AC5D" w14:textId="77777777" w:rsidR="00BC590B" w:rsidRDefault="00BC590B">
      <w:pPr>
        <w:spacing w:before="200" w:after="200" w:line="360" w:lineRule="auto"/>
        <w:jc w:val="both"/>
        <w:rPr>
          <w:sz w:val="24"/>
          <w:szCs w:val="24"/>
        </w:rPr>
      </w:pPr>
      <w:r>
        <w:rPr>
          <w:sz w:val="24"/>
          <w:szCs w:val="24"/>
        </w:rPr>
        <w:t xml:space="preserve">Dweck, C.S. (2017) </w:t>
      </w:r>
      <w:r>
        <w:rPr>
          <w:i/>
          <w:sz w:val="24"/>
          <w:szCs w:val="24"/>
        </w:rPr>
        <w:t>Mindset</w:t>
      </w:r>
      <w:r>
        <w:rPr>
          <w:sz w:val="24"/>
          <w:szCs w:val="24"/>
        </w:rPr>
        <w:t>. Updated edition. London: Robinson.</w:t>
      </w:r>
    </w:p>
    <w:p w14:paraId="1FDC2196" w14:textId="77777777" w:rsidR="00BC590B" w:rsidRDefault="00BC590B">
      <w:pPr>
        <w:spacing w:before="200" w:after="200" w:line="360" w:lineRule="auto"/>
        <w:jc w:val="both"/>
        <w:rPr>
          <w:sz w:val="24"/>
          <w:szCs w:val="24"/>
        </w:rPr>
      </w:pPr>
      <w:r>
        <w:rPr>
          <w:sz w:val="24"/>
          <w:szCs w:val="24"/>
        </w:rPr>
        <w:t xml:space="preserve">Gallagher, K. (2022) </w:t>
      </w:r>
      <w:r>
        <w:rPr>
          <w:i/>
          <w:sz w:val="24"/>
          <w:szCs w:val="24"/>
        </w:rPr>
        <w:t>Essential study and employment skills for business and management students</w:t>
      </w:r>
      <w:r>
        <w:rPr>
          <w:sz w:val="24"/>
          <w:szCs w:val="24"/>
        </w:rPr>
        <w:t>. Fourth edition. Oxford: Oxford University Press.</w:t>
      </w:r>
    </w:p>
    <w:p w14:paraId="5B013B00" w14:textId="77777777" w:rsidR="00BC590B" w:rsidRDefault="00BC590B">
      <w:pPr>
        <w:spacing w:before="200" w:after="200" w:line="360" w:lineRule="auto"/>
        <w:jc w:val="both"/>
        <w:rPr>
          <w:sz w:val="24"/>
          <w:szCs w:val="24"/>
        </w:rPr>
      </w:pPr>
      <w:r>
        <w:rPr>
          <w:sz w:val="24"/>
          <w:szCs w:val="24"/>
        </w:rPr>
        <w:t xml:space="preserve">Holland, J.L. (1997) </w:t>
      </w:r>
      <w:r>
        <w:rPr>
          <w:i/>
          <w:sz w:val="24"/>
          <w:szCs w:val="24"/>
        </w:rPr>
        <w:t>Making vocational choices: A theory of vocational personalities and work environments</w:t>
      </w:r>
      <w:r>
        <w:rPr>
          <w:sz w:val="24"/>
          <w:szCs w:val="24"/>
        </w:rPr>
        <w:t xml:space="preserve">. </w:t>
      </w:r>
      <w:proofErr w:type="gramStart"/>
      <w:r>
        <w:rPr>
          <w:sz w:val="24"/>
          <w:szCs w:val="24"/>
        </w:rPr>
        <w:t>3rd</w:t>
      </w:r>
      <w:proofErr w:type="gramEnd"/>
      <w:r>
        <w:rPr>
          <w:sz w:val="24"/>
          <w:szCs w:val="24"/>
        </w:rPr>
        <w:t xml:space="preserve"> edition. Odessa, FL: Psychological Assessment Resources.</w:t>
      </w:r>
    </w:p>
    <w:p w14:paraId="59416217" w14:textId="77777777" w:rsidR="00BC590B" w:rsidRDefault="00BC590B">
      <w:pPr>
        <w:spacing w:before="200" w:after="200" w:line="360" w:lineRule="auto"/>
        <w:jc w:val="both"/>
        <w:rPr>
          <w:sz w:val="24"/>
          <w:szCs w:val="24"/>
        </w:rPr>
      </w:pPr>
      <w:r>
        <w:rPr>
          <w:sz w:val="24"/>
          <w:szCs w:val="24"/>
        </w:rPr>
        <w:t xml:space="preserve">Robertson, P.J., Hooley, T., and McCash, P. (eds.) (2020) </w:t>
      </w:r>
      <w:r>
        <w:rPr>
          <w:i/>
          <w:sz w:val="24"/>
          <w:szCs w:val="24"/>
        </w:rPr>
        <w:t>The Oxford handbook of career development</w:t>
      </w:r>
      <w:r>
        <w:rPr>
          <w:sz w:val="24"/>
          <w:szCs w:val="24"/>
        </w:rPr>
        <w:t>. New York: Oxford University Press.</w:t>
      </w:r>
    </w:p>
    <w:p w14:paraId="3C5CE632" w14:textId="77777777" w:rsidR="00BC590B" w:rsidRDefault="00BC590B">
      <w:pPr>
        <w:spacing w:before="200" w:after="200" w:line="360" w:lineRule="auto"/>
        <w:jc w:val="both"/>
        <w:rPr>
          <w:sz w:val="24"/>
          <w:szCs w:val="24"/>
        </w:rPr>
      </w:pPr>
      <w:r>
        <w:rPr>
          <w:sz w:val="24"/>
          <w:szCs w:val="24"/>
        </w:rPr>
        <w:t xml:space="preserve">Smale, B. (2015) </w:t>
      </w:r>
      <w:r>
        <w:rPr>
          <w:i/>
          <w:sz w:val="24"/>
          <w:szCs w:val="24"/>
        </w:rPr>
        <w:t xml:space="preserve">How to succeed at university: an essential guide to academic skills, personal </w:t>
      </w:r>
      <w:proofErr w:type="gramStart"/>
      <w:r>
        <w:rPr>
          <w:i/>
          <w:sz w:val="24"/>
          <w:szCs w:val="24"/>
        </w:rPr>
        <w:t>development</w:t>
      </w:r>
      <w:proofErr w:type="gramEnd"/>
      <w:r>
        <w:rPr>
          <w:i/>
          <w:sz w:val="24"/>
          <w:szCs w:val="24"/>
        </w:rPr>
        <w:t xml:space="preserve"> and employability</w:t>
      </w:r>
      <w:r>
        <w:rPr>
          <w:sz w:val="24"/>
          <w:szCs w:val="24"/>
        </w:rPr>
        <w:t>. Second edition. London: SAGE.</w:t>
      </w:r>
    </w:p>
    <w:p w14:paraId="52F7DDD6" w14:textId="77777777" w:rsidR="00BC590B" w:rsidRDefault="00BC590B">
      <w:pPr>
        <w:spacing w:before="200" w:after="200" w:line="360" w:lineRule="auto"/>
        <w:jc w:val="both"/>
        <w:rPr>
          <w:color w:val="222222"/>
          <w:sz w:val="24"/>
          <w:szCs w:val="24"/>
          <w:highlight w:val="white"/>
        </w:rPr>
      </w:pPr>
      <w:r>
        <w:rPr>
          <w:color w:val="222222"/>
          <w:sz w:val="24"/>
          <w:szCs w:val="24"/>
          <w:highlight w:val="white"/>
        </w:rPr>
        <w:t xml:space="preserve">Zelikman, E., Harik, G.R., Shao, Y., Jayasiri, V., Haber, N. and Goodman, N., (2024, March). Quiet-star: Language models can teach themselves to think before speaking. In </w:t>
      </w:r>
      <w:r>
        <w:rPr>
          <w:i/>
          <w:color w:val="222222"/>
          <w:sz w:val="24"/>
          <w:szCs w:val="24"/>
          <w:highlight w:val="white"/>
        </w:rPr>
        <w:t>First Conference on Language Modeling</w:t>
      </w:r>
      <w:r>
        <w:rPr>
          <w:color w:val="222222"/>
          <w:sz w:val="24"/>
          <w:szCs w:val="24"/>
          <w:highlight w:val="white"/>
        </w:rPr>
        <w:t>.</w:t>
      </w:r>
    </w:p>
    <w:p w14:paraId="0A063423" w14:textId="77777777" w:rsidR="004E0C8A" w:rsidRDefault="004E0C8A">
      <w:pPr>
        <w:spacing w:before="200" w:after="200" w:line="360" w:lineRule="auto"/>
        <w:jc w:val="both"/>
        <w:rPr>
          <w:sz w:val="24"/>
          <w:szCs w:val="24"/>
        </w:rPr>
      </w:pPr>
    </w:p>
    <w:sectPr w:rsidR="004E0C8A">
      <w:headerReference w:type="default" r:id="rId7"/>
      <w:footerReference w:type="default" r:id="rId8"/>
      <w:footerReference w:type="first" r:id="rId9"/>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A1E71" w14:textId="77777777" w:rsidR="00800F92" w:rsidRDefault="00800F92">
      <w:pPr>
        <w:spacing w:line="240" w:lineRule="auto"/>
      </w:pPr>
      <w:r>
        <w:separator/>
      </w:r>
    </w:p>
  </w:endnote>
  <w:endnote w:type="continuationSeparator" w:id="0">
    <w:p w14:paraId="2AA2F98B" w14:textId="77777777" w:rsidR="00800F92" w:rsidRDefault="00800F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0A359" w14:textId="77777777" w:rsidR="004E0C8A" w:rsidRDefault="003A199D">
    <w:pPr>
      <w:jc w:val="right"/>
      <w:rPr>
        <w:sz w:val="24"/>
        <w:szCs w:val="24"/>
      </w:rPr>
    </w:pPr>
    <w:r>
      <w:rPr>
        <w:sz w:val="24"/>
        <w:szCs w:val="24"/>
      </w:rPr>
      <w:fldChar w:fldCharType="begin"/>
    </w:r>
    <w:r>
      <w:rPr>
        <w:sz w:val="24"/>
        <w:szCs w:val="24"/>
      </w:rPr>
      <w:instrText>PAGE</w:instrText>
    </w:r>
    <w:r>
      <w:rPr>
        <w:sz w:val="24"/>
        <w:szCs w:val="24"/>
      </w:rPr>
      <w:fldChar w:fldCharType="separate"/>
    </w:r>
    <w:r w:rsidR="00BC590B">
      <w:rPr>
        <w:noProof/>
        <w:sz w:val="24"/>
        <w:szCs w:val="24"/>
      </w:rPr>
      <w:t>1</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29764" w14:textId="77777777" w:rsidR="004E0C8A" w:rsidRDefault="004E0C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D7270" w14:textId="77777777" w:rsidR="00800F92" w:rsidRDefault="00800F92">
      <w:pPr>
        <w:spacing w:line="240" w:lineRule="auto"/>
      </w:pPr>
      <w:r>
        <w:separator/>
      </w:r>
    </w:p>
  </w:footnote>
  <w:footnote w:type="continuationSeparator" w:id="0">
    <w:p w14:paraId="2341C644" w14:textId="77777777" w:rsidR="00800F92" w:rsidRDefault="00800F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5AF76" w14:textId="77777777" w:rsidR="004E0C8A" w:rsidRDefault="004E0C8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C8A"/>
    <w:rsid w:val="003A199D"/>
    <w:rsid w:val="004E0C8A"/>
    <w:rsid w:val="00800F92"/>
    <w:rsid w:val="00A77EC8"/>
    <w:rsid w:val="00BC590B"/>
    <w:rsid w:val="00F607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3417A0"/>
  <w15:docId w15:val="{46FF5293-F49C-4D04-A90A-359291087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00" w:after="200" w:line="360" w:lineRule="auto"/>
      <w:jc w:val="both"/>
      <w:outlineLvl w:val="0"/>
    </w:pPr>
    <w:rPr>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1996</Words>
  <Characters>11379</Characters>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2025-03-02T10:29:00Z</dcterms:created>
  <dcterms:modified xsi:type="dcterms:W3CDTF">2025-03-02T15:27:00Z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7ba5435293f85ff8032d886a2a942505223159f7e0eb27a4e000692df95cdc8a</vt:lpwstr>
  </property>
</Properties>
</file>