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EED5BC" w14:textId="695E01CF" w:rsidR="004D12A5" w:rsidRPr="009F6B3A" w:rsidRDefault="005603FA" w:rsidP="005603FA">
      <w:pPr>
        <w:rPr>
          <w:rFonts w:ascii="Times New Roman" w:hAnsi="Times New Roman" w:cs="Times New Roman"/>
          <w:sz w:val="36"/>
          <w:szCs w:val="36"/>
        </w:rPr>
      </w:pPr>
      <w:r w:rsidRPr="009F6B3A">
        <w:rPr>
          <w:rFonts w:ascii="Times New Roman" w:hAnsi="Times New Roman" w:cs="Times New Roman"/>
          <w:sz w:val="36"/>
          <w:szCs w:val="36"/>
        </w:rPr>
        <w:t xml:space="preserve">The Profession Map has established a robust basis for judicious decision-making within the Human Resources field, and it has identified eight core behaviours that will enable practitioners to generate value for people, businesses, </w:t>
      </w:r>
      <w:r w:rsidRPr="009F6B3A">
        <w:rPr>
          <w:rFonts w:ascii="Times New Roman" w:hAnsi="Times New Roman" w:cs="Times New Roman"/>
          <w:sz w:val="36"/>
          <w:szCs w:val="36"/>
        </w:rPr>
        <w:t>society,</w:t>
      </w:r>
      <w:r w:rsidRPr="009F6B3A">
        <w:rPr>
          <w:rFonts w:ascii="Times New Roman" w:hAnsi="Times New Roman" w:cs="Times New Roman"/>
          <w:sz w:val="36"/>
          <w:szCs w:val="36"/>
        </w:rPr>
        <w:t xml:space="preserve"> and the profession itself</w:t>
      </w:r>
      <w:r w:rsidRPr="009F6B3A">
        <w:rPr>
          <w:rFonts w:ascii="Times New Roman" w:hAnsi="Times New Roman" w:cs="Times New Roman"/>
          <w:sz w:val="36"/>
          <w:szCs w:val="36"/>
        </w:rPr>
        <w:t>:</w:t>
      </w:r>
    </w:p>
    <w:p w14:paraId="3C45C89D" w14:textId="77777777" w:rsidR="005603FA" w:rsidRPr="005603FA" w:rsidRDefault="005603FA" w:rsidP="005603FA">
      <w:pPr>
        <w:numPr>
          <w:ilvl w:val="0"/>
          <w:numId w:val="1"/>
        </w:numPr>
        <w:shd w:val="clear" w:color="auto" w:fill="FFFFFF"/>
        <w:spacing w:before="100" w:beforeAutospacing="1" w:after="100" w:afterAutospacing="1" w:line="240" w:lineRule="auto"/>
        <w:rPr>
          <w:rFonts w:ascii="Times New Roman" w:eastAsia="Times New Roman" w:hAnsi="Times New Roman" w:cs="Times New Roman"/>
          <w:sz w:val="32"/>
          <w:szCs w:val="32"/>
          <w:lang w:eastAsia="en-GB"/>
        </w:rPr>
      </w:pPr>
      <w:r w:rsidRPr="005603FA">
        <w:rPr>
          <w:rFonts w:ascii="Times New Roman" w:eastAsia="Times New Roman" w:hAnsi="Times New Roman" w:cs="Times New Roman"/>
          <w:sz w:val="32"/>
          <w:szCs w:val="32"/>
          <w:lang w:eastAsia="en-GB"/>
        </w:rPr>
        <w:t>Ethical practice</w:t>
      </w:r>
    </w:p>
    <w:p w14:paraId="5C2E0294" w14:textId="77777777" w:rsidR="005603FA" w:rsidRPr="005603FA" w:rsidRDefault="005603FA" w:rsidP="005603FA">
      <w:pPr>
        <w:numPr>
          <w:ilvl w:val="0"/>
          <w:numId w:val="1"/>
        </w:numPr>
        <w:shd w:val="clear" w:color="auto" w:fill="FFFFFF"/>
        <w:spacing w:before="100" w:beforeAutospacing="1" w:after="100" w:afterAutospacing="1" w:line="240" w:lineRule="auto"/>
        <w:rPr>
          <w:rFonts w:ascii="Times New Roman" w:eastAsia="Times New Roman" w:hAnsi="Times New Roman" w:cs="Times New Roman"/>
          <w:sz w:val="32"/>
          <w:szCs w:val="32"/>
          <w:lang w:eastAsia="en-GB"/>
        </w:rPr>
      </w:pPr>
      <w:r w:rsidRPr="005603FA">
        <w:rPr>
          <w:rFonts w:ascii="Times New Roman" w:eastAsia="Times New Roman" w:hAnsi="Times New Roman" w:cs="Times New Roman"/>
          <w:sz w:val="32"/>
          <w:szCs w:val="32"/>
          <w:lang w:eastAsia="en-GB"/>
        </w:rPr>
        <w:t>Professional courage and influence</w:t>
      </w:r>
    </w:p>
    <w:p w14:paraId="6C25D5E8" w14:textId="77777777" w:rsidR="005603FA" w:rsidRPr="005603FA" w:rsidRDefault="005603FA" w:rsidP="005603FA">
      <w:pPr>
        <w:numPr>
          <w:ilvl w:val="0"/>
          <w:numId w:val="1"/>
        </w:numPr>
        <w:shd w:val="clear" w:color="auto" w:fill="FFFFFF"/>
        <w:spacing w:before="100" w:beforeAutospacing="1" w:after="100" w:afterAutospacing="1" w:line="240" w:lineRule="auto"/>
        <w:rPr>
          <w:rFonts w:ascii="Times New Roman" w:eastAsia="Times New Roman" w:hAnsi="Times New Roman" w:cs="Times New Roman"/>
          <w:sz w:val="32"/>
          <w:szCs w:val="32"/>
          <w:lang w:eastAsia="en-GB"/>
        </w:rPr>
      </w:pPr>
      <w:r w:rsidRPr="005603FA">
        <w:rPr>
          <w:rFonts w:ascii="Times New Roman" w:eastAsia="Times New Roman" w:hAnsi="Times New Roman" w:cs="Times New Roman"/>
          <w:sz w:val="32"/>
          <w:szCs w:val="32"/>
          <w:lang w:eastAsia="en-GB"/>
        </w:rPr>
        <w:t>Valuing people</w:t>
      </w:r>
    </w:p>
    <w:p w14:paraId="028C25F0" w14:textId="77777777" w:rsidR="005603FA" w:rsidRPr="005603FA" w:rsidRDefault="005603FA" w:rsidP="005603FA">
      <w:pPr>
        <w:numPr>
          <w:ilvl w:val="0"/>
          <w:numId w:val="1"/>
        </w:numPr>
        <w:shd w:val="clear" w:color="auto" w:fill="FFFFFF"/>
        <w:spacing w:before="100" w:beforeAutospacing="1" w:after="100" w:afterAutospacing="1" w:line="240" w:lineRule="auto"/>
        <w:rPr>
          <w:rFonts w:ascii="Times New Roman" w:eastAsia="Times New Roman" w:hAnsi="Times New Roman" w:cs="Times New Roman"/>
          <w:sz w:val="32"/>
          <w:szCs w:val="32"/>
          <w:lang w:eastAsia="en-GB"/>
        </w:rPr>
      </w:pPr>
      <w:r w:rsidRPr="005603FA">
        <w:rPr>
          <w:rFonts w:ascii="Times New Roman" w:eastAsia="Times New Roman" w:hAnsi="Times New Roman" w:cs="Times New Roman"/>
          <w:sz w:val="32"/>
          <w:szCs w:val="32"/>
          <w:lang w:eastAsia="en-GB"/>
        </w:rPr>
        <w:t>Working inclusively</w:t>
      </w:r>
    </w:p>
    <w:p w14:paraId="55981704" w14:textId="77777777" w:rsidR="005603FA" w:rsidRPr="005603FA" w:rsidRDefault="005603FA" w:rsidP="005603FA">
      <w:pPr>
        <w:numPr>
          <w:ilvl w:val="0"/>
          <w:numId w:val="1"/>
        </w:numPr>
        <w:shd w:val="clear" w:color="auto" w:fill="FFFFFF"/>
        <w:spacing w:before="100" w:beforeAutospacing="1" w:after="100" w:afterAutospacing="1" w:line="240" w:lineRule="auto"/>
        <w:rPr>
          <w:rFonts w:ascii="Times New Roman" w:eastAsia="Times New Roman" w:hAnsi="Times New Roman" w:cs="Times New Roman"/>
          <w:sz w:val="32"/>
          <w:szCs w:val="32"/>
          <w:lang w:eastAsia="en-GB"/>
        </w:rPr>
      </w:pPr>
      <w:r w:rsidRPr="005603FA">
        <w:rPr>
          <w:rFonts w:ascii="Times New Roman" w:eastAsia="Times New Roman" w:hAnsi="Times New Roman" w:cs="Times New Roman"/>
          <w:sz w:val="32"/>
          <w:szCs w:val="32"/>
          <w:lang w:eastAsia="en-GB"/>
        </w:rPr>
        <w:t>Commercial drive</w:t>
      </w:r>
    </w:p>
    <w:p w14:paraId="46B7E273" w14:textId="77777777" w:rsidR="005603FA" w:rsidRPr="005603FA" w:rsidRDefault="005603FA" w:rsidP="005603FA">
      <w:pPr>
        <w:numPr>
          <w:ilvl w:val="0"/>
          <w:numId w:val="1"/>
        </w:numPr>
        <w:shd w:val="clear" w:color="auto" w:fill="FFFFFF"/>
        <w:spacing w:before="100" w:beforeAutospacing="1" w:after="100" w:afterAutospacing="1" w:line="240" w:lineRule="auto"/>
        <w:rPr>
          <w:rFonts w:ascii="Times New Roman" w:eastAsia="Times New Roman" w:hAnsi="Times New Roman" w:cs="Times New Roman"/>
          <w:sz w:val="32"/>
          <w:szCs w:val="32"/>
          <w:lang w:eastAsia="en-GB"/>
        </w:rPr>
      </w:pPr>
      <w:r w:rsidRPr="005603FA">
        <w:rPr>
          <w:rFonts w:ascii="Times New Roman" w:eastAsia="Times New Roman" w:hAnsi="Times New Roman" w:cs="Times New Roman"/>
          <w:sz w:val="32"/>
          <w:szCs w:val="32"/>
          <w:lang w:eastAsia="en-GB"/>
        </w:rPr>
        <w:t>Passion for learning</w:t>
      </w:r>
    </w:p>
    <w:p w14:paraId="17773923" w14:textId="77777777" w:rsidR="005603FA" w:rsidRPr="005603FA" w:rsidRDefault="005603FA" w:rsidP="005603FA">
      <w:pPr>
        <w:numPr>
          <w:ilvl w:val="0"/>
          <w:numId w:val="1"/>
        </w:numPr>
        <w:shd w:val="clear" w:color="auto" w:fill="FFFFFF"/>
        <w:spacing w:before="100" w:beforeAutospacing="1" w:after="100" w:afterAutospacing="1" w:line="240" w:lineRule="auto"/>
        <w:rPr>
          <w:rFonts w:ascii="Times New Roman" w:eastAsia="Times New Roman" w:hAnsi="Times New Roman" w:cs="Times New Roman"/>
          <w:sz w:val="32"/>
          <w:szCs w:val="32"/>
          <w:lang w:eastAsia="en-GB"/>
        </w:rPr>
      </w:pPr>
      <w:r w:rsidRPr="005603FA">
        <w:rPr>
          <w:rFonts w:ascii="Times New Roman" w:eastAsia="Times New Roman" w:hAnsi="Times New Roman" w:cs="Times New Roman"/>
          <w:sz w:val="32"/>
          <w:szCs w:val="32"/>
          <w:lang w:eastAsia="en-GB"/>
        </w:rPr>
        <w:t>Insights focused</w:t>
      </w:r>
    </w:p>
    <w:p w14:paraId="53D7A1A5" w14:textId="22B30079" w:rsidR="005603FA" w:rsidRPr="009F6B3A" w:rsidRDefault="005603FA" w:rsidP="005603FA">
      <w:pPr>
        <w:numPr>
          <w:ilvl w:val="0"/>
          <w:numId w:val="1"/>
        </w:numPr>
        <w:shd w:val="clear" w:color="auto" w:fill="FFFFFF"/>
        <w:spacing w:before="100" w:beforeAutospacing="1" w:after="100" w:afterAutospacing="1" w:line="240" w:lineRule="auto"/>
        <w:rPr>
          <w:rFonts w:ascii="Times New Roman" w:eastAsia="Times New Roman" w:hAnsi="Times New Roman" w:cs="Times New Roman"/>
          <w:sz w:val="32"/>
          <w:szCs w:val="32"/>
          <w:lang w:eastAsia="en-GB"/>
        </w:rPr>
      </w:pPr>
      <w:r w:rsidRPr="005603FA">
        <w:rPr>
          <w:rFonts w:ascii="Times New Roman" w:eastAsia="Times New Roman" w:hAnsi="Times New Roman" w:cs="Times New Roman"/>
          <w:sz w:val="32"/>
          <w:szCs w:val="32"/>
          <w:lang w:eastAsia="en-GB"/>
        </w:rPr>
        <w:t>Situational decision-making</w:t>
      </w:r>
    </w:p>
    <w:p w14:paraId="5678628D" w14:textId="76597035" w:rsidR="005603FA" w:rsidRDefault="005603FA" w:rsidP="003E2724">
      <w:pPr>
        <w:shd w:val="clear" w:color="auto" w:fill="FFFFFF"/>
        <w:spacing w:before="100" w:beforeAutospacing="1" w:after="100" w:afterAutospacing="1" w:line="240" w:lineRule="auto"/>
        <w:rPr>
          <w:rFonts w:ascii="Open Sans" w:eastAsia="Times New Roman" w:hAnsi="Open Sans" w:cs="Open Sans"/>
          <w:b/>
          <w:bCs/>
          <w:color w:val="58595B"/>
          <w:sz w:val="24"/>
          <w:szCs w:val="24"/>
          <w:lang w:eastAsia="en-GB"/>
        </w:rPr>
      </w:pPr>
      <w:r>
        <w:rPr>
          <w:rFonts w:ascii="Open Sans" w:eastAsia="Times New Roman" w:hAnsi="Open Sans" w:cs="Open Sans"/>
          <w:b/>
          <w:bCs/>
          <w:noProof/>
          <w:color w:val="58595B"/>
          <w:sz w:val="24"/>
          <w:szCs w:val="24"/>
          <w:lang w:eastAsia="en-GB"/>
        </w:rPr>
        <w:drawing>
          <wp:inline distT="0" distB="0" distL="0" distR="0" wp14:anchorId="0DC178DB" wp14:editId="42048C6D">
            <wp:extent cx="5395729" cy="4616253"/>
            <wp:effectExtent l="0" t="95250" r="0" b="10858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60329551" w14:textId="0F972C34" w:rsidR="003E2724" w:rsidRDefault="003E2724" w:rsidP="003E2724">
      <w:pPr>
        <w:shd w:val="clear" w:color="auto" w:fill="FFFFFF"/>
        <w:spacing w:before="100" w:beforeAutospacing="1" w:after="100" w:afterAutospacing="1" w:line="240" w:lineRule="auto"/>
        <w:rPr>
          <w:rFonts w:ascii="Open Sans" w:eastAsia="Times New Roman" w:hAnsi="Open Sans" w:cs="Open Sans"/>
          <w:b/>
          <w:bCs/>
          <w:color w:val="58595B"/>
          <w:sz w:val="24"/>
          <w:szCs w:val="24"/>
          <w:lang w:eastAsia="en-GB"/>
        </w:rPr>
      </w:pPr>
    </w:p>
    <w:p w14:paraId="074BE9CA" w14:textId="0F8B8190" w:rsidR="008A42FC" w:rsidRPr="00BD1E5C" w:rsidRDefault="003E2724" w:rsidP="00BD1E5C">
      <w:pPr>
        <w:shd w:val="clear" w:color="auto" w:fill="FFFFFF"/>
        <w:spacing w:before="100" w:beforeAutospacing="1" w:after="100" w:afterAutospacing="1" w:line="240" w:lineRule="auto"/>
        <w:rPr>
          <w:rFonts w:ascii="Arial" w:eastAsia="Times New Roman" w:hAnsi="Arial" w:cs="Arial"/>
          <w:b/>
          <w:bCs/>
          <w:color w:val="C45911" w:themeColor="accent2" w:themeShade="BF"/>
          <w:sz w:val="44"/>
          <w:szCs w:val="44"/>
          <w:lang w:eastAsia="en-GB"/>
        </w:rPr>
      </w:pPr>
      <w:r w:rsidRPr="00BD1E5C">
        <w:rPr>
          <w:rFonts w:ascii="Arial" w:eastAsia="Times New Roman" w:hAnsi="Arial" w:cs="Arial"/>
          <w:b/>
          <w:bCs/>
          <w:color w:val="C45911" w:themeColor="accent2" w:themeShade="BF"/>
          <w:sz w:val="44"/>
          <w:szCs w:val="44"/>
          <w:lang w:eastAsia="en-GB"/>
        </w:rPr>
        <w:lastRenderedPageBreak/>
        <w:t>Ethical Practice</w:t>
      </w:r>
    </w:p>
    <w:p w14:paraId="6D5550AD" w14:textId="02118B7A" w:rsidR="00277183" w:rsidRDefault="007635A3" w:rsidP="00BD1E5C">
      <w:pPr>
        <w:shd w:val="clear" w:color="auto" w:fill="FFFFFF"/>
        <w:spacing w:before="100" w:beforeAutospacing="1" w:after="100" w:afterAutospacing="1" w:line="240" w:lineRule="auto"/>
        <w:rPr>
          <w:rFonts w:ascii="Open Sans" w:hAnsi="Open Sans" w:cs="Open Sans"/>
          <w:color w:val="444444"/>
        </w:rPr>
      </w:pPr>
      <w:r>
        <w:rPr>
          <w:rFonts w:ascii="Open Sans" w:hAnsi="Open Sans" w:cs="Open Sans"/>
          <w:color w:val="444444"/>
        </w:rPr>
        <w:t xml:space="preserve">                      </w:t>
      </w:r>
      <w:r w:rsidR="00C63774">
        <w:rPr>
          <w:rFonts w:ascii="Open Sans" w:hAnsi="Open Sans" w:cs="Open Sans"/>
          <w:color w:val="444444"/>
        </w:rPr>
        <w:t xml:space="preserve">Effective decision-making is crucial for organizations because mistakes or poor execution can have a negative impact on both people and the reputation of those organizations. We can raise the standard of living for </w:t>
      </w:r>
      <w:r>
        <w:rPr>
          <w:rFonts w:ascii="Open Sans" w:hAnsi="Open Sans" w:cs="Open Sans"/>
          <w:color w:val="444444"/>
        </w:rPr>
        <w:t>co-workers</w:t>
      </w:r>
      <w:r w:rsidR="00C63774">
        <w:rPr>
          <w:rFonts w:ascii="Open Sans" w:hAnsi="Open Sans" w:cs="Open Sans"/>
          <w:color w:val="444444"/>
        </w:rPr>
        <w:t xml:space="preserve"> in their workplace by abiding by rules and acting morally when making decisions.</w:t>
      </w:r>
      <w:r w:rsidR="00C63774">
        <w:rPr>
          <w:rFonts w:ascii="Open Sans" w:hAnsi="Open Sans" w:cs="Open Sans"/>
          <w:color w:val="444444"/>
        </w:rPr>
        <w:br/>
      </w:r>
      <w:r w:rsidR="00C63774">
        <w:rPr>
          <w:rFonts w:ascii="Open Sans" w:hAnsi="Open Sans" w:cs="Open Sans"/>
          <w:color w:val="444444"/>
        </w:rPr>
        <w:br/>
        <w:t>We can ensure that ethical considerations are taken into account throughout the implementation process and when dealing with those affected by it, even if the outcome is unfavourable for some parties.</w:t>
      </w:r>
      <w:r w:rsidR="00C63774">
        <w:rPr>
          <w:rFonts w:ascii="Open Sans" w:hAnsi="Open Sans" w:cs="Open Sans"/>
          <w:color w:val="444444"/>
        </w:rPr>
        <w:br/>
      </w:r>
      <w:r w:rsidR="00C63774">
        <w:rPr>
          <w:rFonts w:ascii="Open Sans" w:hAnsi="Open Sans" w:cs="Open Sans"/>
          <w:color w:val="444444"/>
        </w:rPr>
        <w:br/>
        <w:t>Making thoughtful decisions requires weighing various ethical viewpoints, challenging other people's choices, clearly stating our motivations and goals</w:t>
      </w:r>
      <w:r w:rsidR="00BD1E5C" w:rsidRPr="00BD1E5C">
        <w:rPr>
          <w:rFonts w:ascii="Open Sans" w:hAnsi="Open Sans" w:cs="Open Sans"/>
          <w:color w:val="444444"/>
        </w:rPr>
        <w:tab/>
      </w:r>
    </w:p>
    <w:p w14:paraId="4327B093" w14:textId="77777777" w:rsidR="00277183" w:rsidRDefault="00277183" w:rsidP="00BD1E5C">
      <w:pPr>
        <w:shd w:val="clear" w:color="auto" w:fill="FFFFFF"/>
        <w:spacing w:before="100" w:beforeAutospacing="1" w:after="100" w:afterAutospacing="1" w:line="240" w:lineRule="auto"/>
        <w:rPr>
          <w:rFonts w:ascii="Open Sans" w:hAnsi="Open Sans" w:cs="Open Sans"/>
          <w:color w:val="444444"/>
        </w:rPr>
      </w:pPr>
    </w:p>
    <w:p w14:paraId="61B12F19" w14:textId="2E479725" w:rsidR="00BD1E5C" w:rsidRDefault="00BD1E5C" w:rsidP="00BD1E5C">
      <w:pPr>
        <w:shd w:val="clear" w:color="auto" w:fill="FFFFFF"/>
        <w:spacing w:before="100" w:beforeAutospacing="1" w:after="100" w:afterAutospacing="1" w:line="240" w:lineRule="auto"/>
        <w:rPr>
          <w:rFonts w:ascii="Arial" w:eastAsia="Times New Roman" w:hAnsi="Arial" w:cs="Arial"/>
          <w:b/>
          <w:bCs/>
          <w:color w:val="C45911" w:themeColor="accent2" w:themeShade="BF"/>
          <w:sz w:val="44"/>
          <w:szCs w:val="44"/>
          <w:lang w:eastAsia="en-GB"/>
        </w:rPr>
      </w:pPr>
      <w:r w:rsidRPr="00BD1E5C">
        <w:rPr>
          <w:rFonts w:ascii="Open Sans" w:hAnsi="Open Sans" w:cs="Open Sans"/>
          <w:color w:val="444444"/>
        </w:rPr>
        <w:tab/>
      </w:r>
      <w:r w:rsidR="00277183">
        <w:rPr>
          <w:rFonts w:ascii="Arial" w:eastAsia="Times New Roman" w:hAnsi="Arial" w:cs="Arial"/>
          <w:b/>
          <w:bCs/>
          <w:color w:val="C45911" w:themeColor="accent2" w:themeShade="BF"/>
          <w:sz w:val="44"/>
          <w:szCs w:val="44"/>
          <w:lang w:eastAsia="en-GB"/>
        </w:rPr>
        <w:t>Professional courage and influence</w:t>
      </w:r>
    </w:p>
    <w:p w14:paraId="360BA440" w14:textId="77777777" w:rsidR="00521C6E" w:rsidRDefault="009F7C61" w:rsidP="00BD1E5C">
      <w:pPr>
        <w:shd w:val="clear" w:color="auto" w:fill="FFFFFF"/>
        <w:spacing w:before="100" w:beforeAutospacing="1" w:after="100" w:afterAutospacing="1" w:line="240" w:lineRule="auto"/>
        <w:rPr>
          <w:rFonts w:ascii="Open Sans" w:hAnsi="Open Sans" w:cs="Open Sans"/>
          <w:color w:val="444444"/>
        </w:rPr>
      </w:pPr>
      <w:r>
        <w:rPr>
          <w:rFonts w:ascii="Open Sans" w:hAnsi="Open Sans" w:cs="Open Sans"/>
          <w:color w:val="444444"/>
        </w:rPr>
        <w:t>A major aptitude required of personnel in the field of human resources is the capacity to persuade others, as well as the fearlessness to question decisions and behaviours.</w:t>
      </w:r>
      <w:r>
        <w:rPr>
          <w:rFonts w:ascii="Open Sans" w:hAnsi="Open Sans" w:cs="Open Sans"/>
          <w:color w:val="444444"/>
        </w:rPr>
        <w:br/>
      </w:r>
      <w:r>
        <w:rPr>
          <w:rFonts w:ascii="Open Sans" w:hAnsi="Open Sans" w:cs="Open Sans"/>
          <w:color w:val="444444"/>
        </w:rPr>
        <w:br/>
        <w:t xml:space="preserve">It is necessary to display these behaviours </w:t>
      </w:r>
      <w:r>
        <w:rPr>
          <w:rFonts w:ascii="Open Sans" w:hAnsi="Open Sans" w:cs="Open Sans"/>
          <w:color w:val="444444"/>
        </w:rPr>
        <w:t>daily</w:t>
      </w:r>
      <w:r>
        <w:rPr>
          <w:rFonts w:ascii="Open Sans" w:hAnsi="Open Sans" w:cs="Open Sans"/>
          <w:color w:val="444444"/>
        </w:rPr>
        <w:t xml:space="preserve"> within the workplace. It is necessary for us to persuade others </w:t>
      </w:r>
      <w:r>
        <w:rPr>
          <w:rFonts w:ascii="Open Sans" w:hAnsi="Open Sans" w:cs="Open Sans"/>
          <w:color w:val="444444"/>
        </w:rPr>
        <w:t>to</w:t>
      </w:r>
      <w:r>
        <w:rPr>
          <w:rFonts w:ascii="Open Sans" w:hAnsi="Open Sans" w:cs="Open Sans"/>
          <w:color w:val="444444"/>
        </w:rPr>
        <w:t xml:space="preserve"> advocate for transformation, suggest concepts, gain approval from those with vested interests, and collaborate with supervisors on their personnel choices. Influencing typically requires a certain level of courage, such as the capacity to confront any reluctance or opposition, make one's voice heard if something is perceived to be wrong, and </w:t>
      </w:r>
      <w:r w:rsidR="00521C6E">
        <w:rPr>
          <w:rFonts w:ascii="Open Sans" w:hAnsi="Open Sans" w:cs="Open Sans"/>
          <w:color w:val="444444"/>
        </w:rPr>
        <w:t>act</w:t>
      </w:r>
      <w:r>
        <w:rPr>
          <w:rFonts w:ascii="Open Sans" w:hAnsi="Open Sans" w:cs="Open Sans"/>
          <w:color w:val="444444"/>
        </w:rPr>
        <w:t xml:space="preserve"> when it is deemed the correct course.</w:t>
      </w:r>
    </w:p>
    <w:p w14:paraId="26949ECD" w14:textId="77777777" w:rsidR="00521C6E" w:rsidRDefault="00521C6E" w:rsidP="00BD1E5C">
      <w:pPr>
        <w:shd w:val="clear" w:color="auto" w:fill="FFFFFF"/>
        <w:spacing w:before="100" w:beforeAutospacing="1" w:after="100" w:afterAutospacing="1" w:line="240" w:lineRule="auto"/>
        <w:rPr>
          <w:rFonts w:ascii="Open Sans" w:hAnsi="Open Sans" w:cs="Open Sans"/>
          <w:color w:val="444444"/>
        </w:rPr>
      </w:pPr>
    </w:p>
    <w:p w14:paraId="3A14652E" w14:textId="5A7FAFDE" w:rsidR="00521C6E" w:rsidRDefault="00521C6E" w:rsidP="00521C6E">
      <w:pPr>
        <w:shd w:val="clear" w:color="auto" w:fill="FFFFFF"/>
        <w:spacing w:before="100" w:beforeAutospacing="1" w:after="100" w:afterAutospacing="1" w:line="240" w:lineRule="auto"/>
        <w:rPr>
          <w:rFonts w:ascii="Arial" w:eastAsia="Times New Roman" w:hAnsi="Arial" w:cs="Arial"/>
          <w:b/>
          <w:bCs/>
          <w:color w:val="C45911" w:themeColor="accent2" w:themeShade="BF"/>
          <w:sz w:val="44"/>
          <w:szCs w:val="44"/>
          <w:lang w:eastAsia="en-GB"/>
        </w:rPr>
      </w:pPr>
      <w:r>
        <w:rPr>
          <w:rFonts w:ascii="Arial" w:eastAsia="Times New Roman" w:hAnsi="Arial" w:cs="Arial"/>
          <w:b/>
          <w:bCs/>
          <w:color w:val="C45911" w:themeColor="accent2" w:themeShade="BF"/>
          <w:sz w:val="44"/>
          <w:szCs w:val="44"/>
          <w:lang w:eastAsia="en-GB"/>
        </w:rPr>
        <w:t>Valuing people</w:t>
      </w:r>
    </w:p>
    <w:p w14:paraId="6F8AC3D8" w14:textId="2A0415B4" w:rsidR="00FF58BF" w:rsidRDefault="004E0FCF" w:rsidP="004E0FCF">
      <w:pPr>
        <w:shd w:val="clear" w:color="auto" w:fill="FFFFFF"/>
        <w:spacing w:before="100" w:beforeAutospacing="1" w:after="100" w:afterAutospacing="1" w:line="240" w:lineRule="auto"/>
        <w:rPr>
          <w:rFonts w:ascii="Arial" w:eastAsia="Times New Roman" w:hAnsi="Arial" w:cs="Arial"/>
          <w:b/>
          <w:bCs/>
          <w:color w:val="C45911" w:themeColor="accent2" w:themeShade="BF"/>
          <w:sz w:val="44"/>
          <w:szCs w:val="44"/>
          <w:lang w:eastAsia="en-GB"/>
        </w:rPr>
      </w:pPr>
      <w:r>
        <w:rPr>
          <w:rFonts w:ascii="Open Sans" w:hAnsi="Open Sans" w:cs="Open Sans"/>
          <w:color w:val="444444"/>
        </w:rPr>
        <w:t xml:space="preserve">           </w:t>
      </w:r>
      <w:r w:rsidR="003B4280">
        <w:rPr>
          <w:rFonts w:ascii="Open Sans" w:hAnsi="Open Sans" w:cs="Open Sans"/>
          <w:color w:val="444444"/>
        </w:rPr>
        <w:t>As human resources practitioners, we recognize the contributions that individuals make to organizations and consider it an essential component of our position to incorporate the perspectives of those involved in business decisions.</w:t>
      </w:r>
      <w:r w:rsidR="003B4280">
        <w:rPr>
          <w:rFonts w:ascii="Open Sans" w:hAnsi="Open Sans" w:cs="Open Sans"/>
          <w:color w:val="444444"/>
        </w:rPr>
        <w:br/>
      </w:r>
      <w:r>
        <w:rPr>
          <w:rFonts w:ascii="Open Sans" w:hAnsi="Open Sans" w:cs="Open Sans"/>
          <w:color w:val="444444"/>
        </w:rPr>
        <w:t xml:space="preserve">           </w:t>
      </w:r>
      <w:r w:rsidR="003B4280">
        <w:rPr>
          <w:rFonts w:ascii="Open Sans" w:hAnsi="Open Sans" w:cs="Open Sans"/>
          <w:color w:val="444444"/>
        </w:rPr>
        <w:t>By providing guidance and mentorship to managers and leaders, while enabling them to strengthen their personnel management skills, we will strive to cultivate an atmosphere of trust, personal growth, and well-being; thus allowing everyone the opportunity to maximize their potential in the workplace.</w:t>
      </w:r>
    </w:p>
    <w:p w14:paraId="504BD9C5" w14:textId="77777777" w:rsidR="007F72B7" w:rsidRDefault="007F72B7" w:rsidP="00E21BA0">
      <w:pPr>
        <w:shd w:val="clear" w:color="auto" w:fill="FFFFFF"/>
        <w:spacing w:before="100" w:beforeAutospacing="1" w:after="100" w:afterAutospacing="1" w:line="240" w:lineRule="auto"/>
        <w:rPr>
          <w:rFonts w:ascii="Arial" w:eastAsia="Times New Roman" w:hAnsi="Arial" w:cs="Arial"/>
          <w:b/>
          <w:bCs/>
          <w:color w:val="C45911" w:themeColor="accent2" w:themeShade="BF"/>
          <w:sz w:val="44"/>
          <w:szCs w:val="44"/>
          <w:lang w:eastAsia="en-GB"/>
        </w:rPr>
      </w:pPr>
    </w:p>
    <w:p w14:paraId="34ED307F" w14:textId="77777777" w:rsidR="007F72B7" w:rsidRDefault="007F72B7" w:rsidP="00E21BA0">
      <w:pPr>
        <w:shd w:val="clear" w:color="auto" w:fill="FFFFFF"/>
        <w:spacing w:before="100" w:beforeAutospacing="1" w:after="100" w:afterAutospacing="1" w:line="240" w:lineRule="auto"/>
        <w:rPr>
          <w:rFonts w:ascii="Arial" w:eastAsia="Times New Roman" w:hAnsi="Arial" w:cs="Arial"/>
          <w:b/>
          <w:bCs/>
          <w:color w:val="C45911" w:themeColor="accent2" w:themeShade="BF"/>
          <w:sz w:val="44"/>
          <w:szCs w:val="44"/>
          <w:lang w:eastAsia="en-GB"/>
        </w:rPr>
      </w:pPr>
    </w:p>
    <w:p w14:paraId="1FF4872A" w14:textId="08EE317D" w:rsidR="00E21BA0" w:rsidRDefault="00E21BA0" w:rsidP="00E21BA0">
      <w:pPr>
        <w:shd w:val="clear" w:color="auto" w:fill="FFFFFF"/>
        <w:spacing w:before="100" w:beforeAutospacing="1" w:after="100" w:afterAutospacing="1" w:line="240" w:lineRule="auto"/>
        <w:rPr>
          <w:rFonts w:ascii="Arial" w:eastAsia="Times New Roman" w:hAnsi="Arial" w:cs="Arial"/>
          <w:b/>
          <w:bCs/>
          <w:color w:val="C45911" w:themeColor="accent2" w:themeShade="BF"/>
          <w:sz w:val="44"/>
          <w:szCs w:val="44"/>
          <w:lang w:eastAsia="en-GB"/>
        </w:rPr>
      </w:pPr>
      <w:r>
        <w:rPr>
          <w:rFonts w:ascii="Arial" w:eastAsia="Times New Roman" w:hAnsi="Arial" w:cs="Arial"/>
          <w:b/>
          <w:bCs/>
          <w:color w:val="C45911" w:themeColor="accent2" w:themeShade="BF"/>
          <w:sz w:val="44"/>
          <w:szCs w:val="44"/>
          <w:lang w:eastAsia="en-GB"/>
        </w:rPr>
        <w:lastRenderedPageBreak/>
        <w:t>Working</w:t>
      </w:r>
      <w:r w:rsidR="00107738">
        <w:rPr>
          <w:rFonts w:ascii="Arial" w:eastAsia="Times New Roman" w:hAnsi="Arial" w:cs="Arial"/>
          <w:b/>
          <w:bCs/>
          <w:color w:val="C45911" w:themeColor="accent2" w:themeShade="BF"/>
          <w:sz w:val="44"/>
          <w:szCs w:val="44"/>
          <w:lang w:eastAsia="en-GB"/>
        </w:rPr>
        <w:t xml:space="preserve"> inclusively</w:t>
      </w:r>
    </w:p>
    <w:p w14:paraId="00AC0867" w14:textId="3CA48DD0" w:rsidR="00107738" w:rsidRDefault="003518E4" w:rsidP="00E21BA0">
      <w:pPr>
        <w:shd w:val="clear" w:color="auto" w:fill="FFFFFF"/>
        <w:spacing w:before="100" w:beforeAutospacing="1" w:after="100" w:afterAutospacing="1" w:line="240" w:lineRule="auto"/>
        <w:rPr>
          <w:rFonts w:ascii="Arial" w:eastAsia="Times New Roman" w:hAnsi="Arial" w:cs="Arial"/>
          <w:b/>
          <w:bCs/>
          <w:color w:val="C45911" w:themeColor="accent2" w:themeShade="BF"/>
          <w:sz w:val="44"/>
          <w:szCs w:val="44"/>
          <w:lang w:eastAsia="en-GB"/>
        </w:rPr>
      </w:pPr>
      <w:r>
        <w:rPr>
          <w:rFonts w:ascii="Open Sans" w:hAnsi="Open Sans" w:cs="Open Sans"/>
          <w:color w:val="444444"/>
        </w:rPr>
        <w:br/>
        <w:t>With work being conducted in a variety of locations, it is essential that individuals are heard and enabled to collaborate effectively. As professionals in the field of people management, it is our duty to work together cooperatively and with diversity in mind, stimulating collaboration between different teams, developing trustful relationships, and managing disagreements productively.</w:t>
      </w:r>
    </w:p>
    <w:p w14:paraId="0B7E3917" w14:textId="0EB735B7" w:rsidR="00277183" w:rsidRDefault="009F7C61" w:rsidP="00BD1E5C">
      <w:pPr>
        <w:shd w:val="clear" w:color="auto" w:fill="FFFFFF"/>
        <w:spacing w:before="100" w:beforeAutospacing="1" w:after="100" w:afterAutospacing="1" w:line="240" w:lineRule="auto"/>
        <w:rPr>
          <w:rFonts w:ascii="Arial" w:eastAsia="Times New Roman" w:hAnsi="Arial" w:cs="Arial"/>
          <w:b/>
          <w:bCs/>
          <w:color w:val="C45911" w:themeColor="accent2" w:themeShade="BF"/>
          <w:sz w:val="44"/>
          <w:szCs w:val="44"/>
          <w:lang w:eastAsia="en-GB"/>
        </w:rPr>
      </w:pPr>
      <w:r>
        <w:rPr>
          <w:rFonts w:ascii="Open Sans" w:hAnsi="Open Sans" w:cs="Open Sans"/>
          <w:color w:val="444444"/>
        </w:rPr>
        <w:br/>
      </w:r>
      <w:r>
        <w:rPr>
          <w:rFonts w:ascii="Open Sans" w:hAnsi="Open Sans" w:cs="Open Sans"/>
          <w:color w:val="444444"/>
        </w:rPr>
        <w:br/>
      </w:r>
      <w:r w:rsidR="00704632">
        <w:rPr>
          <w:rFonts w:ascii="Arial" w:eastAsia="Times New Roman" w:hAnsi="Arial" w:cs="Arial"/>
          <w:b/>
          <w:bCs/>
          <w:color w:val="C45911" w:themeColor="accent2" w:themeShade="BF"/>
          <w:sz w:val="44"/>
          <w:szCs w:val="44"/>
          <w:lang w:eastAsia="en-GB"/>
        </w:rPr>
        <w:t>Commercial drive</w:t>
      </w:r>
    </w:p>
    <w:p w14:paraId="62434F8A" w14:textId="2F92B467" w:rsidR="005851AD" w:rsidRDefault="001C43C8" w:rsidP="001C43C8">
      <w:pPr>
        <w:shd w:val="clear" w:color="auto" w:fill="FFFFFF"/>
        <w:spacing w:before="100" w:beforeAutospacing="1" w:after="100" w:afterAutospacing="1" w:line="240" w:lineRule="auto"/>
        <w:ind w:firstLine="720"/>
        <w:rPr>
          <w:rFonts w:ascii="Arial" w:hAnsi="Arial" w:cs="Arial"/>
          <w:sz w:val="24"/>
          <w:szCs w:val="24"/>
        </w:rPr>
      </w:pPr>
      <w:r>
        <w:rPr>
          <w:rFonts w:ascii="Arial" w:hAnsi="Arial" w:cs="Arial"/>
          <w:sz w:val="24"/>
          <w:szCs w:val="24"/>
        </w:rPr>
        <w:t>A</w:t>
      </w:r>
      <w:r w:rsidR="005851AD" w:rsidRPr="005851AD">
        <w:rPr>
          <w:rFonts w:ascii="Arial" w:hAnsi="Arial" w:cs="Arial"/>
          <w:sz w:val="24"/>
          <w:szCs w:val="24"/>
        </w:rPr>
        <w:t>s human resources personnel, it is our duty to prioritize those tasks which will bring the most benefit to both individuals and organizations. It is imperative to recognize and capitalize on the personnel-related issues, prospects, and dangers that will have a considerable influence on the productivity and prosperity of organizations. It implies forming alliances with clients, comprehending the monetary effects of work, demonstrating the fiscal rationale for alteration, and taking on accountability to accomplish it</w:t>
      </w:r>
      <w:r w:rsidR="00BC2F6F">
        <w:rPr>
          <w:rFonts w:ascii="Arial" w:hAnsi="Arial" w:cs="Arial"/>
          <w:sz w:val="24"/>
          <w:szCs w:val="24"/>
        </w:rPr>
        <w:t xml:space="preserve"> and </w:t>
      </w:r>
      <w:r w:rsidR="00BC2F6F" w:rsidRPr="005851AD">
        <w:rPr>
          <w:rFonts w:ascii="Arial" w:hAnsi="Arial" w:cs="Arial"/>
          <w:sz w:val="24"/>
          <w:szCs w:val="24"/>
        </w:rPr>
        <w:t>to aid us in sustaining enthusiasm and perseverance while executing our duties.</w:t>
      </w:r>
    </w:p>
    <w:p w14:paraId="4A27BAC1" w14:textId="537B3495" w:rsidR="000A539F" w:rsidRDefault="000A539F" w:rsidP="001C43C8">
      <w:pPr>
        <w:shd w:val="clear" w:color="auto" w:fill="FFFFFF"/>
        <w:spacing w:before="100" w:beforeAutospacing="1" w:after="100" w:afterAutospacing="1" w:line="240" w:lineRule="auto"/>
        <w:ind w:firstLine="720"/>
        <w:rPr>
          <w:rFonts w:ascii="Arial" w:eastAsia="Times New Roman" w:hAnsi="Arial" w:cs="Arial"/>
          <w:b/>
          <w:bCs/>
          <w:color w:val="C45911" w:themeColor="accent2" w:themeShade="BF"/>
          <w:sz w:val="44"/>
          <w:szCs w:val="44"/>
          <w:lang w:eastAsia="en-GB"/>
        </w:rPr>
      </w:pPr>
      <w:r>
        <w:rPr>
          <w:rFonts w:ascii="Arial" w:eastAsia="Times New Roman" w:hAnsi="Arial" w:cs="Arial"/>
          <w:b/>
          <w:bCs/>
          <w:color w:val="C45911" w:themeColor="accent2" w:themeShade="BF"/>
          <w:sz w:val="44"/>
          <w:szCs w:val="44"/>
          <w:lang w:eastAsia="en-GB"/>
        </w:rPr>
        <w:t>Passion for learning</w:t>
      </w:r>
    </w:p>
    <w:p w14:paraId="389D2680" w14:textId="462F8B97" w:rsidR="000A539F" w:rsidRDefault="008E43D3" w:rsidP="001C43C8">
      <w:pPr>
        <w:shd w:val="clear" w:color="auto" w:fill="FFFFFF"/>
        <w:spacing w:before="100" w:beforeAutospacing="1" w:after="100" w:afterAutospacing="1" w:line="240" w:lineRule="auto"/>
        <w:ind w:firstLine="720"/>
        <w:rPr>
          <w:rFonts w:ascii="Open Sans" w:hAnsi="Open Sans" w:cs="Open Sans"/>
          <w:color w:val="444444"/>
        </w:rPr>
      </w:pPr>
      <w:r>
        <w:rPr>
          <w:rFonts w:ascii="Open Sans" w:hAnsi="Open Sans" w:cs="Open Sans"/>
          <w:color w:val="444444"/>
        </w:rPr>
        <w:t xml:space="preserve">It is essential that professionals in the field take a holistic approach to their education. It is beneficial for us to </w:t>
      </w:r>
      <w:r>
        <w:rPr>
          <w:rFonts w:ascii="Open Sans" w:hAnsi="Open Sans" w:cs="Open Sans"/>
          <w:color w:val="444444"/>
        </w:rPr>
        <w:t>analyse</w:t>
      </w:r>
      <w:r>
        <w:rPr>
          <w:rFonts w:ascii="Open Sans" w:hAnsi="Open Sans" w:cs="Open Sans"/>
          <w:color w:val="444444"/>
        </w:rPr>
        <w:t xml:space="preserve"> our learning and contemplate the implications it has on our professional practices, ranging from being inquisitive about the </w:t>
      </w:r>
      <w:r>
        <w:rPr>
          <w:rFonts w:ascii="Open Sans" w:hAnsi="Open Sans" w:cs="Open Sans"/>
          <w:color w:val="444444"/>
        </w:rPr>
        <w:t>labour</w:t>
      </w:r>
      <w:r>
        <w:rPr>
          <w:rFonts w:ascii="Open Sans" w:hAnsi="Open Sans" w:cs="Open Sans"/>
          <w:color w:val="444444"/>
        </w:rPr>
        <w:t xml:space="preserve"> market and interacting with those in similar fields to seeking feedback concerning our daily activities.</w:t>
      </w:r>
    </w:p>
    <w:p w14:paraId="6FD85E13" w14:textId="28C40E19" w:rsidR="008360F2" w:rsidRDefault="008360F2" w:rsidP="008360F2">
      <w:pPr>
        <w:shd w:val="clear" w:color="auto" w:fill="FFFFFF"/>
        <w:spacing w:before="100" w:beforeAutospacing="1" w:after="100" w:afterAutospacing="1" w:line="240" w:lineRule="auto"/>
        <w:ind w:firstLine="720"/>
        <w:rPr>
          <w:rFonts w:ascii="Arial" w:eastAsia="Times New Roman" w:hAnsi="Arial" w:cs="Arial"/>
          <w:b/>
          <w:bCs/>
          <w:color w:val="C45911" w:themeColor="accent2" w:themeShade="BF"/>
          <w:sz w:val="44"/>
          <w:szCs w:val="44"/>
          <w:lang w:eastAsia="en-GB"/>
        </w:rPr>
      </w:pPr>
      <w:r>
        <w:rPr>
          <w:rFonts w:ascii="Arial" w:eastAsia="Times New Roman" w:hAnsi="Arial" w:cs="Arial"/>
          <w:b/>
          <w:bCs/>
          <w:color w:val="C45911" w:themeColor="accent2" w:themeShade="BF"/>
          <w:sz w:val="44"/>
          <w:szCs w:val="44"/>
          <w:lang w:eastAsia="en-GB"/>
        </w:rPr>
        <w:t>Insights focused</w:t>
      </w:r>
    </w:p>
    <w:p w14:paraId="045DA57C" w14:textId="522B548A" w:rsidR="008360F2" w:rsidRDefault="006717D0" w:rsidP="008360F2">
      <w:pPr>
        <w:shd w:val="clear" w:color="auto" w:fill="FFFFFF"/>
        <w:spacing w:before="100" w:beforeAutospacing="1" w:after="100" w:afterAutospacing="1" w:line="240" w:lineRule="auto"/>
        <w:ind w:firstLine="720"/>
        <w:rPr>
          <w:rStyle w:val="oword"/>
          <w:rFonts w:ascii="Open Sans" w:hAnsi="Open Sans" w:cs="Open Sans"/>
          <w:color w:val="444444"/>
          <w:bdr w:val="none" w:sz="0" w:space="0" w:color="auto" w:frame="1"/>
          <w:shd w:val="clear" w:color="auto" w:fill="FFFFFF"/>
        </w:rPr>
      </w:pPr>
      <w:r>
        <w:rPr>
          <w:rStyle w:val="oword"/>
          <w:rFonts w:ascii="Open Sans" w:hAnsi="Open Sans" w:cs="Open Sans"/>
          <w:color w:val="444444"/>
          <w:bdr w:val="none" w:sz="0" w:space="0" w:color="auto" w:frame="1"/>
          <w:shd w:val="clear" w:color="auto" w:fill="FFFFFF"/>
        </w:rPr>
        <w:t>As </w:t>
      </w:r>
      <w:r>
        <w:rPr>
          <w:rStyle w:val="oword"/>
          <w:rFonts w:ascii="Open Sans" w:hAnsi="Open Sans" w:cs="Open Sans"/>
          <w:bdr w:val="none" w:sz="0" w:space="0" w:color="auto" w:frame="1"/>
          <w:shd w:val="clear" w:color="auto" w:fill="FFFFFF"/>
        </w:rPr>
        <w:t>human resources specialists, </w:t>
      </w:r>
      <w:r>
        <w:rPr>
          <w:rStyle w:val="oword"/>
          <w:rFonts w:ascii="Open Sans" w:hAnsi="Open Sans" w:cs="Open Sans"/>
          <w:color w:val="444444"/>
          <w:bdr w:val="none" w:sz="0" w:space="0" w:color="auto" w:frame="1"/>
          <w:shd w:val="clear" w:color="auto" w:fill="FFFFFF"/>
        </w:rPr>
        <w:t>we </w:t>
      </w:r>
      <w:r>
        <w:rPr>
          <w:rStyle w:val="oword"/>
          <w:rFonts w:ascii="Open Sans" w:hAnsi="Open Sans" w:cs="Open Sans"/>
          <w:bdr w:val="none" w:sz="0" w:space="0" w:color="auto" w:frame="1"/>
          <w:shd w:val="clear" w:color="auto" w:fill="FFFFFF"/>
        </w:rPr>
        <w:t>must take </w:t>
      </w:r>
      <w:r>
        <w:rPr>
          <w:rStyle w:val="oword"/>
          <w:rFonts w:ascii="Open Sans" w:hAnsi="Open Sans" w:cs="Open Sans"/>
          <w:color w:val="444444"/>
          <w:bdr w:val="none" w:sz="0" w:space="0" w:color="auto" w:frame="1"/>
          <w:shd w:val="clear" w:color="auto" w:fill="FFFFFF"/>
        </w:rPr>
        <w:t>a </w:t>
      </w:r>
      <w:r>
        <w:rPr>
          <w:rStyle w:val="oword"/>
          <w:rFonts w:ascii="Open Sans" w:hAnsi="Open Sans" w:cs="Open Sans"/>
          <w:bdr w:val="none" w:sz="0" w:space="0" w:color="auto" w:frame="1"/>
          <w:shd w:val="clear" w:color="auto" w:fill="FFFFFF"/>
        </w:rPr>
        <w:t>methodical </w:t>
      </w:r>
      <w:r>
        <w:rPr>
          <w:rStyle w:val="oword"/>
          <w:rFonts w:ascii="Open Sans" w:hAnsi="Open Sans" w:cs="Open Sans"/>
          <w:color w:val="444444"/>
          <w:bdr w:val="none" w:sz="0" w:space="0" w:color="auto" w:frame="1"/>
          <w:shd w:val="clear" w:color="auto" w:fill="FFFFFF"/>
        </w:rPr>
        <w:t>approach to </w:t>
      </w:r>
      <w:r>
        <w:rPr>
          <w:rStyle w:val="oword"/>
          <w:rFonts w:ascii="Open Sans" w:hAnsi="Open Sans" w:cs="Open Sans"/>
          <w:bdr w:val="none" w:sz="0" w:space="0" w:color="auto" w:frame="1"/>
          <w:shd w:val="clear" w:color="auto" w:fill="FFFFFF"/>
        </w:rPr>
        <w:t>comprehending </w:t>
      </w:r>
      <w:r>
        <w:rPr>
          <w:rStyle w:val="oword"/>
          <w:rFonts w:ascii="Open Sans" w:hAnsi="Open Sans" w:cs="Open Sans"/>
          <w:color w:val="444444"/>
          <w:bdr w:val="none" w:sz="0" w:space="0" w:color="auto" w:frame="1"/>
          <w:shd w:val="clear" w:color="auto" w:fill="FFFFFF"/>
        </w:rPr>
        <w:t>and diagnosing </w:t>
      </w:r>
      <w:r>
        <w:rPr>
          <w:rStyle w:val="oword"/>
          <w:rFonts w:ascii="Open Sans" w:hAnsi="Open Sans" w:cs="Open Sans"/>
          <w:bdr w:val="none" w:sz="0" w:space="0" w:color="auto" w:frame="1"/>
          <w:shd w:val="clear" w:color="auto" w:fill="FFFFFF"/>
        </w:rPr>
        <w:t>issues, </w:t>
      </w:r>
      <w:r>
        <w:rPr>
          <w:rStyle w:val="oword"/>
          <w:rFonts w:ascii="Open Sans" w:hAnsi="Open Sans" w:cs="Open Sans"/>
          <w:color w:val="444444"/>
          <w:bdr w:val="none" w:sz="0" w:space="0" w:color="auto" w:frame="1"/>
          <w:shd w:val="clear" w:color="auto" w:fill="FFFFFF"/>
        </w:rPr>
        <w:t>then </w:t>
      </w:r>
      <w:r>
        <w:rPr>
          <w:rStyle w:val="oword"/>
          <w:rFonts w:ascii="Open Sans" w:hAnsi="Open Sans" w:cs="Open Sans"/>
          <w:bdr w:val="none" w:sz="0" w:space="0" w:color="auto" w:frame="1"/>
          <w:shd w:val="clear" w:color="auto" w:fill="FFFFFF"/>
        </w:rPr>
        <w:t>utilizing </w:t>
      </w:r>
      <w:r>
        <w:rPr>
          <w:rStyle w:val="oword"/>
          <w:rFonts w:ascii="Open Sans" w:hAnsi="Open Sans" w:cs="Open Sans"/>
          <w:color w:val="444444"/>
          <w:bdr w:val="none" w:sz="0" w:space="0" w:color="auto" w:frame="1"/>
          <w:shd w:val="clear" w:color="auto" w:fill="FFFFFF"/>
        </w:rPr>
        <w:t>an </w:t>
      </w:r>
      <w:r>
        <w:rPr>
          <w:rStyle w:val="oword"/>
          <w:rFonts w:ascii="Open Sans" w:hAnsi="Open Sans" w:cs="Open Sans"/>
          <w:bdr w:val="none" w:sz="0" w:space="0" w:color="auto" w:frame="1"/>
          <w:shd w:val="clear" w:color="auto" w:fill="FFFFFF"/>
        </w:rPr>
        <w:t>array </w:t>
      </w:r>
      <w:r>
        <w:rPr>
          <w:rStyle w:val="oword"/>
          <w:rFonts w:ascii="Open Sans" w:hAnsi="Open Sans" w:cs="Open Sans"/>
          <w:color w:val="444444"/>
          <w:bdr w:val="none" w:sz="0" w:space="0" w:color="auto" w:frame="1"/>
          <w:shd w:val="clear" w:color="auto" w:fill="FFFFFF"/>
        </w:rPr>
        <w:t>of </w:t>
      </w:r>
      <w:r>
        <w:rPr>
          <w:rStyle w:val="oword"/>
          <w:rFonts w:ascii="Open Sans" w:hAnsi="Open Sans" w:cs="Open Sans"/>
          <w:bdr w:val="none" w:sz="0" w:space="0" w:color="auto" w:frame="1"/>
          <w:shd w:val="clear" w:color="auto" w:fill="FFFFFF"/>
        </w:rPr>
        <w:t>data </w:t>
      </w:r>
      <w:r>
        <w:rPr>
          <w:rStyle w:val="oword"/>
          <w:rFonts w:ascii="Open Sans" w:hAnsi="Open Sans" w:cs="Open Sans"/>
          <w:color w:val="444444"/>
          <w:bdr w:val="none" w:sz="0" w:space="0" w:color="auto" w:frame="1"/>
          <w:shd w:val="clear" w:color="auto" w:fill="FFFFFF"/>
        </w:rPr>
        <w:t>to </w:t>
      </w:r>
      <w:r>
        <w:rPr>
          <w:rStyle w:val="oword"/>
          <w:rFonts w:ascii="Open Sans" w:hAnsi="Open Sans" w:cs="Open Sans"/>
          <w:bdr w:val="none" w:sz="0" w:space="0" w:color="auto" w:frame="1"/>
          <w:shd w:val="clear" w:color="auto" w:fill="FFFFFF"/>
        </w:rPr>
        <w:t>generate personnel </w:t>
      </w:r>
      <w:r>
        <w:rPr>
          <w:rStyle w:val="oword"/>
          <w:rFonts w:ascii="Open Sans" w:hAnsi="Open Sans" w:cs="Open Sans"/>
          <w:color w:val="444444"/>
          <w:bdr w:val="none" w:sz="0" w:space="0" w:color="auto" w:frame="1"/>
          <w:shd w:val="clear" w:color="auto" w:fill="FFFFFF"/>
        </w:rPr>
        <w:t>insights and solutions</w:t>
      </w:r>
      <w:r w:rsidR="0038238A">
        <w:rPr>
          <w:rStyle w:val="oword"/>
          <w:rFonts w:ascii="Open Sans" w:hAnsi="Open Sans" w:cs="Open Sans"/>
          <w:color w:val="444444"/>
          <w:bdr w:val="none" w:sz="0" w:space="0" w:color="auto" w:frame="1"/>
          <w:shd w:val="clear" w:color="auto" w:fill="FFFFFF"/>
        </w:rPr>
        <w:t xml:space="preserve"> following the steps:</w:t>
      </w:r>
    </w:p>
    <w:p w14:paraId="05F98E8A" w14:textId="77777777" w:rsidR="0038238A" w:rsidRDefault="0038238A" w:rsidP="0038238A">
      <w:pPr>
        <w:pStyle w:val="ListParagraph"/>
        <w:numPr>
          <w:ilvl w:val="0"/>
          <w:numId w:val="5"/>
        </w:numPr>
        <w:shd w:val="clear" w:color="auto" w:fill="FFFFFF"/>
        <w:spacing w:before="100" w:beforeAutospacing="1" w:after="100" w:afterAutospacing="1" w:line="240" w:lineRule="auto"/>
        <w:rPr>
          <w:rFonts w:ascii="Open Sans" w:hAnsi="Open Sans" w:cs="Open Sans"/>
          <w:color w:val="444444"/>
          <w:bdr w:val="none" w:sz="0" w:space="0" w:color="auto" w:frame="1"/>
          <w:shd w:val="clear" w:color="auto" w:fill="FFFFFF"/>
        </w:rPr>
      </w:pPr>
      <w:r w:rsidRPr="0038238A">
        <w:rPr>
          <w:rStyle w:val="oword"/>
          <w:rFonts w:ascii="Open Sans" w:hAnsi="Open Sans" w:cs="Open Sans"/>
          <w:color w:val="444444"/>
          <w:bdr w:val="none" w:sz="0" w:space="0" w:color="auto" w:frame="1"/>
          <w:shd w:val="clear" w:color="auto" w:fill="FFFFFF"/>
        </w:rPr>
        <w:t>Inquiring queries</w:t>
      </w:r>
    </w:p>
    <w:p w14:paraId="4E854426" w14:textId="77777777" w:rsidR="0038238A" w:rsidRDefault="0038238A" w:rsidP="0038238A">
      <w:pPr>
        <w:pStyle w:val="ListParagraph"/>
        <w:numPr>
          <w:ilvl w:val="0"/>
          <w:numId w:val="5"/>
        </w:numPr>
        <w:shd w:val="clear" w:color="auto" w:fill="FFFFFF"/>
        <w:spacing w:before="100" w:beforeAutospacing="1" w:after="100" w:afterAutospacing="1" w:line="240" w:lineRule="auto"/>
        <w:rPr>
          <w:rFonts w:ascii="Open Sans" w:hAnsi="Open Sans" w:cs="Open Sans"/>
          <w:color w:val="444444"/>
          <w:bdr w:val="none" w:sz="0" w:space="0" w:color="auto" w:frame="1"/>
          <w:shd w:val="clear" w:color="auto" w:fill="FFFFFF"/>
        </w:rPr>
      </w:pPr>
      <w:r w:rsidRPr="0038238A">
        <w:rPr>
          <w:rFonts w:ascii="Open Sans" w:hAnsi="Open Sans" w:cs="Open Sans"/>
          <w:color w:val="444444"/>
          <w:bdr w:val="none" w:sz="0" w:space="0" w:color="auto" w:frame="1"/>
          <w:shd w:val="clear" w:color="auto" w:fill="FFFFFF"/>
        </w:rPr>
        <w:t>Gathering data</w:t>
      </w:r>
    </w:p>
    <w:p w14:paraId="616B725C" w14:textId="77777777" w:rsidR="0038238A" w:rsidRDefault="0038238A" w:rsidP="0038238A">
      <w:pPr>
        <w:pStyle w:val="ListParagraph"/>
        <w:numPr>
          <w:ilvl w:val="0"/>
          <w:numId w:val="5"/>
        </w:numPr>
        <w:shd w:val="clear" w:color="auto" w:fill="FFFFFF"/>
        <w:spacing w:before="100" w:beforeAutospacing="1" w:after="100" w:afterAutospacing="1" w:line="240" w:lineRule="auto"/>
        <w:rPr>
          <w:rFonts w:ascii="Open Sans" w:hAnsi="Open Sans" w:cs="Open Sans"/>
          <w:color w:val="444444"/>
          <w:bdr w:val="none" w:sz="0" w:space="0" w:color="auto" w:frame="1"/>
          <w:shd w:val="clear" w:color="auto" w:fill="FFFFFF"/>
        </w:rPr>
      </w:pPr>
      <w:r w:rsidRPr="0038238A">
        <w:rPr>
          <w:rStyle w:val="oword"/>
          <w:rFonts w:ascii="Open Sans" w:hAnsi="Open Sans" w:cs="Open Sans"/>
          <w:color w:val="444444"/>
          <w:bdr w:val="none" w:sz="0" w:space="0" w:color="auto" w:frame="1"/>
          <w:shd w:val="clear" w:color="auto" w:fill="FFFFFF"/>
        </w:rPr>
        <w:t>Evaluating evidence critically</w:t>
      </w:r>
    </w:p>
    <w:p w14:paraId="63571B08" w14:textId="76F2F344" w:rsidR="0038238A" w:rsidRPr="0038238A" w:rsidRDefault="0038238A" w:rsidP="0038238A">
      <w:pPr>
        <w:pStyle w:val="ListParagraph"/>
        <w:numPr>
          <w:ilvl w:val="0"/>
          <w:numId w:val="5"/>
        </w:numPr>
        <w:shd w:val="clear" w:color="auto" w:fill="FFFFFF"/>
        <w:spacing w:before="100" w:beforeAutospacing="1" w:after="100" w:afterAutospacing="1" w:line="240" w:lineRule="auto"/>
        <w:rPr>
          <w:rFonts w:ascii="Open Sans" w:hAnsi="Open Sans" w:cs="Open Sans"/>
          <w:color w:val="444444"/>
          <w:bdr w:val="none" w:sz="0" w:space="0" w:color="auto" w:frame="1"/>
          <w:shd w:val="clear" w:color="auto" w:fill="FFFFFF"/>
        </w:rPr>
      </w:pPr>
      <w:r w:rsidRPr="0038238A">
        <w:rPr>
          <w:rStyle w:val="oword"/>
          <w:rFonts w:ascii="Open Sans" w:hAnsi="Open Sans" w:cs="Open Sans"/>
          <w:color w:val="444444"/>
          <w:bdr w:val="none" w:sz="0" w:space="0" w:color="auto" w:frame="1"/>
          <w:shd w:val="clear" w:color="auto" w:fill="FFFFFF"/>
        </w:rPr>
        <w:t>Collecting data to comprehend the full matter and its broader consequences.</w:t>
      </w:r>
    </w:p>
    <w:p w14:paraId="076EDA0B" w14:textId="77777777" w:rsidR="00C43285" w:rsidRDefault="00C43285" w:rsidP="00C43285">
      <w:pPr>
        <w:shd w:val="clear" w:color="auto" w:fill="FFFFFF"/>
        <w:spacing w:before="100" w:beforeAutospacing="1" w:after="100" w:afterAutospacing="1" w:line="240" w:lineRule="auto"/>
        <w:ind w:left="360"/>
        <w:rPr>
          <w:rFonts w:ascii="Arial" w:eastAsia="Times New Roman" w:hAnsi="Arial" w:cs="Arial"/>
          <w:b/>
          <w:bCs/>
          <w:color w:val="C45911" w:themeColor="accent2" w:themeShade="BF"/>
          <w:sz w:val="44"/>
          <w:szCs w:val="44"/>
          <w:lang w:eastAsia="en-GB"/>
        </w:rPr>
      </w:pPr>
    </w:p>
    <w:p w14:paraId="134E7A02" w14:textId="6F4A17B1" w:rsidR="00C43285" w:rsidRDefault="00C43285" w:rsidP="00C43285">
      <w:pPr>
        <w:shd w:val="clear" w:color="auto" w:fill="FFFFFF"/>
        <w:spacing w:before="100" w:beforeAutospacing="1" w:after="100" w:afterAutospacing="1" w:line="240" w:lineRule="auto"/>
        <w:ind w:left="360"/>
        <w:rPr>
          <w:rFonts w:ascii="Arial" w:eastAsia="Times New Roman" w:hAnsi="Arial" w:cs="Arial"/>
          <w:b/>
          <w:bCs/>
          <w:color w:val="C45911" w:themeColor="accent2" w:themeShade="BF"/>
          <w:sz w:val="44"/>
          <w:szCs w:val="44"/>
          <w:lang w:eastAsia="en-GB"/>
        </w:rPr>
      </w:pPr>
      <w:r>
        <w:rPr>
          <w:rFonts w:ascii="Arial" w:eastAsia="Times New Roman" w:hAnsi="Arial" w:cs="Arial"/>
          <w:b/>
          <w:bCs/>
          <w:color w:val="C45911" w:themeColor="accent2" w:themeShade="BF"/>
          <w:sz w:val="44"/>
          <w:szCs w:val="44"/>
          <w:lang w:eastAsia="en-GB"/>
        </w:rPr>
        <w:lastRenderedPageBreak/>
        <w:t>Situational decision-making</w:t>
      </w:r>
    </w:p>
    <w:p w14:paraId="33305EF2" w14:textId="77777777" w:rsidR="000126FD" w:rsidRDefault="000126FD" w:rsidP="000126FD">
      <w:pPr>
        <w:shd w:val="clear" w:color="auto" w:fill="FFFFFF"/>
        <w:spacing w:before="100" w:beforeAutospacing="1" w:after="100" w:afterAutospacing="1" w:line="240" w:lineRule="auto"/>
        <w:ind w:left="360" w:firstLine="360"/>
        <w:rPr>
          <w:rStyle w:val="oword"/>
          <w:rFonts w:ascii="Open Sans" w:hAnsi="Open Sans" w:cs="Open Sans"/>
          <w:color w:val="444444"/>
          <w:bdr w:val="none" w:sz="0" w:space="0" w:color="auto" w:frame="1"/>
          <w:shd w:val="clear" w:color="auto" w:fill="FFFFFF"/>
        </w:rPr>
      </w:pPr>
    </w:p>
    <w:p w14:paraId="087BE601" w14:textId="0FB53CCB" w:rsidR="00C43285" w:rsidRPr="00C43285" w:rsidRDefault="000126FD" w:rsidP="000126FD">
      <w:pPr>
        <w:shd w:val="clear" w:color="auto" w:fill="FFFFFF"/>
        <w:spacing w:before="100" w:beforeAutospacing="1" w:after="100" w:afterAutospacing="1" w:line="240" w:lineRule="auto"/>
        <w:ind w:left="360" w:firstLine="360"/>
        <w:rPr>
          <w:rFonts w:ascii="Arial" w:eastAsia="Times New Roman" w:hAnsi="Arial" w:cs="Arial"/>
          <w:b/>
          <w:bCs/>
          <w:color w:val="C45911" w:themeColor="accent2" w:themeShade="BF"/>
          <w:sz w:val="44"/>
          <w:szCs w:val="44"/>
          <w:lang w:eastAsia="en-GB"/>
        </w:rPr>
      </w:pPr>
      <w:r>
        <w:rPr>
          <w:rStyle w:val="oword"/>
          <w:rFonts w:ascii="Open Sans" w:hAnsi="Open Sans" w:cs="Open Sans"/>
          <w:color w:val="444444"/>
          <w:bdr w:val="none" w:sz="0" w:space="0" w:color="auto" w:frame="1"/>
          <w:shd w:val="clear" w:color="auto" w:fill="FFFFFF"/>
        </w:rPr>
        <w:t>S</w:t>
      </w:r>
      <w:r>
        <w:rPr>
          <w:rStyle w:val="oword"/>
          <w:rFonts w:ascii="Open Sans" w:hAnsi="Open Sans" w:cs="Open Sans"/>
          <w:color w:val="444444"/>
          <w:bdr w:val="none" w:sz="0" w:space="0" w:color="auto" w:frame="1"/>
          <w:shd w:val="clear" w:color="auto" w:fill="FFFFFF"/>
        </w:rPr>
        <w:t>ituational decision</w:t>
      </w:r>
      <w:r w:rsidR="00A84DAA">
        <w:rPr>
          <w:rStyle w:val="oword"/>
          <w:rFonts w:ascii="Open Sans" w:hAnsi="Open Sans" w:cs="Open Sans"/>
          <w:color w:val="444444"/>
          <w:bdr w:val="none" w:sz="0" w:space="0" w:color="auto" w:frame="1"/>
          <w:shd w:val="clear" w:color="auto" w:fill="FFFFFF"/>
        </w:rPr>
        <w:t>-m</w:t>
      </w:r>
      <w:r>
        <w:rPr>
          <w:rStyle w:val="oword"/>
          <w:rFonts w:ascii="Open Sans" w:hAnsi="Open Sans" w:cs="Open Sans"/>
          <w:color w:val="444444"/>
          <w:bdr w:val="none" w:sz="0" w:space="0" w:color="auto" w:frame="1"/>
          <w:shd w:val="clear" w:color="auto" w:fill="FFFFFF"/>
        </w:rPr>
        <w:t>aking </w:t>
      </w:r>
      <w:r>
        <w:rPr>
          <w:rStyle w:val="oword"/>
          <w:rFonts w:ascii="Open Sans" w:hAnsi="Open Sans" w:cs="Open Sans"/>
          <w:bdr w:val="none" w:sz="0" w:space="0" w:color="auto" w:frame="1"/>
          <w:shd w:val="clear" w:color="auto" w:fill="FFFFFF"/>
        </w:rPr>
        <w:t>involves </w:t>
      </w:r>
      <w:r>
        <w:rPr>
          <w:rStyle w:val="oword"/>
          <w:rFonts w:ascii="Open Sans" w:hAnsi="Open Sans" w:cs="Open Sans"/>
          <w:color w:val="444444"/>
          <w:bdr w:val="none" w:sz="0" w:space="0" w:color="auto" w:frame="1"/>
          <w:shd w:val="clear" w:color="auto" w:fill="FFFFFF"/>
        </w:rPr>
        <w:t>the </w:t>
      </w:r>
      <w:r>
        <w:rPr>
          <w:rStyle w:val="oword"/>
          <w:rFonts w:ascii="Open Sans" w:hAnsi="Open Sans" w:cs="Open Sans"/>
          <w:bdr w:val="none" w:sz="0" w:space="0" w:color="auto" w:frame="1"/>
          <w:shd w:val="clear" w:color="auto" w:fill="FFFFFF"/>
        </w:rPr>
        <w:t>selection of </w:t>
      </w:r>
      <w:r>
        <w:rPr>
          <w:rStyle w:val="oword"/>
          <w:rFonts w:ascii="Open Sans" w:hAnsi="Open Sans" w:cs="Open Sans"/>
          <w:color w:val="444444"/>
          <w:bdr w:val="none" w:sz="0" w:space="0" w:color="auto" w:frame="1"/>
          <w:shd w:val="clear" w:color="auto" w:fill="FFFFFF"/>
        </w:rPr>
        <w:t>a </w:t>
      </w:r>
      <w:r>
        <w:rPr>
          <w:rStyle w:val="oword"/>
          <w:rFonts w:ascii="Open Sans" w:hAnsi="Open Sans" w:cs="Open Sans"/>
          <w:bdr w:val="none" w:sz="0" w:space="0" w:color="auto" w:frame="1"/>
          <w:shd w:val="clear" w:color="auto" w:fill="FFFFFF"/>
        </w:rPr>
        <w:t>course of action which </w:t>
      </w:r>
      <w:r>
        <w:rPr>
          <w:rStyle w:val="oword"/>
          <w:rFonts w:ascii="Open Sans" w:hAnsi="Open Sans" w:cs="Open Sans"/>
          <w:color w:val="444444"/>
          <w:bdr w:val="none" w:sz="0" w:space="0" w:color="auto" w:frame="1"/>
          <w:shd w:val="clear" w:color="auto" w:fill="FFFFFF"/>
        </w:rPr>
        <w:t>is </w:t>
      </w:r>
      <w:r>
        <w:rPr>
          <w:rStyle w:val="oword"/>
          <w:rFonts w:ascii="Open Sans" w:hAnsi="Open Sans" w:cs="Open Sans"/>
          <w:bdr w:val="none" w:sz="0" w:space="0" w:color="auto" w:frame="1"/>
          <w:shd w:val="clear" w:color="auto" w:fill="FFFFFF"/>
        </w:rPr>
        <w:t>both </w:t>
      </w:r>
      <w:r>
        <w:rPr>
          <w:rStyle w:val="oword"/>
          <w:rFonts w:ascii="Open Sans" w:hAnsi="Open Sans" w:cs="Open Sans"/>
          <w:color w:val="444444"/>
          <w:bdr w:val="none" w:sz="0" w:space="0" w:color="auto" w:frame="1"/>
          <w:shd w:val="clear" w:color="auto" w:fill="FFFFFF"/>
        </w:rPr>
        <w:t>effective and </w:t>
      </w:r>
      <w:r>
        <w:rPr>
          <w:rStyle w:val="oword"/>
          <w:rFonts w:ascii="Open Sans" w:hAnsi="Open Sans" w:cs="Open Sans"/>
          <w:bdr w:val="none" w:sz="0" w:space="0" w:color="auto" w:frame="1"/>
          <w:shd w:val="clear" w:color="auto" w:fill="FFFFFF"/>
        </w:rPr>
        <w:t>realistic, </w:t>
      </w:r>
      <w:r w:rsidR="00452917">
        <w:rPr>
          <w:rStyle w:val="oword"/>
          <w:rFonts w:ascii="Open Sans" w:hAnsi="Open Sans" w:cs="Open Sans"/>
          <w:bdr w:val="none" w:sz="0" w:space="0" w:color="auto" w:frame="1"/>
          <w:shd w:val="clear" w:color="auto" w:fill="FFFFFF"/>
        </w:rPr>
        <w:t>considering</w:t>
      </w:r>
      <w:r>
        <w:rPr>
          <w:rStyle w:val="oword"/>
          <w:rFonts w:ascii="Open Sans" w:hAnsi="Open Sans" w:cs="Open Sans"/>
          <w:bdr w:val="none" w:sz="0" w:space="0" w:color="auto" w:frame="1"/>
          <w:shd w:val="clear" w:color="auto" w:fill="FFFFFF"/>
        </w:rPr>
        <w:t> </w:t>
      </w:r>
      <w:r>
        <w:rPr>
          <w:rStyle w:val="oword"/>
          <w:rFonts w:ascii="Open Sans" w:hAnsi="Open Sans" w:cs="Open Sans"/>
          <w:color w:val="444444"/>
          <w:bdr w:val="none" w:sz="0" w:space="0" w:color="auto" w:frame="1"/>
          <w:shd w:val="clear" w:color="auto" w:fill="FFFFFF"/>
        </w:rPr>
        <w:t>the </w:t>
      </w:r>
      <w:proofErr w:type="gramStart"/>
      <w:r>
        <w:rPr>
          <w:rStyle w:val="oword"/>
          <w:rFonts w:ascii="Open Sans" w:hAnsi="Open Sans" w:cs="Open Sans"/>
          <w:bdr w:val="none" w:sz="0" w:space="0" w:color="auto" w:frame="1"/>
          <w:shd w:val="clear" w:color="auto" w:fill="FFFFFF"/>
        </w:rPr>
        <w:t>particular circumstances</w:t>
      </w:r>
      <w:proofErr w:type="gramEnd"/>
      <w:r>
        <w:rPr>
          <w:rStyle w:val="oword"/>
          <w:rFonts w:ascii="Open Sans" w:hAnsi="Open Sans" w:cs="Open Sans"/>
          <w:bdr w:val="none" w:sz="0" w:space="0" w:color="auto" w:frame="1"/>
          <w:shd w:val="clear" w:color="auto" w:fill="FFFFFF"/>
        </w:rPr>
        <w:t> </w:t>
      </w:r>
      <w:r>
        <w:rPr>
          <w:rStyle w:val="oword"/>
          <w:rFonts w:ascii="Open Sans" w:hAnsi="Open Sans" w:cs="Open Sans"/>
          <w:color w:val="444444"/>
          <w:bdr w:val="none" w:sz="0" w:space="0" w:color="auto" w:frame="1"/>
          <w:shd w:val="clear" w:color="auto" w:fill="FFFFFF"/>
        </w:rPr>
        <w:t>at </w:t>
      </w:r>
      <w:r>
        <w:rPr>
          <w:rStyle w:val="oword"/>
          <w:rFonts w:ascii="Open Sans" w:hAnsi="Open Sans" w:cs="Open Sans"/>
          <w:bdr w:val="none" w:sz="0" w:space="0" w:color="auto" w:frame="1"/>
          <w:shd w:val="clear" w:color="auto" w:fill="FFFFFF"/>
        </w:rPr>
        <w:t>hand; </w:t>
      </w:r>
      <w:r w:rsidR="006B165F">
        <w:rPr>
          <w:rStyle w:val="oword"/>
          <w:rFonts w:ascii="Open Sans" w:hAnsi="Open Sans" w:cs="Open Sans"/>
          <w:bdr w:val="none" w:sz="0" w:space="0" w:color="auto" w:frame="1"/>
          <w:shd w:val="clear" w:color="auto" w:fill="FFFFFF"/>
        </w:rPr>
        <w:t>thus,</w:t>
      </w:r>
      <w:r>
        <w:rPr>
          <w:rStyle w:val="oword"/>
          <w:rFonts w:ascii="Open Sans" w:hAnsi="Open Sans" w:cs="Open Sans"/>
          <w:bdr w:val="none" w:sz="0" w:space="0" w:color="auto" w:frame="1"/>
          <w:shd w:val="clear" w:color="auto" w:fill="FFFFFF"/>
        </w:rPr>
        <w:t> precluding any attempt to employ </w:t>
      </w:r>
      <w:r>
        <w:rPr>
          <w:rStyle w:val="oword"/>
          <w:rFonts w:ascii="Open Sans" w:hAnsi="Open Sans" w:cs="Open Sans"/>
          <w:color w:val="444444"/>
          <w:bdr w:val="none" w:sz="0" w:space="0" w:color="auto" w:frame="1"/>
          <w:shd w:val="clear" w:color="auto" w:fill="FFFFFF"/>
        </w:rPr>
        <w:t>a </w:t>
      </w:r>
      <w:r>
        <w:rPr>
          <w:rStyle w:val="oword"/>
          <w:rFonts w:ascii="Open Sans" w:hAnsi="Open Sans" w:cs="Open Sans"/>
          <w:bdr w:val="none" w:sz="0" w:space="0" w:color="auto" w:frame="1"/>
          <w:shd w:val="clear" w:color="auto" w:fill="FFFFFF"/>
        </w:rPr>
        <w:t>generalized method.</w:t>
      </w:r>
    </w:p>
    <w:p w14:paraId="290AF341" w14:textId="2422BE76" w:rsidR="008E43D3" w:rsidRDefault="008E43D3" w:rsidP="0038238A">
      <w:pPr>
        <w:shd w:val="clear" w:color="auto" w:fill="FFFFFF"/>
        <w:spacing w:before="100" w:beforeAutospacing="1" w:after="100" w:afterAutospacing="1" w:line="240" w:lineRule="auto"/>
        <w:ind w:left="720"/>
        <w:rPr>
          <w:rFonts w:ascii="Open Sans" w:hAnsi="Open Sans" w:cs="Open Sans"/>
          <w:color w:val="444444"/>
        </w:rPr>
      </w:pPr>
    </w:p>
    <w:p w14:paraId="63F17108" w14:textId="77777777" w:rsidR="008E43D3" w:rsidRPr="005851AD" w:rsidRDefault="008E43D3" w:rsidP="001C43C8">
      <w:pPr>
        <w:shd w:val="clear" w:color="auto" w:fill="FFFFFF"/>
        <w:spacing w:before="100" w:beforeAutospacing="1" w:after="100" w:afterAutospacing="1" w:line="240" w:lineRule="auto"/>
        <w:ind w:firstLine="720"/>
        <w:rPr>
          <w:rFonts w:ascii="Arial" w:hAnsi="Arial" w:cs="Arial"/>
          <w:sz w:val="24"/>
          <w:szCs w:val="24"/>
        </w:rPr>
      </w:pPr>
    </w:p>
    <w:sectPr w:rsidR="008E43D3" w:rsidRPr="005851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w:altName w:val="Segoe UI"/>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F0291F"/>
    <w:multiLevelType w:val="hybridMultilevel"/>
    <w:tmpl w:val="65168E00"/>
    <w:lvl w:ilvl="0" w:tplc="CD84F914">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66276C"/>
    <w:multiLevelType w:val="hybridMultilevel"/>
    <w:tmpl w:val="3E301D88"/>
    <w:lvl w:ilvl="0" w:tplc="CD84F914">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BE325F"/>
    <w:multiLevelType w:val="hybridMultilevel"/>
    <w:tmpl w:val="4CD63974"/>
    <w:lvl w:ilvl="0" w:tplc="CD84F914">
      <w:start w:val="1"/>
      <w:numFmt w:val="bullet"/>
      <w:lvlText w:val=""/>
      <w:lvlJc w:val="left"/>
      <w:pPr>
        <w:ind w:left="1080" w:hanging="360"/>
      </w:pPr>
      <w:rPr>
        <w:rFonts w:ascii="Wingdings 3" w:hAnsi="Wingdings 3"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73F43579"/>
    <w:multiLevelType w:val="multilevel"/>
    <w:tmpl w:val="0528435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635"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6FF6069"/>
    <w:multiLevelType w:val="multilevel"/>
    <w:tmpl w:val="0528435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277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08294345">
    <w:abstractNumId w:val="3"/>
  </w:num>
  <w:num w:numId="2" w16cid:durableId="1650398782">
    <w:abstractNumId w:val="4"/>
  </w:num>
  <w:num w:numId="3" w16cid:durableId="938100948">
    <w:abstractNumId w:val="1"/>
  </w:num>
  <w:num w:numId="4" w16cid:durableId="253324295">
    <w:abstractNumId w:val="0"/>
  </w:num>
  <w:num w:numId="5" w16cid:durableId="19100005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3FA"/>
    <w:rsid w:val="000126FD"/>
    <w:rsid w:val="00046306"/>
    <w:rsid w:val="000A539F"/>
    <w:rsid w:val="00107738"/>
    <w:rsid w:val="001C43C8"/>
    <w:rsid w:val="0022093E"/>
    <w:rsid w:val="00277183"/>
    <w:rsid w:val="003518E4"/>
    <w:rsid w:val="0038238A"/>
    <w:rsid w:val="0039627C"/>
    <w:rsid w:val="003B4280"/>
    <w:rsid w:val="003E2724"/>
    <w:rsid w:val="00452917"/>
    <w:rsid w:val="004D12A5"/>
    <w:rsid w:val="004E0FCF"/>
    <w:rsid w:val="00521C6E"/>
    <w:rsid w:val="005603FA"/>
    <w:rsid w:val="005851AD"/>
    <w:rsid w:val="006717D0"/>
    <w:rsid w:val="006B165F"/>
    <w:rsid w:val="006C6893"/>
    <w:rsid w:val="00704632"/>
    <w:rsid w:val="007635A3"/>
    <w:rsid w:val="007A291E"/>
    <w:rsid w:val="007F72B7"/>
    <w:rsid w:val="008360F2"/>
    <w:rsid w:val="008A42FC"/>
    <w:rsid w:val="008E43D3"/>
    <w:rsid w:val="009F6B3A"/>
    <w:rsid w:val="009F7C61"/>
    <w:rsid w:val="00A84DAA"/>
    <w:rsid w:val="00BC2F6F"/>
    <w:rsid w:val="00BD1E5C"/>
    <w:rsid w:val="00C43285"/>
    <w:rsid w:val="00C63774"/>
    <w:rsid w:val="00E21BA0"/>
    <w:rsid w:val="00FF58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837F7"/>
  <w15:chartTrackingRefBased/>
  <w15:docId w15:val="{FB1DC2D9-EA14-491F-A9A0-9C91B6B6A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E272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2724"/>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3E2724"/>
    <w:pPr>
      <w:ind w:left="720"/>
      <w:contextualSpacing/>
    </w:pPr>
  </w:style>
  <w:style w:type="character" w:customStyle="1" w:styleId="oword">
    <w:name w:val="oword"/>
    <w:basedOn w:val="DefaultParagraphFont"/>
    <w:rsid w:val="008A42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9401602">
      <w:bodyDiv w:val="1"/>
      <w:marLeft w:val="0"/>
      <w:marRight w:val="0"/>
      <w:marTop w:val="0"/>
      <w:marBottom w:val="0"/>
      <w:divBdr>
        <w:top w:val="none" w:sz="0" w:space="0" w:color="auto"/>
        <w:left w:val="none" w:sz="0" w:space="0" w:color="auto"/>
        <w:bottom w:val="none" w:sz="0" w:space="0" w:color="auto"/>
        <w:right w:val="none" w:sz="0" w:space="0" w:color="auto"/>
      </w:divBdr>
    </w:div>
    <w:div w:id="1114133139">
      <w:bodyDiv w:val="1"/>
      <w:marLeft w:val="0"/>
      <w:marRight w:val="0"/>
      <w:marTop w:val="0"/>
      <w:marBottom w:val="0"/>
      <w:divBdr>
        <w:top w:val="none" w:sz="0" w:space="0" w:color="auto"/>
        <w:left w:val="none" w:sz="0" w:space="0" w:color="auto"/>
        <w:bottom w:val="none" w:sz="0" w:space="0" w:color="auto"/>
        <w:right w:val="none" w:sz="0" w:space="0" w:color="auto"/>
      </w:divBdr>
    </w:div>
    <w:div w:id="2126000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07/relationships/diagramDrawing" Target="diagrams/drawing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Colors" Target="diagrams/colors1.xml"/><Relationship Id="rId5" Type="http://schemas.openxmlformats.org/officeDocument/2006/relationships/styles" Target="styles.xml"/><Relationship Id="rId10" Type="http://schemas.openxmlformats.org/officeDocument/2006/relationships/diagramQuickStyle" Target="diagrams/quickStyle1.xml"/><Relationship Id="rId4" Type="http://schemas.openxmlformats.org/officeDocument/2006/relationships/numbering" Target="numbering.xml"/><Relationship Id="rId9" Type="http://schemas.openxmlformats.org/officeDocument/2006/relationships/diagramLayout" Target="diagrams/layout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2_4">
  <dgm:title val=""/>
  <dgm:desc val=""/>
  <dgm:catLst>
    <dgm:cat type="accent2" pri="11400"/>
  </dgm:catLst>
  <dgm:styleLbl name="node0">
    <dgm:fillClrLst meth="cycle">
      <a:schemeClr val="accent2">
        <a:shade val="60000"/>
      </a:schemeClr>
    </dgm:fillClrLst>
    <dgm:linClrLst meth="repeat">
      <a:schemeClr val="lt1"/>
    </dgm:linClrLst>
    <dgm:effectClrLst/>
    <dgm:txLinClrLst/>
    <dgm:txFillClrLst/>
    <dgm:txEffectClrLst/>
  </dgm:styleLbl>
  <dgm:styleLbl name="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alignNode1">
    <dgm:fillClrLst meth="cycle">
      <a:schemeClr val="accent2">
        <a:shade val="50000"/>
      </a:schemeClr>
      <a:schemeClr val="accent2">
        <a:tint val="45000"/>
      </a:schemeClr>
    </dgm:fillClrLst>
    <dgm:linClrLst meth="cycle">
      <a:schemeClr val="accent2">
        <a:shade val="50000"/>
      </a:schemeClr>
      <a:schemeClr val="accent2">
        <a:tint val="45000"/>
      </a:schemeClr>
    </dgm:linClrLst>
    <dgm:effectClrLst/>
    <dgm:txLinClrLst/>
    <dgm:txFillClrLst/>
    <dgm:txEffectClrLst/>
  </dgm:styleLbl>
  <dgm:styleLbl name="ln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vennNode1">
    <dgm:fillClrLst meth="cycle">
      <a:schemeClr val="accent2">
        <a:shade val="80000"/>
        <a:alpha val="50000"/>
      </a:schemeClr>
      <a:schemeClr val="accent2">
        <a:tint val="45000"/>
        <a:alpha val="50000"/>
      </a:schemeClr>
    </dgm:fillClrLst>
    <dgm:linClrLst meth="repeat">
      <a:schemeClr val="lt1"/>
    </dgm:linClrLst>
    <dgm:effectClrLst/>
    <dgm:txLinClrLst/>
    <dgm:txFillClrLst/>
    <dgm:txEffectClrLst/>
  </dgm:styleLbl>
  <dgm:styleLbl name="node2">
    <dgm:fillClrLst>
      <a:schemeClr val="accent2">
        <a:shade val="80000"/>
      </a:schemeClr>
    </dgm:fillClrLst>
    <dgm:linClrLst meth="repeat">
      <a:schemeClr val="lt1"/>
    </dgm:linClrLst>
    <dgm:effectClrLst/>
    <dgm:txLinClrLst/>
    <dgm:txFillClrLst/>
    <dgm:txEffectClrLst/>
  </dgm:styleLbl>
  <dgm:styleLbl name="node3">
    <dgm:fillClrLst>
      <a:schemeClr val="accent2">
        <a:tint val="99000"/>
      </a:schemeClr>
    </dgm:fillClrLst>
    <dgm:linClrLst meth="repeat">
      <a:schemeClr val="lt1"/>
    </dgm:linClrLst>
    <dgm:effectClrLst/>
    <dgm:txLinClrLst/>
    <dgm:txFillClrLst/>
    <dgm:txEffectClrLst/>
  </dgm:styleLbl>
  <dgm:styleLbl name="node4">
    <dgm:fillClrLst>
      <a:schemeClr val="accent2">
        <a:tint val="70000"/>
      </a:schemeClr>
    </dgm:fillClrLst>
    <dgm:linClrLst meth="repeat">
      <a:schemeClr val="lt1"/>
    </dgm:linClrLst>
    <dgm:effectClrLst/>
    <dgm:txLinClrLst/>
    <dgm:txFillClrLst/>
    <dgm:txEffectClrLst/>
  </dgm:styleLbl>
  <dgm:styleLbl name="f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f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b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sibTrans1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shade val="80000"/>
      </a:schemeClr>
    </dgm:fillClrLst>
    <dgm:linClrLst meth="repeat">
      <a:schemeClr val="lt1"/>
    </dgm:linClrLst>
    <dgm:effectClrLst/>
    <dgm:txLinClrLst/>
    <dgm:txFillClrLst/>
    <dgm:txEffectClrLst/>
  </dgm:styleLbl>
  <dgm:styleLbl name="asst1">
    <dgm:fillClrLst meth="repeat">
      <a:schemeClr val="accent2">
        <a:shade val="80000"/>
      </a:schemeClr>
    </dgm:fillClrLst>
    <dgm:linClrLst meth="repeat">
      <a:schemeClr val="lt1"/>
    </dgm:linClrLst>
    <dgm:effectClrLst/>
    <dgm:txLinClrLst/>
    <dgm:txFillClrLst/>
    <dgm:txEffectClrLst/>
  </dgm:styleLbl>
  <dgm:styleLbl name="asst2">
    <dgm:fillClrLst>
      <a:schemeClr val="accent2">
        <a:tint val="90000"/>
      </a:schemeClr>
    </dgm:fillClrLst>
    <dgm:linClrLst meth="repeat">
      <a:schemeClr val="lt1"/>
    </dgm:linClrLst>
    <dgm:effectClrLst/>
    <dgm:txLinClrLst/>
    <dgm:txFillClrLst/>
    <dgm:txEffectClrLst/>
  </dgm:styleLbl>
  <dgm:styleLbl name="asst3">
    <dgm:fillClrLst>
      <a:schemeClr val="accent2">
        <a:tint val="70000"/>
      </a:schemeClr>
    </dgm:fillClrLst>
    <dgm:linClrLst meth="repeat">
      <a:schemeClr val="lt1"/>
    </dgm:linClrLst>
    <dgm:effectClrLst/>
    <dgm:txLinClrLst/>
    <dgm:txFillClrLst/>
    <dgm:txEffectClrLst/>
  </dgm:styleLbl>
  <dgm:styleLbl name="asst4">
    <dgm:fillClrLst>
      <a:schemeClr val="accent2">
        <a:tint val="50000"/>
      </a:schemeClr>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align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bgAccFollowNode1">
    <dgm:fillClrLst meth="repeat">
      <a:schemeClr val="accent2">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55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8AF8058-DFFC-4974-A185-E65BAC9F34ED}" type="doc">
      <dgm:prSet loTypeId="urn:microsoft.com/office/officeart/2005/8/layout/radial6" loCatId="cycle" qsTypeId="urn:microsoft.com/office/officeart/2005/8/quickstyle/simple5" qsCatId="simple" csTypeId="urn:microsoft.com/office/officeart/2005/8/colors/accent2_4" csCatId="accent2" phldr="1"/>
      <dgm:spPr/>
      <dgm:t>
        <a:bodyPr/>
        <a:lstStyle/>
        <a:p>
          <a:endParaRPr lang="en-GB"/>
        </a:p>
      </dgm:t>
    </dgm:pt>
    <dgm:pt modelId="{C54A83E5-B0AC-4757-9EC2-7F675ADBA214}">
      <dgm:prSet phldrT="[Text]" custT="1"/>
      <dgm:spPr/>
      <dgm:t>
        <a:bodyPr/>
        <a:lstStyle/>
        <a:p>
          <a:pPr>
            <a:buFont typeface="Arial" panose="020B0604020202020204" pitchFamily="34" charset="0"/>
            <a:buChar char="•"/>
          </a:pPr>
          <a:r>
            <a:rPr lang="en-GB" sz="1800" b="1" i="0">
              <a:latin typeface="Times New Roman" panose="02020603050405020304" pitchFamily="18" charset="0"/>
              <a:cs typeface="Times New Roman" panose="02020603050405020304" pitchFamily="18" charset="0"/>
            </a:rPr>
            <a:t>Core Behaviors</a:t>
          </a:r>
          <a:endParaRPr lang="en-GB" sz="1800">
            <a:latin typeface="Times New Roman" panose="02020603050405020304" pitchFamily="18" charset="0"/>
            <a:cs typeface="Times New Roman" panose="02020603050405020304" pitchFamily="18" charset="0"/>
          </a:endParaRPr>
        </a:p>
      </dgm:t>
    </dgm:pt>
    <dgm:pt modelId="{7D694A99-7A6C-4865-977F-C6AFBDCBD6A4}" type="parTrans" cxnId="{838563AE-94F6-4F2F-8E33-80107BE93E38}">
      <dgm:prSet/>
      <dgm:spPr/>
      <dgm:t>
        <a:bodyPr/>
        <a:lstStyle/>
        <a:p>
          <a:endParaRPr lang="en-GB"/>
        </a:p>
      </dgm:t>
    </dgm:pt>
    <dgm:pt modelId="{0F0B99C5-E822-4B5C-B378-2E713544BEAD}" type="sibTrans" cxnId="{838563AE-94F6-4F2F-8E33-80107BE93E38}">
      <dgm:prSet/>
      <dgm:spPr/>
      <dgm:t>
        <a:bodyPr/>
        <a:lstStyle/>
        <a:p>
          <a:endParaRPr lang="en-GB"/>
        </a:p>
      </dgm:t>
    </dgm:pt>
    <dgm:pt modelId="{96CE4A3B-4054-47E1-94A4-7FE19F8D27CB}">
      <dgm:prSet phldrT="[Text]" custT="1"/>
      <dgm:spPr/>
      <dgm:t>
        <a:bodyPr/>
        <a:lstStyle/>
        <a:p>
          <a:pPr>
            <a:buFont typeface="Arial" panose="020B0604020202020204" pitchFamily="34" charset="0"/>
            <a:buChar char="•"/>
          </a:pPr>
          <a:r>
            <a:rPr lang="en-GB" sz="1400" b="1" i="0">
              <a:latin typeface="Times New Roman" panose="02020603050405020304" pitchFamily="18" charset="0"/>
              <a:cs typeface="Times New Roman" panose="02020603050405020304" pitchFamily="18" charset="0"/>
            </a:rPr>
            <a:t>Ethical practice</a:t>
          </a:r>
          <a:endParaRPr lang="en-GB" sz="1400">
            <a:latin typeface="Times New Roman" panose="02020603050405020304" pitchFamily="18" charset="0"/>
            <a:cs typeface="Times New Roman" panose="02020603050405020304" pitchFamily="18" charset="0"/>
          </a:endParaRPr>
        </a:p>
      </dgm:t>
    </dgm:pt>
    <dgm:pt modelId="{7962D57F-C6F2-4309-8280-691E851D3B9F}" type="parTrans" cxnId="{3D9CBA1E-2A7F-4727-96F7-9D07446B6DAC}">
      <dgm:prSet/>
      <dgm:spPr/>
      <dgm:t>
        <a:bodyPr/>
        <a:lstStyle/>
        <a:p>
          <a:endParaRPr lang="en-GB"/>
        </a:p>
      </dgm:t>
    </dgm:pt>
    <dgm:pt modelId="{29E435BC-0670-44AB-B549-A90429A21F14}" type="sibTrans" cxnId="{3D9CBA1E-2A7F-4727-96F7-9D07446B6DAC}">
      <dgm:prSet/>
      <dgm:spPr/>
      <dgm:t>
        <a:bodyPr/>
        <a:lstStyle/>
        <a:p>
          <a:endParaRPr lang="en-GB"/>
        </a:p>
      </dgm:t>
    </dgm:pt>
    <dgm:pt modelId="{E6D331D3-2A22-4BF9-927A-CD99C556ADFD}">
      <dgm:prSet phldrT="[Text]" custT="1"/>
      <dgm:spPr/>
      <dgm:t>
        <a:bodyPr/>
        <a:lstStyle/>
        <a:p>
          <a:pPr>
            <a:buFont typeface="Arial" panose="020B0604020202020204" pitchFamily="34" charset="0"/>
            <a:buChar char="•"/>
          </a:pPr>
          <a:r>
            <a:rPr lang="en-GB" sz="1400" b="1" i="0">
              <a:latin typeface="Times New Roman" panose="02020603050405020304" pitchFamily="18" charset="0"/>
              <a:cs typeface="Times New Roman" panose="02020603050405020304" pitchFamily="18" charset="0"/>
            </a:rPr>
            <a:t>Professional courage and influence</a:t>
          </a:r>
          <a:endParaRPr lang="en-GB" sz="1400">
            <a:latin typeface="Times New Roman" panose="02020603050405020304" pitchFamily="18" charset="0"/>
            <a:cs typeface="Times New Roman" panose="02020603050405020304" pitchFamily="18" charset="0"/>
          </a:endParaRPr>
        </a:p>
      </dgm:t>
    </dgm:pt>
    <dgm:pt modelId="{2A605C9B-6CBE-4FD4-B9EF-C21B5C86A6BF}" type="parTrans" cxnId="{60333860-88FE-43AD-8C3E-FA40A62868A9}">
      <dgm:prSet/>
      <dgm:spPr/>
      <dgm:t>
        <a:bodyPr/>
        <a:lstStyle/>
        <a:p>
          <a:endParaRPr lang="en-GB"/>
        </a:p>
      </dgm:t>
    </dgm:pt>
    <dgm:pt modelId="{8AD55127-DDB9-4D35-BE62-9BF09A3A1080}" type="sibTrans" cxnId="{60333860-88FE-43AD-8C3E-FA40A62868A9}">
      <dgm:prSet/>
      <dgm:spPr/>
      <dgm:t>
        <a:bodyPr/>
        <a:lstStyle/>
        <a:p>
          <a:endParaRPr lang="en-GB"/>
        </a:p>
      </dgm:t>
    </dgm:pt>
    <dgm:pt modelId="{322CD23F-A425-4C78-A32C-B0B76A1B4E7E}">
      <dgm:prSet phldrT="[Text]" custT="1"/>
      <dgm:spPr/>
      <dgm:t>
        <a:bodyPr/>
        <a:lstStyle/>
        <a:p>
          <a:pPr>
            <a:buFont typeface="Arial" panose="020B0604020202020204" pitchFamily="34" charset="0"/>
            <a:buChar char="•"/>
          </a:pPr>
          <a:r>
            <a:rPr lang="en-GB" sz="1400" b="1" i="0">
              <a:latin typeface="Times New Roman" panose="02020603050405020304" pitchFamily="18" charset="0"/>
              <a:cs typeface="Times New Roman" panose="02020603050405020304" pitchFamily="18" charset="0"/>
            </a:rPr>
            <a:t>Valuing people</a:t>
          </a:r>
          <a:endParaRPr lang="en-GB" sz="1400">
            <a:latin typeface="Times New Roman" panose="02020603050405020304" pitchFamily="18" charset="0"/>
            <a:cs typeface="Times New Roman" panose="02020603050405020304" pitchFamily="18" charset="0"/>
          </a:endParaRPr>
        </a:p>
      </dgm:t>
    </dgm:pt>
    <dgm:pt modelId="{140DD0D1-3078-4113-943C-94C93F8E6992}" type="parTrans" cxnId="{6139CB9C-4725-4401-9374-E0371AAE3BC7}">
      <dgm:prSet/>
      <dgm:spPr/>
      <dgm:t>
        <a:bodyPr/>
        <a:lstStyle/>
        <a:p>
          <a:endParaRPr lang="en-GB"/>
        </a:p>
      </dgm:t>
    </dgm:pt>
    <dgm:pt modelId="{30EA4DC5-C50C-4175-98B0-E47F0B06822C}" type="sibTrans" cxnId="{6139CB9C-4725-4401-9374-E0371AAE3BC7}">
      <dgm:prSet/>
      <dgm:spPr/>
      <dgm:t>
        <a:bodyPr/>
        <a:lstStyle/>
        <a:p>
          <a:endParaRPr lang="en-GB"/>
        </a:p>
      </dgm:t>
    </dgm:pt>
    <dgm:pt modelId="{9F3C41DB-7D9D-478A-A38D-D59398EBBAC2}">
      <dgm:prSet phldrT="[Text]" custT="1"/>
      <dgm:spPr/>
      <dgm:t>
        <a:bodyPr/>
        <a:lstStyle/>
        <a:p>
          <a:pPr>
            <a:buFont typeface="Arial" panose="020B0604020202020204" pitchFamily="34" charset="0"/>
            <a:buChar char="•"/>
          </a:pPr>
          <a:r>
            <a:rPr lang="en-GB" sz="1400" b="1" i="0">
              <a:latin typeface="Times New Roman" panose="02020603050405020304" pitchFamily="18" charset="0"/>
              <a:cs typeface="Times New Roman" panose="02020603050405020304" pitchFamily="18" charset="0"/>
            </a:rPr>
            <a:t>Working inclusively</a:t>
          </a:r>
          <a:endParaRPr lang="en-GB" sz="1400">
            <a:latin typeface="Times New Roman" panose="02020603050405020304" pitchFamily="18" charset="0"/>
            <a:cs typeface="Times New Roman" panose="02020603050405020304" pitchFamily="18" charset="0"/>
          </a:endParaRPr>
        </a:p>
      </dgm:t>
    </dgm:pt>
    <dgm:pt modelId="{7DDD1F05-0786-44AC-BF0D-7310C6A9F548}" type="parTrans" cxnId="{DCBBC432-359F-4E84-88AD-33C6435F9ECC}">
      <dgm:prSet/>
      <dgm:spPr/>
      <dgm:t>
        <a:bodyPr/>
        <a:lstStyle/>
        <a:p>
          <a:endParaRPr lang="en-GB"/>
        </a:p>
      </dgm:t>
    </dgm:pt>
    <dgm:pt modelId="{556513E2-09A6-480A-BB1D-980D4B6EE181}" type="sibTrans" cxnId="{DCBBC432-359F-4E84-88AD-33C6435F9ECC}">
      <dgm:prSet/>
      <dgm:spPr/>
      <dgm:t>
        <a:bodyPr/>
        <a:lstStyle/>
        <a:p>
          <a:endParaRPr lang="en-GB"/>
        </a:p>
      </dgm:t>
    </dgm:pt>
    <dgm:pt modelId="{201820CE-FB0D-4997-B9A7-779F8B728F14}">
      <dgm:prSet phldrT="[Text]" custT="1"/>
      <dgm:spPr/>
      <dgm:t>
        <a:bodyPr/>
        <a:lstStyle/>
        <a:p>
          <a:pPr>
            <a:buFont typeface="Arial" panose="020B0604020202020204" pitchFamily="34" charset="0"/>
            <a:buChar char="•"/>
          </a:pPr>
          <a:r>
            <a:rPr lang="en-GB" sz="1400" b="1" i="0">
              <a:latin typeface="Times New Roman" panose="02020603050405020304" pitchFamily="18" charset="0"/>
              <a:cs typeface="Times New Roman" panose="02020603050405020304" pitchFamily="18" charset="0"/>
            </a:rPr>
            <a:t>Commercial drive</a:t>
          </a:r>
          <a:endParaRPr lang="en-GB" sz="1400">
            <a:latin typeface="Times New Roman" panose="02020603050405020304" pitchFamily="18" charset="0"/>
            <a:cs typeface="Times New Roman" panose="02020603050405020304" pitchFamily="18" charset="0"/>
          </a:endParaRPr>
        </a:p>
      </dgm:t>
    </dgm:pt>
    <dgm:pt modelId="{A6DB025E-3368-40F1-94CE-7BFD99B5C135}" type="parTrans" cxnId="{C0E5885B-9CEE-41E7-B81F-A97ACEEAC372}">
      <dgm:prSet/>
      <dgm:spPr/>
      <dgm:t>
        <a:bodyPr/>
        <a:lstStyle/>
        <a:p>
          <a:endParaRPr lang="en-GB"/>
        </a:p>
      </dgm:t>
    </dgm:pt>
    <dgm:pt modelId="{248C20D4-2665-4995-9956-FBFC3765D334}" type="sibTrans" cxnId="{C0E5885B-9CEE-41E7-B81F-A97ACEEAC372}">
      <dgm:prSet/>
      <dgm:spPr/>
      <dgm:t>
        <a:bodyPr/>
        <a:lstStyle/>
        <a:p>
          <a:endParaRPr lang="en-GB"/>
        </a:p>
      </dgm:t>
    </dgm:pt>
    <dgm:pt modelId="{79253638-F4D5-48BA-AFE3-0DC10AE1E44B}">
      <dgm:prSet phldrT="[Text]" custT="1"/>
      <dgm:spPr/>
      <dgm:t>
        <a:bodyPr/>
        <a:lstStyle/>
        <a:p>
          <a:pPr>
            <a:buFont typeface="Arial" panose="020B0604020202020204" pitchFamily="34" charset="0"/>
            <a:buChar char="•"/>
          </a:pPr>
          <a:r>
            <a:rPr lang="en-GB" sz="1400" b="1" i="0">
              <a:latin typeface="Times New Roman" panose="02020603050405020304" pitchFamily="18" charset="0"/>
              <a:cs typeface="Times New Roman" panose="02020603050405020304" pitchFamily="18" charset="0"/>
            </a:rPr>
            <a:t>Passion for learning</a:t>
          </a:r>
          <a:endParaRPr lang="en-GB" sz="1400">
            <a:latin typeface="Times New Roman" panose="02020603050405020304" pitchFamily="18" charset="0"/>
            <a:cs typeface="Times New Roman" panose="02020603050405020304" pitchFamily="18" charset="0"/>
          </a:endParaRPr>
        </a:p>
      </dgm:t>
    </dgm:pt>
    <dgm:pt modelId="{BD531EF3-C64D-41D7-BC00-65BEFED4951B}" type="parTrans" cxnId="{7E9A3C7E-5BED-4CEF-94D5-3193809AE90F}">
      <dgm:prSet/>
      <dgm:spPr/>
      <dgm:t>
        <a:bodyPr/>
        <a:lstStyle/>
        <a:p>
          <a:endParaRPr lang="en-GB"/>
        </a:p>
      </dgm:t>
    </dgm:pt>
    <dgm:pt modelId="{EAE83ABA-F05B-4080-B95C-C0ACAD5FD4B8}" type="sibTrans" cxnId="{7E9A3C7E-5BED-4CEF-94D5-3193809AE90F}">
      <dgm:prSet/>
      <dgm:spPr/>
      <dgm:t>
        <a:bodyPr/>
        <a:lstStyle/>
        <a:p>
          <a:endParaRPr lang="en-GB"/>
        </a:p>
      </dgm:t>
    </dgm:pt>
    <dgm:pt modelId="{37B8058C-1223-4BE3-A326-7B6E4A0381F7}">
      <dgm:prSet phldrT="[Text]" custT="1"/>
      <dgm:spPr/>
      <dgm:t>
        <a:bodyPr/>
        <a:lstStyle/>
        <a:p>
          <a:pPr>
            <a:buFont typeface="Arial" panose="020B0604020202020204" pitchFamily="34" charset="0"/>
            <a:buChar char="•"/>
          </a:pPr>
          <a:r>
            <a:rPr lang="en-GB" sz="1400" b="1" i="0">
              <a:latin typeface="Times New Roman" panose="02020603050405020304" pitchFamily="18" charset="0"/>
              <a:cs typeface="Times New Roman" panose="02020603050405020304" pitchFamily="18" charset="0"/>
            </a:rPr>
            <a:t>Insights focused</a:t>
          </a:r>
          <a:endParaRPr lang="en-GB" sz="1400">
            <a:latin typeface="Times New Roman" panose="02020603050405020304" pitchFamily="18" charset="0"/>
            <a:cs typeface="Times New Roman" panose="02020603050405020304" pitchFamily="18" charset="0"/>
          </a:endParaRPr>
        </a:p>
      </dgm:t>
    </dgm:pt>
    <dgm:pt modelId="{FF91B1C1-F148-4B93-B9D7-63239C5AC1EF}" type="parTrans" cxnId="{EB49E1ED-0B7F-4F3C-BBB5-4A7780E9757A}">
      <dgm:prSet/>
      <dgm:spPr/>
      <dgm:t>
        <a:bodyPr/>
        <a:lstStyle/>
        <a:p>
          <a:endParaRPr lang="en-GB"/>
        </a:p>
      </dgm:t>
    </dgm:pt>
    <dgm:pt modelId="{42342CAE-4C77-428C-A24D-711A9DB549AA}" type="sibTrans" cxnId="{EB49E1ED-0B7F-4F3C-BBB5-4A7780E9757A}">
      <dgm:prSet/>
      <dgm:spPr/>
      <dgm:t>
        <a:bodyPr/>
        <a:lstStyle/>
        <a:p>
          <a:endParaRPr lang="en-GB"/>
        </a:p>
      </dgm:t>
    </dgm:pt>
    <dgm:pt modelId="{F5B565EF-C12F-4040-A03E-1CC565C7B709}">
      <dgm:prSet phldrT="[Text]" custT="1"/>
      <dgm:spPr/>
      <dgm:t>
        <a:bodyPr/>
        <a:lstStyle/>
        <a:p>
          <a:pPr>
            <a:buFont typeface="Arial" panose="020B0604020202020204" pitchFamily="34" charset="0"/>
            <a:buChar char="•"/>
          </a:pPr>
          <a:r>
            <a:rPr lang="en-GB" sz="1400" b="1" i="0">
              <a:latin typeface="Times New Roman" panose="02020603050405020304" pitchFamily="18" charset="0"/>
              <a:cs typeface="Times New Roman" panose="02020603050405020304" pitchFamily="18" charset="0"/>
            </a:rPr>
            <a:t>Situational decision-making</a:t>
          </a:r>
          <a:endParaRPr lang="en-GB" sz="1400">
            <a:latin typeface="Times New Roman" panose="02020603050405020304" pitchFamily="18" charset="0"/>
            <a:cs typeface="Times New Roman" panose="02020603050405020304" pitchFamily="18" charset="0"/>
          </a:endParaRPr>
        </a:p>
      </dgm:t>
    </dgm:pt>
    <dgm:pt modelId="{9E62E8EE-4F1A-472E-84B1-BDF4B6EE8B69}" type="parTrans" cxnId="{850CC70E-8C7D-456A-ABBC-5960981A1CB3}">
      <dgm:prSet/>
      <dgm:spPr/>
      <dgm:t>
        <a:bodyPr/>
        <a:lstStyle/>
        <a:p>
          <a:endParaRPr lang="en-GB"/>
        </a:p>
      </dgm:t>
    </dgm:pt>
    <dgm:pt modelId="{C6EEFE4E-1EDB-4AE7-854E-E3491A7CBD15}" type="sibTrans" cxnId="{850CC70E-8C7D-456A-ABBC-5960981A1CB3}">
      <dgm:prSet/>
      <dgm:spPr/>
      <dgm:t>
        <a:bodyPr/>
        <a:lstStyle/>
        <a:p>
          <a:endParaRPr lang="en-GB"/>
        </a:p>
      </dgm:t>
    </dgm:pt>
    <dgm:pt modelId="{BAB4F929-3940-4C11-902C-93F5734140D5}" type="pres">
      <dgm:prSet presAssocID="{08AF8058-DFFC-4974-A185-E65BAC9F34ED}" presName="Name0" presStyleCnt="0">
        <dgm:presLayoutVars>
          <dgm:chMax val="1"/>
          <dgm:dir/>
          <dgm:animLvl val="ctr"/>
          <dgm:resizeHandles val="exact"/>
        </dgm:presLayoutVars>
      </dgm:prSet>
      <dgm:spPr/>
    </dgm:pt>
    <dgm:pt modelId="{B60E3B0A-44DC-43B1-AFC0-47DBF8CC7ED1}" type="pres">
      <dgm:prSet presAssocID="{C54A83E5-B0AC-4757-9EC2-7F675ADBA214}" presName="centerShape" presStyleLbl="node0" presStyleIdx="0" presStyleCnt="1" custScaleX="127371" custScaleY="109162"/>
      <dgm:spPr/>
    </dgm:pt>
    <dgm:pt modelId="{4D4086D8-E8C0-485B-B644-D0A7544E9195}" type="pres">
      <dgm:prSet presAssocID="{96CE4A3B-4054-47E1-94A4-7FE19F8D27CB}" presName="node" presStyleLbl="node1" presStyleIdx="0" presStyleCnt="8" custScaleX="130204">
        <dgm:presLayoutVars>
          <dgm:bulletEnabled val="1"/>
        </dgm:presLayoutVars>
      </dgm:prSet>
      <dgm:spPr/>
    </dgm:pt>
    <dgm:pt modelId="{8ED3BD85-16D6-44A5-B213-6BB80264DDB6}" type="pres">
      <dgm:prSet presAssocID="{96CE4A3B-4054-47E1-94A4-7FE19F8D27CB}" presName="dummy" presStyleCnt="0"/>
      <dgm:spPr/>
    </dgm:pt>
    <dgm:pt modelId="{5F291783-7F3E-4C4C-8123-06976C6ACC3A}" type="pres">
      <dgm:prSet presAssocID="{29E435BC-0670-44AB-B549-A90429A21F14}" presName="sibTrans" presStyleLbl="sibTrans2D1" presStyleIdx="0" presStyleCnt="8"/>
      <dgm:spPr/>
    </dgm:pt>
    <dgm:pt modelId="{4DF7E3A2-8E39-4EC9-A20E-F80F9AF7117A}" type="pres">
      <dgm:prSet presAssocID="{E6D331D3-2A22-4BF9-927A-CD99C556ADFD}" presName="node" presStyleLbl="node1" presStyleIdx="1" presStyleCnt="8" custScaleX="135009" custScaleY="112739">
        <dgm:presLayoutVars>
          <dgm:bulletEnabled val="1"/>
        </dgm:presLayoutVars>
      </dgm:prSet>
      <dgm:spPr/>
    </dgm:pt>
    <dgm:pt modelId="{C4FA35A7-79BC-4ED2-940D-12936E6D1F5B}" type="pres">
      <dgm:prSet presAssocID="{E6D331D3-2A22-4BF9-927A-CD99C556ADFD}" presName="dummy" presStyleCnt="0"/>
      <dgm:spPr/>
    </dgm:pt>
    <dgm:pt modelId="{ABD6B43D-7369-4C50-B685-2BD1C8980266}" type="pres">
      <dgm:prSet presAssocID="{8AD55127-DDB9-4D35-BE62-9BF09A3A1080}" presName="sibTrans" presStyleLbl="sibTrans2D1" presStyleIdx="1" presStyleCnt="8"/>
      <dgm:spPr/>
    </dgm:pt>
    <dgm:pt modelId="{82E56BAD-693C-4CB4-8AFE-7897BB43F6AA}" type="pres">
      <dgm:prSet presAssocID="{322CD23F-A425-4C78-A32C-B0B76A1B4E7E}" presName="node" presStyleLbl="node1" presStyleIdx="2" presStyleCnt="8" custScaleX="123864" custScaleY="109626">
        <dgm:presLayoutVars>
          <dgm:bulletEnabled val="1"/>
        </dgm:presLayoutVars>
      </dgm:prSet>
      <dgm:spPr/>
    </dgm:pt>
    <dgm:pt modelId="{616FFAFC-FC4E-4986-B0A8-9657800FDAB2}" type="pres">
      <dgm:prSet presAssocID="{322CD23F-A425-4C78-A32C-B0B76A1B4E7E}" presName="dummy" presStyleCnt="0"/>
      <dgm:spPr/>
    </dgm:pt>
    <dgm:pt modelId="{1AA5C1A6-6BDA-4F66-8AFF-8A8C10E0BE09}" type="pres">
      <dgm:prSet presAssocID="{30EA4DC5-C50C-4175-98B0-E47F0B06822C}" presName="sibTrans" presStyleLbl="sibTrans2D1" presStyleIdx="2" presStyleCnt="8"/>
      <dgm:spPr/>
    </dgm:pt>
    <dgm:pt modelId="{02E91D5A-B207-4E0C-BE00-6C3FE393E7CF}" type="pres">
      <dgm:prSet presAssocID="{9F3C41DB-7D9D-478A-A38D-D59398EBBAC2}" presName="node" presStyleLbl="node1" presStyleIdx="3" presStyleCnt="8" custScaleX="130146" custScaleY="107535" custRadScaleRad="103073" custRadScaleInc="-40240">
        <dgm:presLayoutVars>
          <dgm:bulletEnabled val="1"/>
        </dgm:presLayoutVars>
      </dgm:prSet>
      <dgm:spPr/>
    </dgm:pt>
    <dgm:pt modelId="{294B5F35-5679-4799-A8F5-B9A47226FCA8}" type="pres">
      <dgm:prSet presAssocID="{9F3C41DB-7D9D-478A-A38D-D59398EBBAC2}" presName="dummy" presStyleCnt="0"/>
      <dgm:spPr/>
    </dgm:pt>
    <dgm:pt modelId="{17D501E5-A438-427F-B658-648DD51F776E}" type="pres">
      <dgm:prSet presAssocID="{556513E2-09A6-480A-BB1D-980D4B6EE181}" presName="sibTrans" presStyleLbl="sibTrans2D1" presStyleIdx="3" presStyleCnt="8"/>
      <dgm:spPr/>
    </dgm:pt>
    <dgm:pt modelId="{235D0953-18A9-4873-8996-AAE3574C9D16}" type="pres">
      <dgm:prSet presAssocID="{201820CE-FB0D-4997-B9A7-779F8B728F14}" presName="node" presStyleLbl="node1" presStyleIdx="4" presStyleCnt="8" custScaleX="169627" custScaleY="122685" custRadScaleRad="99523" custRadScaleInc="-38103">
        <dgm:presLayoutVars>
          <dgm:bulletEnabled val="1"/>
        </dgm:presLayoutVars>
      </dgm:prSet>
      <dgm:spPr/>
    </dgm:pt>
    <dgm:pt modelId="{5D040A87-F175-43BC-A031-442F827EA900}" type="pres">
      <dgm:prSet presAssocID="{201820CE-FB0D-4997-B9A7-779F8B728F14}" presName="dummy" presStyleCnt="0"/>
      <dgm:spPr/>
    </dgm:pt>
    <dgm:pt modelId="{2AC311C9-F197-4F8F-A922-04010E04AD31}" type="pres">
      <dgm:prSet presAssocID="{248C20D4-2665-4995-9956-FBFC3765D334}" presName="sibTrans" presStyleLbl="sibTrans2D1" presStyleIdx="4" presStyleCnt="8"/>
      <dgm:spPr/>
    </dgm:pt>
    <dgm:pt modelId="{FA3D1F70-0DF5-4130-AEC9-B40B20F53CBF}" type="pres">
      <dgm:prSet presAssocID="{79253638-F4D5-48BA-AFE3-0DC10AE1E44B}" presName="node" presStyleLbl="node1" presStyleIdx="5" presStyleCnt="8" custScaleX="130500" custScaleY="102499">
        <dgm:presLayoutVars>
          <dgm:bulletEnabled val="1"/>
        </dgm:presLayoutVars>
      </dgm:prSet>
      <dgm:spPr/>
    </dgm:pt>
    <dgm:pt modelId="{ACFF1AAF-482E-4518-A440-515B7917434B}" type="pres">
      <dgm:prSet presAssocID="{79253638-F4D5-48BA-AFE3-0DC10AE1E44B}" presName="dummy" presStyleCnt="0"/>
      <dgm:spPr/>
    </dgm:pt>
    <dgm:pt modelId="{11068696-867D-4694-9A62-248768751D10}" type="pres">
      <dgm:prSet presAssocID="{EAE83ABA-F05B-4080-B95C-C0ACAD5FD4B8}" presName="sibTrans" presStyleLbl="sibTrans2D1" presStyleIdx="5" presStyleCnt="8"/>
      <dgm:spPr/>
    </dgm:pt>
    <dgm:pt modelId="{B1D9D55C-EA1C-46D1-A4C1-E3C43A4DD43B}" type="pres">
      <dgm:prSet presAssocID="{37B8058C-1223-4BE3-A326-7B6E4A0381F7}" presName="node" presStyleLbl="node1" presStyleIdx="6" presStyleCnt="8" custScaleX="124433" custScaleY="126655">
        <dgm:presLayoutVars>
          <dgm:bulletEnabled val="1"/>
        </dgm:presLayoutVars>
      </dgm:prSet>
      <dgm:spPr/>
    </dgm:pt>
    <dgm:pt modelId="{3C09CB72-4F9F-41C2-A552-7706BAC995E4}" type="pres">
      <dgm:prSet presAssocID="{37B8058C-1223-4BE3-A326-7B6E4A0381F7}" presName="dummy" presStyleCnt="0"/>
      <dgm:spPr/>
    </dgm:pt>
    <dgm:pt modelId="{A8F4CDA8-69EF-47EA-9DA1-3005CDFDF863}" type="pres">
      <dgm:prSet presAssocID="{42342CAE-4C77-428C-A24D-711A9DB549AA}" presName="sibTrans" presStyleLbl="sibTrans2D1" presStyleIdx="6" presStyleCnt="8"/>
      <dgm:spPr/>
    </dgm:pt>
    <dgm:pt modelId="{9231C054-15A1-4C60-BD58-BF5E3DCEF557}" type="pres">
      <dgm:prSet presAssocID="{F5B565EF-C12F-4040-A03E-1CC565C7B709}" presName="node" presStyleLbl="node1" presStyleIdx="7" presStyleCnt="8" custScaleX="124936" custScaleY="106206">
        <dgm:presLayoutVars>
          <dgm:bulletEnabled val="1"/>
        </dgm:presLayoutVars>
      </dgm:prSet>
      <dgm:spPr/>
    </dgm:pt>
    <dgm:pt modelId="{010320EB-D6D1-4BB1-A96A-3B757E48BC98}" type="pres">
      <dgm:prSet presAssocID="{F5B565EF-C12F-4040-A03E-1CC565C7B709}" presName="dummy" presStyleCnt="0"/>
      <dgm:spPr/>
    </dgm:pt>
    <dgm:pt modelId="{F20A2310-2AC5-43AB-89E2-66389BEBE62C}" type="pres">
      <dgm:prSet presAssocID="{C6EEFE4E-1EDB-4AE7-854E-E3491A7CBD15}" presName="sibTrans" presStyleLbl="sibTrans2D1" presStyleIdx="7" presStyleCnt="8"/>
      <dgm:spPr/>
    </dgm:pt>
  </dgm:ptLst>
  <dgm:cxnLst>
    <dgm:cxn modelId="{850CC70E-8C7D-456A-ABBC-5960981A1CB3}" srcId="{C54A83E5-B0AC-4757-9EC2-7F675ADBA214}" destId="{F5B565EF-C12F-4040-A03E-1CC565C7B709}" srcOrd="7" destOrd="0" parTransId="{9E62E8EE-4F1A-472E-84B1-BDF4B6EE8B69}" sibTransId="{C6EEFE4E-1EDB-4AE7-854E-E3491A7CBD15}"/>
    <dgm:cxn modelId="{3D9CBA1E-2A7F-4727-96F7-9D07446B6DAC}" srcId="{C54A83E5-B0AC-4757-9EC2-7F675ADBA214}" destId="{96CE4A3B-4054-47E1-94A4-7FE19F8D27CB}" srcOrd="0" destOrd="0" parTransId="{7962D57F-C6F2-4309-8280-691E851D3B9F}" sibTransId="{29E435BC-0670-44AB-B549-A90429A21F14}"/>
    <dgm:cxn modelId="{02B8B921-721E-4D05-957C-104B93F9C475}" type="presOf" srcId="{08AF8058-DFFC-4974-A185-E65BAC9F34ED}" destId="{BAB4F929-3940-4C11-902C-93F5734140D5}" srcOrd="0" destOrd="0" presId="urn:microsoft.com/office/officeart/2005/8/layout/radial6"/>
    <dgm:cxn modelId="{6A1EA830-CC48-433B-AC51-2D93EC8160C6}" type="presOf" srcId="{EAE83ABA-F05B-4080-B95C-C0ACAD5FD4B8}" destId="{11068696-867D-4694-9A62-248768751D10}" srcOrd="0" destOrd="0" presId="urn:microsoft.com/office/officeart/2005/8/layout/radial6"/>
    <dgm:cxn modelId="{DCBBC432-359F-4E84-88AD-33C6435F9ECC}" srcId="{C54A83E5-B0AC-4757-9EC2-7F675ADBA214}" destId="{9F3C41DB-7D9D-478A-A38D-D59398EBBAC2}" srcOrd="3" destOrd="0" parTransId="{7DDD1F05-0786-44AC-BF0D-7310C6A9F548}" sibTransId="{556513E2-09A6-480A-BB1D-980D4B6EE181}"/>
    <dgm:cxn modelId="{0AD36E36-2722-464A-8E9B-F12B0BD549E7}" type="presOf" srcId="{322CD23F-A425-4C78-A32C-B0B76A1B4E7E}" destId="{82E56BAD-693C-4CB4-8AFE-7897BB43F6AA}" srcOrd="0" destOrd="0" presId="urn:microsoft.com/office/officeart/2005/8/layout/radial6"/>
    <dgm:cxn modelId="{C0E5885B-9CEE-41E7-B81F-A97ACEEAC372}" srcId="{C54A83E5-B0AC-4757-9EC2-7F675ADBA214}" destId="{201820CE-FB0D-4997-B9A7-779F8B728F14}" srcOrd="4" destOrd="0" parTransId="{A6DB025E-3368-40F1-94CE-7BFD99B5C135}" sibTransId="{248C20D4-2665-4995-9956-FBFC3765D334}"/>
    <dgm:cxn modelId="{60333860-88FE-43AD-8C3E-FA40A62868A9}" srcId="{C54A83E5-B0AC-4757-9EC2-7F675ADBA214}" destId="{E6D331D3-2A22-4BF9-927A-CD99C556ADFD}" srcOrd="1" destOrd="0" parTransId="{2A605C9B-6CBE-4FD4-B9EF-C21B5C86A6BF}" sibTransId="{8AD55127-DDB9-4D35-BE62-9BF09A3A1080}"/>
    <dgm:cxn modelId="{87C79073-B3CD-4C4D-A09F-25ACEB9B8F5F}" type="presOf" srcId="{201820CE-FB0D-4997-B9A7-779F8B728F14}" destId="{235D0953-18A9-4873-8996-AAE3574C9D16}" srcOrd="0" destOrd="0" presId="urn:microsoft.com/office/officeart/2005/8/layout/radial6"/>
    <dgm:cxn modelId="{ACE5C873-5C03-4E90-8946-19C4AF8E103A}" type="presOf" srcId="{F5B565EF-C12F-4040-A03E-1CC565C7B709}" destId="{9231C054-15A1-4C60-BD58-BF5E3DCEF557}" srcOrd="0" destOrd="0" presId="urn:microsoft.com/office/officeart/2005/8/layout/radial6"/>
    <dgm:cxn modelId="{7E9A3C7E-5BED-4CEF-94D5-3193809AE90F}" srcId="{C54A83E5-B0AC-4757-9EC2-7F675ADBA214}" destId="{79253638-F4D5-48BA-AFE3-0DC10AE1E44B}" srcOrd="5" destOrd="0" parTransId="{BD531EF3-C64D-41D7-BC00-65BEFED4951B}" sibTransId="{EAE83ABA-F05B-4080-B95C-C0ACAD5FD4B8}"/>
    <dgm:cxn modelId="{590FC187-47EA-4A4C-B52D-0AA51794C385}" type="presOf" srcId="{29E435BC-0670-44AB-B549-A90429A21F14}" destId="{5F291783-7F3E-4C4C-8123-06976C6ACC3A}" srcOrd="0" destOrd="0" presId="urn:microsoft.com/office/officeart/2005/8/layout/radial6"/>
    <dgm:cxn modelId="{5AC67A8B-E73F-4E67-A140-41F9B9510908}" type="presOf" srcId="{C54A83E5-B0AC-4757-9EC2-7F675ADBA214}" destId="{B60E3B0A-44DC-43B1-AFC0-47DBF8CC7ED1}" srcOrd="0" destOrd="0" presId="urn:microsoft.com/office/officeart/2005/8/layout/radial6"/>
    <dgm:cxn modelId="{06C81298-2478-4AF0-8F1F-0A2888026C1C}" type="presOf" srcId="{42342CAE-4C77-428C-A24D-711A9DB549AA}" destId="{A8F4CDA8-69EF-47EA-9DA1-3005CDFDF863}" srcOrd="0" destOrd="0" presId="urn:microsoft.com/office/officeart/2005/8/layout/radial6"/>
    <dgm:cxn modelId="{6139CB9C-4725-4401-9374-E0371AAE3BC7}" srcId="{C54A83E5-B0AC-4757-9EC2-7F675ADBA214}" destId="{322CD23F-A425-4C78-A32C-B0B76A1B4E7E}" srcOrd="2" destOrd="0" parTransId="{140DD0D1-3078-4113-943C-94C93F8E6992}" sibTransId="{30EA4DC5-C50C-4175-98B0-E47F0B06822C}"/>
    <dgm:cxn modelId="{F3711DA4-BEFF-4780-BC82-14A3DB4E0D92}" type="presOf" srcId="{37B8058C-1223-4BE3-A326-7B6E4A0381F7}" destId="{B1D9D55C-EA1C-46D1-A4C1-E3C43A4DD43B}" srcOrd="0" destOrd="0" presId="urn:microsoft.com/office/officeart/2005/8/layout/radial6"/>
    <dgm:cxn modelId="{838563AE-94F6-4F2F-8E33-80107BE93E38}" srcId="{08AF8058-DFFC-4974-A185-E65BAC9F34ED}" destId="{C54A83E5-B0AC-4757-9EC2-7F675ADBA214}" srcOrd="0" destOrd="0" parTransId="{7D694A99-7A6C-4865-977F-C6AFBDCBD6A4}" sibTransId="{0F0B99C5-E822-4B5C-B378-2E713544BEAD}"/>
    <dgm:cxn modelId="{443A16C0-96D9-4775-8CC9-E84EF4FA540B}" type="presOf" srcId="{C6EEFE4E-1EDB-4AE7-854E-E3491A7CBD15}" destId="{F20A2310-2AC5-43AB-89E2-66389BEBE62C}" srcOrd="0" destOrd="0" presId="urn:microsoft.com/office/officeart/2005/8/layout/radial6"/>
    <dgm:cxn modelId="{07C02CCB-95DE-440B-8E3D-7FF23386BA65}" type="presOf" srcId="{79253638-F4D5-48BA-AFE3-0DC10AE1E44B}" destId="{FA3D1F70-0DF5-4130-AEC9-B40B20F53CBF}" srcOrd="0" destOrd="0" presId="urn:microsoft.com/office/officeart/2005/8/layout/radial6"/>
    <dgm:cxn modelId="{5D8524DA-1853-413D-B98F-6E7F2BEC00D2}" type="presOf" srcId="{96CE4A3B-4054-47E1-94A4-7FE19F8D27CB}" destId="{4D4086D8-E8C0-485B-B644-D0A7544E9195}" srcOrd="0" destOrd="0" presId="urn:microsoft.com/office/officeart/2005/8/layout/radial6"/>
    <dgm:cxn modelId="{106984DD-409E-4D0A-A9B9-2076A916D57C}" type="presOf" srcId="{9F3C41DB-7D9D-478A-A38D-D59398EBBAC2}" destId="{02E91D5A-B207-4E0C-BE00-6C3FE393E7CF}" srcOrd="0" destOrd="0" presId="urn:microsoft.com/office/officeart/2005/8/layout/radial6"/>
    <dgm:cxn modelId="{C128B8E2-148F-46A8-8A86-B0F6D9971F3C}" type="presOf" srcId="{E6D331D3-2A22-4BF9-927A-CD99C556ADFD}" destId="{4DF7E3A2-8E39-4EC9-A20E-F80F9AF7117A}" srcOrd="0" destOrd="0" presId="urn:microsoft.com/office/officeart/2005/8/layout/radial6"/>
    <dgm:cxn modelId="{782C94E5-CCAC-4741-9359-758F9D280F69}" type="presOf" srcId="{8AD55127-DDB9-4D35-BE62-9BF09A3A1080}" destId="{ABD6B43D-7369-4C50-B685-2BD1C8980266}" srcOrd="0" destOrd="0" presId="urn:microsoft.com/office/officeart/2005/8/layout/radial6"/>
    <dgm:cxn modelId="{EB49E1ED-0B7F-4F3C-BBB5-4A7780E9757A}" srcId="{C54A83E5-B0AC-4757-9EC2-7F675ADBA214}" destId="{37B8058C-1223-4BE3-A326-7B6E4A0381F7}" srcOrd="6" destOrd="0" parTransId="{FF91B1C1-F148-4B93-B9D7-63239C5AC1EF}" sibTransId="{42342CAE-4C77-428C-A24D-711A9DB549AA}"/>
    <dgm:cxn modelId="{0C5BC7F1-5515-4B56-A52F-9E991BC3C9DF}" type="presOf" srcId="{30EA4DC5-C50C-4175-98B0-E47F0B06822C}" destId="{1AA5C1A6-6BDA-4F66-8AFF-8A8C10E0BE09}" srcOrd="0" destOrd="0" presId="urn:microsoft.com/office/officeart/2005/8/layout/radial6"/>
    <dgm:cxn modelId="{217132F3-1A5C-42D2-8E03-AB33C8F3DDD2}" type="presOf" srcId="{248C20D4-2665-4995-9956-FBFC3765D334}" destId="{2AC311C9-F197-4F8F-A922-04010E04AD31}" srcOrd="0" destOrd="0" presId="urn:microsoft.com/office/officeart/2005/8/layout/radial6"/>
    <dgm:cxn modelId="{6E28C8F5-A63A-4AC0-9D10-4BF572805F64}" type="presOf" srcId="{556513E2-09A6-480A-BB1D-980D4B6EE181}" destId="{17D501E5-A438-427F-B658-648DD51F776E}" srcOrd="0" destOrd="0" presId="urn:microsoft.com/office/officeart/2005/8/layout/radial6"/>
    <dgm:cxn modelId="{C1B693D6-FD78-4ED7-A573-A89F203ED76E}" type="presParOf" srcId="{BAB4F929-3940-4C11-902C-93F5734140D5}" destId="{B60E3B0A-44DC-43B1-AFC0-47DBF8CC7ED1}" srcOrd="0" destOrd="0" presId="urn:microsoft.com/office/officeart/2005/8/layout/radial6"/>
    <dgm:cxn modelId="{3FEE7A83-1D8B-420B-BC52-CEACCC24AFB6}" type="presParOf" srcId="{BAB4F929-3940-4C11-902C-93F5734140D5}" destId="{4D4086D8-E8C0-485B-B644-D0A7544E9195}" srcOrd="1" destOrd="0" presId="urn:microsoft.com/office/officeart/2005/8/layout/radial6"/>
    <dgm:cxn modelId="{287ADA4F-BFFC-4479-8C92-809C0D5A480D}" type="presParOf" srcId="{BAB4F929-3940-4C11-902C-93F5734140D5}" destId="{8ED3BD85-16D6-44A5-B213-6BB80264DDB6}" srcOrd="2" destOrd="0" presId="urn:microsoft.com/office/officeart/2005/8/layout/radial6"/>
    <dgm:cxn modelId="{5E904F36-BD21-4D76-964F-A5FD6ABFA255}" type="presParOf" srcId="{BAB4F929-3940-4C11-902C-93F5734140D5}" destId="{5F291783-7F3E-4C4C-8123-06976C6ACC3A}" srcOrd="3" destOrd="0" presId="urn:microsoft.com/office/officeart/2005/8/layout/radial6"/>
    <dgm:cxn modelId="{85D52330-24F1-4C76-878E-A874073424BC}" type="presParOf" srcId="{BAB4F929-3940-4C11-902C-93F5734140D5}" destId="{4DF7E3A2-8E39-4EC9-A20E-F80F9AF7117A}" srcOrd="4" destOrd="0" presId="urn:microsoft.com/office/officeart/2005/8/layout/radial6"/>
    <dgm:cxn modelId="{FBA4036D-4BFA-417E-B3BE-BFF329661295}" type="presParOf" srcId="{BAB4F929-3940-4C11-902C-93F5734140D5}" destId="{C4FA35A7-79BC-4ED2-940D-12936E6D1F5B}" srcOrd="5" destOrd="0" presId="urn:microsoft.com/office/officeart/2005/8/layout/radial6"/>
    <dgm:cxn modelId="{7977681D-E30F-441F-9A7F-344523CAFBCA}" type="presParOf" srcId="{BAB4F929-3940-4C11-902C-93F5734140D5}" destId="{ABD6B43D-7369-4C50-B685-2BD1C8980266}" srcOrd="6" destOrd="0" presId="urn:microsoft.com/office/officeart/2005/8/layout/radial6"/>
    <dgm:cxn modelId="{87BF2A67-4D63-42F0-BEAE-2C4CE14D50DB}" type="presParOf" srcId="{BAB4F929-3940-4C11-902C-93F5734140D5}" destId="{82E56BAD-693C-4CB4-8AFE-7897BB43F6AA}" srcOrd="7" destOrd="0" presId="urn:microsoft.com/office/officeart/2005/8/layout/radial6"/>
    <dgm:cxn modelId="{4B24F7BF-5701-42E0-B7E6-F05988838875}" type="presParOf" srcId="{BAB4F929-3940-4C11-902C-93F5734140D5}" destId="{616FFAFC-FC4E-4986-B0A8-9657800FDAB2}" srcOrd="8" destOrd="0" presId="urn:microsoft.com/office/officeart/2005/8/layout/radial6"/>
    <dgm:cxn modelId="{6C7C2960-EED9-4BAA-8254-68C22CC92910}" type="presParOf" srcId="{BAB4F929-3940-4C11-902C-93F5734140D5}" destId="{1AA5C1A6-6BDA-4F66-8AFF-8A8C10E0BE09}" srcOrd="9" destOrd="0" presId="urn:microsoft.com/office/officeart/2005/8/layout/radial6"/>
    <dgm:cxn modelId="{208CA06F-0E9C-4C3F-9693-2D4D36BC4049}" type="presParOf" srcId="{BAB4F929-3940-4C11-902C-93F5734140D5}" destId="{02E91D5A-B207-4E0C-BE00-6C3FE393E7CF}" srcOrd="10" destOrd="0" presId="urn:microsoft.com/office/officeart/2005/8/layout/radial6"/>
    <dgm:cxn modelId="{6DB800C5-A45D-40FF-A06E-EAAD6487A70F}" type="presParOf" srcId="{BAB4F929-3940-4C11-902C-93F5734140D5}" destId="{294B5F35-5679-4799-A8F5-B9A47226FCA8}" srcOrd="11" destOrd="0" presId="urn:microsoft.com/office/officeart/2005/8/layout/radial6"/>
    <dgm:cxn modelId="{DCC9F1FD-C0EA-4CE3-89D2-834CB56F7920}" type="presParOf" srcId="{BAB4F929-3940-4C11-902C-93F5734140D5}" destId="{17D501E5-A438-427F-B658-648DD51F776E}" srcOrd="12" destOrd="0" presId="urn:microsoft.com/office/officeart/2005/8/layout/radial6"/>
    <dgm:cxn modelId="{A211C7F5-DE11-40A4-B2CA-C91B7CC1EC8C}" type="presParOf" srcId="{BAB4F929-3940-4C11-902C-93F5734140D5}" destId="{235D0953-18A9-4873-8996-AAE3574C9D16}" srcOrd="13" destOrd="0" presId="urn:microsoft.com/office/officeart/2005/8/layout/radial6"/>
    <dgm:cxn modelId="{FAEDA4C2-95B9-4C98-9F0F-CD26BDAB1B5E}" type="presParOf" srcId="{BAB4F929-3940-4C11-902C-93F5734140D5}" destId="{5D040A87-F175-43BC-A031-442F827EA900}" srcOrd="14" destOrd="0" presId="urn:microsoft.com/office/officeart/2005/8/layout/radial6"/>
    <dgm:cxn modelId="{19CAF913-2DA4-4D2F-8D81-7614CCB2B50A}" type="presParOf" srcId="{BAB4F929-3940-4C11-902C-93F5734140D5}" destId="{2AC311C9-F197-4F8F-A922-04010E04AD31}" srcOrd="15" destOrd="0" presId="urn:microsoft.com/office/officeart/2005/8/layout/radial6"/>
    <dgm:cxn modelId="{B76E7967-31F4-48D3-A5A8-A6E5E8576373}" type="presParOf" srcId="{BAB4F929-3940-4C11-902C-93F5734140D5}" destId="{FA3D1F70-0DF5-4130-AEC9-B40B20F53CBF}" srcOrd="16" destOrd="0" presId="urn:microsoft.com/office/officeart/2005/8/layout/radial6"/>
    <dgm:cxn modelId="{40C11128-6ECD-4990-A515-674F6F760C0D}" type="presParOf" srcId="{BAB4F929-3940-4C11-902C-93F5734140D5}" destId="{ACFF1AAF-482E-4518-A440-515B7917434B}" srcOrd="17" destOrd="0" presId="urn:microsoft.com/office/officeart/2005/8/layout/radial6"/>
    <dgm:cxn modelId="{6A7B778D-7C4C-4E84-B582-95BDF67B2138}" type="presParOf" srcId="{BAB4F929-3940-4C11-902C-93F5734140D5}" destId="{11068696-867D-4694-9A62-248768751D10}" srcOrd="18" destOrd="0" presId="urn:microsoft.com/office/officeart/2005/8/layout/radial6"/>
    <dgm:cxn modelId="{9873D98B-8C21-458F-B714-5C11885C935B}" type="presParOf" srcId="{BAB4F929-3940-4C11-902C-93F5734140D5}" destId="{B1D9D55C-EA1C-46D1-A4C1-E3C43A4DD43B}" srcOrd="19" destOrd="0" presId="urn:microsoft.com/office/officeart/2005/8/layout/radial6"/>
    <dgm:cxn modelId="{C89EFB65-3989-4B2D-9646-FCE5C20331EF}" type="presParOf" srcId="{BAB4F929-3940-4C11-902C-93F5734140D5}" destId="{3C09CB72-4F9F-41C2-A552-7706BAC995E4}" srcOrd="20" destOrd="0" presId="urn:microsoft.com/office/officeart/2005/8/layout/radial6"/>
    <dgm:cxn modelId="{9034DED3-D45A-4C93-9634-8F42120B6333}" type="presParOf" srcId="{BAB4F929-3940-4C11-902C-93F5734140D5}" destId="{A8F4CDA8-69EF-47EA-9DA1-3005CDFDF863}" srcOrd="21" destOrd="0" presId="urn:microsoft.com/office/officeart/2005/8/layout/radial6"/>
    <dgm:cxn modelId="{F45C8671-85C0-4553-822C-DA5A57F1DB90}" type="presParOf" srcId="{BAB4F929-3940-4C11-902C-93F5734140D5}" destId="{9231C054-15A1-4C60-BD58-BF5E3DCEF557}" srcOrd="22" destOrd="0" presId="urn:microsoft.com/office/officeart/2005/8/layout/radial6"/>
    <dgm:cxn modelId="{04C0C721-7488-43E5-9E85-EDC811701FAD}" type="presParOf" srcId="{BAB4F929-3940-4C11-902C-93F5734140D5}" destId="{010320EB-D6D1-4BB1-A96A-3B757E48BC98}" srcOrd="23" destOrd="0" presId="urn:microsoft.com/office/officeart/2005/8/layout/radial6"/>
    <dgm:cxn modelId="{6E76BFDF-ABAA-4A73-80C5-EF3BF63FDB4B}" type="presParOf" srcId="{BAB4F929-3940-4C11-902C-93F5734140D5}" destId="{F20A2310-2AC5-43AB-89E2-66389BEBE62C}" srcOrd="24" destOrd="0" presId="urn:microsoft.com/office/officeart/2005/8/layout/radial6"/>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20A2310-2AC5-43AB-89E2-66389BEBE62C}">
      <dsp:nvSpPr>
        <dsp:cNvPr id="0" name=""/>
        <dsp:cNvSpPr/>
      </dsp:nvSpPr>
      <dsp:spPr>
        <a:xfrm>
          <a:off x="808782" y="366830"/>
          <a:ext cx="3780718" cy="3780718"/>
        </a:xfrm>
        <a:prstGeom prst="blockArc">
          <a:avLst>
            <a:gd name="adj1" fmla="val 13500000"/>
            <a:gd name="adj2" fmla="val 16200000"/>
            <a:gd name="adj3" fmla="val 3421"/>
          </a:avLst>
        </a:prstGeom>
        <a:gradFill rotWithShape="0">
          <a:gsLst>
            <a:gs pos="0">
              <a:schemeClr val="accent2">
                <a:shade val="90000"/>
                <a:hueOff val="-143670"/>
                <a:satOff val="102"/>
                <a:lumOff val="8028"/>
                <a:alphaOff val="0"/>
                <a:satMod val="103000"/>
                <a:lumMod val="102000"/>
                <a:tint val="94000"/>
              </a:schemeClr>
            </a:gs>
            <a:gs pos="50000">
              <a:schemeClr val="accent2">
                <a:shade val="90000"/>
                <a:hueOff val="-143670"/>
                <a:satOff val="102"/>
                <a:lumOff val="8028"/>
                <a:alphaOff val="0"/>
                <a:satMod val="110000"/>
                <a:lumMod val="100000"/>
                <a:shade val="100000"/>
              </a:schemeClr>
            </a:gs>
            <a:gs pos="100000">
              <a:schemeClr val="accent2">
                <a:shade val="90000"/>
                <a:hueOff val="-143670"/>
                <a:satOff val="102"/>
                <a:lumOff val="8028"/>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A8F4CDA8-69EF-47EA-9DA1-3005CDFDF863}">
      <dsp:nvSpPr>
        <dsp:cNvPr id="0" name=""/>
        <dsp:cNvSpPr/>
      </dsp:nvSpPr>
      <dsp:spPr>
        <a:xfrm>
          <a:off x="808782" y="366830"/>
          <a:ext cx="3780718" cy="3780718"/>
        </a:xfrm>
        <a:prstGeom prst="blockArc">
          <a:avLst>
            <a:gd name="adj1" fmla="val 10800000"/>
            <a:gd name="adj2" fmla="val 13500000"/>
            <a:gd name="adj3" fmla="val 3421"/>
          </a:avLst>
        </a:prstGeom>
        <a:gradFill rotWithShape="0">
          <a:gsLst>
            <a:gs pos="0">
              <a:schemeClr val="accent2">
                <a:shade val="90000"/>
                <a:hueOff val="-287340"/>
                <a:satOff val="204"/>
                <a:lumOff val="16057"/>
                <a:alphaOff val="0"/>
                <a:satMod val="103000"/>
                <a:lumMod val="102000"/>
                <a:tint val="94000"/>
              </a:schemeClr>
            </a:gs>
            <a:gs pos="50000">
              <a:schemeClr val="accent2">
                <a:shade val="90000"/>
                <a:hueOff val="-287340"/>
                <a:satOff val="204"/>
                <a:lumOff val="16057"/>
                <a:alphaOff val="0"/>
                <a:satMod val="110000"/>
                <a:lumMod val="100000"/>
                <a:shade val="100000"/>
              </a:schemeClr>
            </a:gs>
            <a:gs pos="100000">
              <a:schemeClr val="accent2">
                <a:shade val="90000"/>
                <a:hueOff val="-287340"/>
                <a:satOff val="204"/>
                <a:lumOff val="16057"/>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11068696-867D-4694-9A62-248768751D10}">
      <dsp:nvSpPr>
        <dsp:cNvPr id="0" name=""/>
        <dsp:cNvSpPr/>
      </dsp:nvSpPr>
      <dsp:spPr>
        <a:xfrm>
          <a:off x="808782" y="366830"/>
          <a:ext cx="3780718" cy="3780718"/>
        </a:xfrm>
        <a:prstGeom prst="blockArc">
          <a:avLst>
            <a:gd name="adj1" fmla="val 8100000"/>
            <a:gd name="adj2" fmla="val 10800000"/>
            <a:gd name="adj3" fmla="val 3421"/>
          </a:avLst>
        </a:prstGeom>
        <a:gradFill rotWithShape="0">
          <a:gsLst>
            <a:gs pos="0">
              <a:schemeClr val="accent2">
                <a:shade val="90000"/>
                <a:hueOff val="-431011"/>
                <a:satOff val="307"/>
                <a:lumOff val="24085"/>
                <a:alphaOff val="0"/>
                <a:satMod val="103000"/>
                <a:lumMod val="102000"/>
                <a:tint val="94000"/>
              </a:schemeClr>
            </a:gs>
            <a:gs pos="50000">
              <a:schemeClr val="accent2">
                <a:shade val="90000"/>
                <a:hueOff val="-431011"/>
                <a:satOff val="307"/>
                <a:lumOff val="24085"/>
                <a:alphaOff val="0"/>
                <a:satMod val="110000"/>
                <a:lumMod val="100000"/>
                <a:shade val="100000"/>
              </a:schemeClr>
            </a:gs>
            <a:gs pos="100000">
              <a:schemeClr val="accent2">
                <a:shade val="90000"/>
                <a:hueOff val="-431011"/>
                <a:satOff val="307"/>
                <a:lumOff val="24085"/>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2AC311C9-F197-4F8F-A922-04010E04AD31}">
      <dsp:nvSpPr>
        <dsp:cNvPr id="0" name=""/>
        <dsp:cNvSpPr/>
      </dsp:nvSpPr>
      <dsp:spPr>
        <a:xfrm>
          <a:off x="800653" y="358751"/>
          <a:ext cx="3780718" cy="3780718"/>
        </a:xfrm>
        <a:prstGeom prst="blockArc">
          <a:avLst>
            <a:gd name="adj1" fmla="val 5043596"/>
            <a:gd name="adj2" fmla="val 8078795"/>
            <a:gd name="adj3" fmla="val 3421"/>
          </a:avLst>
        </a:prstGeom>
        <a:gradFill rotWithShape="0">
          <a:gsLst>
            <a:gs pos="0">
              <a:schemeClr val="accent2">
                <a:shade val="90000"/>
                <a:hueOff val="-574681"/>
                <a:satOff val="409"/>
                <a:lumOff val="32114"/>
                <a:alphaOff val="0"/>
                <a:satMod val="103000"/>
                <a:lumMod val="102000"/>
                <a:tint val="94000"/>
              </a:schemeClr>
            </a:gs>
            <a:gs pos="50000">
              <a:schemeClr val="accent2">
                <a:shade val="90000"/>
                <a:hueOff val="-574681"/>
                <a:satOff val="409"/>
                <a:lumOff val="32114"/>
                <a:alphaOff val="0"/>
                <a:satMod val="110000"/>
                <a:lumMod val="100000"/>
                <a:shade val="100000"/>
              </a:schemeClr>
            </a:gs>
            <a:gs pos="100000">
              <a:schemeClr val="accent2">
                <a:shade val="90000"/>
                <a:hueOff val="-574681"/>
                <a:satOff val="409"/>
                <a:lumOff val="32114"/>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17D501E5-A438-427F-B658-648DD51F776E}">
      <dsp:nvSpPr>
        <dsp:cNvPr id="0" name=""/>
        <dsp:cNvSpPr/>
      </dsp:nvSpPr>
      <dsp:spPr>
        <a:xfrm>
          <a:off x="896347" y="351287"/>
          <a:ext cx="3780718" cy="3780718"/>
        </a:xfrm>
        <a:prstGeom prst="blockArc">
          <a:avLst>
            <a:gd name="adj1" fmla="val 2462106"/>
            <a:gd name="adj2" fmla="val 5221207"/>
            <a:gd name="adj3" fmla="val 3421"/>
          </a:avLst>
        </a:prstGeom>
        <a:gradFill rotWithShape="0">
          <a:gsLst>
            <a:gs pos="0">
              <a:schemeClr val="accent2">
                <a:shade val="90000"/>
                <a:hueOff val="-431011"/>
                <a:satOff val="307"/>
                <a:lumOff val="24085"/>
                <a:alphaOff val="0"/>
                <a:satMod val="103000"/>
                <a:lumMod val="102000"/>
                <a:tint val="94000"/>
              </a:schemeClr>
            </a:gs>
            <a:gs pos="50000">
              <a:schemeClr val="accent2">
                <a:shade val="90000"/>
                <a:hueOff val="-431011"/>
                <a:satOff val="307"/>
                <a:lumOff val="24085"/>
                <a:alphaOff val="0"/>
                <a:satMod val="110000"/>
                <a:lumMod val="100000"/>
                <a:shade val="100000"/>
              </a:schemeClr>
            </a:gs>
            <a:gs pos="100000">
              <a:schemeClr val="accent2">
                <a:shade val="90000"/>
                <a:hueOff val="-431011"/>
                <a:satOff val="307"/>
                <a:lumOff val="24085"/>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1AA5C1A6-6BDA-4F66-8AFF-8A8C10E0BE09}">
      <dsp:nvSpPr>
        <dsp:cNvPr id="0" name=""/>
        <dsp:cNvSpPr/>
      </dsp:nvSpPr>
      <dsp:spPr>
        <a:xfrm>
          <a:off x="810969" y="456946"/>
          <a:ext cx="3780718" cy="3780718"/>
        </a:xfrm>
        <a:prstGeom prst="blockArc">
          <a:avLst>
            <a:gd name="adj1" fmla="val 21433202"/>
            <a:gd name="adj2" fmla="val 2210714"/>
            <a:gd name="adj3" fmla="val 3421"/>
          </a:avLst>
        </a:prstGeom>
        <a:gradFill rotWithShape="0">
          <a:gsLst>
            <a:gs pos="0">
              <a:schemeClr val="accent2">
                <a:shade val="90000"/>
                <a:hueOff val="-287340"/>
                <a:satOff val="204"/>
                <a:lumOff val="16057"/>
                <a:alphaOff val="0"/>
                <a:satMod val="103000"/>
                <a:lumMod val="102000"/>
                <a:tint val="94000"/>
              </a:schemeClr>
            </a:gs>
            <a:gs pos="50000">
              <a:schemeClr val="accent2">
                <a:shade val="90000"/>
                <a:hueOff val="-287340"/>
                <a:satOff val="204"/>
                <a:lumOff val="16057"/>
                <a:alphaOff val="0"/>
                <a:satMod val="110000"/>
                <a:lumMod val="100000"/>
                <a:shade val="100000"/>
              </a:schemeClr>
            </a:gs>
            <a:gs pos="100000">
              <a:schemeClr val="accent2">
                <a:shade val="90000"/>
                <a:hueOff val="-287340"/>
                <a:satOff val="204"/>
                <a:lumOff val="16057"/>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ABD6B43D-7369-4C50-B685-2BD1C8980266}">
      <dsp:nvSpPr>
        <dsp:cNvPr id="0" name=""/>
        <dsp:cNvSpPr/>
      </dsp:nvSpPr>
      <dsp:spPr>
        <a:xfrm>
          <a:off x="808782" y="366830"/>
          <a:ext cx="3780718" cy="3780718"/>
        </a:xfrm>
        <a:prstGeom prst="blockArc">
          <a:avLst>
            <a:gd name="adj1" fmla="val 18900000"/>
            <a:gd name="adj2" fmla="val 0"/>
            <a:gd name="adj3" fmla="val 3421"/>
          </a:avLst>
        </a:prstGeom>
        <a:gradFill rotWithShape="0">
          <a:gsLst>
            <a:gs pos="0">
              <a:schemeClr val="accent2">
                <a:shade val="90000"/>
                <a:hueOff val="-143670"/>
                <a:satOff val="102"/>
                <a:lumOff val="8028"/>
                <a:alphaOff val="0"/>
                <a:satMod val="103000"/>
                <a:lumMod val="102000"/>
                <a:tint val="94000"/>
              </a:schemeClr>
            </a:gs>
            <a:gs pos="50000">
              <a:schemeClr val="accent2">
                <a:shade val="90000"/>
                <a:hueOff val="-143670"/>
                <a:satOff val="102"/>
                <a:lumOff val="8028"/>
                <a:alphaOff val="0"/>
                <a:satMod val="110000"/>
                <a:lumMod val="100000"/>
                <a:shade val="100000"/>
              </a:schemeClr>
            </a:gs>
            <a:gs pos="100000">
              <a:schemeClr val="accent2">
                <a:shade val="90000"/>
                <a:hueOff val="-143670"/>
                <a:satOff val="102"/>
                <a:lumOff val="8028"/>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5F291783-7F3E-4C4C-8123-06976C6ACC3A}">
      <dsp:nvSpPr>
        <dsp:cNvPr id="0" name=""/>
        <dsp:cNvSpPr/>
      </dsp:nvSpPr>
      <dsp:spPr>
        <a:xfrm>
          <a:off x="808782" y="366830"/>
          <a:ext cx="3780718" cy="3780718"/>
        </a:xfrm>
        <a:prstGeom prst="blockArc">
          <a:avLst>
            <a:gd name="adj1" fmla="val 16200000"/>
            <a:gd name="adj2" fmla="val 18900000"/>
            <a:gd name="adj3" fmla="val 3421"/>
          </a:avLst>
        </a:prstGeom>
        <a:gradFill rotWithShape="0">
          <a:gsLst>
            <a:gs pos="0">
              <a:schemeClr val="accent2">
                <a:shade val="90000"/>
                <a:hueOff val="0"/>
                <a:satOff val="0"/>
                <a:lumOff val="0"/>
                <a:alphaOff val="0"/>
                <a:satMod val="103000"/>
                <a:lumMod val="102000"/>
                <a:tint val="94000"/>
              </a:schemeClr>
            </a:gs>
            <a:gs pos="50000">
              <a:schemeClr val="accent2">
                <a:shade val="90000"/>
                <a:hueOff val="0"/>
                <a:satOff val="0"/>
                <a:lumOff val="0"/>
                <a:alphaOff val="0"/>
                <a:satMod val="110000"/>
                <a:lumMod val="100000"/>
                <a:shade val="100000"/>
              </a:schemeClr>
            </a:gs>
            <a:gs pos="100000">
              <a:schemeClr val="accent2">
                <a:shade val="9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B60E3B0A-44DC-43B1-AFC0-47DBF8CC7ED1}">
      <dsp:nvSpPr>
        <dsp:cNvPr id="0" name=""/>
        <dsp:cNvSpPr/>
      </dsp:nvSpPr>
      <dsp:spPr>
        <a:xfrm>
          <a:off x="1882014" y="1556879"/>
          <a:ext cx="1634254" cy="1400620"/>
        </a:xfrm>
        <a:prstGeom prst="ellipse">
          <a:avLst/>
        </a:prstGeom>
        <a:gradFill rotWithShape="0">
          <a:gsLst>
            <a:gs pos="0">
              <a:schemeClr val="accent2">
                <a:shade val="60000"/>
                <a:hueOff val="0"/>
                <a:satOff val="0"/>
                <a:lumOff val="0"/>
                <a:alphaOff val="0"/>
                <a:satMod val="103000"/>
                <a:lumMod val="102000"/>
                <a:tint val="94000"/>
              </a:schemeClr>
            </a:gs>
            <a:gs pos="50000">
              <a:schemeClr val="accent2">
                <a:shade val="60000"/>
                <a:hueOff val="0"/>
                <a:satOff val="0"/>
                <a:lumOff val="0"/>
                <a:alphaOff val="0"/>
                <a:satMod val="110000"/>
                <a:lumMod val="100000"/>
                <a:shade val="100000"/>
              </a:schemeClr>
            </a:gs>
            <a:gs pos="100000">
              <a:schemeClr val="accent2">
                <a:shade val="6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800100">
            <a:lnSpc>
              <a:spcPct val="90000"/>
            </a:lnSpc>
            <a:spcBef>
              <a:spcPct val="0"/>
            </a:spcBef>
            <a:spcAft>
              <a:spcPct val="35000"/>
            </a:spcAft>
            <a:buFont typeface="Arial" panose="020B0604020202020204" pitchFamily="34" charset="0"/>
            <a:buNone/>
          </a:pPr>
          <a:r>
            <a:rPr lang="en-GB" sz="1800" b="1" i="0" kern="1200">
              <a:latin typeface="Times New Roman" panose="02020603050405020304" pitchFamily="18" charset="0"/>
              <a:cs typeface="Times New Roman" panose="02020603050405020304" pitchFamily="18" charset="0"/>
            </a:rPr>
            <a:t>Core Behaviors</a:t>
          </a:r>
          <a:endParaRPr lang="en-GB" sz="1800" kern="1200">
            <a:latin typeface="Times New Roman" panose="02020603050405020304" pitchFamily="18" charset="0"/>
            <a:cs typeface="Times New Roman" panose="02020603050405020304" pitchFamily="18" charset="0"/>
          </a:endParaRPr>
        </a:p>
      </dsp:txBody>
      <dsp:txXfrm>
        <a:off x="2121345" y="1761995"/>
        <a:ext cx="1155592" cy="990388"/>
      </dsp:txXfrm>
    </dsp:sp>
    <dsp:sp modelId="{4D4086D8-E8C0-485B-B644-D0A7544E9195}">
      <dsp:nvSpPr>
        <dsp:cNvPr id="0" name=""/>
        <dsp:cNvSpPr/>
      </dsp:nvSpPr>
      <dsp:spPr>
        <a:xfrm>
          <a:off x="2114430" y="-49909"/>
          <a:ext cx="1169422" cy="898146"/>
        </a:xfrm>
        <a:prstGeom prst="ellipse">
          <a:avLst/>
        </a:prstGeom>
        <a:gradFill rotWithShape="0">
          <a:gsLst>
            <a:gs pos="0">
              <a:schemeClr val="accent2">
                <a:shade val="50000"/>
                <a:hueOff val="0"/>
                <a:satOff val="0"/>
                <a:lumOff val="0"/>
                <a:alphaOff val="0"/>
                <a:satMod val="103000"/>
                <a:lumMod val="102000"/>
                <a:tint val="94000"/>
              </a:schemeClr>
            </a:gs>
            <a:gs pos="50000">
              <a:schemeClr val="accent2">
                <a:shade val="50000"/>
                <a:hueOff val="0"/>
                <a:satOff val="0"/>
                <a:lumOff val="0"/>
                <a:alphaOff val="0"/>
                <a:satMod val="110000"/>
                <a:lumMod val="100000"/>
                <a:shade val="100000"/>
              </a:schemeClr>
            </a:gs>
            <a:gs pos="100000">
              <a:schemeClr val="accent2">
                <a:shade val="5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Font typeface="Arial" panose="020B0604020202020204" pitchFamily="34" charset="0"/>
            <a:buNone/>
          </a:pPr>
          <a:r>
            <a:rPr lang="en-GB" sz="1400" b="1" i="0" kern="1200">
              <a:latin typeface="Times New Roman" panose="02020603050405020304" pitchFamily="18" charset="0"/>
              <a:cs typeface="Times New Roman" panose="02020603050405020304" pitchFamily="18" charset="0"/>
            </a:rPr>
            <a:t>Ethical practice</a:t>
          </a:r>
          <a:endParaRPr lang="en-GB" sz="1400" kern="1200">
            <a:latin typeface="Times New Roman" panose="02020603050405020304" pitchFamily="18" charset="0"/>
            <a:cs typeface="Times New Roman" panose="02020603050405020304" pitchFamily="18" charset="0"/>
          </a:endParaRPr>
        </a:p>
      </dsp:txBody>
      <dsp:txXfrm>
        <a:off x="2285688" y="81621"/>
        <a:ext cx="826906" cy="635086"/>
      </dsp:txXfrm>
    </dsp:sp>
    <dsp:sp modelId="{4DF7E3A2-8E39-4EC9-A20E-F80F9AF7117A}">
      <dsp:nvSpPr>
        <dsp:cNvPr id="0" name=""/>
        <dsp:cNvSpPr/>
      </dsp:nvSpPr>
      <dsp:spPr>
        <a:xfrm>
          <a:off x="3406675" y="437086"/>
          <a:ext cx="1212578" cy="1012561"/>
        </a:xfrm>
        <a:prstGeom prst="ellipse">
          <a:avLst/>
        </a:prstGeom>
        <a:gradFill rotWithShape="0">
          <a:gsLst>
            <a:gs pos="0">
              <a:schemeClr val="accent2">
                <a:shade val="50000"/>
                <a:hueOff val="-147793"/>
                <a:satOff val="1946"/>
                <a:lumOff val="11654"/>
                <a:alphaOff val="0"/>
                <a:satMod val="103000"/>
                <a:lumMod val="102000"/>
                <a:tint val="94000"/>
              </a:schemeClr>
            </a:gs>
            <a:gs pos="50000">
              <a:schemeClr val="accent2">
                <a:shade val="50000"/>
                <a:hueOff val="-147793"/>
                <a:satOff val="1946"/>
                <a:lumOff val="11654"/>
                <a:alphaOff val="0"/>
                <a:satMod val="110000"/>
                <a:lumMod val="100000"/>
                <a:shade val="100000"/>
              </a:schemeClr>
            </a:gs>
            <a:gs pos="100000">
              <a:schemeClr val="accent2">
                <a:shade val="50000"/>
                <a:hueOff val="-147793"/>
                <a:satOff val="1946"/>
                <a:lumOff val="11654"/>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Font typeface="Arial" panose="020B0604020202020204" pitchFamily="34" charset="0"/>
            <a:buNone/>
          </a:pPr>
          <a:r>
            <a:rPr lang="en-GB" sz="1400" b="1" i="0" kern="1200">
              <a:latin typeface="Times New Roman" panose="02020603050405020304" pitchFamily="18" charset="0"/>
              <a:cs typeface="Times New Roman" panose="02020603050405020304" pitchFamily="18" charset="0"/>
            </a:rPr>
            <a:t>Professional courage and influence</a:t>
          </a:r>
          <a:endParaRPr lang="en-GB" sz="1400" kern="1200">
            <a:latin typeface="Times New Roman" panose="02020603050405020304" pitchFamily="18" charset="0"/>
            <a:cs typeface="Times New Roman" panose="02020603050405020304" pitchFamily="18" charset="0"/>
          </a:endParaRPr>
        </a:p>
      </dsp:txBody>
      <dsp:txXfrm>
        <a:off x="3584253" y="585372"/>
        <a:ext cx="857422" cy="715989"/>
      </dsp:txXfrm>
    </dsp:sp>
    <dsp:sp modelId="{82E56BAD-693C-4CB4-8AFE-7897BB43F6AA}">
      <dsp:nvSpPr>
        <dsp:cNvPr id="0" name=""/>
        <dsp:cNvSpPr/>
      </dsp:nvSpPr>
      <dsp:spPr>
        <a:xfrm>
          <a:off x="4000928" y="1764889"/>
          <a:ext cx="1112480" cy="984602"/>
        </a:xfrm>
        <a:prstGeom prst="ellipse">
          <a:avLst/>
        </a:prstGeom>
        <a:gradFill rotWithShape="0">
          <a:gsLst>
            <a:gs pos="0">
              <a:schemeClr val="accent2">
                <a:shade val="50000"/>
                <a:hueOff val="-295587"/>
                <a:satOff val="3892"/>
                <a:lumOff val="23309"/>
                <a:alphaOff val="0"/>
                <a:satMod val="103000"/>
                <a:lumMod val="102000"/>
                <a:tint val="94000"/>
              </a:schemeClr>
            </a:gs>
            <a:gs pos="50000">
              <a:schemeClr val="accent2">
                <a:shade val="50000"/>
                <a:hueOff val="-295587"/>
                <a:satOff val="3892"/>
                <a:lumOff val="23309"/>
                <a:alphaOff val="0"/>
                <a:satMod val="110000"/>
                <a:lumMod val="100000"/>
                <a:shade val="100000"/>
              </a:schemeClr>
            </a:gs>
            <a:gs pos="100000">
              <a:schemeClr val="accent2">
                <a:shade val="50000"/>
                <a:hueOff val="-295587"/>
                <a:satOff val="3892"/>
                <a:lumOff val="23309"/>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Font typeface="Arial" panose="020B0604020202020204" pitchFamily="34" charset="0"/>
            <a:buNone/>
          </a:pPr>
          <a:r>
            <a:rPr lang="en-GB" sz="1400" b="1" i="0" kern="1200">
              <a:latin typeface="Times New Roman" panose="02020603050405020304" pitchFamily="18" charset="0"/>
              <a:cs typeface="Times New Roman" panose="02020603050405020304" pitchFamily="18" charset="0"/>
            </a:rPr>
            <a:t>Valuing people</a:t>
          </a:r>
          <a:endParaRPr lang="en-GB" sz="1400" kern="1200">
            <a:latin typeface="Times New Roman" panose="02020603050405020304" pitchFamily="18" charset="0"/>
            <a:cs typeface="Times New Roman" panose="02020603050405020304" pitchFamily="18" charset="0"/>
          </a:endParaRPr>
        </a:p>
      </dsp:txBody>
      <dsp:txXfrm>
        <a:off x="4163847" y="1909081"/>
        <a:ext cx="786642" cy="696218"/>
      </dsp:txXfrm>
    </dsp:sp>
    <dsp:sp modelId="{02E91D5A-B207-4E0C-BE00-6C3FE393E7CF}">
      <dsp:nvSpPr>
        <dsp:cNvPr id="0" name=""/>
        <dsp:cNvSpPr/>
      </dsp:nvSpPr>
      <dsp:spPr>
        <a:xfrm>
          <a:off x="3603778" y="2978570"/>
          <a:ext cx="1168901" cy="965821"/>
        </a:xfrm>
        <a:prstGeom prst="ellipse">
          <a:avLst/>
        </a:prstGeom>
        <a:gradFill rotWithShape="0">
          <a:gsLst>
            <a:gs pos="0">
              <a:schemeClr val="accent2">
                <a:shade val="50000"/>
                <a:hueOff val="-443380"/>
                <a:satOff val="5837"/>
                <a:lumOff val="34963"/>
                <a:alphaOff val="0"/>
                <a:satMod val="103000"/>
                <a:lumMod val="102000"/>
                <a:tint val="94000"/>
              </a:schemeClr>
            </a:gs>
            <a:gs pos="50000">
              <a:schemeClr val="accent2">
                <a:shade val="50000"/>
                <a:hueOff val="-443380"/>
                <a:satOff val="5837"/>
                <a:lumOff val="34963"/>
                <a:alphaOff val="0"/>
                <a:satMod val="110000"/>
                <a:lumMod val="100000"/>
                <a:shade val="100000"/>
              </a:schemeClr>
            </a:gs>
            <a:gs pos="100000">
              <a:schemeClr val="accent2">
                <a:shade val="50000"/>
                <a:hueOff val="-443380"/>
                <a:satOff val="5837"/>
                <a:lumOff val="34963"/>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Font typeface="Arial" panose="020B0604020202020204" pitchFamily="34" charset="0"/>
            <a:buNone/>
          </a:pPr>
          <a:r>
            <a:rPr lang="en-GB" sz="1400" b="1" i="0" kern="1200">
              <a:latin typeface="Times New Roman" panose="02020603050405020304" pitchFamily="18" charset="0"/>
              <a:cs typeface="Times New Roman" panose="02020603050405020304" pitchFamily="18" charset="0"/>
            </a:rPr>
            <a:t>Working inclusively</a:t>
          </a:r>
          <a:endParaRPr lang="en-GB" sz="1400" kern="1200">
            <a:latin typeface="Times New Roman" panose="02020603050405020304" pitchFamily="18" charset="0"/>
            <a:cs typeface="Times New Roman" panose="02020603050405020304" pitchFamily="18" charset="0"/>
          </a:endParaRPr>
        </a:p>
      </dsp:txBody>
      <dsp:txXfrm>
        <a:off x="3774960" y="3120011"/>
        <a:ext cx="826537" cy="682939"/>
      </dsp:txXfrm>
    </dsp:sp>
    <dsp:sp modelId="{235D0953-18A9-4873-8996-AAE3574C9D16}">
      <dsp:nvSpPr>
        <dsp:cNvPr id="0" name=""/>
        <dsp:cNvSpPr/>
      </dsp:nvSpPr>
      <dsp:spPr>
        <a:xfrm>
          <a:off x="2121547" y="3546215"/>
          <a:ext cx="1523498" cy="1101891"/>
        </a:xfrm>
        <a:prstGeom prst="ellipse">
          <a:avLst/>
        </a:prstGeom>
        <a:gradFill rotWithShape="0">
          <a:gsLst>
            <a:gs pos="0">
              <a:schemeClr val="accent2">
                <a:shade val="50000"/>
                <a:hueOff val="-591173"/>
                <a:satOff val="7783"/>
                <a:lumOff val="46617"/>
                <a:alphaOff val="0"/>
                <a:satMod val="103000"/>
                <a:lumMod val="102000"/>
                <a:tint val="94000"/>
              </a:schemeClr>
            </a:gs>
            <a:gs pos="50000">
              <a:schemeClr val="accent2">
                <a:shade val="50000"/>
                <a:hueOff val="-591173"/>
                <a:satOff val="7783"/>
                <a:lumOff val="46617"/>
                <a:alphaOff val="0"/>
                <a:satMod val="110000"/>
                <a:lumMod val="100000"/>
                <a:shade val="100000"/>
              </a:schemeClr>
            </a:gs>
            <a:gs pos="100000">
              <a:schemeClr val="accent2">
                <a:shade val="50000"/>
                <a:hueOff val="-591173"/>
                <a:satOff val="7783"/>
                <a:lumOff val="46617"/>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Font typeface="Arial" panose="020B0604020202020204" pitchFamily="34" charset="0"/>
            <a:buNone/>
          </a:pPr>
          <a:r>
            <a:rPr lang="en-GB" sz="1400" b="1" i="0" kern="1200">
              <a:latin typeface="Times New Roman" panose="02020603050405020304" pitchFamily="18" charset="0"/>
              <a:cs typeface="Times New Roman" panose="02020603050405020304" pitchFamily="18" charset="0"/>
            </a:rPr>
            <a:t>Commercial drive</a:t>
          </a:r>
          <a:endParaRPr lang="en-GB" sz="1400" kern="1200">
            <a:latin typeface="Times New Roman" panose="02020603050405020304" pitchFamily="18" charset="0"/>
            <a:cs typeface="Times New Roman" panose="02020603050405020304" pitchFamily="18" charset="0"/>
          </a:endParaRPr>
        </a:p>
      </dsp:txBody>
      <dsp:txXfrm>
        <a:off x="2344658" y="3707583"/>
        <a:ext cx="1077276" cy="779155"/>
      </dsp:txXfrm>
    </dsp:sp>
    <dsp:sp modelId="{FA3D1F70-0DF5-4130-AEC9-B40B20F53CBF}">
      <dsp:nvSpPr>
        <dsp:cNvPr id="0" name=""/>
        <dsp:cNvSpPr/>
      </dsp:nvSpPr>
      <dsp:spPr>
        <a:xfrm>
          <a:off x="799278" y="3110717"/>
          <a:ext cx="1172081" cy="920591"/>
        </a:xfrm>
        <a:prstGeom prst="ellipse">
          <a:avLst/>
        </a:prstGeom>
        <a:gradFill rotWithShape="0">
          <a:gsLst>
            <a:gs pos="0">
              <a:schemeClr val="accent2">
                <a:shade val="50000"/>
                <a:hueOff val="-443380"/>
                <a:satOff val="5837"/>
                <a:lumOff val="34963"/>
                <a:alphaOff val="0"/>
                <a:satMod val="103000"/>
                <a:lumMod val="102000"/>
                <a:tint val="94000"/>
              </a:schemeClr>
            </a:gs>
            <a:gs pos="50000">
              <a:schemeClr val="accent2">
                <a:shade val="50000"/>
                <a:hueOff val="-443380"/>
                <a:satOff val="5837"/>
                <a:lumOff val="34963"/>
                <a:alphaOff val="0"/>
                <a:satMod val="110000"/>
                <a:lumMod val="100000"/>
                <a:shade val="100000"/>
              </a:schemeClr>
            </a:gs>
            <a:gs pos="100000">
              <a:schemeClr val="accent2">
                <a:shade val="50000"/>
                <a:hueOff val="-443380"/>
                <a:satOff val="5837"/>
                <a:lumOff val="34963"/>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Font typeface="Arial" panose="020B0604020202020204" pitchFamily="34" charset="0"/>
            <a:buNone/>
          </a:pPr>
          <a:r>
            <a:rPr lang="en-GB" sz="1400" b="1" i="0" kern="1200">
              <a:latin typeface="Times New Roman" panose="02020603050405020304" pitchFamily="18" charset="0"/>
              <a:cs typeface="Times New Roman" panose="02020603050405020304" pitchFamily="18" charset="0"/>
            </a:rPr>
            <a:t>Passion for learning</a:t>
          </a:r>
          <a:endParaRPr lang="en-GB" sz="1400" kern="1200">
            <a:latin typeface="Times New Roman" panose="02020603050405020304" pitchFamily="18" charset="0"/>
            <a:cs typeface="Times New Roman" panose="02020603050405020304" pitchFamily="18" charset="0"/>
          </a:endParaRPr>
        </a:p>
      </dsp:txBody>
      <dsp:txXfrm>
        <a:off x="970925" y="3245534"/>
        <a:ext cx="828787" cy="650957"/>
      </dsp:txXfrm>
    </dsp:sp>
    <dsp:sp modelId="{B1D9D55C-EA1C-46D1-A4C1-E3C43A4DD43B}">
      <dsp:nvSpPr>
        <dsp:cNvPr id="0" name=""/>
        <dsp:cNvSpPr/>
      </dsp:nvSpPr>
      <dsp:spPr>
        <a:xfrm>
          <a:off x="282320" y="1688416"/>
          <a:ext cx="1117590" cy="1137547"/>
        </a:xfrm>
        <a:prstGeom prst="ellipse">
          <a:avLst/>
        </a:prstGeom>
        <a:gradFill rotWithShape="0">
          <a:gsLst>
            <a:gs pos="0">
              <a:schemeClr val="accent2">
                <a:shade val="50000"/>
                <a:hueOff val="-295587"/>
                <a:satOff val="3892"/>
                <a:lumOff val="23309"/>
                <a:alphaOff val="0"/>
                <a:satMod val="103000"/>
                <a:lumMod val="102000"/>
                <a:tint val="94000"/>
              </a:schemeClr>
            </a:gs>
            <a:gs pos="50000">
              <a:schemeClr val="accent2">
                <a:shade val="50000"/>
                <a:hueOff val="-295587"/>
                <a:satOff val="3892"/>
                <a:lumOff val="23309"/>
                <a:alphaOff val="0"/>
                <a:satMod val="110000"/>
                <a:lumMod val="100000"/>
                <a:shade val="100000"/>
              </a:schemeClr>
            </a:gs>
            <a:gs pos="100000">
              <a:schemeClr val="accent2">
                <a:shade val="50000"/>
                <a:hueOff val="-295587"/>
                <a:satOff val="3892"/>
                <a:lumOff val="23309"/>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Font typeface="Arial" panose="020B0604020202020204" pitchFamily="34" charset="0"/>
            <a:buNone/>
          </a:pPr>
          <a:r>
            <a:rPr lang="en-GB" sz="1400" b="1" i="0" kern="1200">
              <a:latin typeface="Times New Roman" panose="02020603050405020304" pitchFamily="18" charset="0"/>
              <a:cs typeface="Times New Roman" panose="02020603050405020304" pitchFamily="18" charset="0"/>
            </a:rPr>
            <a:t>Insights focused</a:t>
          </a:r>
          <a:endParaRPr lang="en-GB" sz="1400" kern="1200">
            <a:latin typeface="Times New Roman" panose="02020603050405020304" pitchFamily="18" charset="0"/>
            <a:cs typeface="Times New Roman" panose="02020603050405020304" pitchFamily="18" charset="0"/>
          </a:endParaRPr>
        </a:p>
      </dsp:txBody>
      <dsp:txXfrm>
        <a:off x="445987" y="1855006"/>
        <a:ext cx="790256" cy="804367"/>
      </dsp:txXfrm>
    </dsp:sp>
    <dsp:sp modelId="{9231C054-15A1-4C60-BD58-BF5E3DCEF557}">
      <dsp:nvSpPr>
        <dsp:cNvPr id="0" name=""/>
        <dsp:cNvSpPr/>
      </dsp:nvSpPr>
      <dsp:spPr>
        <a:xfrm>
          <a:off x="824265" y="466424"/>
          <a:ext cx="1122108" cy="953885"/>
        </a:xfrm>
        <a:prstGeom prst="ellipse">
          <a:avLst/>
        </a:prstGeom>
        <a:gradFill rotWithShape="0">
          <a:gsLst>
            <a:gs pos="0">
              <a:schemeClr val="accent2">
                <a:shade val="50000"/>
                <a:hueOff val="-147793"/>
                <a:satOff val="1946"/>
                <a:lumOff val="11654"/>
                <a:alphaOff val="0"/>
                <a:satMod val="103000"/>
                <a:lumMod val="102000"/>
                <a:tint val="94000"/>
              </a:schemeClr>
            </a:gs>
            <a:gs pos="50000">
              <a:schemeClr val="accent2">
                <a:shade val="50000"/>
                <a:hueOff val="-147793"/>
                <a:satOff val="1946"/>
                <a:lumOff val="11654"/>
                <a:alphaOff val="0"/>
                <a:satMod val="110000"/>
                <a:lumMod val="100000"/>
                <a:shade val="100000"/>
              </a:schemeClr>
            </a:gs>
            <a:gs pos="100000">
              <a:schemeClr val="accent2">
                <a:shade val="50000"/>
                <a:hueOff val="-147793"/>
                <a:satOff val="1946"/>
                <a:lumOff val="11654"/>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Font typeface="Arial" panose="020B0604020202020204" pitchFamily="34" charset="0"/>
            <a:buNone/>
          </a:pPr>
          <a:r>
            <a:rPr lang="en-GB" sz="1400" b="1" i="0" kern="1200">
              <a:latin typeface="Times New Roman" panose="02020603050405020304" pitchFamily="18" charset="0"/>
              <a:cs typeface="Times New Roman" panose="02020603050405020304" pitchFamily="18" charset="0"/>
            </a:rPr>
            <a:t>Situational decision-making</a:t>
          </a:r>
          <a:endParaRPr lang="en-GB" sz="1400" kern="1200">
            <a:latin typeface="Times New Roman" panose="02020603050405020304" pitchFamily="18" charset="0"/>
            <a:cs typeface="Times New Roman" panose="02020603050405020304" pitchFamily="18" charset="0"/>
          </a:endParaRPr>
        </a:p>
      </dsp:txBody>
      <dsp:txXfrm>
        <a:off x="988594" y="606117"/>
        <a:ext cx="793450" cy="674499"/>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5" ma:contentTypeDescription="Create a new document." ma:contentTypeScope="" ma:versionID="da1a11432b5c854904ea7f3bb6458cf0">
  <xsd:schema xmlns:xsd="http://www.w3.org/2001/XMLSchema" xmlns:xs="http://www.w3.org/2001/XMLSchema" xmlns:p="http://schemas.microsoft.com/office/2006/metadata/properties" xmlns:ns3="95817cb9-f0eb-4f4d-892c-47ab9f8957c0" targetNamespace="http://schemas.microsoft.com/office/2006/metadata/properties" ma:root="true" ma:fieldsID="901c2ee464f5e9bcdc52af8083d4927b" ns3:_="">
    <xsd:import namespace="95817cb9-f0eb-4f4d-892c-47ab9f8957c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419B9E-8F0D-4EC1-A638-1665B523F6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A4607C7-2EC1-42C8-B888-57897F7D4E68}">
  <ds:schemaRefs>
    <ds:schemaRef ds:uri="http://schemas.microsoft.com/sharepoint/v3/contenttype/forms"/>
  </ds:schemaRefs>
</ds:datastoreItem>
</file>

<file path=customXml/itemProps3.xml><?xml version="1.0" encoding="utf-8"?>
<ds:datastoreItem xmlns:ds="http://schemas.openxmlformats.org/officeDocument/2006/customXml" ds:itemID="{1B806AFA-253D-49E9-A77D-5FE6DD75B78B}">
  <ds:schemaRefs>
    <ds:schemaRef ds:uri="http://www.w3.org/XML/1998/namespace"/>
    <ds:schemaRef ds:uri="95817cb9-f0eb-4f4d-892c-47ab9f8957c0"/>
    <ds:schemaRef ds:uri="http://purl.org/dc/terms/"/>
    <ds:schemaRef ds:uri="http://schemas.openxmlformats.org/package/2006/metadata/core-properties"/>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666</Words>
  <Characters>3801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Maria Gorgan (2113739)</dc:creator>
  <cp:keywords/>
  <dc:description/>
  <cp:lastModifiedBy>Ana Maria Gorgan (2113739)</cp:lastModifiedBy>
  <cp:revision>2</cp:revision>
  <dcterms:created xsi:type="dcterms:W3CDTF">2023-01-08T00:58:00Z</dcterms:created>
  <dcterms:modified xsi:type="dcterms:W3CDTF">2023-01-08T00:58:00Z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