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89A70" w14:textId="77777777" w:rsidR="005624B4" w:rsidRDefault="005624B4"/>
    <w:p w14:paraId="74ACB85F" w14:textId="2129FADE" w:rsidR="0017541C" w:rsidRDefault="00254B6D" w:rsidP="0017541C">
      <w:pPr>
        <w:pStyle w:val="IntenseQuote"/>
        <w:rPr>
          <w:rFonts w:ascii="Arial" w:hAnsi="Arial" w:cs="Arial"/>
          <w:sz w:val="24"/>
          <w:szCs w:val="24"/>
        </w:rPr>
      </w:pPr>
      <w:r w:rsidRPr="0017541C">
        <w:rPr>
          <w:rFonts w:ascii="Arial" w:hAnsi="Arial" w:cs="Arial"/>
          <w:sz w:val="24"/>
          <w:szCs w:val="24"/>
        </w:rPr>
        <w:t>SPM IN THE BUSINESS CONTEXT</w:t>
      </w:r>
    </w:p>
    <w:p w14:paraId="19B80AC5" w14:textId="5FDB21CE" w:rsidR="005624B4" w:rsidRPr="0017541C" w:rsidRDefault="0017541C" w:rsidP="0017541C">
      <w:pPr>
        <w:pStyle w:val="IntenseQuote"/>
        <w:rPr>
          <w:rFonts w:ascii="Arial" w:hAnsi="Arial" w:cs="Arial"/>
          <w:sz w:val="24"/>
          <w:szCs w:val="24"/>
        </w:rPr>
      </w:pPr>
      <w:r w:rsidRPr="0017541C">
        <w:rPr>
          <w:rFonts w:ascii="Arial" w:hAnsi="Arial" w:cs="Arial"/>
          <w:sz w:val="24"/>
          <w:szCs w:val="24"/>
        </w:rPr>
        <w:t>PESTLE for People Professionals</w:t>
      </w:r>
    </w:p>
    <w:p w14:paraId="22A421EB" w14:textId="768AC12E" w:rsidR="00704DFF" w:rsidRPr="00AB6D30" w:rsidRDefault="4A7B1F8E" w:rsidP="00AB6D30">
      <w:pPr>
        <w:spacing w:line="480" w:lineRule="auto"/>
        <w:rPr>
          <w:rFonts w:ascii="Arial" w:hAnsi="Arial" w:cs="Arial"/>
          <w:sz w:val="24"/>
          <w:szCs w:val="24"/>
        </w:rPr>
      </w:pPr>
      <w:r w:rsidRPr="4A7B1F8E">
        <w:rPr>
          <w:rFonts w:ascii="Arial" w:hAnsi="Arial" w:cs="Arial"/>
          <w:sz w:val="24"/>
          <w:szCs w:val="24"/>
        </w:rPr>
        <w:t xml:space="preserve">Cheese (2021) considers Strategic People Management (SPM) as navigating uncertainty of present and future and being comfortable with paradox of multiplicity. Organisations need to manage complexity </w:t>
      </w:r>
      <w:bookmarkStart w:id="0" w:name="_Int_zdeX8WCn"/>
      <w:r w:rsidRPr="4A7B1F8E">
        <w:rPr>
          <w:rFonts w:ascii="Arial" w:hAnsi="Arial" w:cs="Arial"/>
          <w:sz w:val="24"/>
          <w:szCs w:val="24"/>
        </w:rPr>
        <w:t>in order to</w:t>
      </w:r>
      <w:bookmarkEnd w:id="0"/>
      <w:r w:rsidRPr="4A7B1F8E">
        <w:rPr>
          <w:rFonts w:ascii="Arial" w:hAnsi="Arial" w:cs="Arial"/>
          <w:sz w:val="24"/>
          <w:szCs w:val="24"/>
        </w:rPr>
        <w:t xml:space="preserve"> grow, some factors will destroy value whilst adding complexity </w:t>
      </w:r>
      <w:r w:rsidR="00704DFF" w:rsidRPr="4A7B1F8E">
        <w:rPr>
          <w:rFonts w:ascii="Arial" w:hAnsi="Arial" w:cs="Arial"/>
          <w:sz w:val="24"/>
          <w:szCs w:val="24"/>
        </w:rPr>
        <w:fldChar w:fldCharType="begin"/>
      </w:r>
      <w:r w:rsidR="00704DFF" w:rsidRPr="4A7B1F8E">
        <w:rPr>
          <w:rFonts w:ascii="Arial" w:hAnsi="Arial" w:cs="Arial"/>
          <w:sz w:val="24"/>
          <w:szCs w:val="24"/>
        </w:rPr>
        <w:instrText xml:space="preserve"> ADDIN ZOTERO_ITEM CSL_CITATION {"citationID":"D8QA0rlZ","properties":{"formattedCitation":"(Heywood, Hillar and Turnbull, no date)","plainCitation":"(Heywood, Hillar and Turnbull, no date)","dontUpdate":true,"noteIndex":0},"citationItems":[{"id":123,"uris":["http://zotero.org/users/local/iOlGV4Ba/items/2JHFF46V"],"itemData":{"id":123,"type":"article-journal","language":"en","page":"7","source":"Zotero","title":"How do I manage the complexity in my organization?","author":[{"family":"Heywood","given":"Suzanne"},{"family":"Hillar","given":"Rubén"},{"family":"Turnbull","given":"David"}]}}],"schema":"https://github.com/citation-style-language/schema/raw/master/csl-citation.json"} </w:instrText>
      </w:r>
      <w:r w:rsidR="00704DFF" w:rsidRPr="4A7B1F8E">
        <w:rPr>
          <w:rFonts w:ascii="Arial" w:hAnsi="Arial" w:cs="Arial"/>
          <w:sz w:val="24"/>
          <w:szCs w:val="24"/>
        </w:rPr>
        <w:fldChar w:fldCharType="separate"/>
      </w:r>
      <w:r w:rsidRPr="4A7B1F8E">
        <w:rPr>
          <w:rFonts w:ascii="Arial" w:hAnsi="Arial" w:cs="Arial"/>
          <w:sz w:val="24"/>
          <w:szCs w:val="24"/>
        </w:rPr>
        <w:t>(Heywood, Hillar and Turnbull, 2010)</w:t>
      </w:r>
      <w:r w:rsidR="00704DFF" w:rsidRPr="4A7B1F8E">
        <w:rPr>
          <w:rFonts w:ascii="Arial" w:hAnsi="Arial" w:cs="Arial"/>
          <w:sz w:val="24"/>
          <w:szCs w:val="24"/>
        </w:rPr>
        <w:fldChar w:fldCharType="end"/>
      </w:r>
      <w:r w:rsidRPr="4A7B1F8E">
        <w:rPr>
          <w:rFonts w:ascii="Arial" w:hAnsi="Arial" w:cs="Arial"/>
          <w:sz w:val="24"/>
          <w:szCs w:val="24"/>
        </w:rPr>
        <w:t xml:space="preserve">. When considering growth, both short and long-term outcomes need to be included, long term goals must also be balanced with short term pressures to sustain growth to avoid firefighting daily at the expense of future success (Cheese, 2021). Armstrong (2020) clarifies SPM as ensuring key issues of people management are strategic and aligned with overall business strategy. </w:t>
      </w:r>
    </w:p>
    <w:p w14:paraId="1A8B9377" w14:textId="26E878E9" w:rsidR="00704DFF" w:rsidRPr="00AB6D30" w:rsidRDefault="00704DFF" w:rsidP="00AB6D30">
      <w:pPr>
        <w:spacing w:line="480" w:lineRule="auto"/>
        <w:rPr>
          <w:rFonts w:ascii="Arial" w:hAnsi="Arial" w:cs="Arial"/>
          <w:sz w:val="24"/>
          <w:szCs w:val="24"/>
        </w:rPr>
      </w:pPr>
      <w:r w:rsidRPr="00AB6D30">
        <w:rPr>
          <w:rFonts w:ascii="Arial" w:hAnsi="Arial" w:cs="Arial"/>
          <w:sz w:val="24"/>
          <w:szCs w:val="24"/>
        </w:rPr>
        <w:t xml:space="preserve">The role of People Professionals (PP) in business context is about leveraging organisation information such as employment data and economics, getting a deep understanding of organisational viability, how it is financed, organisational strategy and how it works with external factors and the context where your organisation sits </w:t>
      </w:r>
      <w:r w:rsidRPr="00AB6D30">
        <w:rPr>
          <w:rFonts w:ascii="Arial" w:hAnsi="Arial" w:cs="Arial"/>
          <w:sz w:val="24"/>
          <w:szCs w:val="24"/>
        </w:rPr>
        <w:fldChar w:fldCharType="begin"/>
      </w:r>
      <w:r w:rsidRPr="00AB6D30">
        <w:rPr>
          <w:rFonts w:ascii="Arial" w:hAnsi="Arial" w:cs="Arial"/>
          <w:sz w:val="24"/>
          <w:szCs w:val="24"/>
        </w:rPr>
        <w:instrText xml:space="preserve"> ADDIN ZOTERO_ITEM CSL_CITATION {"citationID":"y8ofmGU8","properties":{"formattedCitation":"({\\i{}What Does it Take to Deliver Business Savvy HR | Podcasts}, no date)","plainCitation":"(What Does it Take to Deliver Business Savvy HR | Podcasts, no date)","dontUpdate":true,"noteIndex":0},"citationItems":[{"id":124,"uris":["http://zotero.org/users/local/iOlGV4Ba/items/DYD6LA2V"],"itemData":{"id":124,"type":"webpage","abstract":"What does it take to deliver business-savvy HR? In this podcast, our panel explores the controversial gulf between the business outlook and the HR mindset.","container-title":"CIPD","language":"en","title":"What Does it Take to Deliver Business Savvy HR | Podcasts","URL":"https://www.cipd.co.uk/podcasts/business-savvy-hr","accessed":{"date-parts":[["2022",12,9]]}}}],"schema":"https://github.com/citation-style-language/schema/raw/master/csl-citation.json"} </w:instrText>
      </w:r>
      <w:r w:rsidRPr="00AB6D30">
        <w:rPr>
          <w:rFonts w:ascii="Arial" w:hAnsi="Arial" w:cs="Arial"/>
          <w:sz w:val="24"/>
          <w:szCs w:val="24"/>
        </w:rPr>
        <w:fldChar w:fldCharType="separate"/>
      </w:r>
      <w:r w:rsidRPr="00AB6D30">
        <w:rPr>
          <w:rFonts w:ascii="Arial" w:hAnsi="Arial" w:cs="Arial"/>
          <w:sz w:val="24"/>
          <w:szCs w:val="24"/>
        </w:rPr>
        <w:t>(CIPD, 2012</w:t>
      </w:r>
      <w:r w:rsidRPr="00AB6D30">
        <w:rPr>
          <w:rFonts w:ascii="Arial" w:hAnsi="Arial" w:cs="Arial"/>
          <w:sz w:val="24"/>
          <w:szCs w:val="24"/>
        </w:rPr>
        <w:fldChar w:fldCharType="end"/>
      </w:r>
      <w:r w:rsidR="00DC1765">
        <w:rPr>
          <w:rFonts w:ascii="Arial" w:hAnsi="Arial" w:cs="Arial"/>
          <w:sz w:val="24"/>
          <w:szCs w:val="24"/>
        </w:rPr>
        <w:t xml:space="preserve">; </w:t>
      </w:r>
      <w:r w:rsidRPr="00AB6D30">
        <w:rPr>
          <w:rFonts w:ascii="Arial" w:hAnsi="Arial" w:cs="Arial"/>
          <w:sz w:val="24"/>
          <w:szCs w:val="24"/>
        </w:rPr>
        <w:t>CIPD, 2022</w:t>
      </w:r>
      <w:r w:rsidR="006465CF">
        <w:rPr>
          <w:rFonts w:ascii="Arial" w:hAnsi="Arial" w:cs="Arial"/>
          <w:sz w:val="24"/>
          <w:szCs w:val="24"/>
        </w:rPr>
        <w:t>a</w:t>
      </w:r>
      <w:r w:rsidRPr="00AB6D30">
        <w:rPr>
          <w:rFonts w:ascii="Arial" w:hAnsi="Arial" w:cs="Arial"/>
          <w:sz w:val="24"/>
          <w:szCs w:val="24"/>
        </w:rPr>
        <w:t>).</w:t>
      </w:r>
    </w:p>
    <w:p w14:paraId="77A50C53" w14:textId="7A82B639" w:rsidR="00704DFF" w:rsidRPr="00AB6D30" w:rsidRDefault="4A7B1F8E" w:rsidP="00AB6D30">
      <w:pPr>
        <w:spacing w:line="480" w:lineRule="auto"/>
        <w:rPr>
          <w:rFonts w:ascii="Arial" w:hAnsi="Arial" w:cs="Arial"/>
          <w:sz w:val="24"/>
          <w:szCs w:val="24"/>
        </w:rPr>
      </w:pPr>
      <w:r w:rsidRPr="4A7B1F8E">
        <w:rPr>
          <w:rFonts w:ascii="Arial" w:hAnsi="Arial" w:cs="Arial"/>
          <w:sz w:val="24"/>
          <w:szCs w:val="24"/>
        </w:rPr>
        <w:t xml:space="preserve">As we navigate rapid change, accepting that external influences are beyond our control its about starting with what is known, developing, continuously learn and improve by planning, </w:t>
      </w:r>
      <w:bookmarkStart w:id="1" w:name="_Int_joBK5yHy"/>
      <w:r w:rsidRPr="4A7B1F8E">
        <w:rPr>
          <w:rFonts w:ascii="Arial" w:hAnsi="Arial" w:cs="Arial"/>
          <w:sz w:val="24"/>
          <w:szCs w:val="24"/>
        </w:rPr>
        <w:t>adapting,</w:t>
      </w:r>
      <w:bookmarkEnd w:id="1"/>
      <w:r w:rsidRPr="4A7B1F8E">
        <w:rPr>
          <w:rFonts w:ascii="Arial" w:hAnsi="Arial" w:cs="Arial"/>
          <w:sz w:val="24"/>
          <w:szCs w:val="24"/>
        </w:rPr>
        <w:t xml:space="preserve"> and taking opportunities from analysis of the external context (Cheese, 2021; Taylor &amp; Perkins, 2019). Business decisions must be made on sound data, PESTLE is an acronym of Political, Economic, Sociocultural, </w:t>
      </w:r>
      <w:r w:rsidRPr="4A7B1F8E">
        <w:rPr>
          <w:rFonts w:ascii="Arial" w:hAnsi="Arial" w:cs="Arial"/>
          <w:sz w:val="24"/>
          <w:szCs w:val="24"/>
        </w:rPr>
        <w:lastRenderedPageBreak/>
        <w:t>Technological, Legal, and Environmental is a strategic decision-making tool supplying valuable insight to the external environment (Bush, 2019; CIPD, 2021).</w:t>
      </w:r>
    </w:p>
    <w:p w14:paraId="796A6538" w14:textId="13AB2397" w:rsidR="00704DFF" w:rsidRDefault="00704DFF" w:rsidP="00AB6D30">
      <w:pPr>
        <w:spacing w:line="480" w:lineRule="auto"/>
        <w:rPr>
          <w:rFonts w:ascii="Arial" w:hAnsi="Arial" w:cs="Arial"/>
          <w:sz w:val="24"/>
          <w:szCs w:val="24"/>
        </w:rPr>
      </w:pPr>
      <w:r w:rsidRPr="00AB6D30">
        <w:rPr>
          <w:rFonts w:ascii="Arial" w:hAnsi="Arial" w:cs="Arial"/>
          <w:sz w:val="24"/>
          <w:szCs w:val="24"/>
        </w:rPr>
        <w:t xml:space="preserve">It also has its limitations due to the VUCA world we live in, it is vital to adapt and change within the business context, PP must adopt a strategic approach daily to ensure SPM activities align with organisational strategies (Armstrong, 2020). </w:t>
      </w:r>
    </w:p>
    <w:p w14:paraId="0B2119DB" w14:textId="77777777" w:rsidR="00975C72" w:rsidRPr="00AB6D30" w:rsidRDefault="00975C72" w:rsidP="00AB6D30">
      <w:pPr>
        <w:spacing w:line="480" w:lineRule="auto"/>
        <w:rPr>
          <w:rFonts w:ascii="Arial" w:hAnsi="Arial" w:cs="Arial"/>
          <w:sz w:val="24"/>
          <w:szCs w:val="24"/>
        </w:rPr>
      </w:pPr>
    </w:p>
    <w:p w14:paraId="01B9FF99" w14:textId="77777777" w:rsidR="00704DFF" w:rsidRPr="00AB6D30" w:rsidRDefault="00704DFF" w:rsidP="00AB6D30">
      <w:pPr>
        <w:spacing w:line="480" w:lineRule="auto"/>
        <w:rPr>
          <w:rFonts w:ascii="Arial" w:eastAsia="Times New Roman" w:hAnsi="Arial" w:cs="Arial"/>
          <w:color w:val="000000" w:themeColor="text1"/>
          <w:sz w:val="24"/>
          <w:szCs w:val="24"/>
          <w:lang w:eastAsia="en-GB"/>
        </w:rPr>
      </w:pPr>
      <w:r w:rsidRPr="00AB6D30">
        <w:rPr>
          <w:rFonts w:ascii="Arial" w:hAnsi="Arial" w:cs="Arial"/>
          <w:b/>
          <w:bCs/>
          <w:color w:val="000000" w:themeColor="text1"/>
          <w:sz w:val="24"/>
          <w:szCs w:val="24"/>
        </w:rPr>
        <w:t xml:space="preserve">Political </w:t>
      </w:r>
      <w:r w:rsidRPr="00AB6D30">
        <w:rPr>
          <w:rFonts w:ascii="Arial" w:hAnsi="Arial" w:cs="Arial"/>
          <w:color w:val="000000" w:themeColor="text1"/>
          <w:sz w:val="24"/>
          <w:szCs w:val="24"/>
        </w:rPr>
        <w:t>–</w:t>
      </w:r>
      <w:r w:rsidRPr="00AB6D30">
        <w:rPr>
          <w:rFonts w:ascii="Arial" w:eastAsia="Times New Roman" w:hAnsi="Arial" w:cs="Arial"/>
          <w:color w:val="000000" w:themeColor="text1"/>
          <w:sz w:val="24"/>
          <w:szCs w:val="24"/>
          <w:lang w:eastAsia="en-GB"/>
        </w:rPr>
        <w:t xml:space="preserve"> PESTLE can be used to analyse the macro environment as well as assessing the viability of new business ventures </w:t>
      </w:r>
      <w:r w:rsidRPr="00AB6D30">
        <w:rPr>
          <w:rFonts w:ascii="Arial" w:eastAsia="Times New Roman" w:hAnsi="Arial" w:cs="Arial"/>
          <w:color w:val="000000" w:themeColor="text1"/>
          <w:sz w:val="24"/>
          <w:szCs w:val="24"/>
          <w:lang w:eastAsia="en-GB"/>
        </w:rPr>
        <w:fldChar w:fldCharType="begin"/>
      </w:r>
      <w:r w:rsidRPr="00AB6D30">
        <w:rPr>
          <w:rFonts w:ascii="Arial" w:eastAsia="Times New Roman" w:hAnsi="Arial" w:cs="Arial"/>
          <w:color w:val="000000" w:themeColor="text1"/>
          <w:sz w:val="24"/>
          <w:szCs w:val="24"/>
          <w:lang w:eastAsia="en-GB"/>
        </w:rPr>
        <w:instrText xml:space="preserve"> ADDIN ZOTERO_ITEM CSL_CITATION {"citationID":"NQ7QgpqY","properties":{"formattedCitation":"({\\i{}What Is PESTLE Analysis Used for?}, 2019)","plainCitation":"(What Is PESTLE Analysis Used for?, 2019)","dontUpdate":true,"noteIndex":0},"citationItems":[{"id":63,"uris":["http://zotero.org/users/local/iOlGV4Ba/items/GS84YPQM"],"itemData":{"id":63,"type":"webpage","abstract":"What Is PESTLE Analysis Used for? Most often to assess the viability of a new venture and to analyzing the macro environment.","language":"en-US","note":"section: PEST Analysis","title":"What Is PESTLE Analysis Used for?","URL":"https://pestleanalysis.com/what-is-pestle-analysis-used-for/","accessed":{"date-parts":[["2022",12,7]]},"issued":{"date-parts":[["2019",3,26]]}}}],"schema":"https://github.com/citation-style-language/schema/raw/master/csl-citation.json"} </w:instrText>
      </w:r>
      <w:r w:rsidRPr="00AB6D30">
        <w:rPr>
          <w:rFonts w:ascii="Arial" w:eastAsia="Times New Roman" w:hAnsi="Arial" w:cs="Arial"/>
          <w:color w:val="000000" w:themeColor="text1"/>
          <w:sz w:val="24"/>
          <w:szCs w:val="24"/>
          <w:lang w:eastAsia="en-GB"/>
        </w:rPr>
        <w:fldChar w:fldCharType="separate"/>
      </w:r>
      <w:r w:rsidRPr="00AB6D30">
        <w:rPr>
          <w:rFonts w:ascii="Arial" w:hAnsi="Arial" w:cs="Arial"/>
          <w:color w:val="000000" w:themeColor="text1"/>
          <w:sz w:val="24"/>
          <w:szCs w:val="24"/>
        </w:rPr>
        <w:t>(Bush, 2019)</w:t>
      </w:r>
      <w:r w:rsidRPr="00AB6D30">
        <w:rPr>
          <w:rFonts w:ascii="Arial" w:eastAsia="Times New Roman" w:hAnsi="Arial" w:cs="Arial"/>
          <w:color w:val="000000" w:themeColor="text1"/>
          <w:sz w:val="24"/>
          <w:szCs w:val="24"/>
          <w:lang w:eastAsia="en-GB"/>
        </w:rPr>
        <w:fldChar w:fldCharType="end"/>
      </w:r>
      <w:r w:rsidRPr="00AB6D30">
        <w:rPr>
          <w:rFonts w:ascii="Arial" w:eastAsia="Times New Roman" w:hAnsi="Arial" w:cs="Arial"/>
          <w:color w:val="000000" w:themeColor="text1"/>
          <w:sz w:val="24"/>
          <w:szCs w:val="24"/>
          <w:lang w:eastAsia="en-GB"/>
        </w:rPr>
        <w:t xml:space="preserve">. </w:t>
      </w:r>
    </w:p>
    <w:p w14:paraId="578F3393" w14:textId="4171E515" w:rsidR="00704DFF" w:rsidRPr="00AB6D30" w:rsidRDefault="00704DFF" w:rsidP="00AB6D30">
      <w:pPr>
        <w:spacing w:line="480" w:lineRule="auto"/>
        <w:rPr>
          <w:rFonts w:ascii="Arial" w:eastAsia="Times New Roman" w:hAnsi="Arial" w:cs="Arial"/>
          <w:color w:val="333333"/>
          <w:sz w:val="24"/>
          <w:szCs w:val="24"/>
          <w:lang w:eastAsia="en-GB"/>
        </w:rPr>
      </w:pPr>
      <w:r w:rsidRPr="4A7B1F8E">
        <w:rPr>
          <w:rFonts w:ascii="Arial" w:eastAsia="Times New Roman" w:hAnsi="Arial" w:cs="Arial"/>
          <w:color w:val="333333"/>
          <w:sz w:val="24"/>
          <w:szCs w:val="24"/>
          <w:lang w:eastAsia="en-GB"/>
        </w:rPr>
        <w:fldChar w:fldCharType="begin"/>
      </w:r>
      <w:r w:rsidRPr="4A7B1F8E">
        <w:rPr>
          <w:rFonts w:ascii="Arial" w:eastAsia="Times New Roman" w:hAnsi="Arial" w:cs="Arial"/>
          <w:color w:val="333333"/>
          <w:sz w:val="24"/>
          <w:szCs w:val="24"/>
          <w:lang w:eastAsia="en-GB"/>
        </w:rPr>
        <w:instrText xml:space="preserve"> ADDIN ZOTERO_ITEM CSL_CITATION {"citationID":"G1vsFAG1","properties":{"formattedCitation":"({\\i{}PESTEL analysis}, no date)","plainCitation":"(PESTEL analysis, no date)","dontUpdate":true,"noteIndex":0},"citationItems":[{"id":130,"uris":["http://zotero.org/users/local/iOlGV4Ba/items/5I9YZQWC"],"itemData":{"id":130,"type":"webpage","abstract":"PESTEL analysis allows you to examine the macro-environment of your company in order to identify factors which directly or indirectly affect your business operations.","container-title":"IONOS Startup Guide","language":"en-GB","title":"PESTEL analysis","URL":"https://www.ionos.co.uk/startupguide/grow-your-business/pestel-analysis/","accessed":{"date-parts":[["2022",12,10]]}}}],"schema":"https://github.com/citation-style-language/schema/raw/master/csl-citation.json"} </w:instrText>
      </w:r>
      <w:r w:rsidRPr="4A7B1F8E">
        <w:rPr>
          <w:rFonts w:ascii="Arial" w:eastAsia="Times New Roman" w:hAnsi="Arial" w:cs="Arial"/>
          <w:color w:val="333333"/>
          <w:sz w:val="24"/>
          <w:szCs w:val="24"/>
          <w:lang w:eastAsia="en-GB"/>
        </w:rPr>
        <w:fldChar w:fldCharType="separate"/>
      </w:r>
      <w:r w:rsidR="4A7B1F8E" w:rsidRPr="4A7B1F8E">
        <w:rPr>
          <w:rFonts w:ascii="Arial" w:hAnsi="Arial" w:cs="Arial"/>
          <w:i/>
          <w:iCs/>
          <w:sz w:val="24"/>
          <w:szCs w:val="24"/>
        </w:rPr>
        <w:t>IONOS (2020</w:t>
      </w:r>
      <w:r w:rsidR="4A7B1F8E" w:rsidRPr="4A7B1F8E">
        <w:rPr>
          <w:rFonts w:ascii="Arial" w:hAnsi="Arial" w:cs="Arial"/>
          <w:sz w:val="24"/>
          <w:szCs w:val="24"/>
        </w:rPr>
        <w:t>)</w:t>
      </w:r>
      <w:r w:rsidRPr="4A7B1F8E">
        <w:rPr>
          <w:rFonts w:ascii="Arial" w:eastAsia="Times New Roman" w:hAnsi="Arial" w:cs="Arial"/>
          <w:color w:val="333333"/>
          <w:sz w:val="24"/>
          <w:szCs w:val="24"/>
          <w:lang w:eastAsia="en-GB"/>
        </w:rPr>
        <w:fldChar w:fldCharType="end"/>
      </w:r>
      <w:r w:rsidR="4A7B1F8E" w:rsidRPr="4A7B1F8E">
        <w:rPr>
          <w:rFonts w:ascii="Arial" w:eastAsia="Times New Roman" w:hAnsi="Arial" w:cs="Arial"/>
          <w:color w:val="333333"/>
          <w:sz w:val="24"/>
          <w:szCs w:val="24"/>
          <w:lang w:eastAsia="en-GB"/>
        </w:rPr>
        <w:t xml:space="preserve"> suggest PESTLE to consider the impact of politics on small business start-ups, concluding that political factors such as political stability and trade policy directly affect business activities. Industries targeting consumers of items soft drinks are impacted on by consumer behaviour and consumption due to ‘sugar tax’ </w:t>
      </w:r>
      <w:r w:rsidRPr="4A7B1F8E">
        <w:rPr>
          <w:rFonts w:ascii="Arial" w:eastAsia="Times New Roman" w:hAnsi="Arial" w:cs="Arial"/>
          <w:color w:val="333333"/>
          <w:sz w:val="24"/>
          <w:szCs w:val="24"/>
          <w:lang w:eastAsia="en-GB"/>
        </w:rPr>
        <w:fldChar w:fldCharType="begin"/>
      </w:r>
      <w:r w:rsidRPr="4A7B1F8E">
        <w:rPr>
          <w:rFonts w:ascii="Arial" w:eastAsia="Times New Roman" w:hAnsi="Arial" w:cs="Arial"/>
          <w:color w:val="333333"/>
          <w:sz w:val="24"/>
          <w:szCs w:val="24"/>
          <w:lang w:eastAsia="en-GB"/>
        </w:rPr>
        <w:instrText xml:space="preserve"> ADDIN ZOTERO_ITEM CSL_CITATION {"citationID":"QOPZHu7M","properties":{"formattedCitation":"(G\\uc0\\u243{}mez, 2022)","plainCitation":"(Gómez, 2022)","noteIndex":0},"citationItems":[{"id":129,"uris":["http://zotero.org/users/local/iOlGV4Ba/items/TIWVLTAW"],"itemData":{"id":129,"type":"article-journal","abstract":"Public health researchers concerned with the commercial industry’s influence over health policy have contrib­ uted to the development of a new field of inquiry, Corporative Political Activity (CPA). While the CPA literature has improved our understanding of the tactics that industries use to influence health policy and outcomes, ironically, this literature appears to have fallen short of thoroughly engaging those social science disciplines focusing on the relationship between industry and government in the policymaking process, such as political science. The purpose of this article is to reveal how political science theory and method can generate new research questions for CPA scholars; propose alternative qualitative methodological approaches to causal inference, with a focus on historical and temporal analysis; and establish adequacy in causal mechanisms. The application of political science theories and methods may assist CPA researchers in their efforts to explain the durability and efficacy of CPA political tactics at the domestic government level, which of these tactics are more important, while providing greater depth into explaining how and why industries continue to obstruct policy­ making. The author then propose an alternative political science analytical framework, Political Analysis of Corporate Political Activity (PACPA), that may provide a more thorough understanding of the politics of the commercial sector’s policy influence. This framework integrates the political science literature highlighting the political and institutional contexts shaping interest group activities and policymaking influence along with the CPA literature discussing these issues, through a historically-based qualitative case study approach emphasizing the causal mechanisms behind industry’s political activities. With respect to methodology, this article relied on an analysis of qualitative documents through a variety of on-line search engines and the author’s extensive knowledge of the topic. Select case studies were used as illustrations supporting the author’s claims. This research began in November 2020 and concluded in June 2021.","container-title":"Social Science &amp; Medicine","DOI":"10.1016/j.socscimed.2022.114931","ISSN":"02779536","journalAbbreviation":"Social Science &amp; Medicine","language":"en","page":"114931","source":"DOI.org (Crossref)","title":"Enhancing our understanding of the commercial determinants of health: Theories, methods, and insights from political science","title-short":"Enhancing our understanding of the commercial determinants of health","volume":"301","author":[{"family":"Gómez","given":"Eduardo J."}],"issued":{"date-parts":[["2022",5]]}}}],"schema":"https://github.com/citation-style-language/schema/raw/master/csl-citation.json"} </w:instrText>
      </w:r>
      <w:r w:rsidRPr="4A7B1F8E">
        <w:rPr>
          <w:rFonts w:ascii="Arial" w:eastAsia="Times New Roman" w:hAnsi="Arial" w:cs="Arial"/>
          <w:color w:val="333333"/>
          <w:sz w:val="24"/>
          <w:szCs w:val="24"/>
          <w:lang w:eastAsia="en-GB"/>
        </w:rPr>
        <w:fldChar w:fldCharType="separate"/>
      </w:r>
      <w:r w:rsidR="4A7B1F8E" w:rsidRPr="4A7B1F8E">
        <w:rPr>
          <w:rFonts w:ascii="Arial" w:hAnsi="Arial" w:cs="Arial"/>
          <w:sz w:val="24"/>
          <w:szCs w:val="24"/>
        </w:rPr>
        <w:t>(Gómez, 2022)</w:t>
      </w:r>
      <w:r w:rsidRPr="4A7B1F8E">
        <w:rPr>
          <w:rFonts w:ascii="Arial" w:eastAsia="Times New Roman" w:hAnsi="Arial" w:cs="Arial"/>
          <w:color w:val="333333"/>
          <w:sz w:val="24"/>
          <w:szCs w:val="24"/>
          <w:lang w:eastAsia="en-GB"/>
        </w:rPr>
        <w:fldChar w:fldCharType="end"/>
      </w:r>
      <w:r w:rsidR="4A7B1F8E" w:rsidRPr="4A7B1F8E">
        <w:rPr>
          <w:rFonts w:ascii="Arial" w:eastAsia="Times New Roman" w:hAnsi="Arial" w:cs="Arial"/>
          <w:color w:val="333333"/>
          <w:sz w:val="24"/>
          <w:szCs w:val="24"/>
          <w:lang w:eastAsia="en-GB"/>
        </w:rPr>
        <w:t xml:space="preserve">. Liu et al (2022) argue that this is an effective policy to curb consumption though it changes on consumer spending habits, a focus for business strategy. Jones et al (2020) support this by reporting the Soft Drinks Industry Levy (SDIL) generated </w:t>
      </w:r>
      <w:bookmarkStart w:id="2" w:name="_Int_wO3gdjb8"/>
      <w:r w:rsidR="4A7B1F8E" w:rsidRPr="4A7B1F8E">
        <w:rPr>
          <w:rFonts w:ascii="Arial" w:eastAsia="Times New Roman" w:hAnsi="Arial" w:cs="Arial"/>
          <w:color w:val="333333"/>
          <w:sz w:val="24"/>
          <w:szCs w:val="24"/>
          <w:lang w:eastAsia="en-GB"/>
        </w:rPr>
        <w:t>more than</w:t>
      </w:r>
      <w:bookmarkEnd w:id="2"/>
      <w:r w:rsidR="4A7B1F8E" w:rsidRPr="4A7B1F8E">
        <w:rPr>
          <w:rFonts w:ascii="Arial" w:eastAsia="Times New Roman" w:hAnsi="Arial" w:cs="Arial"/>
          <w:color w:val="333333"/>
          <w:sz w:val="24"/>
          <w:szCs w:val="24"/>
          <w:lang w:eastAsia="en-GB"/>
        </w:rPr>
        <w:t xml:space="preserve"> £576m in 2020, with revenue of £334m for 2021 to 2022 </w:t>
      </w:r>
      <w:r w:rsidRPr="4A7B1F8E">
        <w:rPr>
          <w:rFonts w:ascii="Arial" w:eastAsia="Times New Roman" w:hAnsi="Arial" w:cs="Arial"/>
          <w:color w:val="333333"/>
          <w:sz w:val="24"/>
          <w:szCs w:val="24"/>
          <w:lang w:eastAsia="en-GB"/>
        </w:rPr>
        <w:fldChar w:fldCharType="begin"/>
      </w:r>
      <w:r w:rsidRPr="4A7B1F8E">
        <w:rPr>
          <w:rFonts w:ascii="Arial" w:eastAsia="Times New Roman" w:hAnsi="Arial" w:cs="Arial"/>
          <w:color w:val="333333"/>
          <w:sz w:val="24"/>
          <w:szCs w:val="24"/>
          <w:lang w:eastAsia="en-GB"/>
        </w:rPr>
        <w:instrText xml:space="preserve"> ADDIN ZOTERO_ITEM CSL_CITATION {"citationID":"C1eqcN4W","properties":{"formattedCitation":"({\\i{}Soft Drinks Industry Levy statistics commentary 2022}, no date)","plainCitation":"(Soft Drinks Industry Levy statistics commentary 2022, no date)","dontUpdate":true,"noteIndex":0},"citationItems":[{"id":136,"uris":["http://zotero.org/users/local/iOlGV4Ba/items/C7ZSNYGN"],"itemData":{"id":136,"type":"webpage","container-title":"GOV.UK","language":"en","title":"Soft Drinks Industry Levy statistics commentary 2022","URL":"https://www.gov.uk/government/statistics/soft-drinks-industry-levy-statistics/soft-drinks-industry-levy-statistics-commentary-2021","accessed":{"date-parts":[["2022",12,10]]}}}],"schema":"https://github.com/citation-style-language/schema/raw/master/csl-citation.json"} </w:instrText>
      </w:r>
      <w:r w:rsidRPr="4A7B1F8E">
        <w:rPr>
          <w:rFonts w:ascii="Arial" w:eastAsia="Times New Roman" w:hAnsi="Arial" w:cs="Arial"/>
          <w:color w:val="333333"/>
          <w:sz w:val="24"/>
          <w:szCs w:val="24"/>
          <w:lang w:eastAsia="en-GB"/>
        </w:rPr>
        <w:fldChar w:fldCharType="separate"/>
      </w:r>
      <w:r w:rsidR="4A7B1F8E" w:rsidRPr="4A7B1F8E">
        <w:rPr>
          <w:rFonts w:ascii="Arial" w:hAnsi="Arial" w:cs="Arial"/>
          <w:sz w:val="24"/>
          <w:szCs w:val="24"/>
        </w:rPr>
        <w:t>(</w:t>
      </w:r>
      <w:r w:rsidR="4A7B1F8E" w:rsidRPr="4A7B1F8E">
        <w:rPr>
          <w:rFonts w:ascii="Arial" w:hAnsi="Arial" w:cs="Arial"/>
          <w:i/>
          <w:iCs/>
          <w:sz w:val="24"/>
          <w:szCs w:val="24"/>
        </w:rPr>
        <w:t>Gov.UK, 2022</w:t>
      </w:r>
      <w:r w:rsidR="4A7B1F8E" w:rsidRPr="4A7B1F8E">
        <w:rPr>
          <w:rFonts w:ascii="Arial" w:hAnsi="Arial" w:cs="Arial"/>
          <w:sz w:val="24"/>
          <w:szCs w:val="24"/>
        </w:rPr>
        <w:t>)</w:t>
      </w:r>
      <w:r w:rsidRPr="4A7B1F8E">
        <w:rPr>
          <w:rFonts w:ascii="Arial" w:eastAsia="Times New Roman" w:hAnsi="Arial" w:cs="Arial"/>
          <w:color w:val="333333"/>
          <w:sz w:val="24"/>
          <w:szCs w:val="24"/>
          <w:lang w:eastAsia="en-GB"/>
        </w:rPr>
        <w:fldChar w:fldCharType="end"/>
      </w:r>
      <w:r w:rsidR="4A7B1F8E" w:rsidRPr="4A7B1F8E">
        <w:rPr>
          <w:rFonts w:ascii="Arial" w:eastAsia="Times New Roman" w:hAnsi="Arial" w:cs="Arial"/>
          <w:color w:val="333333"/>
          <w:sz w:val="24"/>
          <w:szCs w:val="24"/>
          <w:lang w:eastAsia="en-GB"/>
        </w:rPr>
        <w:t xml:space="preserve">. </w:t>
      </w:r>
    </w:p>
    <w:p w14:paraId="2BBA6194" w14:textId="5DF1160B" w:rsidR="00704DFF" w:rsidRPr="00AB6D30" w:rsidRDefault="4A7B1F8E" w:rsidP="00AB6D30">
      <w:pPr>
        <w:spacing w:line="480" w:lineRule="auto"/>
        <w:rPr>
          <w:rFonts w:ascii="Arial" w:eastAsia="Times New Roman" w:hAnsi="Arial" w:cs="Arial"/>
          <w:color w:val="333333"/>
          <w:sz w:val="24"/>
          <w:szCs w:val="24"/>
          <w:lang w:eastAsia="en-GB"/>
        </w:rPr>
      </w:pPr>
      <w:r w:rsidRPr="4A7B1F8E">
        <w:rPr>
          <w:rFonts w:ascii="Arial" w:eastAsia="Times New Roman" w:hAnsi="Arial" w:cs="Arial"/>
          <w:color w:val="333333"/>
          <w:sz w:val="24"/>
          <w:szCs w:val="24"/>
          <w:lang w:eastAsia="en-GB"/>
        </w:rPr>
        <w:t xml:space="preserve">The role of regulation in public, private sector and third sectors can change quickly </w:t>
      </w:r>
      <w:r w:rsidR="00704DFF" w:rsidRPr="4A7B1F8E">
        <w:rPr>
          <w:rFonts w:ascii="Arial" w:eastAsia="Times New Roman" w:hAnsi="Arial" w:cs="Arial"/>
          <w:color w:val="333333"/>
          <w:sz w:val="24"/>
          <w:szCs w:val="24"/>
          <w:lang w:eastAsia="en-GB"/>
        </w:rPr>
        <w:fldChar w:fldCharType="begin"/>
      </w:r>
      <w:r w:rsidR="00704DFF" w:rsidRPr="4A7B1F8E">
        <w:rPr>
          <w:rFonts w:ascii="Arial" w:eastAsia="Times New Roman" w:hAnsi="Arial" w:cs="Arial"/>
          <w:color w:val="333333"/>
          <w:sz w:val="24"/>
          <w:szCs w:val="24"/>
          <w:lang w:eastAsia="en-GB"/>
        </w:rPr>
        <w:instrText xml:space="preserve"> ADDIN ZOTERO_ITEM CSL_CITATION {"citationID":"D3G284wr","properties":{"formattedCitation":"(Heywood, Hillar and Turnbull, no date)","plainCitation":"(Heywood, Hillar and Turnbull, no date)","dontUpdate":true,"noteIndex":0},"citationItems":[{"id":123,"uris":["http://zotero.org/users/local/iOlGV4Ba/items/2JHFF46V"],"itemData":{"id":123,"type":"article-journal","language":"en","page":"7","source":"Zotero","title":"How do I manage the complexity in my organization?","author":[{"family":"Heywood","given":"Suzanne"},{"family":"Hillar","given":"Rubén"},{"family":"Turnbull","given":"David"}]}}],"schema":"https://github.com/citation-style-language/schema/raw/master/csl-citation.json"} </w:instrText>
      </w:r>
      <w:r w:rsidR="00704DFF" w:rsidRPr="4A7B1F8E">
        <w:rPr>
          <w:rFonts w:ascii="Arial" w:eastAsia="Times New Roman" w:hAnsi="Arial" w:cs="Arial"/>
          <w:color w:val="333333"/>
          <w:sz w:val="24"/>
          <w:szCs w:val="24"/>
          <w:lang w:eastAsia="en-GB"/>
        </w:rPr>
        <w:fldChar w:fldCharType="separate"/>
      </w:r>
      <w:r w:rsidRPr="4A7B1F8E">
        <w:rPr>
          <w:rFonts w:ascii="Arial" w:eastAsia="Times New Roman" w:hAnsi="Arial" w:cs="Arial"/>
          <w:color w:val="333333"/>
          <w:sz w:val="24"/>
          <w:szCs w:val="24"/>
          <w:lang w:eastAsia="en-GB"/>
        </w:rPr>
        <w:t>(Heywood, Hillar and Turnbull, 2010)</w:t>
      </w:r>
      <w:r w:rsidR="00704DFF" w:rsidRPr="4A7B1F8E">
        <w:rPr>
          <w:rFonts w:ascii="Arial" w:eastAsia="Times New Roman" w:hAnsi="Arial" w:cs="Arial"/>
          <w:color w:val="333333"/>
          <w:sz w:val="24"/>
          <w:szCs w:val="24"/>
          <w:lang w:eastAsia="en-GB"/>
        </w:rPr>
        <w:fldChar w:fldCharType="end"/>
      </w:r>
      <w:r w:rsidRPr="4A7B1F8E">
        <w:rPr>
          <w:rFonts w:ascii="Arial" w:eastAsia="Times New Roman" w:hAnsi="Arial" w:cs="Arial"/>
          <w:color w:val="333333"/>
          <w:sz w:val="24"/>
          <w:szCs w:val="24"/>
          <w:lang w:eastAsia="en-GB"/>
        </w:rPr>
        <w:t xml:space="preserve">. Estimates from observational data show politics, small business activity, start-ups and allocation of government funds affect all sectors including employment </w:t>
      </w:r>
      <w:r w:rsidR="00704DFF" w:rsidRPr="4A7B1F8E">
        <w:rPr>
          <w:rFonts w:ascii="Arial" w:eastAsia="Times New Roman" w:hAnsi="Arial" w:cs="Arial"/>
          <w:color w:val="333333"/>
          <w:sz w:val="24"/>
          <w:szCs w:val="24"/>
          <w:lang w:eastAsia="en-GB"/>
        </w:rPr>
        <w:fldChar w:fldCharType="begin"/>
      </w:r>
      <w:r w:rsidR="00704DFF" w:rsidRPr="4A7B1F8E">
        <w:rPr>
          <w:rFonts w:ascii="Arial" w:eastAsia="Times New Roman" w:hAnsi="Arial" w:cs="Arial"/>
          <w:color w:val="333333"/>
          <w:sz w:val="24"/>
          <w:szCs w:val="24"/>
          <w:lang w:eastAsia="en-GB"/>
        </w:rPr>
        <w:instrText xml:space="preserve"> ADDIN ZOTERO_ITEM CSL_CITATION {"citationID":"7iygEpRQ","properties":{"formattedCitation":"(Maani {\\i{}et al.}, 2020)","plainCitation":"(Maani et al., 2020)","noteIndex":0},"citationItems":[{"id":133,"uris":["http://zotero.org/users/local/iOlGV4Ba/items/P2UUY89R"],"itemData":{"id":133,"type":"article-journal","abstract":"Abstract\n            \n              Background\n              The term ‘commercial determinants of health’ (CDOH) is increasingly focussing attention upon the role of tobacco, alcohol and food and beverage companies and others—as important drivers of non-communicable diseases (NCDs). However, the CDOH do not seem to be clearly represented in the most common social determinants of health (SDOH) frameworks. We review a wide range of existing frameworks of the determinants of health to determine whether and how commercial determinants are incorporated into current SDOH thinking.\n            \n            \n              Methods\n              We searched for papers and non-academic reports published in English since 2000 describing influences on population health outcomes. We included documents with a formal conceptual framework or diagram, showing the integration of the different determinants.\n            \n            \n              Results\n              Forty-eight framework documents were identified. Only one explicitly included the CDOH in a conceptual diagram. Ten papers discussed the commercial determinants in some form in the text only and fourteen described negative impacts of commercial determinants in the text. Twelve discussed positive roles for the private sector in producing harmful commodities. Overall, descriptions of commercial determinants are frequently understated, not made explicit, or simply missing. The role of commercial actors as vectors of NCDs is largely absent or invisible in many of the most influential conceptual diagrams.\n            \n            \n              Conclusions\n              Our current public health models may risk framing public health problems and solutions in ways that obscure the role that the private sector, in particular large transnational companies, play in shaping the broader environment and individual behaviours, and thus population health outcomes.","container-title":"European Journal of Public Health","DOI":"10.1093/eurpub/ckz197","ISSN":"1101-1262, 1464-360X","issue":"4","language":"en","page":"660-664","source":"DOI.org (Crossref)","title":"Bringing the commercial determinants of health out of the shadows: a review of how the commercial determinants are represented in conceptual frameworks","title-short":"Bringing the commercial determinants of health out of the shadows","volume":"30","author":[{"family":"Maani","given":"Nason"},{"family":"Collin","given":"Jeff"},{"family":"Friel","given":"Sharon"},{"family":"Gilmore","given":"Anna B"},{"family":"McCambridge","given":"Jim"},{"family":"Robertson","given":"Lindsay"},{"family":"Petticrew","given":"Mark P"}],"issued":{"date-parts":[["2020",8,1]]}}}],"schema":"https://github.com/citation-style-language/schema/raw/master/csl-citation.json"} </w:instrText>
      </w:r>
      <w:r w:rsidR="00704DFF" w:rsidRPr="4A7B1F8E">
        <w:rPr>
          <w:rFonts w:ascii="Arial" w:eastAsia="Times New Roman" w:hAnsi="Arial" w:cs="Arial"/>
          <w:color w:val="333333"/>
          <w:sz w:val="24"/>
          <w:szCs w:val="24"/>
          <w:lang w:eastAsia="en-GB"/>
        </w:rPr>
        <w:fldChar w:fldCharType="separate"/>
      </w:r>
      <w:r w:rsidRPr="4A7B1F8E">
        <w:rPr>
          <w:rFonts w:ascii="Arial" w:eastAsia="Times New Roman" w:hAnsi="Arial" w:cs="Arial"/>
          <w:color w:val="333333"/>
          <w:sz w:val="24"/>
          <w:szCs w:val="24"/>
          <w:lang w:eastAsia="en-GB"/>
        </w:rPr>
        <w:t xml:space="preserve">(Maani </w:t>
      </w:r>
      <w:r w:rsidRPr="4A7B1F8E">
        <w:rPr>
          <w:rFonts w:ascii="Arial" w:eastAsia="Times New Roman" w:hAnsi="Arial" w:cs="Arial"/>
          <w:i/>
          <w:iCs/>
          <w:color w:val="333333"/>
          <w:sz w:val="24"/>
          <w:szCs w:val="24"/>
          <w:lang w:eastAsia="en-GB"/>
        </w:rPr>
        <w:t>et al.</w:t>
      </w:r>
      <w:r w:rsidRPr="4A7B1F8E">
        <w:rPr>
          <w:rFonts w:ascii="Arial" w:eastAsia="Times New Roman" w:hAnsi="Arial" w:cs="Arial"/>
          <w:color w:val="333333"/>
          <w:sz w:val="24"/>
          <w:szCs w:val="24"/>
          <w:lang w:eastAsia="en-GB"/>
        </w:rPr>
        <w:t>, 2020)</w:t>
      </w:r>
      <w:r w:rsidR="00704DFF" w:rsidRPr="4A7B1F8E">
        <w:rPr>
          <w:rFonts w:ascii="Arial" w:eastAsia="Times New Roman" w:hAnsi="Arial" w:cs="Arial"/>
          <w:color w:val="333333"/>
          <w:sz w:val="24"/>
          <w:szCs w:val="24"/>
          <w:lang w:eastAsia="en-GB"/>
        </w:rPr>
        <w:fldChar w:fldCharType="end"/>
      </w:r>
      <w:r w:rsidRPr="4A7B1F8E">
        <w:rPr>
          <w:rFonts w:ascii="Arial" w:eastAsia="Times New Roman" w:hAnsi="Arial" w:cs="Arial"/>
          <w:color w:val="333333"/>
          <w:sz w:val="24"/>
          <w:szCs w:val="24"/>
          <w:lang w:eastAsia="en-GB"/>
        </w:rPr>
        <w:t xml:space="preserve">. Pfizer used PESTLE to analyse the external influences on its activity </w:t>
      </w:r>
      <w:r w:rsidR="00704DFF" w:rsidRPr="4A7B1F8E">
        <w:rPr>
          <w:rFonts w:ascii="Arial" w:eastAsia="Times New Roman" w:hAnsi="Arial" w:cs="Arial"/>
          <w:color w:val="333333"/>
          <w:sz w:val="24"/>
          <w:szCs w:val="24"/>
          <w:lang w:eastAsia="en-GB"/>
        </w:rPr>
        <w:fldChar w:fldCharType="begin"/>
      </w:r>
      <w:r w:rsidR="00704DFF" w:rsidRPr="4A7B1F8E">
        <w:rPr>
          <w:rFonts w:ascii="Arial" w:eastAsia="Times New Roman" w:hAnsi="Arial" w:cs="Arial"/>
          <w:color w:val="333333"/>
          <w:sz w:val="24"/>
          <w:szCs w:val="24"/>
          <w:lang w:eastAsia="en-GB"/>
        </w:rPr>
        <w:instrText xml:space="preserve"> ADDIN ZOTERO_ITEM CSL_CITATION {"citationID":"ffZ1Zc5a","properties":{"formattedCitation":"({\\i{}Pfizer PESTLE Analysis 2022}, 2022)","plainCitation":"(Pfizer PESTLE Analysis 2022, 2022)","dontUpdate":true,"noteIndex":0},"citationItems":[{"id":140,"uris":["http://zotero.org/users/local/iOlGV4Ba/items/AD9YJUI8"],"itemData":{"id":140,"type":"webpage","abstract":"We conducted a Pfizer PESTLE Analysis to see the external factors affecting Pfizer in the last 173 years and to explain the success it has achieved.","language":"en-US","note":"section: PEST Analysis","title":"Pfizer PESTLE Analysis 2022","URL":"https://pestleanalysis.com/pfizer-pestle-analysis/","accessed":{"date-parts":[["2022",12,10]]},"issued":{"date-parts":[["2022",4,19]]}}}],"schema":"https://github.com/citation-style-language/schema/raw/master/csl-citation.json"} </w:instrText>
      </w:r>
      <w:r w:rsidR="00704DFF" w:rsidRPr="4A7B1F8E">
        <w:rPr>
          <w:rFonts w:ascii="Arial" w:eastAsia="Times New Roman" w:hAnsi="Arial" w:cs="Arial"/>
          <w:color w:val="333333"/>
          <w:sz w:val="24"/>
          <w:szCs w:val="24"/>
          <w:lang w:eastAsia="en-GB"/>
        </w:rPr>
        <w:fldChar w:fldCharType="separate"/>
      </w:r>
      <w:r w:rsidRPr="4A7B1F8E">
        <w:rPr>
          <w:rFonts w:ascii="Arial" w:hAnsi="Arial" w:cs="Arial"/>
          <w:sz w:val="24"/>
          <w:szCs w:val="24"/>
        </w:rPr>
        <w:t>(Momin, 2022,)</w:t>
      </w:r>
      <w:r w:rsidR="00704DFF" w:rsidRPr="4A7B1F8E">
        <w:rPr>
          <w:rFonts w:ascii="Arial" w:eastAsia="Times New Roman" w:hAnsi="Arial" w:cs="Arial"/>
          <w:color w:val="333333"/>
          <w:sz w:val="24"/>
          <w:szCs w:val="24"/>
          <w:lang w:eastAsia="en-GB"/>
        </w:rPr>
        <w:fldChar w:fldCharType="end"/>
      </w:r>
      <w:r w:rsidRPr="4A7B1F8E">
        <w:rPr>
          <w:rFonts w:ascii="Arial" w:eastAsia="Times New Roman" w:hAnsi="Arial" w:cs="Arial"/>
          <w:color w:val="333333"/>
          <w:sz w:val="24"/>
          <w:szCs w:val="24"/>
          <w:lang w:eastAsia="en-GB"/>
        </w:rPr>
        <w:t xml:space="preserve"> concluding that political unrest and invasion of Ukraine will have a </w:t>
      </w:r>
      <w:bookmarkStart w:id="3" w:name="_Int_aASlhZ2x"/>
      <w:r w:rsidRPr="4A7B1F8E">
        <w:rPr>
          <w:rFonts w:ascii="Arial" w:eastAsia="Times New Roman" w:hAnsi="Arial" w:cs="Arial"/>
          <w:color w:val="333333"/>
          <w:sz w:val="24"/>
          <w:szCs w:val="24"/>
          <w:lang w:eastAsia="en-GB"/>
        </w:rPr>
        <w:t>long-term</w:t>
      </w:r>
      <w:bookmarkEnd w:id="3"/>
      <w:r w:rsidRPr="4A7B1F8E">
        <w:rPr>
          <w:rFonts w:ascii="Arial" w:eastAsia="Times New Roman" w:hAnsi="Arial" w:cs="Arial"/>
          <w:color w:val="333333"/>
          <w:sz w:val="24"/>
          <w:szCs w:val="24"/>
          <w:lang w:eastAsia="en-GB"/>
        </w:rPr>
        <w:t xml:space="preserve"> impact on its revenue and withdrew investments in Russia.</w:t>
      </w:r>
    </w:p>
    <w:p w14:paraId="283E26B6" w14:textId="77777777" w:rsidR="00704DFF" w:rsidRPr="00AB6D30" w:rsidRDefault="00704DFF" w:rsidP="00AB6D30">
      <w:pPr>
        <w:spacing w:line="480" w:lineRule="auto"/>
        <w:rPr>
          <w:rFonts w:ascii="Arial" w:eastAsia="Times New Roman" w:hAnsi="Arial" w:cs="Arial"/>
          <w:color w:val="333333"/>
          <w:sz w:val="24"/>
          <w:szCs w:val="24"/>
          <w:lang w:eastAsia="en-GB"/>
        </w:rPr>
      </w:pPr>
    </w:p>
    <w:p w14:paraId="3E44CF33" w14:textId="170B2571" w:rsidR="00704DFF" w:rsidRPr="00AB6D30" w:rsidRDefault="4A7B1F8E" w:rsidP="00AB6D30">
      <w:pPr>
        <w:spacing w:line="480" w:lineRule="auto"/>
        <w:rPr>
          <w:rFonts w:ascii="Arial" w:hAnsi="Arial" w:cs="Arial"/>
          <w:sz w:val="24"/>
          <w:szCs w:val="24"/>
        </w:rPr>
      </w:pPr>
      <w:r w:rsidRPr="4A7B1F8E">
        <w:rPr>
          <w:rFonts w:ascii="Arial" w:hAnsi="Arial" w:cs="Arial"/>
          <w:b/>
          <w:bCs/>
          <w:sz w:val="24"/>
          <w:szCs w:val="24"/>
        </w:rPr>
        <w:t xml:space="preserve">Economic </w:t>
      </w:r>
      <w:r w:rsidRPr="4A7B1F8E">
        <w:rPr>
          <w:rFonts w:ascii="Arial" w:hAnsi="Arial" w:cs="Arial"/>
          <w:sz w:val="24"/>
          <w:szCs w:val="24"/>
        </w:rPr>
        <w:t>– Economy intricately links with Political with the cost-of-living crisis and increasingly mobile workforce (Cheese, 2021). Economic risks include interest rate fluctuations, high inflation currently 10.7% (</w:t>
      </w:r>
      <w:r w:rsidRPr="4A7B1F8E">
        <w:rPr>
          <w:rFonts w:ascii="Arial" w:hAnsi="Arial" w:cs="Arial"/>
          <w:i/>
          <w:iCs/>
          <w:sz w:val="24"/>
          <w:szCs w:val="24"/>
        </w:rPr>
        <w:t>Bank of England</w:t>
      </w:r>
      <w:r w:rsidRPr="4A7B1F8E">
        <w:rPr>
          <w:rFonts w:ascii="Arial" w:hAnsi="Arial" w:cs="Arial"/>
          <w:sz w:val="24"/>
          <w:szCs w:val="24"/>
        </w:rPr>
        <w:t xml:space="preserve">, 2022) global recession and rising labour costs </w:t>
      </w:r>
      <w:r w:rsidR="00704DFF" w:rsidRPr="4A7B1F8E">
        <w:rPr>
          <w:rFonts w:ascii="Arial" w:hAnsi="Arial" w:cs="Arial"/>
          <w:sz w:val="24"/>
          <w:szCs w:val="24"/>
        </w:rPr>
        <w:fldChar w:fldCharType="begin"/>
      </w:r>
      <w:r w:rsidR="00704DFF" w:rsidRPr="4A7B1F8E">
        <w:rPr>
          <w:rFonts w:ascii="Arial" w:hAnsi="Arial" w:cs="Arial"/>
          <w:sz w:val="24"/>
          <w:szCs w:val="24"/>
        </w:rPr>
        <w:instrText xml:space="preserve"> ADDIN ZOTERO_ITEM CSL_CITATION {"citationID":"WndcJpBQ","properties":{"formattedCitation":"({\\i{}PESTEL analysis}, no date)","plainCitation":"(PESTEL analysis, no date)","dontUpdate":true,"noteIndex":0},"citationItems":[{"id":130,"uris":["http://zotero.org/users/local/iOlGV4Ba/items/5I9YZQWC"],"itemData":{"id":130,"type":"webpage","abstract":"PESTEL analysis allows you to examine the macro-environment of your company in order to identify factors which directly or indirectly affect your business operations.","container-title":"IONOS Startup Guide","language":"en-GB","title":"PESTEL analysis","URL":"https://www.ionos.co.uk/startupguide/grow-your-business/pestel-analysis/","accessed":{"date-parts":[["2022",12,10]]}}}],"schema":"https://github.com/citation-style-language/schema/raw/master/csl-citation.json"} </w:instrText>
      </w:r>
      <w:r w:rsidR="00704DFF" w:rsidRPr="4A7B1F8E">
        <w:rPr>
          <w:rFonts w:ascii="Arial" w:hAnsi="Arial" w:cs="Arial"/>
          <w:sz w:val="24"/>
          <w:szCs w:val="24"/>
        </w:rPr>
        <w:fldChar w:fldCharType="separate"/>
      </w:r>
      <w:r w:rsidRPr="4A7B1F8E">
        <w:rPr>
          <w:rFonts w:ascii="Arial" w:hAnsi="Arial" w:cs="Arial"/>
          <w:sz w:val="24"/>
          <w:szCs w:val="24"/>
        </w:rPr>
        <w:t>(</w:t>
      </w:r>
      <w:r w:rsidRPr="4A7B1F8E">
        <w:rPr>
          <w:rFonts w:ascii="Arial" w:hAnsi="Arial" w:cs="Arial"/>
          <w:i/>
          <w:iCs/>
          <w:sz w:val="24"/>
          <w:szCs w:val="24"/>
        </w:rPr>
        <w:t>IONOS, 2020</w:t>
      </w:r>
      <w:r w:rsidRPr="4A7B1F8E">
        <w:rPr>
          <w:rFonts w:ascii="Arial" w:hAnsi="Arial" w:cs="Arial"/>
          <w:sz w:val="24"/>
          <w:szCs w:val="24"/>
        </w:rPr>
        <w:t>)</w:t>
      </w:r>
      <w:r w:rsidR="00704DFF" w:rsidRPr="4A7B1F8E">
        <w:rPr>
          <w:rFonts w:ascii="Arial" w:hAnsi="Arial" w:cs="Arial"/>
          <w:sz w:val="24"/>
          <w:szCs w:val="24"/>
        </w:rPr>
        <w:fldChar w:fldCharType="end"/>
      </w:r>
      <w:r w:rsidRPr="4A7B1F8E">
        <w:rPr>
          <w:rFonts w:ascii="Arial" w:hAnsi="Arial" w:cs="Arial"/>
          <w:sz w:val="24"/>
          <w:szCs w:val="24"/>
        </w:rPr>
        <w:t xml:space="preserve">. The International Labour Organisation (ILO) recommend that policymakers support a recovery by focusing on employment, income and workers’ rights calling this a ‘human centred recovery’ (ILO, 2021). The UK Government is now proposing the opposite with plans to legislate union activity to reduce strike action through union regulation </w:t>
      </w:r>
      <w:r w:rsidR="00704DFF" w:rsidRPr="4A7B1F8E">
        <w:rPr>
          <w:rFonts w:ascii="Arial" w:hAnsi="Arial" w:cs="Arial"/>
          <w:sz w:val="24"/>
          <w:szCs w:val="24"/>
        </w:rPr>
        <w:fldChar w:fldCharType="begin"/>
      </w:r>
      <w:r w:rsidR="00704DFF" w:rsidRPr="4A7B1F8E">
        <w:rPr>
          <w:rFonts w:ascii="Arial" w:hAnsi="Arial" w:cs="Arial"/>
          <w:sz w:val="24"/>
          <w:szCs w:val="24"/>
        </w:rPr>
        <w:instrText xml:space="preserve"> ADDIN ZOTERO_ITEM CSL_CITATION {"citationID":"QcHO7sDS","properties":{"formattedCitation":"(Bird, 2022)","plainCitation":"(Bird, 2022)","noteIndex":0},"citationItems":[{"id":139,"uris":["http://zotero.org/users/local/iOlGV4Ba/items/HQDBISH6"],"itemData":{"id":139,"type":"post-weblog","abstract":"Mini Budget 2022: The government plans to legislate to reduce strike action by making trade unions take all pay offers to a member vote.","container-title":"Employee Benefits","language":"en-GB","title":"Government moves to reduce strike action through union regulation","URL":"https://employeebenefits.co.uk/government-reduce-strike-through-union-regulation/","author":[{"family":"Bird","given":"Jessica"}],"accessed":{"date-parts":[["2022",12,10]]},"issued":{"date-parts":[["2022",9,23]]}}}],"schema":"https://github.com/citation-style-language/schema/raw/master/csl-citation.json"} </w:instrText>
      </w:r>
      <w:r w:rsidR="00704DFF" w:rsidRPr="4A7B1F8E">
        <w:rPr>
          <w:rFonts w:ascii="Arial" w:hAnsi="Arial" w:cs="Arial"/>
          <w:sz w:val="24"/>
          <w:szCs w:val="24"/>
        </w:rPr>
        <w:fldChar w:fldCharType="separate"/>
      </w:r>
      <w:r w:rsidRPr="4A7B1F8E">
        <w:rPr>
          <w:rFonts w:ascii="Arial" w:hAnsi="Arial" w:cs="Arial"/>
          <w:sz w:val="24"/>
          <w:szCs w:val="24"/>
        </w:rPr>
        <w:t>(Bird, 2022)</w:t>
      </w:r>
      <w:r w:rsidR="00704DFF" w:rsidRPr="4A7B1F8E">
        <w:rPr>
          <w:rFonts w:ascii="Arial" w:hAnsi="Arial" w:cs="Arial"/>
          <w:sz w:val="24"/>
          <w:szCs w:val="24"/>
        </w:rPr>
        <w:fldChar w:fldCharType="end"/>
      </w:r>
      <w:r w:rsidRPr="4A7B1F8E">
        <w:rPr>
          <w:rFonts w:ascii="Arial" w:hAnsi="Arial" w:cs="Arial"/>
          <w:sz w:val="24"/>
          <w:szCs w:val="24"/>
        </w:rPr>
        <w:t>. The cost-of-living crisis is affecting third sector activity due to rapid rises in costs, increase needs of communities, use of food banks and a reduction in fundraising income (</w:t>
      </w:r>
      <w:r w:rsidRPr="4A7B1F8E">
        <w:rPr>
          <w:rFonts w:ascii="Arial" w:hAnsi="Arial" w:cs="Arial"/>
          <w:i/>
          <w:iCs/>
          <w:sz w:val="24"/>
          <w:szCs w:val="24"/>
        </w:rPr>
        <w:t>SCVO, 2022</w:t>
      </w:r>
      <w:r w:rsidRPr="4A7B1F8E">
        <w:rPr>
          <w:rFonts w:ascii="Arial" w:hAnsi="Arial" w:cs="Arial"/>
          <w:sz w:val="24"/>
          <w:szCs w:val="24"/>
        </w:rPr>
        <w:t>) (</w:t>
      </w:r>
      <w:r w:rsidRPr="4A7B1F8E">
        <w:rPr>
          <w:rFonts w:ascii="Arial" w:hAnsi="Arial" w:cs="Arial"/>
          <w:i/>
          <w:iCs/>
          <w:sz w:val="24"/>
          <w:szCs w:val="24"/>
        </w:rPr>
        <w:t>Reward Gateway, 2022</w:t>
      </w:r>
      <w:r w:rsidRPr="4A7B1F8E">
        <w:rPr>
          <w:rFonts w:ascii="Arial" w:hAnsi="Arial" w:cs="Arial"/>
          <w:sz w:val="24"/>
          <w:szCs w:val="24"/>
        </w:rPr>
        <w:t xml:space="preserve">). Financial wellbeing now requires deliberate focus from PP, historically this </w:t>
      </w:r>
      <w:bookmarkStart w:id="4" w:name="_Int_eiqYlkxV"/>
      <w:r w:rsidRPr="4A7B1F8E">
        <w:rPr>
          <w:rFonts w:ascii="Arial" w:hAnsi="Arial" w:cs="Arial"/>
          <w:sz w:val="24"/>
          <w:szCs w:val="24"/>
        </w:rPr>
        <w:t>has not</w:t>
      </w:r>
      <w:bookmarkEnd w:id="4"/>
      <w:r w:rsidRPr="4A7B1F8E">
        <w:rPr>
          <w:rFonts w:ascii="Arial" w:hAnsi="Arial" w:cs="Arial"/>
          <w:sz w:val="24"/>
          <w:szCs w:val="24"/>
        </w:rPr>
        <w:t xml:space="preserve"> been on SPM agendas, with 47% of UK employees reported to be struggling financially (CIPD, 2021c; CIPD, 2021d).</w:t>
      </w:r>
    </w:p>
    <w:p w14:paraId="70CDA9DF" w14:textId="18CDAEFC" w:rsidR="00704DFF" w:rsidRPr="00AB6D30" w:rsidRDefault="00704DFF" w:rsidP="00AB6D30">
      <w:pPr>
        <w:spacing w:line="480" w:lineRule="auto"/>
        <w:rPr>
          <w:rFonts w:ascii="Arial" w:hAnsi="Arial" w:cs="Arial"/>
          <w:sz w:val="24"/>
          <w:szCs w:val="24"/>
        </w:rPr>
      </w:pPr>
      <w:r w:rsidRPr="00AB6D30">
        <w:rPr>
          <w:rFonts w:ascii="Arial" w:hAnsi="Arial" w:cs="Arial"/>
          <w:b/>
          <w:bCs/>
          <w:sz w:val="24"/>
          <w:szCs w:val="24"/>
        </w:rPr>
        <w:t>Socio- Cultural</w:t>
      </w:r>
      <w:r w:rsidRPr="00AB6D30">
        <w:rPr>
          <w:rFonts w:ascii="Arial" w:hAnsi="Arial" w:cs="Arial"/>
          <w:sz w:val="24"/>
          <w:szCs w:val="24"/>
        </w:rPr>
        <w:t xml:space="preserve"> – Understanding the socio-cultural factors is key to succeed in the marketplace (Momin, 2022). A key influence on organisational success is human capital; in </w:t>
      </w:r>
      <w:r w:rsidR="0088270F" w:rsidRPr="00AB6D30">
        <w:rPr>
          <w:rFonts w:ascii="Arial" w:hAnsi="Arial" w:cs="Arial"/>
          <w:sz w:val="24"/>
          <w:szCs w:val="24"/>
        </w:rPr>
        <w:t>particular,</w:t>
      </w:r>
      <w:r w:rsidRPr="00AB6D30">
        <w:rPr>
          <w:rFonts w:ascii="Arial" w:hAnsi="Arial" w:cs="Arial"/>
          <w:sz w:val="24"/>
          <w:szCs w:val="24"/>
        </w:rPr>
        <w:t xml:space="preserve"> stimulating private sector growth to bring new jobs thus prosperity and stronger communities (Cheese, 2021). A key dynamic is flexible working, </w:t>
      </w:r>
      <w:r w:rsidRPr="00AB6D30">
        <w:rPr>
          <w:rFonts w:ascii="Arial" w:hAnsi="Arial" w:cs="Arial"/>
          <w:color w:val="000000" w:themeColor="text1"/>
          <w:sz w:val="24"/>
          <w:szCs w:val="24"/>
        </w:rPr>
        <w:t xml:space="preserve">the </w:t>
      </w:r>
      <w:r w:rsidRPr="00AB6D30">
        <w:rPr>
          <w:rFonts w:ascii="Arial" w:hAnsi="Arial" w:cs="Arial"/>
          <w:color w:val="000000" w:themeColor="text1"/>
          <w:sz w:val="24"/>
          <w:szCs w:val="24"/>
          <w:shd w:val="clear" w:color="auto" w:fill="FFFFFF"/>
        </w:rPr>
        <w:t>pandemic</w:t>
      </w:r>
      <w:r w:rsidRPr="00AB6D30">
        <w:rPr>
          <w:rFonts w:ascii="Arial" w:hAnsi="Arial" w:cs="Arial"/>
          <w:color w:val="000000" w:themeColor="text1"/>
          <w:sz w:val="24"/>
          <w:szCs w:val="24"/>
        </w:rPr>
        <w:t xml:space="preserve"> enabled</w:t>
      </w:r>
      <w:r w:rsidRPr="00AB6D30">
        <w:rPr>
          <w:rFonts w:ascii="Arial" w:hAnsi="Arial" w:cs="Arial"/>
          <w:sz w:val="24"/>
          <w:szCs w:val="24"/>
        </w:rPr>
        <w:t xml:space="preserve"> considerable shift in mindsets and cultural norms (CIPD, 2021</w:t>
      </w:r>
      <w:r w:rsidR="006079FD">
        <w:rPr>
          <w:rFonts w:ascii="Arial" w:hAnsi="Arial" w:cs="Arial"/>
          <w:sz w:val="24"/>
          <w:szCs w:val="24"/>
        </w:rPr>
        <w:t>b</w:t>
      </w:r>
      <w:r w:rsidRPr="00AB6D30">
        <w:rPr>
          <w:rFonts w:ascii="Arial" w:hAnsi="Arial" w:cs="Arial"/>
          <w:sz w:val="24"/>
          <w:szCs w:val="24"/>
        </w:rPr>
        <w:t xml:space="preserve">). It is now possible to request flexible working from day </w:t>
      </w:r>
      <w:r w:rsidR="00433D30">
        <w:rPr>
          <w:rFonts w:ascii="Arial" w:hAnsi="Arial" w:cs="Arial"/>
          <w:sz w:val="24"/>
          <w:szCs w:val="24"/>
        </w:rPr>
        <w:t>one</w:t>
      </w:r>
      <w:r w:rsidRPr="00AB6D30">
        <w:rPr>
          <w:rFonts w:ascii="Arial" w:hAnsi="Arial" w:cs="Arial"/>
          <w:sz w:val="24"/>
          <w:szCs w:val="24"/>
        </w:rPr>
        <w:t xml:space="preserve">, something CIPD have been campaign for (Mayne, 2022), though </w:t>
      </w:r>
      <w:bookmarkStart w:id="5" w:name="_Int_9b93BtOC"/>
      <w:r w:rsidRPr="00AB6D30">
        <w:rPr>
          <w:rFonts w:ascii="Arial" w:hAnsi="Arial" w:cs="Arial"/>
          <w:sz w:val="24"/>
          <w:szCs w:val="24"/>
        </w:rPr>
        <w:t>Johnson-Jones</w:t>
      </w:r>
      <w:bookmarkEnd w:id="5"/>
      <w:r w:rsidRPr="00AB6D30">
        <w:rPr>
          <w:rFonts w:ascii="Arial" w:hAnsi="Arial" w:cs="Arial"/>
          <w:sz w:val="24"/>
          <w:szCs w:val="24"/>
        </w:rPr>
        <w:t xml:space="preserve"> (2022) argues will not guarantee workers anything. </w:t>
      </w:r>
    </w:p>
    <w:p w14:paraId="5AE7D8C3" w14:textId="066BF57C" w:rsidR="00704DFF" w:rsidRPr="00AB6D30" w:rsidRDefault="4A7B1F8E" w:rsidP="00AB6D30">
      <w:pPr>
        <w:spacing w:line="480" w:lineRule="auto"/>
        <w:rPr>
          <w:rFonts w:ascii="Arial" w:hAnsi="Arial" w:cs="Arial"/>
          <w:b/>
          <w:bCs/>
          <w:sz w:val="24"/>
          <w:szCs w:val="24"/>
        </w:rPr>
      </w:pPr>
      <w:r w:rsidRPr="4A7B1F8E">
        <w:rPr>
          <w:rFonts w:ascii="Arial" w:hAnsi="Arial" w:cs="Arial"/>
          <w:sz w:val="24"/>
          <w:szCs w:val="24"/>
        </w:rPr>
        <w:t xml:space="preserve">CIPD (2022) looked at the so-called ‘Great Resignation’ due to the theory that the pandemic changed how people think about work, no longer tolerating </w:t>
      </w:r>
      <w:bookmarkStart w:id="6" w:name="_Int_rgEkPd5r"/>
      <w:r w:rsidRPr="4A7B1F8E">
        <w:rPr>
          <w:rFonts w:ascii="Arial" w:hAnsi="Arial" w:cs="Arial"/>
          <w:sz w:val="24"/>
          <w:szCs w:val="24"/>
        </w:rPr>
        <w:t>bad work</w:t>
      </w:r>
      <w:bookmarkEnd w:id="6"/>
      <w:r w:rsidRPr="4A7B1F8E">
        <w:rPr>
          <w:rFonts w:ascii="Arial" w:hAnsi="Arial" w:cs="Arial"/>
          <w:sz w:val="24"/>
          <w:szCs w:val="24"/>
        </w:rPr>
        <w:t xml:space="preserve">. </w:t>
      </w:r>
      <w:r w:rsidRPr="4A7B1F8E">
        <w:rPr>
          <w:rFonts w:ascii="Arial" w:hAnsi="Arial" w:cs="Arial"/>
          <w:sz w:val="24"/>
          <w:szCs w:val="24"/>
        </w:rPr>
        <w:lastRenderedPageBreak/>
        <w:t>Flexibility is key to recruitment as society changes its attitude to work and life, by looking at the factors that improve retention such as availability of several types of flexible working arrangements. High Performance Work Model proposed by CIPD (2021) includes flexible working practice as well as development opportunities that will create a robust framework and a more engaged and productive workforce.</w:t>
      </w:r>
      <w:r w:rsidRPr="4A7B1F8E">
        <w:rPr>
          <w:rFonts w:ascii="Arial" w:hAnsi="Arial" w:cs="Arial"/>
          <w:b/>
          <w:bCs/>
          <w:sz w:val="24"/>
          <w:szCs w:val="24"/>
        </w:rPr>
        <w:t xml:space="preserve"> </w:t>
      </w:r>
    </w:p>
    <w:p w14:paraId="0B738DE8" w14:textId="77777777" w:rsidR="00704DFF" w:rsidRPr="00AB6D30" w:rsidRDefault="00704DFF" w:rsidP="00AB6D30">
      <w:pPr>
        <w:spacing w:line="480" w:lineRule="auto"/>
        <w:rPr>
          <w:rFonts w:ascii="Arial" w:hAnsi="Arial" w:cs="Arial"/>
          <w:sz w:val="24"/>
          <w:szCs w:val="24"/>
        </w:rPr>
      </w:pPr>
      <w:r w:rsidRPr="00AB6D30">
        <w:rPr>
          <w:rFonts w:ascii="Arial" w:hAnsi="Arial" w:cs="Arial"/>
          <w:b/>
          <w:bCs/>
          <w:sz w:val="24"/>
          <w:szCs w:val="24"/>
        </w:rPr>
        <w:t>Technology</w:t>
      </w:r>
      <w:r w:rsidRPr="00AB6D30">
        <w:rPr>
          <w:rFonts w:ascii="Arial" w:hAnsi="Arial" w:cs="Arial"/>
          <w:sz w:val="24"/>
          <w:szCs w:val="24"/>
        </w:rPr>
        <w:t xml:space="preserve"> – Advancing technology is central to organisational performance and survival, organisations must look to align themselves with complexity in its external environment (Child and Rodrigues, 2011). Technological changes will create growth opportunities but also create risks; growing trends in Artificial Intelligence (AI) creates opportunities with threats. </w:t>
      </w:r>
    </w:p>
    <w:p w14:paraId="570259B7" w14:textId="463D4CA8" w:rsidR="00704DFF" w:rsidRPr="00AB6D30" w:rsidRDefault="00704DFF" w:rsidP="00AB6D30">
      <w:pPr>
        <w:spacing w:line="480" w:lineRule="auto"/>
        <w:rPr>
          <w:rFonts w:ascii="Arial" w:hAnsi="Arial" w:cs="Arial"/>
          <w:sz w:val="24"/>
          <w:szCs w:val="24"/>
        </w:rPr>
      </w:pPr>
      <w:r w:rsidRPr="00AB6D30">
        <w:rPr>
          <w:rFonts w:ascii="Arial" w:hAnsi="Arial" w:cs="Arial"/>
          <w:sz w:val="24"/>
          <w:szCs w:val="24"/>
        </w:rPr>
        <w:t>Chhillar &amp; Aguilera (2022) looked at social, legal, organizational challenges of introducing AI,</w:t>
      </w:r>
      <w:r w:rsidRPr="00AB6D30">
        <w:rPr>
          <w:rFonts w:ascii="Arial" w:eastAsiaTheme="minorEastAsia" w:hAnsi="Arial" w:cs="Arial"/>
          <w:color w:val="000000"/>
          <w:sz w:val="24"/>
          <w:szCs w:val="24"/>
          <w:lang w:eastAsia="en-GB"/>
        </w:rPr>
        <w:t xml:space="preserve"> </w:t>
      </w:r>
      <w:r w:rsidRPr="00AB6D30">
        <w:rPr>
          <w:rFonts w:ascii="Arial" w:hAnsi="Arial" w:cs="Arial"/>
          <w:sz w:val="24"/>
          <w:szCs w:val="24"/>
        </w:rPr>
        <w:t>PP must ensure workforce planning include upskilling and talent management of existing workforce, considering the worries of how employees feel they fit into this new world of technology (Cheese, 2021)</w:t>
      </w:r>
      <w:r w:rsidRPr="00AB6D30">
        <w:rPr>
          <w:rFonts w:ascii="Arial" w:hAnsi="Arial" w:cs="Arial"/>
          <w:sz w:val="24"/>
          <w:szCs w:val="24"/>
        </w:rPr>
        <w:fldChar w:fldCharType="begin"/>
      </w:r>
      <w:r w:rsidRPr="00AB6D30">
        <w:rPr>
          <w:rFonts w:ascii="Arial" w:hAnsi="Arial" w:cs="Arial"/>
          <w:sz w:val="24"/>
          <w:szCs w:val="24"/>
        </w:rPr>
        <w:instrText xml:space="preserve"> ADDIN ZOTERO_ITEM CSL_CITATION {"citationID":"oEtxB0Wp","properties":{"formattedCitation":"(Chhillar and Aguilera, 2022)","plainCitation":"(Chhillar and Aguilera, 2022)","noteIndex":0},"citationItems":[{"id":99,"uris":["http://zotero.org/users/local/iOlGV4Ba/items/VLB72WIK"],"itemData":{"id":99,"type":"article-journal","abstract":"In this 60th anniversary of Business &amp; Society essay, we seek to make three main contributions at the intersection of governance and artificial intelligence (AI). First, we aim to illuminate some of the deeper social, legal, organizational, and democratic challenges of rising AI adoption and resulting algorithmic power by reviewing AI research through a governance lens. Second, we propose an AI governance framework that aims to better assess AI challenges as well as how different governance modalities (architecture, laws, norms, and market) can support AI. At the heart of our framework lies the governance forces that apply to institutions, organizations, and individuals, who ultimately provide, regulate, and use AI decision-making. We discuss how businesses may harness AI?s economic power through governance solutions without creating or amplifying societal biases and inequalities. Third, as part of our section on future research, we identify a set of governance trade-offs in AI adoption, suggest future research avenues to conceptually strengthen research on the governance of AI, and lay out key policy recommendations.","container-title":"Business &amp; Society","DOI":"10.1177/00076503221080959","ISSN":"0007-6503","issue":"5","language":"en","note":"publisher: SAGE Publications Inc","page":"1197-1241","source":"SAGE Journals","title":"An Eye for Artificial Intelligence: Insights Into the Governance of Artificial Intelligence and Vision for Future Research","title-short":"An Eye for Artificial Intelligence","volume":"61","author":[{"family":"Chhillar","given":"Deepika"},{"family":"Aguilera","given":"Ruth V."}],"issued":{"date-parts":[["2022",5,1]]}}}],"schema":"https://github.com/citation-style-language/schema/raw/master/csl-citation.json"} </w:instrText>
      </w:r>
      <w:r w:rsidR="00C811AF">
        <w:rPr>
          <w:rFonts w:ascii="Arial" w:hAnsi="Arial" w:cs="Arial"/>
          <w:sz w:val="24"/>
          <w:szCs w:val="24"/>
        </w:rPr>
        <w:fldChar w:fldCharType="separate"/>
      </w:r>
      <w:r w:rsidRPr="00AB6D30">
        <w:rPr>
          <w:rFonts w:ascii="Arial" w:hAnsi="Arial" w:cs="Arial"/>
          <w:sz w:val="24"/>
          <w:szCs w:val="24"/>
        </w:rPr>
        <w:fldChar w:fldCharType="end"/>
      </w:r>
      <w:r w:rsidR="00AB6D30">
        <w:rPr>
          <w:rFonts w:ascii="Arial" w:hAnsi="Arial" w:cs="Arial"/>
          <w:sz w:val="24"/>
          <w:szCs w:val="24"/>
        </w:rPr>
        <w:t>.</w:t>
      </w:r>
    </w:p>
    <w:p w14:paraId="1038B59F" w14:textId="2096CF7E" w:rsidR="00704DFF" w:rsidRPr="00AB6D30" w:rsidRDefault="00704DFF" w:rsidP="00AB6D30">
      <w:pPr>
        <w:spacing w:line="480" w:lineRule="auto"/>
        <w:rPr>
          <w:rFonts w:ascii="Arial" w:hAnsi="Arial" w:cs="Arial"/>
          <w:sz w:val="24"/>
          <w:szCs w:val="24"/>
        </w:rPr>
      </w:pPr>
      <w:r w:rsidRPr="00AB6D30">
        <w:rPr>
          <w:rFonts w:ascii="Arial" w:hAnsi="Arial" w:cs="Arial"/>
          <w:b/>
          <w:bCs/>
          <w:sz w:val="24"/>
          <w:szCs w:val="24"/>
        </w:rPr>
        <w:t>Legal</w:t>
      </w:r>
      <w:r w:rsidRPr="00AB6D30">
        <w:rPr>
          <w:rFonts w:ascii="Arial" w:hAnsi="Arial" w:cs="Arial"/>
          <w:sz w:val="24"/>
          <w:szCs w:val="24"/>
        </w:rPr>
        <w:t xml:space="preserve"> – PP are key in understanding legal frameworks and sustainability of an organisation through is its congruence with legislation (Cheese, 2021</w:t>
      </w:r>
      <w:r w:rsidR="001D506E">
        <w:rPr>
          <w:rFonts w:ascii="Arial" w:hAnsi="Arial" w:cs="Arial"/>
          <w:sz w:val="24"/>
          <w:szCs w:val="24"/>
        </w:rPr>
        <w:t>; CIPD, 2022b</w:t>
      </w:r>
      <w:r w:rsidRPr="00AB6D30">
        <w:rPr>
          <w:rFonts w:ascii="Arial" w:hAnsi="Arial" w:cs="Arial"/>
          <w:sz w:val="24"/>
          <w:szCs w:val="24"/>
        </w:rPr>
        <w:t xml:space="preserve">). Employment Law handed down from Government and decisions from Employment Tribunals can have an impact on future strategy. Recent employment tribunal cases deriving from remote working during the pandemic highlights the importance for PP having an in-depth understanding of the legal aspects of the business. Howlett (2022) highlighted a case that </w:t>
      </w:r>
      <w:r w:rsidR="009C584D" w:rsidRPr="00AB6D30">
        <w:rPr>
          <w:rFonts w:ascii="Arial" w:hAnsi="Arial" w:cs="Arial"/>
          <w:sz w:val="24"/>
          <w:szCs w:val="24"/>
        </w:rPr>
        <w:t>shows</w:t>
      </w:r>
      <w:r w:rsidRPr="00AB6D30">
        <w:rPr>
          <w:rFonts w:ascii="Arial" w:hAnsi="Arial" w:cs="Arial"/>
          <w:sz w:val="24"/>
          <w:szCs w:val="24"/>
        </w:rPr>
        <w:t xml:space="preserve"> the length employers are expected to go to make reasonable adjustments under the Equality Act (2010), this case is an example of how organisations need to consider all options by clearly evidencing what has been considered.</w:t>
      </w:r>
    </w:p>
    <w:p w14:paraId="6A9C5D11" w14:textId="77777777" w:rsidR="00704DFF" w:rsidRPr="00AB6D30" w:rsidRDefault="00704DFF" w:rsidP="00AB6D30">
      <w:pPr>
        <w:spacing w:line="480" w:lineRule="auto"/>
        <w:rPr>
          <w:rFonts w:ascii="Arial" w:hAnsi="Arial" w:cs="Arial"/>
          <w:b/>
          <w:bCs/>
          <w:sz w:val="24"/>
          <w:szCs w:val="24"/>
        </w:rPr>
      </w:pPr>
    </w:p>
    <w:p w14:paraId="0BAB39E2" w14:textId="77777777" w:rsidR="00704DFF" w:rsidRPr="00AB6D30" w:rsidRDefault="00704DFF" w:rsidP="00AB6D30">
      <w:pPr>
        <w:spacing w:line="480" w:lineRule="auto"/>
        <w:rPr>
          <w:rFonts w:ascii="Arial" w:hAnsi="Arial" w:cs="Arial"/>
          <w:b/>
          <w:bCs/>
          <w:sz w:val="24"/>
          <w:szCs w:val="24"/>
        </w:rPr>
      </w:pPr>
    </w:p>
    <w:p w14:paraId="42D84B5F" w14:textId="4D1EA6DE" w:rsidR="00704DFF" w:rsidRPr="00AB6D30" w:rsidRDefault="4A7B1F8E" w:rsidP="00AB6D30">
      <w:pPr>
        <w:spacing w:line="480" w:lineRule="auto"/>
        <w:rPr>
          <w:rFonts w:ascii="Arial" w:hAnsi="Arial" w:cs="Arial"/>
          <w:sz w:val="24"/>
          <w:szCs w:val="24"/>
        </w:rPr>
      </w:pPr>
      <w:r w:rsidRPr="4A7B1F8E">
        <w:rPr>
          <w:rFonts w:ascii="Arial" w:hAnsi="Arial" w:cs="Arial"/>
          <w:b/>
          <w:bCs/>
          <w:sz w:val="24"/>
          <w:szCs w:val="24"/>
        </w:rPr>
        <w:t>Environment</w:t>
      </w:r>
      <w:r w:rsidRPr="4A7B1F8E">
        <w:rPr>
          <w:rFonts w:ascii="Arial" w:hAnsi="Arial" w:cs="Arial"/>
          <w:sz w:val="24"/>
          <w:szCs w:val="24"/>
        </w:rPr>
        <w:t xml:space="preserve"> – Organisations have a duty to responsibly manage how their business impacts on the environment (Rouas, 2022). PP have a growing role in sustainability and the organisational role in environmentalism through influencing employer brand through its environmental impact (Paulet et al, 2021). The growth of social activity ‘Escape Rooms’ is </w:t>
      </w:r>
      <w:bookmarkStart w:id="7" w:name="_Int_k4KfonIw"/>
      <w:r w:rsidRPr="4A7B1F8E">
        <w:rPr>
          <w:rFonts w:ascii="Arial" w:hAnsi="Arial" w:cs="Arial"/>
          <w:sz w:val="24"/>
          <w:szCs w:val="24"/>
        </w:rPr>
        <w:t>due</w:t>
      </w:r>
      <w:bookmarkEnd w:id="7"/>
      <w:r w:rsidRPr="4A7B1F8E">
        <w:rPr>
          <w:rFonts w:ascii="Arial" w:hAnsi="Arial" w:cs="Arial"/>
          <w:sz w:val="24"/>
          <w:szCs w:val="24"/>
        </w:rPr>
        <w:t xml:space="preserve"> to playing an escape room for fun, a PESTLE Analysis of its external environment expanded opportunities by engaging brands to promote their products and sell services, environmental enthusiasts are using it to teach about global warming and climate change </w:t>
      </w:r>
      <w:r w:rsidR="00704DFF" w:rsidRPr="4A7B1F8E">
        <w:rPr>
          <w:rFonts w:ascii="Arial" w:hAnsi="Arial" w:cs="Arial"/>
          <w:sz w:val="24"/>
          <w:szCs w:val="24"/>
        </w:rPr>
        <w:fldChar w:fldCharType="begin"/>
      </w:r>
      <w:r w:rsidR="00704DFF" w:rsidRPr="4A7B1F8E">
        <w:rPr>
          <w:rFonts w:ascii="Arial" w:hAnsi="Arial" w:cs="Arial"/>
          <w:sz w:val="24"/>
          <w:szCs w:val="24"/>
        </w:rPr>
        <w:instrText xml:space="preserve"> ADDIN ZOTERO_ITEM CSL_CITATION {"citationID":"dfYkhX4i","properties":{"formattedCitation":"({\\i{}PESTLE Analysis of Escape Rooms}, 2020)","plainCitation":"(PESTLE Analysis of Escape Rooms, 2020)","dontUpdate":true,"noteIndex":0},"citationItems":[{"id":141,"uris":["http://zotero.org/users/local/iOlGV4Ba/items/X3UDN9T4"],"itemData":{"id":141,"type":"webpage","abstract":"PESTLE analysis of escape rooms shows how some of PESTLE factors influence the success of escape rooms and one that doesn’t play too much of a role at all.","language":"en-US","note":"section: PEST Analysis","title":"PESTLE Analysis of Escape Rooms","URL":"https://pestleanalysis.com/pestle-analysis-of-escape-rooms/","accessed":{"date-parts":[["2022",12,10]]},"issued":{"date-parts":[["2020",3,17]]}}}],"schema":"https://github.com/citation-style-language/schema/raw/master/csl-citation.json"} </w:instrText>
      </w:r>
      <w:r w:rsidR="00704DFF" w:rsidRPr="4A7B1F8E">
        <w:rPr>
          <w:rFonts w:ascii="Arial" w:hAnsi="Arial" w:cs="Arial"/>
          <w:sz w:val="24"/>
          <w:szCs w:val="24"/>
        </w:rPr>
        <w:fldChar w:fldCharType="separate"/>
      </w:r>
      <w:r w:rsidRPr="4A7B1F8E">
        <w:rPr>
          <w:rFonts w:ascii="Arial" w:hAnsi="Arial" w:cs="Arial"/>
          <w:sz w:val="24"/>
          <w:szCs w:val="24"/>
        </w:rPr>
        <w:t>(</w:t>
      </w:r>
      <w:r w:rsidRPr="4A7B1F8E">
        <w:rPr>
          <w:rFonts w:ascii="Arial" w:hAnsi="Arial" w:cs="Arial"/>
          <w:i/>
          <w:iCs/>
          <w:sz w:val="24"/>
          <w:szCs w:val="24"/>
        </w:rPr>
        <w:t>Frue</w:t>
      </w:r>
      <w:r w:rsidRPr="4A7B1F8E">
        <w:rPr>
          <w:rFonts w:ascii="Arial" w:hAnsi="Arial" w:cs="Arial"/>
          <w:sz w:val="24"/>
          <w:szCs w:val="24"/>
        </w:rPr>
        <w:t>, 2020)</w:t>
      </w:r>
      <w:r w:rsidR="00704DFF" w:rsidRPr="4A7B1F8E">
        <w:rPr>
          <w:rFonts w:ascii="Arial" w:hAnsi="Arial" w:cs="Arial"/>
          <w:sz w:val="24"/>
          <w:szCs w:val="24"/>
        </w:rPr>
        <w:fldChar w:fldCharType="end"/>
      </w:r>
      <w:r w:rsidRPr="4A7B1F8E">
        <w:rPr>
          <w:rFonts w:ascii="Arial" w:hAnsi="Arial" w:cs="Arial"/>
          <w:sz w:val="24"/>
          <w:szCs w:val="24"/>
        </w:rPr>
        <w:t>.</w:t>
      </w:r>
    </w:p>
    <w:p w14:paraId="7ED06528" w14:textId="77777777" w:rsidR="00704DFF" w:rsidRPr="00AB6D30" w:rsidRDefault="00704DFF" w:rsidP="00AB6D30">
      <w:pPr>
        <w:spacing w:line="480" w:lineRule="auto"/>
        <w:rPr>
          <w:rFonts w:ascii="Arial" w:hAnsi="Arial" w:cs="Arial"/>
          <w:sz w:val="24"/>
          <w:szCs w:val="24"/>
        </w:rPr>
      </w:pPr>
    </w:p>
    <w:p w14:paraId="1BC5B415" w14:textId="77777777" w:rsidR="00704DFF" w:rsidRPr="00AB6D30" w:rsidRDefault="00704DFF" w:rsidP="00AB6D30">
      <w:pPr>
        <w:spacing w:line="480" w:lineRule="auto"/>
        <w:rPr>
          <w:rFonts w:ascii="Arial" w:hAnsi="Arial" w:cs="Arial"/>
          <w:sz w:val="24"/>
          <w:szCs w:val="24"/>
        </w:rPr>
      </w:pPr>
    </w:p>
    <w:p w14:paraId="0A9A498C" w14:textId="77777777" w:rsidR="00704DFF" w:rsidRDefault="00704DFF" w:rsidP="00704DFF">
      <w:pPr>
        <w:rPr>
          <w:rFonts w:ascii="Arial" w:hAnsi="Arial" w:cs="Arial"/>
          <w:sz w:val="24"/>
          <w:szCs w:val="24"/>
        </w:rPr>
      </w:pPr>
    </w:p>
    <w:p w14:paraId="5C043103" w14:textId="77777777" w:rsidR="00704DFF" w:rsidRPr="004279C7" w:rsidRDefault="00704DFF" w:rsidP="00704DFF">
      <w:pPr>
        <w:rPr>
          <w:rFonts w:ascii="Arial" w:hAnsi="Arial" w:cs="Arial"/>
          <w:sz w:val="24"/>
          <w:szCs w:val="24"/>
        </w:rPr>
      </w:pPr>
    </w:p>
    <w:p w14:paraId="27D91FED" w14:textId="77777777" w:rsidR="00704DFF" w:rsidRDefault="00704DFF" w:rsidP="00704DFF"/>
    <w:p w14:paraId="72F786DB" w14:textId="77777777" w:rsidR="00704DFF" w:rsidRDefault="00704DFF" w:rsidP="00D70C56">
      <w:pPr>
        <w:spacing w:line="480" w:lineRule="auto"/>
        <w:rPr>
          <w:rFonts w:ascii="Arial" w:hAnsi="Arial" w:cs="Arial"/>
          <w:b/>
          <w:bCs/>
          <w:sz w:val="24"/>
          <w:szCs w:val="24"/>
          <w:u w:val="single"/>
        </w:rPr>
      </w:pPr>
    </w:p>
    <w:p w14:paraId="44578ACC" w14:textId="77777777" w:rsidR="00704DFF" w:rsidRDefault="00704DFF" w:rsidP="00D70C56">
      <w:pPr>
        <w:spacing w:line="480" w:lineRule="auto"/>
        <w:rPr>
          <w:rFonts w:ascii="Arial" w:hAnsi="Arial" w:cs="Arial"/>
          <w:b/>
          <w:bCs/>
          <w:sz w:val="24"/>
          <w:szCs w:val="24"/>
          <w:u w:val="single"/>
        </w:rPr>
      </w:pPr>
    </w:p>
    <w:p w14:paraId="009C73BA" w14:textId="77777777" w:rsidR="00122BA2" w:rsidRDefault="00122BA2" w:rsidP="00D70C56">
      <w:pPr>
        <w:spacing w:line="480" w:lineRule="auto"/>
        <w:rPr>
          <w:rFonts w:ascii="Arial" w:hAnsi="Arial" w:cs="Arial"/>
          <w:b/>
          <w:bCs/>
          <w:sz w:val="24"/>
          <w:szCs w:val="24"/>
          <w:u w:val="single"/>
        </w:rPr>
      </w:pPr>
    </w:p>
    <w:p w14:paraId="479D6D0F" w14:textId="77777777" w:rsidR="00122BA2" w:rsidRDefault="00122BA2" w:rsidP="00D70C56">
      <w:pPr>
        <w:spacing w:line="480" w:lineRule="auto"/>
        <w:rPr>
          <w:rFonts w:ascii="Arial" w:hAnsi="Arial" w:cs="Arial"/>
          <w:b/>
          <w:bCs/>
          <w:sz w:val="24"/>
          <w:szCs w:val="24"/>
          <w:u w:val="single"/>
        </w:rPr>
      </w:pPr>
    </w:p>
    <w:p w14:paraId="7350CE9B" w14:textId="77777777" w:rsidR="00122BA2" w:rsidRDefault="00122BA2" w:rsidP="00D70C56">
      <w:pPr>
        <w:spacing w:line="480" w:lineRule="auto"/>
        <w:rPr>
          <w:rFonts w:ascii="Arial" w:hAnsi="Arial" w:cs="Arial"/>
          <w:b/>
          <w:bCs/>
          <w:sz w:val="24"/>
          <w:szCs w:val="24"/>
          <w:u w:val="single"/>
        </w:rPr>
      </w:pPr>
    </w:p>
    <w:p w14:paraId="3C1CC6F5" w14:textId="77777777" w:rsidR="00122BA2" w:rsidRDefault="00122BA2" w:rsidP="00D70C56">
      <w:pPr>
        <w:spacing w:line="480" w:lineRule="auto"/>
        <w:rPr>
          <w:rFonts w:ascii="Arial" w:hAnsi="Arial" w:cs="Arial"/>
          <w:b/>
          <w:bCs/>
          <w:sz w:val="24"/>
          <w:szCs w:val="24"/>
          <w:u w:val="single"/>
        </w:rPr>
      </w:pPr>
    </w:p>
    <w:p w14:paraId="035C6A3F" w14:textId="77777777" w:rsidR="00122BA2" w:rsidRDefault="00122BA2" w:rsidP="00D70C56">
      <w:pPr>
        <w:spacing w:line="480" w:lineRule="auto"/>
        <w:rPr>
          <w:rFonts w:ascii="Arial" w:hAnsi="Arial" w:cs="Arial"/>
          <w:b/>
          <w:bCs/>
          <w:sz w:val="24"/>
          <w:szCs w:val="24"/>
          <w:u w:val="single"/>
        </w:rPr>
      </w:pPr>
    </w:p>
    <w:p w14:paraId="2FEA487A" w14:textId="77777777" w:rsidR="00122BA2" w:rsidRDefault="00122BA2" w:rsidP="00D70C56">
      <w:pPr>
        <w:spacing w:line="480" w:lineRule="auto"/>
        <w:rPr>
          <w:rFonts w:ascii="Arial" w:hAnsi="Arial" w:cs="Arial"/>
          <w:b/>
          <w:bCs/>
          <w:sz w:val="24"/>
          <w:szCs w:val="24"/>
          <w:u w:val="single"/>
        </w:rPr>
      </w:pPr>
    </w:p>
    <w:p w14:paraId="5DDD0E5D" w14:textId="77777777" w:rsidR="00122BA2" w:rsidRDefault="00122BA2" w:rsidP="00D70C56">
      <w:pPr>
        <w:spacing w:line="480" w:lineRule="auto"/>
        <w:rPr>
          <w:rFonts w:ascii="Arial" w:hAnsi="Arial" w:cs="Arial"/>
          <w:b/>
          <w:bCs/>
          <w:sz w:val="24"/>
          <w:szCs w:val="24"/>
          <w:u w:val="single"/>
        </w:rPr>
      </w:pPr>
    </w:p>
    <w:p w14:paraId="7A0476BC" w14:textId="178E84C8" w:rsidR="00FC3302" w:rsidRPr="00122BA2" w:rsidRDefault="00CE6B73" w:rsidP="00D70C56">
      <w:pPr>
        <w:spacing w:line="480" w:lineRule="auto"/>
        <w:rPr>
          <w:rFonts w:ascii="Arial" w:hAnsi="Arial" w:cs="Arial"/>
          <w:b/>
          <w:bCs/>
          <w:sz w:val="24"/>
          <w:szCs w:val="24"/>
          <w:u w:val="single"/>
        </w:rPr>
      </w:pPr>
      <w:r w:rsidRPr="00D70C56">
        <w:rPr>
          <w:rFonts w:ascii="Arial" w:hAnsi="Arial" w:cs="Arial"/>
          <w:b/>
          <w:bCs/>
          <w:sz w:val="24"/>
          <w:szCs w:val="24"/>
          <w:u w:val="single"/>
        </w:rPr>
        <w:t>References</w:t>
      </w:r>
    </w:p>
    <w:p w14:paraId="5C5D359C" w14:textId="7D1D581B" w:rsidR="003770BE" w:rsidRDefault="4A7B1F8E" w:rsidP="00D70C56">
      <w:pPr>
        <w:pStyle w:val="ListParagraph"/>
        <w:numPr>
          <w:ilvl w:val="0"/>
          <w:numId w:val="3"/>
        </w:numPr>
        <w:spacing w:line="480" w:lineRule="auto"/>
        <w:rPr>
          <w:rFonts w:ascii="Arial" w:hAnsi="Arial" w:cs="Arial"/>
          <w:sz w:val="24"/>
          <w:szCs w:val="24"/>
        </w:rPr>
      </w:pPr>
      <w:bookmarkStart w:id="8" w:name="_Int_fUrAZ9qH"/>
      <w:r w:rsidRPr="4A7B1F8E">
        <w:rPr>
          <w:rFonts w:ascii="Arial" w:hAnsi="Arial" w:cs="Arial"/>
          <w:sz w:val="24"/>
          <w:szCs w:val="24"/>
        </w:rPr>
        <w:t>Armstrong, M. and Taylor, S. (2020) </w:t>
      </w:r>
      <w:r w:rsidRPr="4A7B1F8E">
        <w:rPr>
          <w:rFonts w:ascii="Arial" w:hAnsi="Arial" w:cs="Arial"/>
          <w:i/>
          <w:iCs/>
          <w:sz w:val="24"/>
          <w:szCs w:val="24"/>
        </w:rPr>
        <w:t>Armstrong’s handbook of human resource management practice</w:t>
      </w:r>
      <w:r w:rsidRPr="4A7B1F8E">
        <w:rPr>
          <w:rFonts w:ascii="Arial" w:hAnsi="Arial" w:cs="Arial"/>
          <w:sz w:val="24"/>
          <w:szCs w:val="24"/>
        </w:rPr>
        <w:t>.</w:t>
      </w:r>
      <w:bookmarkEnd w:id="8"/>
      <w:r w:rsidRPr="4A7B1F8E">
        <w:rPr>
          <w:rFonts w:ascii="Arial" w:hAnsi="Arial" w:cs="Arial"/>
          <w:sz w:val="24"/>
          <w:szCs w:val="24"/>
        </w:rPr>
        <w:t xml:space="preserve"> 15th edition. London, United Kingdom; Kogan Page.</w:t>
      </w:r>
    </w:p>
    <w:p w14:paraId="30ECD87E" w14:textId="77777777" w:rsidR="002E7240" w:rsidRDefault="002E7240" w:rsidP="002E7240">
      <w:pPr>
        <w:pStyle w:val="ListParagraph"/>
        <w:spacing w:line="480" w:lineRule="auto"/>
        <w:rPr>
          <w:rFonts w:ascii="Arial" w:hAnsi="Arial" w:cs="Arial"/>
          <w:sz w:val="24"/>
          <w:szCs w:val="24"/>
        </w:rPr>
      </w:pPr>
    </w:p>
    <w:p w14:paraId="09203938" w14:textId="77777777" w:rsidR="002E7240" w:rsidRDefault="002E7240" w:rsidP="002E7240">
      <w:pPr>
        <w:pStyle w:val="ListParagraph"/>
        <w:numPr>
          <w:ilvl w:val="0"/>
          <w:numId w:val="3"/>
        </w:numPr>
        <w:spacing w:after="0" w:line="480" w:lineRule="auto"/>
        <w:rPr>
          <w:rFonts w:ascii="Arial" w:hAnsi="Arial" w:cs="Arial"/>
          <w:sz w:val="24"/>
          <w:szCs w:val="24"/>
        </w:rPr>
      </w:pPr>
      <w:bookmarkStart w:id="9" w:name="_Hlk122002288"/>
      <w:r w:rsidRPr="00CE53DD">
        <w:rPr>
          <w:rFonts w:ascii="Arial" w:hAnsi="Arial" w:cs="Arial"/>
          <w:i/>
          <w:iCs/>
          <w:sz w:val="24"/>
          <w:szCs w:val="24"/>
        </w:rPr>
        <w:t>Bank of England (2022</w:t>
      </w:r>
      <w:r>
        <w:rPr>
          <w:rFonts w:ascii="Arial" w:hAnsi="Arial" w:cs="Arial"/>
          <w:sz w:val="24"/>
          <w:szCs w:val="24"/>
        </w:rPr>
        <w:t xml:space="preserve">) </w:t>
      </w:r>
      <w:bookmarkEnd w:id="9"/>
      <w:r w:rsidRPr="008E029D">
        <w:rPr>
          <w:rFonts w:ascii="Arial" w:hAnsi="Arial" w:cs="Arial"/>
          <w:sz w:val="24"/>
          <w:szCs w:val="24"/>
        </w:rPr>
        <w:fldChar w:fldCharType="begin"/>
      </w:r>
      <w:r w:rsidRPr="008E029D">
        <w:rPr>
          <w:rFonts w:ascii="Arial" w:hAnsi="Arial" w:cs="Arial"/>
          <w:sz w:val="24"/>
          <w:szCs w:val="24"/>
        </w:rPr>
        <w:instrText xml:space="preserve"> HYPERLINK "https://www.bankofengland.co.uk/knowledgebank/what-is-inflation" </w:instrText>
      </w:r>
      <w:r w:rsidRPr="008E029D">
        <w:rPr>
          <w:rFonts w:ascii="Arial" w:hAnsi="Arial" w:cs="Arial"/>
          <w:sz w:val="24"/>
          <w:szCs w:val="24"/>
        </w:rPr>
      </w:r>
      <w:r w:rsidRPr="008E029D">
        <w:rPr>
          <w:rFonts w:ascii="Arial" w:hAnsi="Arial" w:cs="Arial"/>
          <w:sz w:val="24"/>
          <w:szCs w:val="24"/>
        </w:rPr>
        <w:fldChar w:fldCharType="separate"/>
      </w:r>
      <w:r w:rsidRPr="008E029D">
        <w:rPr>
          <w:rStyle w:val="Hyperlink"/>
          <w:rFonts w:ascii="Arial" w:hAnsi="Arial" w:cs="Arial"/>
          <w:sz w:val="24"/>
          <w:szCs w:val="24"/>
        </w:rPr>
        <w:t>What is inflation? | Bank of England</w:t>
      </w:r>
      <w:r w:rsidRPr="008E029D">
        <w:rPr>
          <w:rFonts w:ascii="Arial" w:hAnsi="Arial" w:cs="Arial"/>
          <w:sz w:val="24"/>
          <w:szCs w:val="24"/>
        </w:rPr>
        <w:fldChar w:fldCharType="end"/>
      </w:r>
      <w:r>
        <w:rPr>
          <w:rFonts w:ascii="Arial" w:hAnsi="Arial" w:cs="Arial"/>
          <w:sz w:val="24"/>
          <w:szCs w:val="24"/>
        </w:rPr>
        <w:t>. (Accessed December 15</w:t>
      </w:r>
      <w:r w:rsidRPr="004F2C2B">
        <w:rPr>
          <w:rFonts w:ascii="Arial" w:hAnsi="Arial" w:cs="Arial"/>
          <w:sz w:val="24"/>
          <w:szCs w:val="24"/>
          <w:vertAlign w:val="superscript"/>
        </w:rPr>
        <w:t>th</w:t>
      </w:r>
      <w:r>
        <w:rPr>
          <w:rFonts w:ascii="Arial" w:hAnsi="Arial" w:cs="Arial"/>
          <w:sz w:val="24"/>
          <w:szCs w:val="24"/>
        </w:rPr>
        <w:t>, 2022).</w:t>
      </w:r>
    </w:p>
    <w:p w14:paraId="13E0A553" w14:textId="77777777" w:rsidR="00D70C56" w:rsidRPr="00D70C56" w:rsidRDefault="00D70C56" w:rsidP="00D70C56">
      <w:pPr>
        <w:spacing w:line="480" w:lineRule="auto"/>
        <w:rPr>
          <w:rFonts w:ascii="Arial" w:hAnsi="Arial" w:cs="Arial"/>
          <w:sz w:val="24"/>
          <w:szCs w:val="24"/>
        </w:rPr>
      </w:pPr>
    </w:p>
    <w:p w14:paraId="00915D97" w14:textId="06078CC4" w:rsidR="003770BE" w:rsidRPr="00D70C56" w:rsidRDefault="00AD7727" w:rsidP="00D70C56">
      <w:pPr>
        <w:pStyle w:val="ListParagraph"/>
        <w:numPr>
          <w:ilvl w:val="0"/>
          <w:numId w:val="3"/>
        </w:numPr>
        <w:spacing w:line="480" w:lineRule="auto"/>
        <w:rPr>
          <w:rFonts w:ascii="Arial" w:hAnsi="Arial" w:cs="Arial"/>
          <w:sz w:val="24"/>
          <w:szCs w:val="24"/>
        </w:rPr>
      </w:pPr>
      <w:r w:rsidRPr="00D70C56">
        <w:rPr>
          <w:rFonts w:ascii="Arial" w:hAnsi="Arial" w:cs="Arial"/>
          <w:sz w:val="24"/>
          <w:szCs w:val="24"/>
        </w:rPr>
        <w:t>Bush, S. (2019)</w:t>
      </w:r>
      <w:r w:rsidR="00F61142" w:rsidRPr="00D70C56">
        <w:rPr>
          <w:rFonts w:ascii="Arial" w:hAnsi="Arial" w:cs="Arial"/>
          <w:sz w:val="24"/>
          <w:szCs w:val="24"/>
        </w:rPr>
        <w:t xml:space="preserve"> </w:t>
      </w:r>
      <w:r w:rsidR="003770BE" w:rsidRPr="00D70C56">
        <w:rPr>
          <w:rFonts w:ascii="Arial" w:hAnsi="Arial" w:cs="Arial"/>
          <w:i/>
          <w:iCs/>
          <w:sz w:val="24"/>
          <w:szCs w:val="24"/>
        </w:rPr>
        <w:t>What is PESTLE Used for</w:t>
      </w:r>
      <w:r w:rsidR="0088270F" w:rsidRPr="00D70C56">
        <w:rPr>
          <w:rFonts w:ascii="Arial" w:hAnsi="Arial" w:cs="Arial"/>
          <w:i/>
          <w:iCs/>
          <w:sz w:val="24"/>
          <w:szCs w:val="24"/>
        </w:rPr>
        <w:t>?</w:t>
      </w:r>
      <w:r w:rsidR="0088270F" w:rsidRPr="00D70C56">
        <w:rPr>
          <w:rFonts w:ascii="Arial" w:hAnsi="Arial" w:cs="Arial"/>
          <w:sz w:val="24"/>
          <w:szCs w:val="24"/>
        </w:rPr>
        <w:t xml:space="preserve"> </w:t>
      </w:r>
    </w:p>
    <w:p w14:paraId="4FEF9DB2" w14:textId="5D863795" w:rsidR="00360289" w:rsidRPr="00D70C56" w:rsidRDefault="003770BE" w:rsidP="002E7240">
      <w:pPr>
        <w:spacing w:line="480" w:lineRule="auto"/>
        <w:ind w:left="720"/>
        <w:rPr>
          <w:rFonts w:ascii="Arial" w:hAnsi="Arial" w:cs="Arial"/>
          <w:sz w:val="24"/>
          <w:szCs w:val="24"/>
        </w:rPr>
      </w:pPr>
      <w:r w:rsidRPr="00D70C56">
        <w:rPr>
          <w:rFonts w:ascii="Arial" w:hAnsi="Arial" w:cs="Arial"/>
          <w:sz w:val="24"/>
          <w:szCs w:val="24"/>
        </w:rPr>
        <w:t xml:space="preserve">Available at; </w:t>
      </w:r>
      <w:hyperlink r:id="rId7" w:history="1">
        <w:r w:rsidR="00F61142" w:rsidRPr="00D70C56">
          <w:rPr>
            <w:rStyle w:val="Hyperlink"/>
            <w:rFonts w:ascii="Arial" w:hAnsi="Arial" w:cs="Arial"/>
            <w:sz w:val="24"/>
            <w:szCs w:val="24"/>
          </w:rPr>
          <w:t>What Is PESTLE Analysis Used for?</w:t>
        </w:r>
      </w:hyperlink>
      <w:r w:rsidRPr="00D70C56">
        <w:rPr>
          <w:rFonts w:ascii="Arial" w:hAnsi="Arial" w:cs="Arial"/>
          <w:sz w:val="24"/>
          <w:szCs w:val="24"/>
        </w:rPr>
        <w:t xml:space="preserve"> </w:t>
      </w:r>
      <w:r w:rsidR="00D70C56">
        <w:rPr>
          <w:rFonts w:ascii="Arial" w:hAnsi="Arial" w:cs="Arial"/>
          <w:sz w:val="24"/>
          <w:szCs w:val="24"/>
        </w:rPr>
        <w:t>(</w:t>
      </w:r>
      <w:r w:rsidRPr="00D70C56">
        <w:rPr>
          <w:rFonts w:ascii="Arial" w:hAnsi="Arial" w:cs="Arial"/>
          <w:sz w:val="24"/>
          <w:szCs w:val="24"/>
        </w:rPr>
        <w:t>Accessed December 8</w:t>
      </w:r>
      <w:r w:rsidRPr="00D70C56">
        <w:rPr>
          <w:rFonts w:ascii="Arial" w:hAnsi="Arial" w:cs="Arial"/>
          <w:sz w:val="24"/>
          <w:szCs w:val="24"/>
          <w:vertAlign w:val="superscript"/>
        </w:rPr>
        <w:t>th</w:t>
      </w:r>
      <w:r w:rsidR="0085321E" w:rsidRPr="00D70C56">
        <w:rPr>
          <w:rFonts w:ascii="Arial" w:hAnsi="Arial" w:cs="Arial"/>
          <w:sz w:val="24"/>
          <w:szCs w:val="24"/>
        </w:rPr>
        <w:t>, 2022</w:t>
      </w:r>
      <w:r w:rsidR="00D70C56">
        <w:rPr>
          <w:rFonts w:ascii="Arial" w:hAnsi="Arial" w:cs="Arial"/>
          <w:sz w:val="24"/>
          <w:szCs w:val="24"/>
        </w:rPr>
        <w:t>)</w:t>
      </w:r>
      <w:r w:rsidRPr="00D70C56">
        <w:rPr>
          <w:rFonts w:ascii="Arial" w:hAnsi="Arial" w:cs="Arial"/>
          <w:sz w:val="24"/>
          <w:szCs w:val="24"/>
        </w:rPr>
        <w:t>.</w:t>
      </w:r>
    </w:p>
    <w:p w14:paraId="4F652F48" w14:textId="3DB9904B" w:rsidR="00510941" w:rsidRPr="00D70C56" w:rsidRDefault="002A2822" w:rsidP="00D70C56">
      <w:pPr>
        <w:pStyle w:val="ListParagraph"/>
        <w:numPr>
          <w:ilvl w:val="0"/>
          <w:numId w:val="3"/>
        </w:numPr>
        <w:spacing w:after="0" w:line="480" w:lineRule="auto"/>
        <w:rPr>
          <w:rFonts w:ascii="Arial" w:eastAsia="Times New Roman" w:hAnsi="Arial" w:cs="Arial"/>
          <w:sz w:val="24"/>
          <w:szCs w:val="24"/>
          <w:lang w:eastAsia="en-GB"/>
        </w:rPr>
      </w:pPr>
      <w:r w:rsidRPr="00D70C56">
        <w:rPr>
          <w:rFonts w:ascii="Arial" w:eastAsia="Times New Roman" w:hAnsi="Arial" w:cs="Arial"/>
          <w:sz w:val="24"/>
          <w:szCs w:val="24"/>
          <w:lang w:eastAsia="en-GB"/>
        </w:rPr>
        <w:t>Cheese</w:t>
      </w:r>
      <w:r w:rsidR="005652AF" w:rsidRPr="00D70C56">
        <w:rPr>
          <w:rFonts w:ascii="Arial" w:eastAsia="Times New Roman" w:hAnsi="Arial" w:cs="Arial"/>
          <w:sz w:val="24"/>
          <w:szCs w:val="24"/>
          <w:lang w:eastAsia="en-GB"/>
        </w:rPr>
        <w:t xml:space="preserve">, P. (2021) </w:t>
      </w:r>
      <w:r w:rsidR="005652AF" w:rsidRPr="00D70C56">
        <w:rPr>
          <w:rFonts w:ascii="Arial" w:eastAsia="Times New Roman" w:hAnsi="Arial" w:cs="Arial"/>
          <w:i/>
          <w:iCs/>
          <w:sz w:val="24"/>
          <w:szCs w:val="24"/>
          <w:lang w:eastAsia="en-GB"/>
        </w:rPr>
        <w:t xml:space="preserve">The New World </w:t>
      </w:r>
      <w:r w:rsidR="00D70C56" w:rsidRPr="00D70C56">
        <w:rPr>
          <w:rFonts w:ascii="Arial" w:eastAsia="Times New Roman" w:hAnsi="Arial" w:cs="Arial"/>
          <w:i/>
          <w:iCs/>
          <w:sz w:val="24"/>
          <w:szCs w:val="24"/>
          <w:lang w:eastAsia="en-GB"/>
        </w:rPr>
        <w:t xml:space="preserve">of </w:t>
      </w:r>
      <w:r w:rsidR="005652AF" w:rsidRPr="00D70C56">
        <w:rPr>
          <w:rFonts w:ascii="Arial" w:eastAsia="Times New Roman" w:hAnsi="Arial" w:cs="Arial"/>
          <w:i/>
          <w:iCs/>
          <w:sz w:val="24"/>
          <w:szCs w:val="24"/>
          <w:lang w:eastAsia="en-GB"/>
        </w:rPr>
        <w:t>Work</w:t>
      </w:r>
      <w:r w:rsidR="00D70C56" w:rsidRPr="00D70C56">
        <w:rPr>
          <w:rFonts w:ascii="Arial" w:eastAsia="Times New Roman" w:hAnsi="Arial" w:cs="Arial"/>
          <w:i/>
          <w:iCs/>
          <w:sz w:val="24"/>
          <w:szCs w:val="24"/>
          <w:lang w:eastAsia="en-GB"/>
        </w:rPr>
        <w:t xml:space="preserve">: </w:t>
      </w:r>
      <w:r w:rsidR="005652AF" w:rsidRPr="00D70C56">
        <w:rPr>
          <w:rFonts w:ascii="Arial" w:eastAsia="Times New Roman" w:hAnsi="Arial" w:cs="Arial"/>
          <w:i/>
          <w:iCs/>
          <w:sz w:val="24"/>
          <w:szCs w:val="24"/>
          <w:lang w:eastAsia="en-GB"/>
        </w:rPr>
        <w:t xml:space="preserve">Shaping </w:t>
      </w:r>
      <w:r w:rsidR="00D70C56" w:rsidRPr="00D70C56">
        <w:rPr>
          <w:rFonts w:ascii="Arial" w:eastAsia="Times New Roman" w:hAnsi="Arial" w:cs="Arial"/>
          <w:i/>
          <w:iCs/>
          <w:sz w:val="24"/>
          <w:szCs w:val="24"/>
          <w:lang w:eastAsia="en-GB"/>
        </w:rPr>
        <w:t xml:space="preserve">A Future That Helps People, Organisations </w:t>
      </w:r>
      <w:r w:rsidR="0085321E" w:rsidRPr="00D70C56">
        <w:rPr>
          <w:rFonts w:ascii="Arial" w:eastAsia="Times New Roman" w:hAnsi="Arial" w:cs="Arial"/>
          <w:i/>
          <w:iCs/>
          <w:sz w:val="24"/>
          <w:szCs w:val="24"/>
          <w:lang w:eastAsia="en-GB"/>
        </w:rPr>
        <w:t>and</w:t>
      </w:r>
      <w:r w:rsidR="00D70C56" w:rsidRPr="00D70C56">
        <w:rPr>
          <w:rFonts w:ascii="Arial" w:eastAsia="Times New Roman" w:hAnsi="Arial" w:cs="Arial"/>
          <w:i/>
          <w:iCs/>
          <w:sz w:val="24"/>
          <w:szCs w:val="24"/>
          <w:lang w:eastAsia="en-GB"/>
        </w:rPr>
        <w:t xml:space="preserve"> Our Societies </w:t>
      </w:r>
      <w:r w:rsidR="000011FB" w:rsidRPr="00D70C56">
        <w:rPr>
          <w:rFonts w:ascii="Arial" w:eastAsia="Times New Roman" w:hAnsi="Arial" w:cs="Arial"/>
          <w:i/>
          <w:iCs/>
          <w:sz w:val="24"/>
          <w:szCs w:val="24"/>
          <w:lang w:eastAsia="en-GB"/>
        </w:rPr>
        <w:t>to</w:t>
      </w:r>
      <w:r w:rsidR="00D70C56" w:rsidRPr="00D70C56">
        <w:rPr>
          <w:rFonts w:ascii="Arial" w:eastAsia="Times New Roman" w:hAnsi="Arial" w:cs="Arial"/>
          <w:i/>
          <w:iCs/>
          <w:sz w:val="24"/>
          <w:szCs w:val="24"/>
          <w:lang w:eastAsia="en-GB"/>
        </w:rPr>
        <w:t xml:space="preserve"> Thrive</w:t>
      </w:r>
      <w:r w:rsidR="005652AF" w:rsidRPr="00D70C56">
        <w:rPr>
          <w:rFonts w:ascii="Arial" w:eastAsia="Times New Roman" w:hAnsi="Arial" w:cs="Arial"/>
          <w:sz w:val="24"/>
          <w:szCs w:val="24"/>
          <w:lang w:eastAsia="en-GB"/>
        </w:rPr>
        <w:t>. Great Britain and the United States: Kogan Page Limited.</w:t>
      </w:r>
    </w:p>
    <w:p w14:paraId="25CDEE05" w14:textId="77777777" w:rsidR="00360289" w:rsidRPr="00D70C56" w:rsidRDefault="00360289" w:rsidP="00D70C56">
      <w:pPr>
        <w:spacing w:after="0" w:line="480" w:lineRule="auto"/>
        <w:rPr>
          <w:rFonts w:ascii="Arial" w:eastAsia="Times New Roman" w:hAnsi="Arial" w:cs="Arial"/>
          <w:sz w:val="24"/>
          <w:szCs w:val="24"/>
          <w:lang w:eastAsia="en-GB"/>
        </w:rPr>
      </w:pPr>
    </w:p>
    <w:p w14:paraId="1CB312BC" w14:textId="1194A1D5" w:rsidR="00B56E80" w:rsidRPr="00D70C56" w:rsidRDefault="008A6AC1" w:rsidP="00D70C56">
      <w:pPr>
        <w:pStyle w:val="ListParagraph"/>
        <w:numPr>
          <w:ilvl w:val="0"/>
          <w:numId w:val="3"/>
        </w:numPr>
        <w:spacing w:after="0" w:line="480" w:lineRule="auto"/>
        <w:rPr>
          <w:rFonts w:ascii="Arial" w:eastAsia="Times New Roman" w:hAnsi="Arial" w:cs="Arial"/>
          <w:sz w:val="24"/>
          <w:szCs w:val="24"/>
          <w:lang w:eastAsia="en-GB"/>
        </w:rPr>
      </w:pPr>
      <w:r w:rsidRPr="00D70C56">
        <w:rPr>
          <w:rFonts w:ascii="Arial" w:eastAsia="Times New Roman" w:hAnsi="Arial" w:cs="Arial"/>
          <w:sz w:val="24"/>
          <w:szCs w:val="24"/>
          <w:lang w:eastAsia="en-GB"/>
        </w:rPr>
        <w:t xml:space="preserve">Chhillar, D. and Aguilera, R.V. (2022) ‘An Eye for Artificial Intelligence: Insights </w:t>
      </w:r>
      <w:r w:rsidR="00360289" w:rsidRPr="00D70C56">
        <w:rPr>
          <w:rFonts w:ascii="Arial" w:eastAsia="Times New Roman" w:hAnsi="Arial" w:cs="Arial"/>
          <w:sz w:val="24"/>
          <w:szCs w:val="24"/>
          <w:lang w:eastAsia="en-GB"/>
        </w:rPr>
        <w:t>into</w:t>
      </w:r>
      <w:r w:rsidRPr="00D70C56">
        <w:rPr>
          <w:rFonts w:ascii="Arial" w:eastAsia="Times New Roman" w:hAnsi="Arial" w:cs="Arial"/>
          <w:sz w:val="24"/>
          <w:szCs w:val="24"/>
          <w:lang w:eastAsia="en-GB"/>
        </w:rPr>
        <w:t xml:space="preserve"> the Governance of Artificial Intelligence and Vision for Future Research’, </w:t>
      </w:r>
      <w:r w:rsidRPr="00D70C56">
        <w:rPr>
          <w:rFonts w:ascii="Arial" w:eastAsia="Times New Roman" w:hAnsi="Arial" w:cs="Arial"/>
          <w:i/>
          <w:iCs/>
          <w:sz w:val="24"/>
          <w:szCs w:val="24"/>
          <w:lang w:eastAsia="en-GB"/>
        </w:rPr>
        <w:t>Business &amp; society</w:t>
      </w:r>
      <w:r w:rsidRPr="00D70C56">
        <w:rPr>
          <w:rFonts w:ascii="Arial" w:eastAsia="Times New Roman" w:hAnsi="Arial" w:cs="Arial"/>
          <w:sz w:val="24"/>
          <w:szCs w:val="24"/>
          <w:lang w:eastAsia="en-GB"/>
        </w:rPr>
        <w:t>, 61(5), pp. 1197–1241. Available at: https://doi.org/10.1177/00076503221080959.</w:t>
      </w:r>
    </w:p>
    <w:p w14:paraId="15372E1C" w14:textId="77777777" w:rsidR="002D632A" w:rsidRPr="00D70C56" w:rsidRDefault="002D632A" w:rsidP="00D70C56">
      <w:pPr>
        <w:spacing w:after="0" w:line="480" w:lineRule="auto"/>
        <w:rPr>
          <w:rFonts w:ascii="Arial" w:eastAsia="Times New Roman" w:hAnsi="Arial" w:cs="Arial"/>
          <w:sz w:val="24"/>
          <w:szCs w:val="24"/>
          <w:lang w:eastAsia="en-GB"/>
        </w:rPr>
      </w:pPr>
    </w:p>
    <w:p w14:paraId="40667D1E" w14:textId="5AB7E109" w:rsidR="002D632A" w:rsidRPr="00D70C56" w:rsidRDefault="002D632A" w:rsidP="00D70C56">
      <w:pPr>
        <w:pStyle w:val="ListParagraph"/>
        <w:numPr>
          <w:ilvl w:val="0"/>
          <w:numId w:val="3"/>
        </w:numPr>
        <w:spacing w:after="0" w:line="480" w:lineRule="auto"/>
        <w:rPr>
          <w:rFonts w:ascii="Arial" w:eastAsia="Times New Roman" w:hAnsi="Arial" w:cs="Arial"/>
          <w:i/>
          <w:iCs/>
          <w:sz w:val="24"/>
          <w:szCs w:val="24"/>
          <w:lang w:eastAsia="en-GB"/>
        </w:rPr>
      </w:pPr>
      <w:r w:rsidRPr="00D70C56">
        <w:rPr>
          <w:rFonts w:ascii="Arial" w:eastAsia="Times New Roman" w:hAnsi="Arial" w:cs="Arial"/>
          <w:sz w:val="24"/>
          <w:szCs w:val="24"/>
          <w:lang w:eastAsia="en-GB"/>
        </w:rPr>
        <w:lastRenderedPageBreak/>
        <w:t xml:space="preserve">Child, J. and Rodrigues, S.B. (2011) ‘How Organizations Engage with External Complexity: A Political Action Perspective’, </w:t>
      </w:r>
      <w:r w:rsidRPr="00E6604D">
        <w:rPr>
          <w:rFonts w:ascii="Arial" w:eastAsia="Times New Roman" w:hAnsi="Arial" w:cs="Arial"/>
          <w:i/>
          <w:iCs/>
          <w:sz w:val="24"/>
          <w:szCs w:val="24"/>
          <w:lang w:eastAsia="en-GB"/>
        </w:rPr>
        <w:t>Organization Studies</w:t>
      </w:r>
      <w:r w:rsidRPr="00D70C56">
        <w:rPr>
          <w:rFonts w:ascii="Arial" w:eastAsia="Times New Roman" w:hAnsi="Arial" w:cs="Arial"/>
          <w:sz w:val="24"/>
          <w:szCs w:val="24"/>
          <w:lang w:eastAsia="en-GB"/>
        </w:rPr>
        <w:t xml:space="preserve">, 32(6), pp. 803–824. Available at: </w:t>
      </w:r>
      <w:hyperlink r:id="rId8" w:history="1">
        <w:r w:rsidRPr="00D70C56">
          <w:rPr>
            <w:rStyle w:val="Hyperlink"/>
            <w:rFonts w:ascii="Arial" w:eastAsia="Times New Roman" w:hAnsi="Arial" w:cs="Arial"/>
            <w:sz w:val="24"/>
            <w:szCs w:val="24"/>
            <w:lang w:eastAsia="en-GB"/>
          </w:rPr>
          <w:t>https://doi.org/10.1177/0170840611410825</w:t>
        </w:r>
      </w:hyperlink>
      <w:r w:rsidRPr="00D70C56">
        <w:rPr>
          <w:rFonts w:ascii="Arial" w:eastAsia="Times New Roman" w:hAnsi="Arial" w:cs="Arial"/>
          <w:i/>
          <w:iCs/>
          <w:sz w:val="24"/>
          <w:szCs w:val="24"/>
          <w:lang w:eastAsia="en-GB"/>
        </w:rPr>
        <w:t>.</w:t>
      </w:r>
    </w:p>
    <w:p w14:paraId="2C7B5F5A" w14:textId="77777777" w:rsidR="002D632A" w:rsidRPr="00D70C56" w:rsidRDefault="002D632A" w:rsidP="00D70C56">
      <w:pPr>
        <w:spacing w:after="0" w:line="480" w:lineRule="auto"/>
        <w:rPr>
          <w:rFonts w:ascii="Arial" w:eastAsia="Times New Roman" w:hAnsi="Arial" w:cs="Arial"/>
          <w:i/>
          <w:iCs/>
          <w:sz w:val="24"/>
          <w:szCs w:val="24"/>
          <w:lang w:eastAsia="en-GB"/>
        </w:rPr>
      </w:pPr>
    </w:p>
    <w:p w14:paraId="24245528" w14:textId="77777777" w:rsidR="00B52C5B" w:rsidRPr="00D70C56" w:rsidRDefault="00B52C5B" w:rsidP="00D70C56">
      <w:pPr>
        <w:spacing w:after="0" w:line="480" w:lineRule="auto"/>
        <w:rPr>
          <w:rFonts w:ascii="Arial" w:eastAsia="Times New Roman" w:hAnsi="Arial" w:cs="Arial"/>
          <w:i/>
          <w:iCs/>
          <w:sz w:val="24"/>
          <w:szCs w:val="24"/>
          <w:lang w:eastAsia="en-GB"/>
        </w:rPr>
      </w:pPr>
    </w:p>
    <w:p w14:paraId="4997A643" w14:textId="5555E9A7" w:rsidR="00CA4C14" w:rsidRPr="00BB1C7C" w:rsidRDefault="00ED7C8A" w:rsidP="00CA4C14">
      <w:pPr>
        <w:pStyle w:val="ListParagraph"/>
        <w:numPr>
          <w:ilvl w:val="0"/>
          <w:numId w:val="3"/>
        </w:numPr>
        <w:spacing w:after="0" w:line="480" w:lineRule="auto"/>
        <w:rPr>
          <w:rFonts w:ascii="Arial" w:eastAsia="Times New Roman" w:hAnsi="Arial" w:cs="Arial"/>
          <w:sz w:val="24"/>
          <w:szCs w:val="24"/>
          <w:lang w:eastAsia="en-GB"/>
        </w:rPr>
      </w:pPr>
      <w:r w:rsidRPr="00D70C56">
        <w:rPr>
          <w:rFonts w:ascii="Arial" w:eastAsia="Times New Roman" w:hAnsi="Arial" w:cs="Arial"/>
          <w:sz w:val="24"/>
          <w:szCs w:val="24"/>
          <w:lang w:eastAsia="en-GB"/>
        </w:rPr>
        <w:t xml:space="preserve">CIPD (2012) </w:t>
      </w:r>
      <w:r w:rsidR="001B01CE" w:rsidRPr="00CA4C14">
        <w:rPr>
          <w:rFonts w:ascii="Arial" w:eastAsia="Times New Roman" w:hAnsi="Arial" w:cs="Arial"/>
          <w:i/>
          <w:iCs/>
          <w:sz w:val="24"/>
          <w:szCs w:val="24"/>
          <w:lang w:eastAsia="en-GB"/>
        </w:rPr>
        <w:t xml:space="preserve">Business Savvy </w:t>
      </w:r>
      <w:r w:rsidR="002A225D" w:rsidRPr="00CA4C14">
        <w:rPr>
          <w:rFonts w:ascii="Arial" w:eastAsia="Times New Roman" w:hAnsi="Arial" w:cs="Arial"/>
          <w:i/>
          <w:iCs/>
          <w:sz w:val="24"/>
          <w:szCs w:val="24"/>
          <w:lang w:eastAsia="en-GB"/>
        </w:rPr>
        <w:t xml:space="preserve">HR </w:t>
      </w:r>
      <w:r w:rsidR="001B01CE" w:rsidRPr="00CA4C14">
        <w:rPr>
          <w:rFonts w:ascii="Arial" w:eastAsia="Times New Roman" w:hAnsi="Arial" w:cs="Arial"/>
          <w:i/>
          <w:iCs/>
          <w:sz w:val="24"/>
          <w:szCs w:val="24"/>
          <w:lang w:eastAsia="en-GB"/>
        </w:rPr>
        <w:t>Podcast</w:t>
      </w:r>
      <w:r w:rsidR="001B01CE" w:rsidRPr="00D70C56">
        <w:rPr>
          <w:rFonts w:ascii="Arial" w:eastAsia="Times New Roman" w:hAnsi="Arial" w:cs="Arial"/>
          <w:sz w:val="24"/>
          <w:szCs w:val="24"/>
          <w:lang w:eastAsia="en-GB"/>
        </w:rPr>
        <w:t>.</w:t>
      </w:r>
      <w:r w:rsidR="00CA4C14" w:rsidRPr="00CA4C14">
        <w:rPr>
          <w:rFonts w:ascii="Arial" w:eastAsia="Times New Roman" w:hAnsi="Arial" w:cs="Arial"/>
          <w:i/>
          <w:iCs/>
          <w:sz w:val="24"/>
          <w:szCs w:val="24"/>
          <w:lang w:eastAsia="en-GB"/>
        </w:rPr>
        <w:t xml:space="preserve"> </w:t>
      </w:r>
      <w:r w:rsidR="00CA4C14" w:rsidRPr="00CA4C14">
        <w:rPr>
          <w:rFonts w:ascii="Arial" w:eastAsia="Times New Roman" w:hAnsi="Arial" w:cs="Arial"/>
          <w:sz w:val="24"/>
          <w:szCs w:val="24"/>
          <w:lang w:eastAsia="en-GB"/>
        </w:rPr>
        <w:t>Chartered Institute of Personnel and Development</w:t>
      </w:r>
      <w:r w:rsidR="00CA4C14">
        <w:rPr>
          <w:rFonts w:ascii="Arial" w:eastAsia="Times New Roman" w:hAnsi="Arial" w:cs="Arial"/>
          <w:sz w:val="24"/>
          <w:szCs w:val="24"/>
          <w:lang w:eastAsia="en-GB"/>
        </w:rPr>
        <w:t xml:space="preserve">. </w:t>
      </w:r>
      <w:r w:rsidR="001B01CE" w:rsidRPr="00D70C56">
        <w:rPr>
          <w:rFonts w:ascii="Arial" w:eastAsia="Times New Roman" w:hAnsi="Arial" w:cs="Arial"/>
          <w:sz w:val="24"/>
          <w:szCs w:val="24"/>
          <w:lang w:eastAsia="en-GB"/>
        </w:rPr>
        <w:t>Available</w:t>
      </w:r>
      <w:r w:rsidR="002A225D" w:rsidRPr="00D70C56">
        <w:rPr>
          <w:rFonts w:ascii="Arial" w:eastAsia="Times New Roman" w:hAnsi="Arial" w:cs="Arial"/>
          <w:sz w:val="24"/>
          <w:szCs w:val="24"/>
          <w:lang w:eastAsia="en-GB"/>
        </w:rPr>
        <w:t xml:space="preserve"> at; </w:t>
      </w:r>
      <w:hyperlink r:id="rId9" w:history="1">
        <w:r w:rsidR="002A225D" w:rsidRPr="00D70C56">
          <w:rPr>
            <w:rStyle w:val="Hyperlink"/>
            <w:rFonts w:ascii="Arial" w:eastAsia="Times New Roman" w:hAnsi="Arial" w:cs="Arial"/>
            <w:sz w:val="24"/>
            <w:szCs w:val="24"/>
            <w:lang w:eastAsia="en-GB"/>
          </w:rPr>
          <w:t>https://soundcloud.com/cipd/podcast-63-business-savvy-hr</w:t>
        </w:r>
      </w:hyperlink>
      <w:r w:rsidR="00CA4C14">
        <w:rPr>
          <w:rStyle w:val="Hyperlink"/>
          <w:rFonts w:ascii="Arial" w:eastAsia="Times New Roman" w:hAnsi="Arial" w:cs="Arial"/>
          <w:sz w:val="24"/>
          <w:szCs w:val="24"/>
          <w:lang w:eastAsia="en-GB"/>
        </w:rPr>
        <w:t xml:space="preserve">. </w:t>
      </w:r>
      <w:r w:rsidR="00CA4C14" w:rsidRPr="00CA4C14">
        <w:rPr>
          <w:rFonts w:ascii="Arial" w:hAnsi="Arial" w:cs="Arial"/>
          <w:sz w:val="24"/>
          <w:szCs w:val="24"/>
        </w:rPr>
        <w:t>(Accessed December 10</w:t>
      </w:r>
      <w:r w:rsidR="00CA4C14" w:rsidRPr="00CA4C14">
        <w:rPr>
          <w:rFonts w:ascii="Arial" w:hAnsi="Arial" w:cs="Arial"/>
          <w:sz w:val="24"/>
          <w:szCs w:val="24"/>
          <w:vertAlign w:val="superscript"/>
        </w:rPr>
        <w:t>th</w:t>
      </w:r>
      <w:r w:rsidR="000011FB" w:rsidRPr="00CA4C14">
        <w:rPr>
          <w:rFonts w:ascii="Arial" w:hAnsi="Arial" w:cs="Arial"/>
          <w:sz w:val="24"/>
          <w:szCs w:val="24"/>
        </w:rPr>
        <w:t>, 2022</w:t>
      </w:r>
      <w:r w:rsidR="00CA4C14" w:rsidRPr="00CA4C14">
        <w:rPr>
          <w:rFonts w:ascii="Arial" w:hAnsi="Arial" w:cs="Arial"/>
          <w:sz w:val="24"/>
          <w:szCs w:val="24"/>
        </w:rPr>
        <w:t>).</w:t>
      </w:r>
    </w:p>
    <w:p w14:paraId="0A244175" w14:textId="77777777" w:rsidR="00BB1C7C" w:rsidRPr="00CA4C14" w:rsidRDefault="00BB1C7C" w:rsidP="00BB1C7C">
      <w:pPr>
        <w:pStyle w:val="ListParagraph"/>
        <w:spacing w:after="0" w:line="480" w:lineRule="auto"/>
        <w:rPr>
          <w:rStyle w:val="Hyperlink"/>
          <w:rFonts w:ascii="Arial" w:eastAsia="Times New Roman" w:hAnsi="Arial" w:cs="Arial"/>
          <w:color w:val="auto"/>
          <w:sz w:val="24"/>
          <w:szCs w:val="24"/>
          <w:u w:val="none"/>
          <w:lang w:eastAsia="en-GB"/>
        </w:rPr>
      </w:pPr>
    </w:p>
    <w:p w14:paraId="017D1974" w14:textId="2BEFE532" w:rsidR="00BB1C7C" w:rsidRPr="0077488E" w:rsidRDefault="00BB1C7C" w:rsidP="00BB1C7C">
      <w:pPr>
        <w:pStyle w:val="ListParagraph"/>
        <w:numPr>
          <w:ilvl w:val="0"/>
          <w:numId w:val="3"/>
        </w:numPr>
        <w:spacing w:after="0" w:line="480" w:lineRule="auto"/>
        <w:rPr>
          <w:rFonts w:ascii="Arial" w:eastAsia="Times New Roman" w:hAnsi="Arial" w:cs="Arial"/>
          <w:sz w:val="24"/>
          <w:szCs w:val="24"/>
          <w:lang w:eastAsia="en-GB"/>
        </w:rPr>
      </w:pPr>
      <w:r w:rsidRPr="00D70C56">
        <w:rPr>
          <w:rFonts w:ascii="Arial" w:eastAsia="Times New Roman" w:hAnsi="Arial" w:cs="Arial"/>
          <w:sz w:val="24"/>
          <w:szCs w:val="24"/>
          <w:lang w:eastAsia="en-GB"/>
        </w:rPr>
        <w:t>CIPD (2021</w:t>
      </w:r>
      <w:r>
        <w:rPr>
          <w:rFonts w:ascii="Arial" w:eastAsia="Times New Roman" w:hAnsi="Arial" w:cs="Arial"/>
          <w:sz w:val="24"/>
          <w:szCs w:val="24"/>
          <w:lang w:eastAsia="en-GB"/>
        </w:rPr>
        <w:t>a</w:t>
      </w:r>
      <w:r w:rsidRPr="00D70C56">
        <w:rPr>
          <w:rFonts w:ascii="Arial" w:eastAsia="Times New Roman" w:hAnsi="Arial" w:cs="Arial"/>
          <w:sz w:val="24"/>
          <w:szCs w:val="24"/>
          <w:lang w:eastAsia="en-GB"/>
        </w:rPr>
        <w:t xml:space="preserve">) </w:t>
      </w:r>
      <w:r w:rsidRPr="00D70C56">
        <w:rPr>
          <w:rFonts w:ascii="Arial" w:eastAsia="Times New Roman" w:hAnsi="Arial" w:cs="Arial"/>
          <w:i/>
          <w:iCs/>
          <w:sz w:val="24"/>
          <w:szCs w:val="24"/>
          <w:lang w:eastAsia="en-GB"/>
        </w:rPr>
        <w:t>PESTLE Analysis. Factsheet</w:t>
      </w:r>
      <w:r w:rsidRPr="00D70C56">
        <w:rPr>
          <w:rFonts w:ascii="Arial" w:eastAsia="Times New Roman" w:hAnsi="Arial" w:cs="Arial"/>
          <w:sz w:val="24"/>
          <w:szCs w:val="24"/>
          <w:lang w:eastAsia="en-GB"/>
        </w:rPr>
        <w:t xml:space="preserve">. </w:t>
      </w:r>
      <w:bookmarkStart w:id="10" w:name="_Hlk121573181"/>
      <w:r w:rsidRPr="00D70C56">
        <w:rPr>
          <w:rFonts w:ascii="Arial" w:eastAsia="Times New Roman" w:hAnsi="Arial" w:cs="Arial"/>
          <w:sz w:val="24"/>
          <w:szCs w:val="24"/>
          <w:lang w:eastAsia="en-GB"/>
        </w:rPr>
        <w:t>London: Chartered Institute of Personnel and Development. Available at;</w:t>
      </w:r>
      <w:r w:rsidRPr="00D70C56">
        <w:rPr>
          <w:rFonts w:ascii="Arial" w:eastAsia="Times New Roman" w:hAnsi="Arial" w:cs="Arial"/>
          <w:sz w:val="24"/>
          <w:szCs w:val="24"/>
          <w:lang w:val="en-US" w:eastAsia="en-GB"/>
        </w:rPr>
        <w:t xml:space="preserve"> </w:t>
      </w:r>
      <w:bookmarkEnd w:id="10"/>
      <w:r w:rsidRPr="00D70C56">
        <w:rPr>
          <w:rFonts w:ascii="Arial" w:eastAsia="Times New Roman" w:hAnsi="Arial" w:cs="Arial"/>
          <w:sz w:val="24"/>
          <w:szCs w:val="24"/>
          <w:lang w:eastAsia="en-GB"/>
        </w:rPr>
        <w:fldChar w:fldCharType="begin"/>
      </w:r>
      <w:r w:rsidRPr="00D70C56">
        <w:rPr>
          <w:rFonts w:ascii="Arial" w:eastAsia="Times New Roman" w:hAnsi="Arial" w:cs="Arial"/>
          <w:sz w:val="24"/>
          <w:szCs w:val="24"/>
          <w:lang w:eastAsia="en-GB"/>
        </w:rPr>
        <w:instrText>HYPERLINK "https://www.cipd.co.uk/knowledge/strategy/organisational-development/pestle-analysis-factsheet" \l "grefttps://www.cipd.co.uk/knowledge/strategy/organisational-development/pestle-analysis-factsheet"</w:instrText>
      </w:r>
      <w:r w:rsidRPr="00D70C56">
        <w:rPr>
          <w:rFonts w:ascii="Arial" w:eastAsia="Times New Roman" w:hAnsi="Arial" w:cs="Arial"/>
          <w:sz w:val="24"/>
          <w:szCs w:val="24"/>
          <w:lang w:eastAsia="en-GB"/>
        </w:rPr>
      </w:r>
      <w:r w:rsidRPr="00D70C56">
        <w:rPr>
          <w:rFonts w:ascii="Arial" w:eastAsia="Times New Roman" w:hAnsi="Arial" w:cs="Arial"/>
          <w:sz w:val="24"/>
          <w:szCs w:val="24"/>
          <w:lang w:eastAsia="en-GB"/>
        </w:rPr>
        <w:fldChar w:fldCharType="separate"/>
      </w:r>
      <w:r w:rsidRPr="00D70C56">
        <w:rPr>
          <w:rStyle w:val="Hyperlink"/>
          <w:rFonts w:ascii="Arial" w:eastAsia="Times New Roman" w:hAnsi="Arial" w:cs="Arial"/>
          <w:sz w:val="24"/>
          <w:szCs w:val="24"/>
          <w:lang w:eastAsia="en-GB"/>
        </w:rPr>
        <w:t>https://www.cipd.co.uk/knowledge/strategy/organisational-development/pestle-analysis-factsheet#grefttps://www.cipd.co.uk/knowledge/strategy/organisational-development/pestle-analysis-factsheet#gref</w:t>
      </w:r>
      <w:r w:rsidRPr="00D70C56">
        <w:rPr>
          <w:rFonts w:ascii="Arial" w:eastAsia="Times New Roman" w:hAnsi="Arial" w:cs="Arial"/>
          <w:sz w:val="24"/>
          <w:szCs w:val="24"/>
          <w:lang w:eastAsia="en-GB"/>
        </w:rPr>
        <w:fldChar w:fldCharType="end"/>
      </w:r>
      <w:r w:rsidRPr="00D70C56">
        <w:rPr>
          <w:rFonts w:ascii="Arial" w:eastAsia="Times New Roman" w:hAnsi="Arial" w:cs="Arial"/>
          <w:sz w:val="24"/>
          <w:szCs w:val="24"/>
          <w:lang w:eastAsia="en-GB"/>
        </w:rPr>
        <w:t xml:space="preserve">. </w:t>
      </w:r>
      <w:bookmarkStart w:id="11" w:name="_Hlk122031522"/>
      <w:r w:rsidRPr="00CA4C14">
        <w:rPr>
          <w:rFonts w:ascii="Arial" w:hAnsi="Arial" w:cs="Arial"/>
          <w:sz w:val="24"/>
          <w:szCs w:val="24"/>
        </w:rPr>
        <w:t>(Accessed December 10</w:t>
      </w:r>
      <w:r w:rsidRPr="00CA4C14">
        <w:rPr>
          <w:rFonts w:ascii="Arial" w:hAnsi="Arial" w:cs="Arial"/>
          <w:sz w:val="24"/>
          <w:szCs w:val="24"/>
          <w:vertAlign w:val="superscript"/>
        </w:rPr>
        <w:t>th</w:t>
      </w:r>
      <w:r w:rsidRPr="00CA4C14">
        <w:rPr>
          <w:rFonts w:ascii="Arial" w:hAnsi="Arial" w:cs="Arial"/>
          <w:sz w:val="24"/>
          <w:szCs w:val="24"/>
        </w:rPr>
        <w:t>, 2022).</w:t>
      </w:r>
    </w:p>
    <w:p w14:paraId="001DE0B1" w14:textId="77777777" w:rsidR="0077488E" w:rsidRPr="0077488E" w:rsidRDefault="0077488E" w:rsidP="0077488E">
      <w:pPr>
        <w:spacing w:after="0" w:line="480" w:lineRule="auto"/>
        <w:rPr>
          <w:rFonts w:ascii="Arial" w:eastAsia="Times New Roman" w:hAnsi="Arial" w:cs="Arial"/>
          <w:sz w:val="24"/>
          <w:szCs w:val="24"/>
          <w:lang w:eastAsia="en-GB"/>
        </w:rPr>
      </w:pPr>
    </w:p>
    <w:bookmarkEnd w:id="11"/>
    <w:p w14:paraId="775EA42D" w14:textId="0DBA2FE3" w:rsidR="0077488E" w:rsidRPr="007F7C12" w:rsidRDefault="0077488E" w:rsidP="0077488E">
      <w:pPr>
        <w:pStyle w:val="ListParagraph"/>
        <w:numPr>
          <w:ilvl w:val="0"/>
          <w:numId w:val="3"/>
        </w:numPr>
        <w:spacing w:after="0" w:line="480" w:lineRule="auto"/>
        <w:rPr>
          <w:rStyle w:val="Hyperlink"/>
          <w:rFonts w:ascii="Arial" w:eastAsia="Times New Roman" w:hAnsi="Arial" w:cs="Arial"/>
          <w:color w:val="auto"/>
          <w:sz w:val="24"/>
          <w:szCs w:val="24"/>
          <w:u w:val="none"/>
          <w:lang w:val="en-US" w:eastAsia="en-GB"/>
        </w:rPr>
      </w:pPr>
      <w:r w:rsidRPr="00D70C56">
        <w:rPr>
          <w:rFonts w:ascii="Arial" w:eastAsia="Times New Roman" w:hAnsi="Arial" w:cs="Arial"/>
          <w:sz w:val="24"/>
          <w:szCs w:val="24"/>
          <w:lang w:eastAsia="en-GB"/>
        </w:rPr>
        <w:t>CIPD (2021</w:t>
      </w:r>
      <w:r>
        <w:rPr>
          <w:rFonts w:ascii="Arial" w:eastAsia="Times New Roman" w:hAnsi="Arial" w:cs="Arial"/>
          <w:sz w:val="24"/>
          <w:szCs w:val="24"/>
          <w:lang w:eastAsia="en-GB"/>
        </w:rPr>
        <w:t>b</w:t>
      </w:r>
      <w:r w:rsidRPr="00D70C56">
        <w:rPr>
          <w:rFonts w:ascii="Arial" w:eastAsia="Times New Roman" w:hAnsi="Arial" w:cs="Arial"/>
          <w:sz w:val="24"/>
          <w:szCs w:val="24"/>
          <w:lang w:eastAsia="en-GB"/>
        </w:rPr>
        <w:t xml:space="preserve">) </w:t>
      </w:r>
      <w:r w:rsidRPr="00D70C56">
        <w:rPr>
          <w:rFonts w:ascii="Arial" w:eastAsia="Times New Roman" w:hAnsi="Arial" w:cs="Arial"/>
          <w:i/>
          <w:iCs/>
          <w:sz w:val="24"/>
          <w:szCs w:val="24"/>
          <w:lang w:eastAsia="en-GB"/>
        </w:rPr>
        <w:t>An Update on Flexible and Hybrid Working Practices: Report</w:t>
      </w:r>
      <w:r w:rsidRPr="00D70C56">
        <w:rPr>
          <w:rFonts w:ascii="Arial" w:eastAsia="Times New Roman" w:hAnsi="Arial" w:cs="Arial"/>
          <w:sz w:val="24"/>
          <w:szCs w:val="24"/>
          <w:lang w:eastAsia="en-GB"/>
        </w:rPr>
        <w:t>. London: Chartered Institute of Personnel and Development. Available at;</w:t>
      </w:r>
      <w:r w:rsidRPr="00D70C56">
        <w:rPr>
          <w:rFonts w:ascii="Arial" w:eastAsia="Times New Roman" w:hAnsi="Arial" w:cs="Arial"/>
          <w:sz w:val="24"/>
          <w:szCs w:val="24"/>
          <w:lang w:val="en-US" w:eastAsia="en-GB"/>
        </w:rPr>
        <w:t xml:space="preserve"> </w:t>
      </w:r>
      <w:hyperlink r:id="rId10" w:history="1">
        <w:r w:rsidRPr="00D70C56">
          <w:rPr>
            <w:rStyle w:val="Hyperlink"/>
            <w:rFonts w:ascii="Arial" w:eastAsia="Times New Roman" w:hAnsi="Arial" w:cs="Arial"/>
            <w:sz w:val="24"/>
            <w:szCs w:val="24"/>
            <w:lang w:eastAsia="en-GB"/>
          </w:rPr>
          <w:t>An update on flexible and hybrid working practices: Report (cipd.co.uk)</w:t>
        </w:r>
      </w:hyperlink>
      <w:r>
        <w:rPr>
          <w:rStyle w:val="Hyperlink"/>
          <w:rFonts w:ascii="Arial" w:eastAsia="Times New Roman" w:hAnsi="Arial" w:cs="Arial"/>
          <w:sz w:val="24"/>
          <w:szCs w:val="24"/>
          <w:lang w:eastAsia="en-GB"/>
        </w:rPr>
        <w:t xml:space="preserve">. </w:t>
      </w:r>
      <w:r w:rsidRPr="00D70C56">
        <w:rPr>
          <w:rStyle w:val="Hyperlink"/>
          <w:rFonts w:ascii="Arial" w:eastAsia="Times New Roman" w:hAnsi="Arial" w:cs="Arial"/>
          <w:color w:val="000000" w:themeColor="text1"/>
          <w:sz w:val="24"/>
          <w:szCs w:val="24"/>
          <w:u w:val="none"/>
          <w:lang w:eastAsia="en-GB"/>
        </w:rPr>
        <w:t>(Accessed December 10th, 2022).</w:t>
      </w:r>
    </w:p>
    <w:p w14:paraId="277E3E63" w14:textId="77777777" w:rsidR="007F7C12" w:rsidRPr="007F7C12" w:rsidRDefault="007F7C12" w:rsidP="007F7C12">
      <w:pPr>
        <w:spacing w:after="0" w:line="480" w:lineRule="auto"/>
        <w:rPr>
          <w:rFonts w:ascii="Arial" w:eastAsia="Times New Roman" w:hAnsi="Arial" w:cs="Arial"/>
          <w:sz w:val="24"/>
          <w:szCs w:val="24"/>
          <w:lang w:val="en-US" w:eastAsia="en-GB"/>
        </w:rPr>
      </w:pPr>
    </w:p>
    <w:p w14:paraId="52FC39A6" w14:textId="77777777" w:rsidR="007F7C12" w:rsidRPr="00D70C56" w:rsidRDefault="007F7C12" w:rsidP="007F7C12">
      <w:pPr>
        <w:pStyle w:val="ListParagraph"/>
        <w:numPr>
          <w:ilvl w:val="0"/>
          <w:numId w:val="3"/>
        </w:numPr>
        <w:spacing w:line="480" w:lineRule="auto"/>
        <w:rPr>
          <w:rFonts w:ascii="Arial" w:eastAsia="Times New Roman" w:hAnsi="Arial" w:cs="Arial"/>
          <w:color w:val="000000" w:themeColor="text1"/>
          <w:sz w:val="24"/>
          <w:szCs w:val="24"/>
          <w:lang w:eastAsia="en-GB"/>
        </w:rPr>
      </w:pPr>
      <w:r w:rsidRPr="00D70C56">
        <w:rPr>
          <w:rFonts w:ascii="Arial" w:eastAsia="Times New Roman" w:hAnsi="Arial" w:cs="Arial"/>
          <w:sz w:val="24"/>
          <w:szCs w:val="24"/>
          <w:lang w:eastAsia="en-GB"/>
        </w:rPr>
        <w:t>CIPD (2021</w:t>
      </w:r>
      <w:r>
        <w:rPr>
          <w:rFonts w:ascii="Arial" w:eastAsia="Times New Roman" w:hAnsi="Arial" w:cs="Arial"/>
          <w:sz w:val="24"/>
          <w:szCs w:val="24"/>
          <w:lang w:eastAsia="en-GB"/>
        </w:rPr>
        <w:t>c</w:t>
      </w:r>
      <w:r w:rsidRPr="00D70C56">
        <w:rPr>
          <w:rFonts w:ascii="Arial" w:eastAsia="Times New Roman" w:hAnsi="Arial" w:cs="Arial"/>
          <w:sz w:val="24"/>
          <w:szCs w:val="24"/>
          <w:lang w:eastAsia="en-GB"/>
        </w:rPr>
        <w:t xml:space="preserve">) </w:t>
      </w:r>
      <w:r w:rsidRPr="00D70C56">
        <w:rPr>
          <w:rFonts w:ascii="Arial" w:eastAsia="Times New Roman" w:hAnsi="Arial" w:cs="Arial"/>
          <w:i/>
          <w:iCs/>
          <w:sz w:val="24"/>
          <w:szCs w:val="24"/>
          <w:lang w:eastAsia="en-GB"/>
        </w:rPr>
        <w:t xml:space="preserve">Financial Wellbeing: An Evidence Review. </w:t>
      </w:r>
      <w:r w:rsidRPr="00D70C56">
        <w:rPr>
          <w:rFonts w:ascii="Arial" w:eastAsia="Times New Roman" w:hAnsi="Arial" w:cs="Arial"/>
          <w:sz w:val="24"/>
          <w:szCs w:val="24"/>
          <w:lang w:eastAsia="en-GB"/>
        </w:rPr>
        <w:t xml:space="preserve">London: Chartered Institute of Personnel and Development. Available at; </w:t>
      </w:r>
      <w:hyperlink r:id="rId11" w:history="1">
        <w:r w:rsidRPr="00D70C56">
          <w:rPr>
            <w:rStyle w:val="Hyperlink"/>
            <w:rFonts w:ascii="Arial" w:eastAsia="Times New Roman" w:hAnsi="Arial" w:cs="Arial"/>
            <w:sz w:val="24"/>
            <w:szCs w:val="24"/>
            <w:lang w:eastAsia="en-GB"/>
          </w:rPr>
          <w:t>Financial wellbeing: an evidence review | CIPD</w:t>
        </w:r>
      </w:hyperlink>
      <w:r w:rsidRPr="00D70C56">
        <w:rPr>
          <w:rStyle w:val="Hyperlink"/>
          <w:rFonts w:ascii="Arial" w:eastAsia="Times New Roman" w:hAnsi="Arial" w:cs="Arial"/>
          <w:sz w:val="24"/>
          <w:szCs w:val="24"/>
          <w:lang w:eastAsia="en-GB"/>
        </w:rPr>
        <w:t xml:space="preserve">. </w:t>
      </w:r>
      <w:r w:rsidRPr="00D70C56">
        <w:rPr>
          <w:rFonts w:ascii="Arial" w:eastAsia="Times New Roman" w:hAnsi="Arial" w:cs="Arial"/>
          <w:color w:val="000000" w:themeColor="text1"/>
          <w:sz w:val="24"/>
          <w:szCs w:val="24"/>
          <w:lang w:eastAsia="en-GB"/>
        </w:rPr>
        <w:t>(Accessed December 10</w:t>
      </w:r>
      <w:r w:rsidRPr="00D70C56">
        <w:rPr>
          <w:rFonts w:ascii="Arial" w:eastAsia="Times New Roman" w:hAnsi="Arial" w:cs="Arial"/>
          <w:color w:val="000000" w:themeColor="text1"/>
          <w:sz w:val="24"/>
          <w:szCs w:val="24"/>
          <w:vertAlign w:val="superscript"/>
          <w:lang w:eastAsia="en-GB"/>
        </w:rPr>
        <w:t>th</w:t>
      </w:r>
      <w:r w:rsidRPr="00D70C56">
        <w:rPr>
          <w:rFonts w:ascii="Arial" w:eastAsia="Times New Roman" w:hAnsi="Arial" w:cs="Arial"/>
          <w:color w:val="000000" w:themeColor="text1"/>
          <w:sz w:val="24"/>
          <w:szCs w:val="24"/>
          <w:lang w:eastAsia="en-GB"/>
        </w:rPr>
        <w:t>, 2022).</w:t>
      </w:r>
    </w:p>
    <w:p w14:paraId="5B66F37E" w14:textId="77777777" w:rsidR="00D70C56" w:rsidRPr="00564370" w:rsidRDefault="00D70C56" w:rsidP="00564370">
      <w:pPr>
        <w:spacing w:after="0" w:line="480" w:lineRule="auto"/>
        <w:rPr>
          <w:rFonts w:ascii="Arial" w:eastAsia="Times New Roman" w:hAnsi="Arial" w:cs="Arial"/>
          <w:sz w:val="24"/>
          <w:szCs w:val="24"/>
          <w:lang w:eastAsia="en-GB"/>
        </w:rPr>
      </w:pPr>
    </w:p>
    <w:p w14:paraId="5B5546F7" w14:textId="11D27DE7" w:rsidR="00CA4C14" w:rsidRPr="00CA4C14" w:rsidRDefault="00750962" w:rsidP="00CA4C14">
      <w:pPr>
        <w:pStyle w:val="ListParagraph"/>
        <w:numPr>
          <w:ilvl w:val="0"/>
          <w:numId w:val="3"/>
        </w:numPr>
        <w:spacing w:after="0" w:line="480" w:lineRule="auto"/>
        <w:rPr>
          <w:rFonts w:ascii="Arial" w:eastAsia="Times New Roman" w:hAnsi="Arial" w:cs="Arial"/>
          <w:sz w:val="24"/>
          <w:szCs w:val="24"/>
          <w:lang w:eastAsia="en-GB"/>
        </w:rPr>
      </w:pPr>
      <w:r w:rsidRPr="00D70C56">
        <w:rPr>
          <w:rFonts w:ascii="Arial" w:eastAsia="Times New Roman" w:hAnsi="Arial" w:cs="Arial"/>
          <w:sz w:val="24"/>
          <w:szCs w:val="24"/>
          <w:lang w:eastAsia="en-GB"/>
        </w:rPr>
        <w:t>CIPD (2021</w:t>
      </w:r>
      <w:r w:rsidR="006079FD">
        <w:rPr>
          <w:rFonts w:ascii="Arial" w:eastAsia="Times New Roman" w:hAnsi="Arial" w:cs="Arial"/>
          <w:sz w:val="24"/>
          <w:szCs w:val="24"/>
          <w:lang w:eastAsia="en-GB"/>
        </w:rPr>
        <w:t>d</w:t>
      </w:r>
      <w:r w:rsidRPr="00D70C56">
        <w:rPr>
          <w:rFonts w:ascii="Arial" w:eastAsia="Times New Roman" w:hAnsi="Arial" w:cs="Arial"/>
          <w:sz w:val="24"/>
          <w:szCs w:val="24"/>
          <w:lang w:eastAsia="en-GB"/>
        </w:rPr>
        <w:t xml:space="preserve">) </w:t>
      </w:r>
      <w:r w:rsidR="00190351" w:rsidRPr="00CA4C14">
        <w:rPr>
          <w:rFonts w:ascii="Arial" w:eastAsia="Times New Roman" w:hAnsi="Arial" w:cs="Arial"/>
          <w:i/>
          <w:iCs/>
          <w:sz w:val="24"/>
          <w:szCs w:val="24"/>
          <w:lang w:eastAsia="en-GB"/>
        </w:rPr>
        <w:t xml:space="preserve">Mounting Recruitment </w:t>
      </w:r>
      <w:r w:rsidR="00162B1C" w:rsidRPr="00CA4C14">
        <w:rPr>
          <w:rFonts w:ascii="Arial" w:eastAsia="Times New Roman" w:hAnsi="Arial" w:cs="Arial"/>
          <w:i/>
          <w:iCs/>
          <w:sz w:val="24"/>
          <w:szCs w:val="24"/>
          <w:lang w:eastAsia="en-GB"/>
        </w:rPr>
        <w:t>Difficulties Point to Higher Inflation in 2022</w:t>
      </w:r>
      <w:r w:rsidR="00162B1C" w:rsidRPr="00CA4C14">
        <w:rPr>
          <w:rFonts w:ascii="Arial" w:eastAsia="Times New Roman" w:hAnsi="Arial" w:cs="Arial"/>
          <w:sz w:val="24"/>
          <w:szCs w:val="24"/>
          <w:lang w:eastAsia="en-GB"/>
        </w:rPr>
        <w:t xml:space="preserve">. </w:t>
      </w:r>
      <w:r w:rsidR="00162B1C" w:rsidRPr="00D70C56">
        <w:rPr>
          <w:rFonts w:ascii="Arial" w:eastAsia="Times New Roman" w:hAnsi="Arial" w:cs="Arial"/>
          <w:sz w:val="24"/>
          <w:szCs w:val="24"/>
          <w:lang w:eastAsia="en-GB"/>
        </w:rPr>
        <w:t xml:space="preserve">London: </w:t>
      </w:r>
      <w:r w:rsidR="00162B1C" w:rsidRPr="00CA4C14">
        <w:rPr>
          <w:rFonts w:ascii="Arial" w:eastAsia="Times New Roman" w:hAnsi="Arial" w:cs="Arial"/>
          <w:sz w:val="24"/>
          <w:szCs w:val="24"/>
          <w:lang w:eastAsia="en-GB"/>
        </w:rPr>
        <w:t>Chartered Institute of Personnel and Development</w:t>
      </w:r>
      <w:r w:rsidR="00162B1C" w:rsidRPr="00D70C56">
        <w:rPr>
          <w:rFonts w:ascii="Arial" w:eastAsia="Times New Roman" w:hAnsi="Arial" w:cs="Arial"/>
          <w:sz w:val="24"/>
          <w:szCs w:val="24"/>
          <w:lang w:eastAsia="en-GB"/>
        </w:rPr>
        <w:t>. Available at;</w:t>
      </w:r>
      <w:r w:rsidR="00162B1C" w:rsidRPr="00D70C56">
        <w:rPr>
          <w:rFonts w:ascii="Arial" w:eastAsia="Times New Roman" w:hAnsi="Arial" w:cs="Arial"/>
          <w:sz w:val="24"/>
          <w:szCs w:val="24"/>
          <w:lang w:val="en-US" w:eastAsia="en-GB"/>
        </w:rPr>
        <w:t xml:space="preserve"> </w:t>
      </w:r>
      <w:hyperlink r:id="rId12" w:history="1">
        <w:r w:rsidRPr="00D70C56">
          <w:rPr>
            <w:rStyle w:val="Hyperlink"/>
            <w:rFonts w:ascii="Arial" w:eastAsia="Times New Roman" w:hAnsi="Arial" w:cs="Arial"/>
            <w:sz w:val="24"/>
            <w:szCs w:val="24"/>
            <w:lang w:eastAsia="en-GB"/>
          </w:rPr>
          <w:t>Mounting recruitment difficulties point to higher pay inflation in 2022 | CIPD Voice article</w:t>
        </w:r>
      </w:hyperlink>
      <w:r w:rsidR="00CA4C14">
        <w:rPr>
          <w:rStyle w:val="Hyperlink"/>
          <w:rFonts w:ascii="Arial" w:eastAsia="Times New Roman" w:hAnsi="Arial" w:cs="Arial"/>
          <w:sz w:val="24"/>
          <w:szCs w:val="24"/>
          <w:lang w:eastAsia="en-GB"/>
        </w:rPr>
        <w:t xml:space="preserve">. </w:t>
      </w:r>
      <w:r w:rsidR="00CA4C14" w:rsidRPr="00CA4C14">
        <w:rPr>
          <w:rFonts w:ascii="Arial" w:hAnsi="Arial" w:cs="Arial"/>
          <w:sz w:val="24"/>
          <w:szCs w:val="24"/>
        </w:rPr>
        <w:t>(Accessed December 10</w:t>
      </w:r>
      <w:r w:rsidR="00CA4C14" w:rsidRPr="00CA4C14">
        <w:rPr>
          <w:rFonts w:ascii="Arial" w:hAnsi="Arial" w:cs="Arial"/>
          <w:sz w:val="24"/>
          <w:szCs w:val="24"/>
          <w:vertAlign w:val="superscript"/>
        </w:rPr>
        <w:t>th</w:t>
      </w:r>
      <w:r w:rsidR="00BF1A97" w:rsidRPr="00CA4C14">
        <w:rPr>
          <w:rFonts w:ascii="Arial" w:hAnsi="Arial" w:cs="Arial"/>
          <w:sz w:val="24"/>
          <w:szCs w:val="24"/>
        </w:rPr>
        <w:t>, 2022</w:t>
      </w:r>
      <w:r w:rsidR="00CA4C14" w:rsidRPr="00CA4C14">
        <w:rPr>
          <w:rFonts w:ascii="Arial" w:hAnsi="Arial" w:cs="Arial"/>
          <w:sz w:val="24"/>
          <w:szCs w:val="24"/>
        </w:rPr>
        <w:t>).</w:t>
      </w:r>
    </w:p>
    <w:p w14:paraId="735FA447" w14:textId="77777777" w:rsidR="00FA3D34" w:rsidRPr="00D70C56" w:rsidRDefault="00FA3D34" w:rsidP="00D70C56">
      <w:pPr>
        <w:spacing w:after="0" w:line="480" w:lineRule="auto"/>
        <w:rPr>
          <w:rFonts w:ascii="Arial" w:eastAsia="Times New Roman" w:hAnsi="Arial" w:cs="Arial"/>
          <w:sz w:val="24"/>
          <w:szCs w:val="24"/>
          <w:lang w:val="en-US" w:eastAsia="en-GB"/>
        </w:rPr>
      </w:pPr>
    </w:p>
    <w:p w14:paraId="664DDE7C" w14:textId="7A1F8970" w:rsidR="00CA4C14" w:rsidRPr="00923483" w:rsidRDefault="009F47BD" w:rsidP="00CA4C14">
      <w:pPr>
        <w:pStyle w:val="ListParagraph"/>
        <w:numPr>
          <w:ilvl w:val="0"/>
          <w:numId w:val="3"/>
        </w:numPr>
        <w:spacing w:line="480" w:lineRule="auto"/>
        <w:rPr>
          <w:rFonts w:ascii="Arial" w:eastAsia="Times New Roman" w:hAnsi="Arial" w:cs="Arial"/>
          <w:b/>
          <w:bCs/>
          <w:sz w:val="24"/>
          <w:szCs w:val="24"/>
          <w:lang w:eastAsia="en-GB"/>
        </w:rPr>
      </w:pPr>
      <w:r w:rsidRPr="00D70C56">
        <w:rPr>
          <w:rFonts w:ascii="Arial" w:eastAsia="Times New Roman" w:hAnsi="Arial" w:cs="Arial"/>
          <w:sz w:val="24"/>
          <w:szCs w:val="24"/>
          <w:lang w:eastAsia="en-GB"/>
        </w:rPr>
        <w:t>CIPD (2022</w:t>
      </w:r>
      <w:r w:rsidR="006465CF">
        <w:rPr>
          <w:rFonts w:ascii="Arial" w:eastAsia="Times New Roman" w:hAnsi="Arial" w:cs="Arial"/>
          <w:sz w:val="24"/>
          <w:szCs w:val="24"/>
          <w:lang w:eastAsia="en-GB"/>
        </w:rPr>
        <w:t>a</w:t>
      </w:r>
      <w:r w:rsidRPr="00D70C56">
        <w:rPr>
          <w:rFonts w:ascii="Arial" w:eastAsia="Times New Roman" w:hAnsi="Arial" w:cs="Arial"/>
          <w:sz w:val="24"/>
          <w:szCs w:val="24"/>
          <w:lang w:eastAsia="en-GB"/>
        </w:rPr>
        <w:t>)</w:t>
      </w:r>
      <w:r w:rsidR="00232A8D" w:rsidRPr="00D70C56">
        <w:rPr>
          <w:rFonts w:ascii="Arial" w:eastAsia="Times New Roman" w:hAnsi="Arial" w:cs="Arial"/>
          <w:b/>
          <w:bCs/>
          <w:color w:val="FFFFFF"/>
          <w:kern w:val="36"/>
          <w:sz w:val="24"/>
          <w:szCs w:val="24"/>
          <w:lang w:eastAsia="en-GB"/>
        </w:rPr>
        <w:t xml:space="preserve"> </w:t>
      </w:r>
      <w:r w:rsidR="00232A8D" w:rsidRPr="00D70C56">
        <w:rPr>
          <w:rFonts w:ascii="Arial" w:eastAsia="Times New Roman" w:hAnsi="Arial" w:cs="Arial"/>
          <w:i/>
          <w:iCs/>
          <w:sz w:val="24"/>
          <w:szCs w:val="24"/>
          <w:lang w:eastAsia="en-GB"/>
        </w:rPr>
        <w:t>Evidence-based practice for effective decision-making</w:t>
      </w:r>
      <w:r w:rsidR="00232A8D" w:rsidRPr="00D70C56">
        <w:rPr>
          <w:rFonts w:ascii="Arial" w:eastAsia="Times New Roman" w:hAnsi="Arial" w:cs="Arial"/>
          <w:b/>
          <w:bCs/>
          <w:sz w:val="24"/>
          <w:szCs w:val="24"/>
          <w:lang w:eastAsia="en-GB"/>
        </w:rPr>
        <w:t xml:space="preserve">: </w:t>
      </w:r>
      <w:r w:rsidRPr="00D70C56">
        <w:rPr>
          <w:rFonts w:ascii="Arial" w:eastAsia="Times New Roman" w:hAnsi="Arial" w:cs="Arial"/>
          <w:sz w:val="24"/>
          <w:szCs w:val="24"/>
          <w:lang w:eastAsia="en-GB"/>
        </w:rPr>
        <w:t>London: Chartered Institute of Personnel and Development. Available at;</w:t>
      </w:r>
      <w:r w:rsidRPr="00D70C56">
        <w:rPr>
          <w:rFonts w:ascii="Arial" w:eastAsia="Times New Roman" w:hAnsi="Arial" w:cs="Arial"/>
          <w:sz w:val="24"/>
          <w:szCs w:val="24"/>
          <w:lang w:val="en-US" w:eastAsia="en-GB"/>
        </w:rPr>
        <w:t xml:space="preserve"> </w:t>
      </w:r>
      <w:hyperlink r:id="rId13" w:history="1">
        <w:r w:rsidRPr="00D70C56">
          <w:rPr>
            <w:rStyle w:val="Hyperlink"/>
            <w:rFonts w:ascii="Arial" w:eastAsia="Times New Roman" w:hAnsi="Arial" w:cs="Arial"/>
            <w:sz w:val="24"/>
            <w:szCs w:val="24"/>
            <w:lang w:eastAsia="en-GB"/>
          </w:rPr>
          <w:t>Evidence-based practice for effective decision-making | Factsheets | CIPD</w:t>
        </w:r>
      </w:hyperlink>
      <w:r w:rsidR="00CA4C14">
        <w:rPr>
          <w:rStyle w:val="Hyperlink"/>
          <w:rFonts w:ascii="Arial" w:eastAsia="Times New Roman" w:hAnsi="Arial" w:cs="Arial"/>
          <w:sz w:val="24"/>
          <w:szCs w:val="24"/>
          <w:lang w:eastAsia="en-GB"/>
        </w:rPr>
        <w:t xml:space="preserve"> . </w:t>
      </w:r>
      <w:bookmarkStart w:id="12" w:name="_Hlk122015006"/>
      <w:r w:rsidR="00CA4C14" w:rsidRPr="00CA4C14">
        <w:rPr>
          <w:rFonts w:ascii="Arial" w:hAnsi="Arial" w:cs="Arial"/>
          <w:sz w:val="24"/>
          <w:szCs w:val="24"/>
        </w:rPr>
        <w:t>(Accessed December 12</w:t>
      </w:r>
      <w:r w:rsidR="00CA4C14" w:rsidRPr="00CA4C14">
        <w:rPr>
          <w:rFonts w:ascii="Arial" w:hAnsi="Arial" w:cs="Arial"/>
          <w:sz w:val="24"/>
          <w:szCs w:val="24"/>
          <w:vertAlign w:val="superscript"/>
        </w:rPr>
        <w:t>th</w:t>
      </w:r>
      <w:r w:rsidR="000011FB" w:rsidRPr="00CA4C14">
        <w:rPr>
          <w:rFonts w:ascii="Arial" w:hAnsi="Arial" w:cs="Arial"/>
          <w:sz w:val="24"/>
          <w:szCs w:val="24"/>
        </w:rPr>
        <w:t>, 2022</w:t>
      </w:r>
      <w:r w:rsidR="00CA4C14" w:rsidRPr="00CA4C14">
        <w:rPr>
          <w:rFonts w:ascii="Arial" w:hAnsi="Arial" w:cs="Arial"/>
          <w:sz w:val="24"/>
          <w:szCs w:val="24"/>
        </w:rPr>
        <w:t>).</w:t>
      </w:r>
    </w:p>
    <w:p w14:paraId="3A0A7C21" w14:textId="77777777" w:rsidR="00923483" w:rsidRPr="00923483" w:rsidRDefault="00923483" w:rsidP="00923483">
      <w:pPr>
        <w:pStyle w:val="ListParagraph"/>
        <w:rPr>
          <w:rFonts w:ascii="Arial" w:eastAsia="Times New Roman" w:hAnsi="Arial" w:cs="Arial"/>
          <w:b/>
          <w:bCs/>
          <w:sz w:val="24"/>
          <w:szCs w:val="24"/>
          <w:lang w:eastAsia="en-GB"/>
        </w:rPr>
      </w:pPr>
    </w:p>
    <w:p w14:paraId="2AF563A6" w14:textId="0FF54BF2" w:rsidR="00923483" w:rsidRPr="005A4477" w:rsidRDefault="004462A6" w:rsidP="00923483">
      <w:pPr>
        <w:pStyle w:val="ListParagraph"/>
        <w:numPr>
          <w:ilvl w:val="0"/>
          <w:numId w:val="3"/>
        </w:numPr>
        <w:spacing w:after="0" w:line="480" w:lineRule="auto"/>
        <w:rPr>
          <w:rFonts w:ascii="Arial" w:eastAsia="Times New Roman" w:hAnsi="Arial" w:cs="Arial"/>
          <w:sz w:val="24"/>
          <w:szCs w:val="24"/>
          <w:lang w:eastAsia="en-GB"/>
        </w:rPr>
      </w:pPr>
      <w:r w:rsidRPr="004462A6">
        <w:rPr>
          <w:rFonts w:ascii="Arial" w:eastAsia="Times New Roman" w:hAnsi="Arial" w:cs="Arial"/>
          <w:sz w:val="24"/>
          <w:szCs w:val="24"/>
          <w:lang w:eastAsia="en-GB"/>
        </w:rPr>
        <w:t>CIPD (202</w:t>
      </w:r>
      <w:r w:rsidR="00923483">
        <w:rPr>
          <w:rFonts w:ascii="Arial" w:eastAsia="Times New Roman" w:hAnsi="Arial" w:cs="Arial"/>
          <w:sz w:val="24"/>
          <w:szCs w:val="24"/>
          <w:lang w:eastAsia="en-GB"/>
        </w:rPr>
        <w:t>2</w:t>
      </w:r>
      <w:r w:rsidR="00BA249F">
        <w:rPr>
          <w:rFonts w:ascii="Arial" w:eastAsia="Times New Roman" w:hAnsi="Arial" w:cs="Arial"/>
          <w:sz w:val="24"/>
          <w:szCs w:val="24"/>
          <w:lang w:eastAsia="en-GB"/>
        </w:rPr>
        <w:t>b</w:t>
      </w:r>
      <w:r w:rsidRPr="004462A6">
        <w:rPr>
          <w:rFonts w:ascii="Arial" w:eastAsia="Times New Roman" w:hAnsi="Arial" w:cs="Arial"/>
          <w:sz w:val="24"/>
          <w:szCs w:val="24"/>
          <w:lang w:eastAsia="en-GB"/>
        </w:rPr>
        <w:t>)</w:t>
      </w:r>
      <w:r w:rsidR="00923483">
        <w:rPr>
          <w:rFonts w:ascii="Open Sans" w:eastAsia="Times New Roman" w:hAnsi="Open Sans" w:cs="Open Sans"/>
          <w:b/>
          <w:bCs/>
          <w:color w:val="FFFFFF"/>
          <w:kern w:val="36"/>
          <w:sz w:val="48"/>
          <w:szCs w:val="48"/>
          <w:lang w:eastAsia="en-GB"/>
        </w:rPr>
        <w:t xml:space="preserve"> </w:t>
      </w:r>
      <w:r w:rsidR="00923483" w:rsidRPr="0085321E">
        <w:rPr>
          <w:rFonts w:ascii="Arial" w:eastAsia="Times New Roman" w:hAnsi="Arial" w:cs="Arial"/>
          <w:i/>
          <w:iCs/>
          <w:sz w:val="24"/>
          <w:szCs w:val="24"/>
          <w:lang w:eastAsia="en-GB"/>
        </w:rPr>
        <w:t>The great resignation- fact or fiction</w:t>
      </w:r>
      <w:r w:rsidR="00923483" w:rsidRPr="0085321E">
        <w:rPr>
          <w:rFonts w:ascii="Arial" w:eastAsia="Times New Roman" w:hAnsi="Arial" w:cs="Arial"/>
          <w:sz w:val="24"/>
          <w:szCs w:val="24"/>
          <w:lang w:eastAsia="en-GB"/>
        </w:rPr>
        <w:t>? London: Chartered Institute of Personnel and Development. Available at;</w:t>
      </w:r>
      <w:r w:rsidR="00923483" w:rsidRPr="0085321E">
        <w:rPr>
          <w:rFonts w:ascii="Arial" w:eastAsia="Times New Roman" w:hAnsi="Arial" w:cs="Arial"/>
          <w:sz w:val="24"/>
          <w:szCs w:val="24"/>
          <w:lang w:val="en-US" w:eastAsia="en-GB"/>
        </w:rPr>
        <w:t xml:space="preserve"> </w:t>
      </w:r>
      <w:hyperlink r:id="rId14" w:history="1">
        <w:r w:rsidR="00923483" w:rsidRPr="0085321E">
          <w:rPr>
            <w:rStyle w:val="Hyperlink"/>
            <w:rFonts w:ascii="Arial" w:eastAsia="Times New Roman" w:hAnsi="Arial" w:cs="Arial"/>
            <w:sz w:val="24"/>
            <w:szCs w:val="24"/>
            <w:lang w:eastAsia="en-GB"/>
          </w:rPr>
          <w:t>The great resignation- fact or fiction?| CIPD Voice article</w:t>
        </w:r>
      </w:hyperlink>
      <w:r w:rsidR="00923483">
        <w:rPr>
          <w:rFonts w:ascii="Arial" w:eastAsia="Times New Roman" w:hAnsi="Arial" w:cs="Arial"/>
          <w:sz w:val="24"/>
          <w:szCs w:val="24"/>
          <w:lang w:eastAsia="en-GB"/>
        </w:rPr>
        <w:t xml:space="preserve">. </w:t>
      </w:r>
      <w:r w:rsidR="00923483" w:rsidRPr="00CA4C14">
        <w:rPr>
          <w:rFonts w:ascii="Arial" w:hAnsi="Arial" w:cs="Arial"/>
          <w:sz w:val="24"/>
          <w:szCs w:val="24"/>
        </w:rPr>
        <w:t>(Accessed December 10</w:t>
      </w:r>
      <w:r w:rsidR="00923483" w:rsidRPr="00CA4C14">
        <w:rPr>
          <w:rFonts w:ascii="Arial" w:hAnsi="Arial" w:cs="Arial"/>
          <w:sz w:val="24"/>
          <w:szCs w:val="24"/>
          <w:vertAlign w:val="superscript"/>
        </w:rPr>
        <w:t>th</w:t>
      </w:r>
      <w:r w:rsidR="00923483" w:rsidRPr="00CA4C14">
        <w:rPr>
          <w:rFonts w:ascii="Arial" w:hAnsi="Arial" w:cs="Arial"/>
          <w:sz w:val="24"/>
          <w:szCs w:val="24"/>
        </w:rPr>
        <w:t>, 2022).</w:t>
      </w:r>
    </w:p>
    <w:bookmarkEnd w:id="12"/>
    <w:p w14:paraId="089B96E3" w14:textId="77777777" w:rsidR="009F47BD" w:rsidRPr="00D70C56" w:rsidRDefault="009F47BD" w:rsidP="00D70C56">
      <w:pPr>
        <w:spacing w:after="0" w:line="480" w:lineRule="auto"/>
        <w:rPr>
          <w:rFonts w:ascii="Arial" w:eastAsia="Times New Roman" w:hAnsi="Arial" w:cs="Arial"/>
          <w:sz w:val="24"/>
          <w:szCs w:val="24"/>
          <w:lang w:eastAsia="en-GB"/>
        </w:rPr>
      </w:pPr>
    </w:p>
    <w:p w14:paraId="09973950" w14:textId="77777777" w:rsidR="00E47F89" w:rsidRDefault="00510941" w:rsidP="00E47F89">
      <w:pPr>
        <w:pStyle w:val="ListParagraph"/>
        <w:numPr>
          <w:ilvl w:val="0"/>
          <w:numId w:val="3"/>
        </w:numPr>
        <w:spacing w:line="480" w:lineRule="auto"/>
        <w:rPr>
          <w:rFonts w:ascii="Arial" w:hAnsi="Arial" w:cs="Arial"/>
          <w:sz w:val="24"/>
          <w:szCs w:val="24"/>
        </w:rPr>
      </w:pPr>
      <w:r w:rsidRPr="00D70C56">
        <w:rPr>
          <w:rFonts w:ascii="Arial" w:hAnsi="Arial" w:cs="Arial"/>
          <w:sz w:val="24"/>
          <w:szCs w:val="24"/>
        </w:rPr>
        <w:t>Duchin, R. and Hackney, J. (2021) ‘Buying the Vote? The Economics of Electoral Politics and Small-Business Loans’, </w:t>
      </w:r>
      <w:r w:rsidRPr="00D70C56">
        <w:rPr>
          <w:rFonts w:ascii="Arial" w:hAnsi="Arial" w:cs="Arial"/>
          <w:i/>
          <w:iCs/>
          <w:sz w:val="24"/>
          <w:szCs w:val="24"/>
        </w:rPr>
        <w:t>Journal of financial and quantitative analysis</w:t>
      </w:r>
      <w:r w:rsidRPr="00D70C56">
        <w:rPr>
          <w:rFonts w:ascii="Arial" w:hAnsi="Arial" w:cs="Arial"/>
          <w:sz w:val="24"/>
          <w:szCs w:val="24"/>
        </w:rPr>
        <w:t xml:space="preserve">, 56(7), pp. 2439–2473. Available at: </w:t>
      </w:r>
      <w:hyperlink r:id="rId15" w:history="1">
        <w:r w:rsidR="002D6648" w:rsidRPr="00D70C56">
          <w:rPr>
            <w:rStyle w:val="Hyperlink"/>
            <w:rFonts w:ascii="Arial" w:hAnsi="Arial" w:cs="Arial"/>
            <w:sz w:val="24"/>
            <w:szCs w:val="24"/>
          </w:rPr>
          <w:t>https://doi.org/10.1017/S002210902100048X</w:t>
        </w:r>
      </w:hyperlink>
      <w:r w:rsidRPr="00D70C56">
        <w:rPr>
          <w:rFonts w:ascii="Arial" w:hAnsi="Arial" w:cs="Arial"/>
          <w:sz w:val="24"/>
          <w:szCs w:val="24"/>
        </w:rPr>
        <w:t>.</w:t>
      </w:r>
    </w:p>
    <w:p w14:paraId="097E70DB" w14:textId="77777777" w:rsidR="00E47F89" w:rsidRPr="00E47F89" w:rsidRDefault="00E47F89" w:rsidP="00E47F89">
      <w:pPr>
        <w:pStyle w:val="ListParagraph"/>
        <w:rPr>
          <w:rFonts w:ascii="Times New Roman" w:eastAsia="Times New Roman" w:hAnsi="Times New Roman" w:cs="Times New Roman"/>
          <w:i/>
          <w:iCs/>
          <w:sz w:val="24"/>
          <w:szCs w:val="24"/>
        </w:rPr>
      </w:pPr>
    </w:p>
    <w:p w14:paraId="49879B95" w14:textId="033AC3F8" w:rsidR="00470AA5" w:rsidRPr="00E47F89" w:rsidRDefault="00470AA5" w:rsidP="00E47F89">
      <w:pPr>
        <w:pStyle w:val="ListParagraph"/>
        <w:numPr>
          <w:ilvl w:val="0"/>
          <w:numId w:val="3"/>
        </w:numPr>
        <w:spacing w:line="480" w:lineRule="auto"/>
        <w:rPr>
          <w:rFonts w:ascii="Arial" w:hAnsi="Arial" w:cs="Arial"/>
          <w:sz w:val="24"/>
          <w:szCs w:val="24"/>
        </w:rPr>
      </w:pPr>
      <w:r w:rsidRPr="00E47F89">
        <w:rPr>
          <w:rFonts w:ascii="Arial" w:eastAsia="Times New Roman" w:hAnsi="Arial" w:cs="Arial"/>
          <w:i/>
          <w:iCs/>
          <w:sz w:val="24"/>
          <w:szCs w:val="24"/>
        </w:rPr>
        <w:t>Equality Act (2010)</w:t>
      </w:r>
      <w:r w:rsidRPr="00E47F89">
        <w:rPr>
          <w:rFonts w:ascii="Arial" w:eastAsia="Times New Roman" w:hAnsi="Arial" w:cs="Arial"/>
          <w:sz w:val="24"/>
          <w:szCs w:val="24"/>
        </w:rPr>
        <w:t>. Available at:</w:t>
      </w:r>
      <w:r w:rsidR="00122BA2">
        <w:rPr>
          <w:rFonts w:ascii="Arial" w:eastAsia="Times New Roman" w:hAnsi="Arial" w:cs="Arial"/>
          <w:sz w:val="24"/>
          <w:szCs w:val="24"/>
        </w:rPr>
        <w:t xml:space="preserve"> </w:t>
      </w:r>
      <w:hyperlink r:id="rId16" w:history="1">
        <w:r w:rsidR="00122BA2" w:rsidRPr="006315DF">
          <w:rPr>
            <w:rStyle w:val="Hyperlink"/>
            <w:rFonts w:ascii="Arial" w:eastAsia="Times New Roman" w:hAnsi="Arial" w:cs="Arial"/>
            <w:sz w:val="24"/>
            <w:szCs w:val="24"/>
          </w:rPr>
          <w:t>https://www.legislation.gov.uk/ukpga/2010/15/contents</w:t>
        </w:r>
      </w:hyperlink>
    </w:p>
    <w:p w14:paraId="4B13921A" w14:textId="1DB9AE72" w:rsidR="00F15AEC" w:rsidRDefault="00E47F89" w:rsidP="00122BA2">
      <w:pPr>
        <w:pStyle w:val="ListParagraph"/>
        <w:spacing w:line="480" w:lineRule="auto"/>
        <w:rPr>
          <w:rFonts w:ascii="Arial" w:eastAsia="Times New Roman" w:hAnsi="Arial" w:cs="Arial"/>
          <w:sz w:val="24"/>
          <w:szCs w:val="24"/>
        </w:rPr>
      </w:pPr>
      <w:r>
        <w:rPr>
          <w:rFonts w:ascii="Arial" w:eastAsia="Times New Roman" w:hAnsi="Arial" w:cs="Arial"/>
          <w:sz w:val="24"/>
          <w:szCs w:val="24"/>
        </w:rPr>
        <w:t>(</w:t>
      </w:r>
      <w:r w:rsidR="00470AA5" w:rsidRPr="00E47F89">
        <w:rPr>
          <w:rFonts w:ascii="Arial" w:eastAsia="Times New Roman" w:hAnsi="Arial" w:cs="Arial"/>
          <w:sz w:val="24"/>
          <w:szCs w:val="24"/>
        </w:rPr>
        <w:t xml:space="preserve">Accessed </w:t>
      </w:r>
      <w:r>
        <w:rPr>
          <w:rFonts w:ascii="Arial" w:eastAsia="Times New Roman" w:hAnsi="Arial" w:cs="Arial"/>
          <w:sz w:val="24"/>
          <w:szCs w:val="24"/>
        </w:rPr>
        <w:t xml:space="preserve">December </w:t>
      </w:r>
      <w:r w:rsidR="00470AA5" w:rsidRPr="00E47F89">
        <w:rPr>
          <w:rFonts w:ascii="Arial" w:eastAsia="Times New Roman" w:hAnsi="Arial" w:cs="Arial"/>
          <w:sz w:val="24"/>
          <w:szCs w:val="24"/>
        </w:rPr>
        <w:t>5</w:t>
      </w:r>
      <w:r w:rsidR="00470AA5" w:rsidRPr="00E47F89">
        <w:rPr>
          <w:rFonts w:ascii="Arial" w:eastAsia="Times New Roman" w:hAnsi="Arial" w:cs="Arial"/>
          <w:sz w:val="24"/>
          <w:szCs w:val="24"/>
          <w:vertAlign w:val="superscript"/>
        </w:rPr>
        <w:t>th</w:t>
      </w:r>
      <w:r w:rsidR="009C584D" w:rsidRPr="00E47F89">
        <w:rPr>
          <w:rFonts w:ascii="Arial" w:eastAsia="Times New Roman" w:hAnsi="Arial" w:cs="Arial"/>
          <w:sz w:val="24"/>
          <w:szCs w:val="24"/>
        </w:rPr>
        <w:t>, 2022</w:t>
      </w:r>
      <w:r>
        <w:rPr>
          <w:rFonts w:ascii="Arial" w:eastAsia="Times New Roman" w:hAnsi="Arial" w:cs="Arial"/>
          <w:sz w:val="24"/>
          <w:szCs w:val="24"/>
        </w:rPr>
        <w:t>)</w:t>
      </w:r>
      <w:r w:rsidR="00470AA5" w:rsidRPr="00E47F89">
        <w:rPr>
          <w:rFonts w:ascii="Arial" w:eastAsia="Times New Roman" w:hAnsi="Arial" w:cs="Arial"/>
          <w:sz w:val="24"/>
          <w:szCs w:val="24"/>
        </w:rPr>
        <w:t>.</w:t>
      </w:r>
    </w:p>
    <w:p w14:paraId="2D7790F8" w14:textId="77777777" w:rsidR="00122BA2" w:rsidRPr="00122BA2" w:rsidRDefault="00122BA2" w:rsidP="00122BA2">
      <w:pPr>
        <w:pStyle w:val="ListParagraph"/>
        <w:spacing w:line="480" w:lineRule="auto"/>
        <w:rPr>
          <w:rFonts w:ascii="Arial" w:eastAsia="Times New Roman" w:hAnsi="Arial" w:cs="Arial"/>
          <w:sz w:val="24"/>
          <w:szCs w:val="24"/>
        </w:rPr>
      </w:pPr>
    </w:p>
    <w:p w14:paraId="27DBBC30" w14:textId="3E19D28A" w:rsidR="00AC5C16" w:rsidRPr="00CA4C14" w:rsidRDefault="002D6648" w:rsidP="00D70C56">
      <w:pPr>
        <w:pStyle w:val="ListParagraph"/>
        <w:numPr>
          <w:ilvl w:val="0"/>
          <w:numId w:val="3"/>
        </w:numPr>
        <w:spacing w:line="480" w:lineRule="auto"/>
        <w:rPr>
          <w:rFonts w:ascii="Arial" w:eastAsia="Times New Roman" w:hAnsi="Arial" w:cs="Arial"/>
          <w:b/>
          <w:bCs/>
          <w:sz w:val="24"/>
          <w:szCs w:val="24"/>
          <w:lang w:eastAsia="en-GB"/>
        </w:rPr>
      </w:pPr>
      <w:r w:rsidRPr="00D70C56">
        <w:rPr>
          <w:rFonts w:ascii="Arial" w:hAnsi="Arial" w:cs="Arial"/>
          <w:sz w:val="24"/>
          <w:szCs w:val="24"/>
        </w:rPr>
        <w:t xml:space="preserve">Frue, </w:t>
      </w:r>
      <w:r w:rsidR="00463379" w:rsidRPr="00D70C56">
        <w:rPr>
          <w:rFonts w:ascii="Arial" w:hAnsi="Arial" w:cs="Arial"/>
          <w:sz w:val="24"/>
          <w:szCs w:val="24"/>
        </w:rPr>
        <w:t xml:space="preserve">K (2020) </w:t>
      </w:r>
      <w:r w:rsidR="0031629B" w:rsidRPr="00CF5F91">
        <w:rPr>
          <w:rFonts w:ascii="Arial" w:hAnsi="Arial" w:cs="Arial"/>
          <w:i/>
          <w:iCs/>
          <w:sz w:val="24"/>
          <w:szCs w:val="24"/>
        </w:rPr>
        <w:t>PESTLE Analysis of Escape Rooms</w:t>
      </w:r>
      <w:r w:rsidR="0031629B" w:rsidRPr="00D70C56">
        <w:rPr>
          <w:rFonts w:ascii="Arial" w:hAnsi="Arial" w:cs="Arial"/>
          <w:sz w:val="24"/>
          <w:szCs w:val="24"/>
        </w:rPr>
        <w:t xml:space="preserve">, Available at; </w:t>
      </w:r>
      <w:hyperlink r:id="rId17" w:history="1">
        <w:r w:rsidR="00463379" w:rsidRPr="00D70C56">
          <w:rPr>
            <w:rStyle w:val="Hyperlink"/>
            <w:rFonts w:ascii="Arial" w:hAnsi="Arial" w:cs="Arial"/>
            <w:sz w:val="24"/>
            <w:szCs w:val="24"/>
          </w:rPr>
          <w:t>PESTLE Analysis of Escape Rooms</w:t>
        </w:r>
      </w:hyperlink>
      <w:r w:rsidR="00CA4C14">
        <w:rPr>
          <w:rStyle w:val="Hyperlink"/>
          <w:rFonts w:ascii="Arial" w:hAnsi="Arial" w:cs="Arial"/>
          <w:sz w:val="24"/>
          <w:szCs w:val="24"/>
        </w:rPr>
        <w:t xml:space="preserve">. </w:t>
      </w:r>
      <w:r w:rsidR="00CA4C14" w:rsidRPr="00CA4C14">
        <w:rPr>
          <w:rFonts w:ascii="Arial" w:hAnsi="Arial" w:cs="Arial"/>
          <w:sz w:val="24"/>
          <w:szCs w:val="24"/>
        </w:rPr>
        <w:t>(Accessed December 12</w:t>
      </w:r>
      <w:r w:rsidR="00CA4C14" w:rsidRPr="00CA4C14">
        <w:rPr>
          <w:rFonts w:ascii="Arial" w:hAnsi="Arial" w:cs="Arial"/>
          <w:sz w:val="24"/>
          <w:szCs w:val="24"/>
          <w:vertAlign w:val="superscript"/>
        </w:rPr>
        <w:t>th</w:t>
      </w:r>
      <w:r w:rsidR="00BF1A97" w:rsidRPr="00CA4C14">
        <w:rPr>
          <w:rFonts w:ascii="Arial" w:hAnsi="Arial" w:cs="Arial"/>
          <w:sz w:val="24"/>
          <w:szCs w:val="24"/>
        </w:rPr>
        <w:t>, 2022</w:t>
      </w:r>
      <w:r w:rsidR="00CA4C14" w:rsidRPr="00CA4C14">
        <w:rPr>
          <w:rFonts w:ascii="Arial" w:hAnsi="Arial" w:cs="Arial"/>
          <w:sz w:val="24"/>
          <w:szCs w:val="24"/>
        </w:rPr>
        <w:t>).</w:t>
      </w:r>
    </w:p>
    <w:p w14:paraId="0C994F1A" w14:textId="77777777" w:rsidR="00CA4C14" w:rsidRPr="00CA4C14" w:rsidRDefault="00CA4C14" w:rsidP="00CA4C14">
      <w:pPr>
        <w:spacing w:line="480" w:lineRule="auto"/>
        <w:rPr>
          <w:rFonts w:ascii="Arial" w:eastAsia="Times New Roman" w:hAnsi="Arial" w:cs="Arial"/>
          <w:b/>
          <w:bCs/>
          <w:sz w:val="24"/>
          <w:szCs w:val="24"/>
          <w:lang w:eastAsia="en-GB"/>
        </w:rPr>
      </w:pPr>
    </w:p>
    <w:p w14:paraId="3F80C943" w14:textId="72A88D44" w:rsidR="00F15AEC" w:rsidRPr="00D70C56" w:rsidRDefault="00AC5C16" w:rsidP="00D70C56">
      <w:pPr>
        <w:pStyle w:val="ListParagraph"/>
        <w:numPr>
          <w:ilvl w:val="0"/>
          <w:numId w:val="3"/>
        </w:numPr>
        <w:spacing w:line="480" w:lineRule="auto"/>
        <w:rPr>
          <w:rFonts w:ascii="Arial" w:hAnsi="Arial" w:cs="Arial"/>
          <w:sz w:val="24"/>
          <w:szCs w:val="24"/>
        </w:rPr>
      </w:pPr>
      <w:r w:rsidRPr="00D70C56">
        <w:rPr>
          <w:rFonts w:ascii="Arial" w:hAnsi="Arial" w:cs="Arial"/>
          <w:sz w:val="24"/>
          <w:szCs w:val="24"/>
        </w:rPr>
        <w:t>Gómez, E.J. (2022) ‘Enhancing our understanding of the commercial determinants of health: Theories, methods, and insights from political science’, </w:t>
      </w:r>
      <w:r w:rsidRPr="00D70C56">
        <w:rPr>
          <w:rFonts w:ascii="Arial" w:hAnsi="Arial" w:cs="Arial"/>
          <w:i/>
          <w:iCs/>
          <w:sz w:val="24"/>
          <w:szCs w:val="24"/>
        </w:rPr>
        <w:t xml:space="preserve">Social </w:t>
      </w:r>
      <w:r w:rsidR="00F03FEF" w:rsidRPr="00D70C56">
        <w:rPr>
          <w:rFonts w:ascii="Arial" w:hAnsi="Arial" w:cs="Arial"/>
          <w:i/>
          <w:iCs/>
          <w:sz w:val="24"/>
          <w:szCs w:val="24"/>
        </w:rPr>
        <w:t>S</w:t>
      </w:r>
      <w:r w:rsidRPr="00D70C56">
        <w:rPr>
          <w:rFonts w:ascii="Arial" w:hAnsi="Arial" w:cs="Arial"/>
          <w:i/>
          <w:iCs/>
          <w:sz w:val="24"/>
          <w:szCs w:val="24"/>
        </w:rPr>
        <w:t xml:space="preserve">cience &amp; </w:t>
      </w:r>
      <w:r w:rsidR="00F03FEF" w:rsidRPr="00D70C56">
        <w:rPr>
          <w:rFonts w:ascii="Arial" w:hAnsi="Arial" w:cs="Arial"/>
          <w:i/>
          <w:iCs/>
          <w:sz w:val="24"/>
          <w:szCs w:val="24"/>
        </w:rPr>
        <w:t>M</w:t>
      </w:r>
      <w:r w:rsidRPr="00D70C56">
        <w:rPr>
          <w:rFonts w:ascii="Arial" w:hAnsi="Arial" w:cs="Arial"/>
          <w:i/>
          <w:iCs/>
          <w:sz w:val="24"/>
          <w:szCs w:val="24"/>
        </w:rPr>
        <w:t>edicine (1982)</w:t>
      </w:r>
      <w:r w:rsidRPr="00D70C56">
        <w:rPr>
          <w:rFonts w:ascii="Arial" w:hAnsi="Arial" w:cs="Arial"/>
          <w:sz w:val="24"/>
          <w:szCs w:val="24"/>
        </w:rPr>
        <w:t xml:space="preserve">, 301, pp. 114931–114931. Available at: </w:t>
      </w:r>
      <w:hyperlink r:id="rId18" w:history="1">
        <w:r w:rsidRPr="00D70C56">
          <w:rPr>
            <w:rStyle w:val="Hyperlink"/>
            <w:rFonts w:ascii="Arial" w:hAnsi="Arial" w:cs="Arial"/>
            <w:sz w:val="24"/>
            <w:szCs w:val="24"/>
          </w:rPr>
          <w:t>https://doi.org/10.1016/j.socscimed.2022.114931</w:t>
        </w:r>
      </w:hyperlink>
      <w:r w:rsidRPr="00D70C56">
        <w:rPr>
          <w:rFonts w:ascii="Arial" w:hAnsi="Arial" w:cs="Arial"/>
          <w:sz w:val="24"/>
          <w:szCs w:val="24"/>
        </w:rPr>
        <w:t>.</w:t>
      </w:r>
    </w:p>
    <w:p w14:paraId="32D2E1CC" w14:textId="77777777" w:rsidR="00AC5C16" w:rsidRPr="00D70C56" w:rsidRDefault="00AC5C16" w:rsidP="00D70C56">
      <w:pPr>
        <w:spacing w:line="480" w:lineRule="auto"/>
        <w:rPr>
          <w:rFonts w:ascii="Arial" w:hAnsi="Arial" w:cs="Arial"/>
          <w:sz w:val="24"/>
          <w:szCs w:val="24"/>
        </w:rPr>
      </w:pPr>
    </w:p>
    <w:p w14:paraId="1737C7AB" w14:textId="42A8D6E7" w:rsidR="00F15AEC" w:rsidRDefault="00FB3F5B" w:rsidP="00D70C56">
      <w:pPr>
        <w:pStyle w:val="ListParagraph"/>
        <w:numPr>
          <w:ilvl w:val="0"/>
          <w:numId w:val="3"/>
        </w:numPr>
        <w:spacing w:line="480" w:lineRule="auto"/>
        <w:rPr>
          <w:rFonts w:ascii="Arial" w:hAnsi="Arial" w:cs="Arial"/>
          <w:sz w:val="24"/>
          <w:szCs w:val="24"/>
        </w:rPr>
      </w:pPr>
      <w:r w:rsidRPr="00D70C56">
        <w:rPr>
          <w:rFonts w:ascii="Arial" w:hAnsi="Arial" w:cs="Arial"/>
          <w:sz w:val="24"/>
          <w:szCs w:val="24"/>
        </w:rPr>
        <w:t xml:space="preserve">Heywood, </w:t>
      </w:r>
      <w:r w:rsidR="00FD254C" w:rsidRPr="00D70C56">
        <w:rPr>
          <w:rFonts w:ascii="Arial" w:hAnsi="Arial" w:cs="Arial"/>
          <w:sz w:val="24"/>
          <w:szCs w:val="24"/>
        </w:rPr>
        <w:t xml:space="preserve">S. </w:t>
      </w:r>
      <w:r w:rsidRPr="00D70C56">
        <w:rPr>
          <w:rFonts w:ascii="Arial" w:hAnsi="Arial" w:cs="Arial"/>
          <w:sz w:val="24"/>
          <w:szCs w:val="24"/>
        </w:rPr>
        <w:t>Hillar</w:t>
      </w:r>
      <w:r w:rsidR="00FD254C" w:rsidRPr="00D70C56">
        <w:rPr>
          <w:rFonts w:ascii="Arial" w:hAnsi="Arial" w:cs="Arial"/>
          <w:sz w:val="24"/>
          <w:szCs w:val="24"/>
        </w:rPr>
        <w:t xml:space="preserve">, </w:t>
      </w:r>
      <w:r w:rsidR="009A68DD" w:rsidRPr="00D70C56">
        <w:rPr>
          <w:rFonts w:ascii="Arial" w:hAnsi="Arial" w:cs="Arial"/>
          <w:sz w:val="24"/>
          <w:szCs w:val="24"/>
        </w:rPr>
        <w:t>R.</w:t>
      </w:r>
      <w:r w:rsidRPr="00D70C56">
        <w:rPr>
          <w:rFonts w:ascii="Arial" w:hAnsi="Arial" w:cs="Arial"/>
          <w:sz w:val="24"/>
          <w:szCs w:val="24"/>
        </w:rPr>
        <w:t xml:space="preserve"> &amp; Turnbull,</w:t>
      </w:r>
      <w:r w:rsidR="009A68DD" w:rsidRPr="00D70C56">
        <w:rPr>
          <w:rFonts w:ascii="Arial" w:hAnsi="Arial" w:cs="Arial"/>
          <w:sz w:val="24"/>
          <w:szCs w:val="24"/>
        </w:rPr>
        <w:t xml:space="preserve"> D</w:t>
      </w:r>
      <w:r w:rsidRPr="00D70C56">
        <w:rPr>
          <w:rFonts w:ascii="Arial" w:hAnsi="Arial" w:cs="Arial"/>
          <w:sz w:val="24"/>
          <w:szCs w:val="24"/>
        </w:rPr>
        <w:t xml:space="preserve"> </w:t>
      </w:r>
      <w:r w:rsidR="009A68DD" w:rsidRPr="00D70C56">
        <w:rPr>
          <w:rFonts w:ascii="Arial" w:hAnsi="Arial" w:cs="Arial"/>
          <w:sz w:val="24"/>
          <w:szCs w:val="24"/>
        </w:rPr>
        <w:t>(</w:t>
      </w:r>
      <w:r w:rsidRPr="00D70C56">
        <w:rPr>
          <w:rFonts w:ascii="Arial" w:hAnsi="Arial" w:cs="Arial"/>
          <w:sz w:val="24"/>
          <w:szCs w:val="24"/>
        </w:rPr>
        <w:t>2010</w:t>
      </w:r>
      <w:r w:rsidR="009A68DD" w:rsidRPr="00D70C56">
        <w:rPr>
          <w:rFonts w:ascii="Arial" w:hAnsi="Arial" w:cs="Arial"/>
          <w:sz w:val="24"/>
          <w:szCs w:val="24"/>
        </w:rPr>
        <w:t>)</w:t>
      </w:r>
      <w:r w:rsidR="00941919" w:rsidRPr="00D70C56">
        <w:rPr>
          <w:rFonts w:ascii="Arial" w:eastAsiaTheme="minorEastAsia" w:hAnsi="Arial" w:cs="Arial"/>
          <w:sz w:val="24"/>
          <w:szCs w:val="24"/>
          <w:lang w:eastAsia="en-GB"/>
        </w:rPr>
        <w:t xml:space="preserve"> </w:t>
      </w:r>
      <w:r w:rsidR="00941919" w:rsidRPr="00D70C56">
        <w:rPr>
          <w:rFonts w:ascii="Arial" w:hAnsi="Arial" w:cs="Arial"/>
          <w:sz w:val="24"/>
          <w:szCs w:val="24"/>
        </w:rPr>
        <w:t>‘</w:t>
      </w:r>
      <w:r w:rsidR="00941919" w:rsidRPr="00CF5F91">
        <w:rPr>
          <w:rFonts w:ascii="Arial" w:hAnsi="Arial" w:cs="Arial"/>
          <w:i/>
          <w:iCs/>
          <w:sz w:val="24"/>
          <w:szCs w:val="24"/>
        </w:rPr>
        <w:t>How do I manage the complexity in my organization</w:t>
      </w:r>
      <w:r w:rsidR="00941919" w:rsidRPr="00D70C56">
        <w:rPr>
          <w:rFonts w:ascii="Arial" w:hAnsi="Arial" w:cs="Arial"/>
          <w:sz w:val="24"/>
          <w:szCs w:val="24"/>
        </w:rPr>
        <w:t>?’</w:t>
      </w:r>
      <w:r w:rsidR="002A2822" w:rsidRPr="00D70C56">
        <w:rPr>
          <w:rFonts w:ascii="Arial" w:hAnsi="Arial" w:cs="Arial"/>
          <w:sz w:val="24"/>
          <w:szCs w:val="24"/>
        </w:rPr>
        <w:t xml:space="preserve">. Available at; </w:t>
      </w:r>
      <w:hyperlink r:id="rId19" w:history="1">
        <w:r w:rsidRPr="00D70C56">
          <w:rPr>
            <w:rStyle w:val="Hyperlink"/>
            <w:rFonts w:ascii="Arial" w:hAnsi="Arial" w:cs="Arial"/>
            <w:sz w:val="24"/>
            <w:szCs w:val="24"/>
          </w:rPr>
          <w:t>how_do_i_manage_complexity_in_my_organization.ashx (mckinsey.com)</w:t>
        </w:r>
      </w:hyperlink>
      <w:r w:rsidR="00CA4C14">
        <w:rPr>
          <w:rStyle w:val="Hyperlink"/>
          <w:rFonts w:ascii="Arial" w:hAnsi="Arial" w:cs="Arial"/>
          <w:sz w:val="24"/>
          <w:szCs w:val="24"/>
        </w:rPr>
        <w:t xml:space="preserve">. </w:t>
      </w:r>
      <w:r w:rsidR="00CA4C14" w:rsidRPr="00CA4C14">
        <w:rPr>
          <w:rFonts w:ascii="Arial" w:hAnsi="Arial" w:cs="Arial"/>
          <w:sz w:val="24"/>
          <w:szCs w:val="24"/>
        </w:rPr>
        <w:t>(Accessed December 12</w:t>
      </w:r>
      <w:r w:rsidR="00CA4C14" w:rsidRPr="00CA4C14">
        <w:rPr>
          <w:rFonts w:ascii="Arial" w:hAnsi="Arial" w:cs="Arial"/>
          <w:sz w:val="24"/>
          <w:szCs w:val="24"/>
          <w:vertAlign w:val="superscript"/>
        </w:rPr>
        <w:t>th</w:t>
      </w:r>
      <w:r w:rsidR="00BF1A97" w:rsidRPr="00CA4C14">
        <w:rPr>
          <w:rFonts w:ascii="Arial" w:hAnsi="Arial" w:cs="Arial"/>
          <w:sz w:val="24"/>
          <w:szCs w:val="24"/>
        </w:rPr>
        <w:t>, 2022</w:t>
      </w:r>
      <w:r w:rsidR="00CA4C14" w:rsidRPr="00CA4C14">
        <w:rPr>
          <w:rFonts w:ascii="Arial" w:hAnsi="Arial" w:cs="Arial"/>
          <w:sz w:val="24"/>
          <w:szCs w:val="24"/>
        </w:rPr>
        <w:t>).</w:t>
      </w:r>
    </w:p>
    <w:p w14:paraId="6CD35E1F" w14:textId="77777777" w:rsidR="00C06C52" w:rsidRPr="00C06C52" w:rsidRDefault="00C06C52" w:rsidP="00C06C52">
      <w:pPr>
        <w:pStyle w:val="ListParagraph"/>
        <w:rPr>
          <w:rFonts w:ascii="Arial" w:hAnsi="Arial" w:cs="Arial"/>
          <w:sz w:val="24"/>
          <w:szCs w:val="24"/>
        </w:rPr>
      </w:pPr>
    </w:p>
    <w:p w14:paraId="392B5F17" w14:textId="77777777" w:rsidR="00B61A7F" w:rsidRPr="0011769B" w:rsidRDefault="00B61A7F" w:rsidP="00B61A7F">
      <w:pPr>
        <w:pStyle w:val="ListParagraph"/>
        <w:numPr>
          <w:ilvl w:val="0"/>
          <w:numId w:val="3"/>
        </w:numPr>
        <w:spacing w:after="0" w:line="480" w:lineRule="auto"/>
        <w:rPr>
          <w:rFonts w:ascii="Arial" w:hAnsi="Arial" w:cs="Arial"/>
          <w:sz w:val="24"/>
          <w:szCs w:val="24"/>
        </w:rPr>
      </w:pPr>
      <w:r w:rsidRPr="0011769B">
        <w:rPr>
          <w:rFonts w:ascii="Arial" w:hAnsi="Arial" w:cs="Arial"/>
          <w:sz w:val="24"/>
          <w:szCs w:val="24"/>
        </w:rPr>
        <w:t xml:space="preserve">Howlett, E. (2022) Could A Four-Day Week Make People Happier Than a Pay Rise? </w:t>
      </w:r>
      <w:r w:rsidRPr="0011769B">
        <w:rPr>
          <w:rFonts w:ascii="Arial" w:hAnsi="Arial" w:cs="Arial"/>
          <w:i/>
          <w:iCs/>
          <w:sz w:val="24"/>
          <w:szCs w:val="24"/>
        </w:rPr>
        <w:t>People Management</w:t>
      </w:r>
      <w:r w:rsidRPr="0011769B">
        <w:rPr>
          <w:rFonts w:ascii="Arial" w:hAnsi="Arial" w:cs="Arial"/>
          <w:sz w:val="24"/>
          <w:szCs w:val="24"/>
        </w:rPr>
        <w:t>. Available at;</w:t>
      </w:r>
      <w:r w:rsidRPr="00EF03C9">
        <w:t xml:space="preserve"> </w:t>
      </w:r>
      <w:hyperlink r:id="rId20" w:history="1">
        <w:bookmarkStart w:id="13" w:name="_Hlk121940790"/>
        <w:r w:rsidRPr="0011769B">
          <w:rPr>
            <w:rStyle w:val="Hyperlink"/>
            <w:rFonts w:ascii="Arial" w:hAnsi="Arial" w:cs="Arial"/>
            <w:sz w:val="24"/>
            <w:szCs w:val="24"/>
          </w:rPr>
          <w:t>Could a four-day week make people happier than a pay rise?</w:t>
        </w:r>
        <w:bookmarkEnd w:id="13"/>
        <w:r w:rsidRPr="0011769B">
          <w:rPr>
            <w:rStyle w:val="Hyperlink"/>
            <w:rFonts w:ascii="Arial" w:hAnsi="Arial" w:cs="Arial"/>
            <w:sz w:val="24"/>
            <w:szCs w:val="24"/>
          </w:rPr>
          <w:t xml:space="preserve"> (peoplemanagement.co.uk)</w:t>
        </w:r>
      </w:hyperlink>
    </w:p>
    <w:p w14:paraId="087E3567" w14:textId="77777777" w:rsidR="00C06C52" w:rsidRPr="00CA4C14" w:rsidRDefault="00C06C52" w:rsidP="00B61A7F">
      <w:pPr>
        <w:pStyle w:val="ListParagraph"/>
        <w:spacing w:line="480" w:lineRule="auto"/>
        <w:rPr>
          <w:rFonts w:ascii="Arial" w:hAnsi="Arial" w:cs="Arial"/>
          <w:sz w:val="24"/>
          <w:szCs w:val="24"/>
        </w:rPr>
      </w:pPr>
    </w:p>
    <w:p w14:paraId="3E102EC8" w14:textId="490CF25C" w:rsidR="00F15AEC" w:rsidRPr="00D70C56" w:rsidRDefault="002167B0" w:rsidP="00D70C56">
      <w:pPr>
        <w:pStyle w:val="ListParagraph"/>
        <w:numPr>
          <w:ilvl w:val="0"/>
          <w:numId w:val="3"/>
        </w:numPr>
        <w:spacing w:line="480" w:lineRule="auto"/>
        <w:rPr>
          <w:rFonts w:ascii="Arial" w:hAnsi="Arial" w:cs="Arial"/>
          <w:sz w:val="24"/>
          <w:szCs w:val="24"/>
        </w:rPr>
      </w:pPr>
      <w:r w:rsidRPr="00BF1A97">
        <w:rPr>
          <w:rFonts w:ascii="Arial" w:hAnsi="Arial" w:cs="Arial"/>
          <w:i/>
          <w:iCs/>
          <w:sz w:val="24"/>
          <w:szCs w:val="24"/>
        </w:rPr>
        <w:t>Gov.UK</w:t>
      </w:r>
      <w:r w:rsidRPr="00D70C56">
        <w:rPr>
          <w:rFonts w:ascii="Arial" w:hAnsi="Arial" w:cs="Arial"/>
          <w:sz w:val="24"/>
          <w:szCs w:val="24"/>
        </w:rPr>
        <w:t xml:space="preserve"> (2022) </w:t>
      </w:r>
      <w:r w:rsidR="00DC19B7" w:rsidRPr="00020A40">
        <w:rPr>
          <w:rFonts w:ascii="Arial" w:hAnsi="Arial" w:cs="Arial"/>
          <w:i/>
          <w:iCs/>
          <w:sz w:val="24"/>
          <w:szCs w:val="24"/>
        </w:rPr>
        <w:t xml:space="preserve">Soft Drinks Industry Levy statistics </w:t>
      </w:r>
      <w:r w:rsidR="006F2144" w:rsidRPr="00020A40">
        <w:rPr>
          <w:rFonts w:ascii="Arial" w:hAnsi="Arial" w:cs="Arial"/>
          <w:i/>
          <w:iCs/>
          <w:sz w:val="24"/>
          <w:szCs w:val="24"/>
        </w:rPr>
        <w:t>C</w:t>
      </w:r>
      <w:r w:rsidR="00DC19B7" w:rsidRPr="00020A40">
        <w:rPr>
          <w:rFonts w:ascii="Arial" w:hAnsi="Arial" w:cs="Arial"/>
          <w:i/>
          <w:iCs/>
          <w:sz w:val="24"/>
          <w:szCs w:val="24"/>
        </w:rPr>
        <w:t>ommentary (2022</w:t>
      </w:r>
      <w:r w:rsidRPr="00020A40">
        <w:rPr>
          <w:rFonts w:ascii="Arial" w:hAnsi="Arial" w:cs="Arial"/>
          <w:i/>
          <w:iCs/>
          <w:sz w:val="24"/>
          <w:szCs w:val="24"/>
        </w:rPr>
        <w:t>)</w:t>
      </w:r>
      <w:r w:rsidR="00020A40">
        <w:rPr>
          <w:rFonts w:ascii="Arial" w:hAnsi="Arial" w:cs="Arial"/>
          <w:sz w:val="24"/>
          <w:szCs w:val="24"/>
        </w:rPr>
        <w:t xml:space="preserve">. </w:t>
      </w:r>
      <w:r w:rsidRPr="00D70C56">
        <w:rPr>
          <w:rFonts w:ascii="Arial" w:hAnsi="Arial" w:cs="Arial"/>
          <w:sz w:val="24"/>
          <w:szCs w:val="24"/>
        </w:rPr>
        <w:t xml:space="preserve">Available at; </w:t>
      </w:r>
      <w:hyperlink r:id="rId21" w:history="1">
        <w:r w:rsidRPr="00D70C56">
          <w:rPr>
            <w:rStyle w:val="Hyperlink"/>
            <w:rFonts w:ascii="Arial" w:hAnsi="Arial" w:cs="Arial"/>
            <w:sz w:val="24"/>
            <w:szCs w:val="24"/>
          </w:rPr>
          <w:t>Soft Drinks Industry Levy statistics commentary 2022 - GOV.UK (www.gov.uk)</w:t>
        </w:r>
      </w:hyperlink>
      <w:bookmarkStart w:id="14" w:name="_Hlk122014514"/>
      <w:r w:rsidR="00D70C56">
        <w:rPr>
          <w:rStyle w:val="Hyperlink"/>
          <w:rFonts w:ascii="Arial" w:hAnsi="Arial" w:cs="Arial"/>
          <w:sz w:val="24"/>
          <w:szCs w:val="24"/>
        </w:rPr>
        <w:t xml:space="preserve">. </w:t>
      </w:r>
      <w:r w:rsidR="00D70C56" w:rsidRPr="00D70C56">
        <w:rPr>
          <w:rFonts w:ascii="Arial" w:hAnsi="Arial" w:cs="Arial"/>
          <w:sz w:val="24"/>
          <w:szCs w:val="24"/>
        </w:rPr>
        <w:t>(</w:t>
      </w:r>
      <w:r w:rsidR="006F2144" w:rsidRPr="00D70C56">
        <w:rPr>
          <w:rFonts w:ascii="Arial" w:hAnsi="Arial" w:cs="Arial"/>
          <w:sz w:val="24"/>
          <w:szCs w:val="24"/>
        </w:rPr>
        <w:t>Accessed December 10</w:t>
      </w:r>
      <w:r w:rsidR="006F2144" w:rsidRPr="00D70C56">
        <w:rPr>
          <w:rFonts w:ascii="Arial" w:hAnsi="Arial" w:cs="Arial"/>
          <w:sz w:val="24"/>
          <w:szCs w:val="24"/>
          <w:vertAlign w:val="superscript"/>
        </w:rPr>
        <w:t>th</w:t>
      </w:r>
      <w:r w:rsidR="000011FB" w:rsidRPr="00D70C56">
        <w:rPr>
          <w:rFonts w:ascii="Arial" w:hAnsi="Arial" w:cs="Arial"/>
          <w:sz w:val="24"/>
          <w:szCs w:val="24"/>
        </w:rPr>
        <w:t>, 2022</w:t>
      </w:r>
      <w:r w:rsidR="00D70C56" w:rsidRPr="00D70C56">
        <w:rPr>
          <w:rFonts w:ascii="Arial" w:hAnsi="Arial" w:cs="Arial"/>
          <w:sz w:val="24"/>
          <w:szCs w:val="24"/>
        </w:rPr>
        <w:t>)</w:t>
      </w:r>
      <w:r w:rsidR="006F2144" w:rsidRPr="00D70C56">
        <w:rPr>
          <w:rFonts w:ascii="Arial" w:hAnsi="Arial" w:cs="Arial"/>
          <w:sz w:val="24"/>
          <w:szCs w:val="24"/>
        </w:rPr>
        <w:t>.</w:t>
      </w:r>
    </w:p>
    <w:bookmarkEnd w:id="14"/>
    <w:p w14:paraId="23B2ED1A" w14:textId="77777777" w:rsidR="006F2144" w:rsidRPr="00D70C56" w:rsidRDefault="006F2144" w:rsidP="00D70C56">
      <w:pPr>
        <w:spacing w:line="480" w:lineRule="auto"/>
        <w:rPr>
          <w:rFonts w:ascii="Arial" w:hAnsi="Arial" w:cs="Arial"/>
          <w:sz w:val="24"/>
          <w:szCs w:val="24"/>
        </w:rPr>
      </w:pPr>
    </w:p>
    <w:p w14:paraId="11758841" w14:textId="4A27C2D7" w:rsidR="00440444" w:rsidRPr="00D70C56" w:rsidRDefault="00F15AEC" w:rsidP="00D70C56">
      <w:pPr>
        <w:pStyle w:val="ListParagraph"/>
        <w:numPr>
          <w:ilvl w:val="0"/>
          <w:numId w:val="3"/>
        </w:numPr>
        <w:spacing w:line="480" w:lineRule="auto"/>
        <w:rPr>
          <w:rFonts w:ascii="Arial" w:hAnsi="Arial" w:cs="Arial"/>
          <w:color w:val="000000" w:themeColor="text1"/>
          <w:sz w:val="24"/>
          <w:szCs w:val="24"/>
        </w:rPr>
      </w:pPr>
      <w:r w:rsidRPr="00BF1A97">
        <w:rPr>
          <w:rFonts w:ascii="Arial" w:hAnsi="Arial" w:cs="Arial"/>
          <w:i/>
          <w:iCs/>
          <w:sz w:val="24"/>
          <w:szCs w:val="24"/>
        </w:rPr>
        <w:t>International Labour Organisation</w:t>
      </w:r>
      <w:r w:rsidRPr="00D70C56">
        <w:rPr>
          <w:rFonts w:ascii="Arial" w:hAnsi="Arial" w:cs="Arial"/>
          <w:sz w:val="24"/>
          <w:szCs w:val="24"/>
        </w:rPr>
        <w:t xml:space="preserve"> (2021) </w:t>
      </w:r>
      <w:r w:rsidR="00C73A68" w:rsidRPr="00D70C56">
        <w:rPr>
          <w:rFonts w:ascii="Arial" w:hAnsi="Arial" w:cs="Arial"/>
          <w:i/>
          <w:iCs/>
          <w:sz w:val="24"/>
          <w:szCs w:val="24"/>
        </w:rPr>
        <w:t xml:space="preserve">ILO Monitor: COVID-19 and the World </w:t>
      </w:r>
      <w:r w:rsidR="000011FB" w:rsidRPr="00D70C56">
        <w:rPr>
          <w:rFonts w:ascii="Arial" w:hAnsi="Arial" w:cs="Arial"/>
          <w:i/>
          <w:iCs/>
          <w:sz w:val="24"/>
          <w:szCs w:val="24"/>
        </w:rPr>
        <w:t>of</w:t>
      </w:r>
      <w:r w:rsidR="00C73A68" w:rsidRPr="00D70C56">
        <w:rPr>
          <w:rFonts w:ascii="Arial" w:hAnsi="Arial" w:cs="Arial"/>
          <w:i/>
          <w:iCs/>
          <w:sz w:val="24"/>
          <w:szCs w:val="24"/>
        </w:rPr>
        <w:t xml:space="preserve"> Work. Seventh Edition Updated Estimates and Analysis.</w:t>
      </w:r>
      <w:r w:rsidR="00C73A68" w:rsidRPr="00D70C56">
        <w:rPr>
          <w:rFonts w:ascii="Arial" w:hAnsi="Arial" w:cs="Arial"/>
          <w:sz w:val="24"/>
          <w:szCs w:val="24"/>
        </w:rPr>
        <w:t xml:space="preserve"> Available at; </w:t>
      </w:r>
      <w:hyperlink r:id="rId22" w:history="1">
        <w:r w:rsidR="00464D18" w:rsidRPr="00D70C56">
          <w:rPr>
            <w:rStyle w:val="Hyperlink"/>
            <w:rFonts w:ascii="Arial" w:hAnsi="Arial" w:cs="Arial"/>
            <w:sz w:val="24"/>
            <w:szCs w:val="24"/>
          </w:rPr>
          <w:t>wcms_767028.pdf (ilo.org)</w:t>
        </w:r>
      </w:hyperlink>
      <w:r w:rsidR="00D70C56">
        <w:rPr>
          <w:rStyle w:val="Hyperlink"/>
          <w:rFonts w:ascii="Arial" w:hAnsi="Arial" w:cs="Arial"/>
          <w:sz w:val="24"/>
          <w:szCs w:val="24"/>
        </w:rPr>
        <w:t xml:space="preserve">. </w:t>
      </w:r>
      <w:r w:rsidR="00D70C56" w:rsidRPr="00D70C56">
        <w:rPr>
          <w:rStyle w:val="Hyperlink"/>
          <w:rFonts w:ascii="Arial" w:hAnsi="Arial" w:cs="Arial"/>
          <w:color w:val="000000" w:themeColor="text1"/>
          <w:sz w:val="24"/>
          <w:szCs w:val="24"/>
          <w:u w:val="none"/>
        </w:rPr>
        <w:t>(Accessed December 10th</w:t>
      </w:r>
      <w:r w:rsidR="00BF1A97" w:rsidRPr="00D70C56">
        <w:rPr>
          <w:rStyle w:val="Hyperlink"/>
          <w:rFonts w:ascii="Arial" w:hAnsi="Arial" w:cs="Arial"/>
          <w:color w:val="000000" w:themeColor="text1"/>
          <w:sz w:val="24"/>
          <w:szCs w:val="24"/>
          <w:u w:val="none"/>
        </w:rPr>
        <w:t>, 2022</w:t>
      </w:r>
      <w:r w:rsidR="00D70C56" w:rsidRPr="00D70C56">
        <w:rPr>
          <w:rStyle w:val="Hyperlink"/>
          <w:rFonts w:ascii="Arial" w:hAnsi="Arial" w:cs="Arial"/>
          <w:color w:val="000000" w:themeColor="text1"/>
          <w:sz w:val="24"/>
          <w:szCs w:val="24"/>
          <w:u w:val="none"/>
        </w:rPr>
        <w:t>).</w:t>
      </w:r>
    </w:p>
    <w:p w14:paraId="42F527A5" w14:textId="77777777" w:rsidR="00F15AEC" w:rsidRPr="00D70C56" w:rsidRDefault="00F15AEC" w:rsidP="00D70C56">
      <w:pPr>
        <w:spacing w:line="480" w:lineRule="auto"/>
        <w:rPr>
          <w:rFonts w:ascii="Arial" w:hAnsi="Arial" w:cs="Arial"/>
          <w:sz w:val="24"/>
          <w:szCs w:val="24"/>
        </w:rPr>
      </w:pPr>
    </w:p>
    <w:p w14:paraId="340BBFDA" w14:textId="26A68324" w:rsidR="00D70C56" w:rsidRDefault="00312051" w:rsidP="00D70C56">
      <w:pPr>
        <w:pStyle w:val="ListParagraph"/>
        <w:numPr>
          <w:ilvl w:val="0"/>
          <w:numId w:val="3"/>
        </w:numPr>
        <w:spacing w:line="480" w:lineRule="auto"/>
        <w:rPr>
          <w:rFonts w:ascii="Arial" w:hAnsi="Arial" w:cs="Arial"/>
          <w:sz w:val="24"/>
          <w:szCs w:val="24"/>
        </w:rPr>
      </w:pPr>
      <w:r w:rsidRPr="00BF1A97">
        <w:rPr>
          <w:rFonts w:ascii="Arial" w:hAnsi="Arial" w:cs="Arial"/>
          <w:i/>
          <w:iCs/>
          <w:sz w:val="24"/>
          <w:szCs w:val="24"/>
        </w:rPr>
        <w:lastRenderedPageBreak/>
        <w:t xml:space="preserve">IONOS </w:t>
      </w:r>
      <w:r w:rsidRPr="00D70C56">
        <w:rPr>
          <w:rFonts w:ascii="Arial" w:hAnsi="Arial" w:cs="Arial"/>
          <w:sz w:val="24"/>
          <w:szCs w:val="24"/>
        </w:rPr>
        <w:t>(202</w:t>
      </w:r>
      <w:r w:rsidR="00F3728B" w:rsidRPr="00D70C56">
        <w:rPr>
          <w:rFonts w:ascii="Arial" w:hAnsi="Arial" w:cs="Arial"/>
          <w:sz w:val="24"/>
          <w:szCs w:val="24"/>
        </w:rPr>
        <w:t>0</w:t>
      </w:r>
      <w:r w:rsidRPr="00D70C56">
        <w:rPr>
          <w:rFonts w:ascii="Arial" w:hAnsi="Arial" w:cs="Arial"/>
          <w:sz w:val="24"/>
          <w:szCs w:val="24"/>
        </w:rPr>
        <w:t xml:space="preserve">) </w:t>
      </w:r>
      <w:r w:rsidR="00F3728B" w:rsidRPr="00D70C56">
        <w:rPr>
          <w:rFonts w:ascii="Arial" w:hAnsi="Arial" w:cs="Arial"/>
          <w:sz w:val="24"/>
          <w:szCs w:val="24"/>
        </w:rPr>
        <w:t xml:space="preserve">PESTLE Analysis </w:t>
      </w:r>
      <w:hyperlink r:id="rId23" w:history="1">
        <w:r w:rsidR="004B437C" w:rsidRPr="00D70C56">
          <w:rPr>
            <w:rStyle w:val="Hyperlink"/>
            <w:rFonts w:ascii="Arial" w:hAnsi="Arial" w:cs="Arial"/>
            <w:sz w:val="24"/>
            <w:szCs w:val="24"/>
          </w:rPr>
          <w:t>PESTEL | Analysing the macro-environment of your company - IONOS</w:t>
        </w:r>
      </w:hyperlink>
      <w:r w:rsidR="00D70C56">
        <w:rPr>
          <w:rStyle w:val="Hyperlink"/>
          <w:rFonts w:ascii="Arial" w:hAnsi="Arial" w:cs="Arial"/>
          <w:sz w:val="24"/>
          <w:szCs w:val="24"/>
        </w:rPr>
        <w:t xml:space="preserve">. </w:t>
      </w:r>
      <w:r w:rsidR="00D70C56" w:rsidRPr="00D70C56">
        <w:rPr>
          <w:rFonts w:ascii="Arial" w:hAnsi="Arial" w:cs="Arial"/>
          <w:sz w:val="24"/>
          <w:szCs w:val="24"/>
        </w:rPr>
        <w:t>(Accessed December 10</w:t>
      </w:r>
      <w:r w:rsidR="00D70C56" w:rsidRPr="00D70C56">
        <w:rPr>
          <w:rFonts w:ascii="Arial" w:hAnsi="Arial" w:cs="Arial"/>
          <w:sz w:val="24"/>
          <w:szCs w:val="24"/>
          <w:vertAlign w:val="superscript"/>
        </w:rPr>
        <w:t>th</w:t>
      </w:r>
      <w:r w:rsidR="00BF1A97" w:rsidRPr="00D70C56">
        <w:rPr>
          <w:rFonts w:ascii="Arial" w:hAnsi="Arial" w:cs="Arial"/>
          <w:sz w:val="24"/>
          <w:szCs w:val="24"/>
        </w:rPr>
        <w:t>, 2022</w:t>
      </w:r>
      <w:r w:rsidR="00D70C56" w:rsidRPr="00D70C56">
        <w:rPr>
          <w:rFonts w:ascii="Arial" w:hAnsi="Arial" w:cs="Arial"/>
          <w:sz w:val="24"/>
          <w:szCs w:val="24"/>
        </w:rPr>
        <w:t>).</w:t>
      </w:r>
    </w:p>
    <w:p w14:paraId="12EA73AA" w14:textId="77777777" w:rsidR="00D70C56" w:rsidRPr="00D70C56" w:rsidRDefault="00D70C56" w:rsidP="00D70C56">
      <w:pPr>
        <w:spacing w:line="480" w:lineRule="auto"/>
        <w:rPr>
          <w:rFonts w:ascii="Arial" w:hAnsi="Arial" w:cs="Arial"/>
          <w:sz w:val="24"/>
          <w:szCs w:val="24"/>
        </w:rPr>
      </w:pPr>
    </w:p>
    <w:p w14:paraId="53D38BAA" w14:textId="1DD87426" w:rsidR="00CE6B73" w:rsidRPr="00D70C56" w:rsidRDefault="00B309E6" w:rsidP="00D70C56">
      <w:pPr>
        <w:pStyle w:val="ListParagraph"/>
        <w:numPr>
          <w:ilvl w:val="0"/>
          <w:numId w:val="3"/>
        </w:numPr>
        <w:spacing w:line="480" w:lineRule="auto"/>
        <w:rPr>
          <w:rFonts w:ascii="Arial" w:hAnsi="Arial" w:cs="Arial"/>
          <w:sz w:val="24"/>
          <w:szCs w:val="24"/>
        </w:rPr>
      </w:pPr>
      <w:r w:rsidRPr="00D70C56">
        <w:rPr>
          <w:rFonts w:ascii="Arial" w:hAnsi="Arial" w:cs="Arial"/>
          <w:sz w:val="24"/>
          <w:szCs w:val="24"/>
        </w:rPr>
        <w:t>Jones, A., Wu, J.H.Y. and Buse, K. (2021) ‘UK’s sugar tax hits the sweet spot’, </w:t>
      </w:r>
      <w:r w:rsidRPr="00D70C56">
        <w:rPr>
          <w:rFonts w:ascii="Arial" w:hAnsi="Arial" w:cs="Arial"/>
          <w:i/>
          <w:iCs/>
          <w:sz w:val="24"/>
          <w:szCs w:val="24"/>
        </w:rPr>
        <w:t>B</w:t>
      </w:r>
      <w:r w:rsidR="00BF1A97">
        <w:rPr>
          <w:rFonts w:ascii="Arial" w:hAnsi="Arial" w:cs="Arial"/>
          <w:i/>
          <w:iCs/>
          <w:sz w:val="24"/>
          <w:szCs w:val="24"/>
        </w:rPr>
        <w:t xml:space="preserve">ritish </w:t>
      </w:r>
      <w:r w:rsidRPr="00D70C56">
        <w:rPr>
          <w:rFonts w:ascii="Arial" w:hAnsi="Arial" w:cs="Arial"/>
          <w:i/>
          <w:iCs/>
          <w:sz w:val="24"/>
          <w:szCs w:val="24"/>
        </w:rPr>
        <w:t>M</w:t>
      </w:r>
      <w:r w:rsidR="009E7A8F">
        <w:rPr>
          <w:rFonts w:ascii="Arial" w:hAnsi="Arial" w:cs="Arial"/>
          <w:i/>
          <w:iCs/>
          <w:sz w:val="24"/>
          <w:szCs w:val="24"/>
        </w:rPr>
        <w:t xml:space="preserve">edical </w:t>
      </w:r>
      <w:r w:rsidRPr="00D70C56">
        <w:rPr>
          <w:rFonts w:ascii="Arial" w:hAnsi="Arial" w:cs="Arial"/>
          <w:i/>
          <w:iCs/>
          <w:sz w:val="24"/>
          <w:szCs w:val="24"/>
        </w:rPr>
        <w:t>J</w:t>
      </w:r>
      <w:r w:rsidR="009E7A8F">
        <w:rPr>
          <w:rFonts w:ascii="Arial" w:hAnsi="Arial" w:cs="Arial"/>
          <w:i/>
          <w:iCs/>
          <w:sz w:val="24"/>
          <w:szCs w:val="24"/>
        </w:rPr>
        <w:t>ournal</w:t>
      </w:r>
      <w:r w:rsidRPr="00D70C56">
        <w:rPr>
          <w:rFonts w:ascii="Arial" w:hAnsi="Arial" w:cs="Arial"/>
          <w:i/>
          <w:iCs/>
          <w:sz w:val="24"/>
          <w:szCs w:val="24"/>
        </w:rPr>
        <w:t xml:space="preserve"> (Online)</w:t>
      </w:r>
      <w:r w:rsidRPr="00D70C56">
        <w:rPr>
          <w:rFonts w:ascii="Arial" w:hAnsi="Arial" w:cs="Arial"/>
          <w:sz w:val="24"/>
          <w:szCs w:val="24"/>
        </w:rPr>
        <w:t xml:space="preserve">, 372, p. n463–. Available at: </w:t>
      </w:r>
      <w:hyperlink r:id="rId24" w:history="1">
        <w:r w:rsidR="0053301F" w:rsidRPr="00D70C56">
          <w:rPr>
            <w:rStyle w:val="Hyperlink"/>
            <w:rFonts w:ascii="Arial" w:hAnsi="Arial" w:cs="Arial"/>
            <w:sz w:val="24"/>
            <w:szCs w:val="24"/>
          </w:rPr>
          <w:t>https://doi.org/10.1136/bmj.n463</w:t>
        </w:r>
      </w:hyperlink>
      <w:r w:rsidRPr="00D70C56">
        <w:rPr>
          <w:rFonts w:ascii="Arial" w:hAnsi="Arial" w:cs="Arial"/>
          <w:sz w:val="24"/>
          <w:szCs w:val="24"/>
        </w:rPr>
        <w:t>.</w:t>
      </w:r>
    </w:p>
    <w:p w14:paraId="7DF7A47A" w14:textId="77777777" w:rsidR="00435101" w:rsidRPr="00D70C56" w:rsidRDefault="00435101" w:rsidP="00D70C56">
      <w:pPr>
        <w:spacing w:line="480" w:lineRule="auto"/>
        <w:rPr>
          <w:rFonts w:ascii="Arial" w:hAnsi="Arial" w:cs="Arial"/>
          <w:sz w:val="24"/>
          <w:szCs w:val="24"/>
        </w:rPr>
      </w:pPr>
    </w:p>
    <w:p w14:paraId="1E1C08D9" w14:textId="4F019A1B" w:rsidR="002A2822" w:rsidRPr="00D70C56" w:rsidRDefault="00435101" w:rsidP="00D70C56">
      <w:pPr>
        <w:pStyle w:val="ListParagraph"/>
        <w:numPr>
          <w:ilvl w:val="0"/>
          <w:numId w:val="3"/>
        </w:numPr>
        <w:spacing w:line="480" w:lineRule="auto"/>
        <w:rPr>
          <w:rFonts w:ascii="Arial" w:hAnsi="Arial" w:cs="Arial"/>
          <w:sz w:val="24"/>
          <w:szCs w:val="24"/>
        </w:rPr>
      </w:pPr>
      <w:r w:rsidRPr="00D70C56">
        <w:rPr>
          <w:rFonts w:ascii="Arial" w:hAnsi="Arial" w:cs="Arial"/>
          <w:sz w:val="24"/>
          <w:szCs w:val="24"/>
        </w:rPr>
        <w:t>Liu, S. </w:t>
      </w:r>
      <w:r w:rsidRPr="00D70C56">
        <w:rPr>
          <w:rFonts w:ascii="Arial" w:hAnsi="Arial" w:cs="Arial"/>
          <w:i/>
          <w:iCs/>
          <w:sz w:val="24"/>
          <w:szCs w:val="24"/>
        </w:rPr>
        <w:t>et al.</w:t>
      </w:r>
      <w:r w:rsidRPr="00D70C56">
        <w:rPr>
          <w:rFonts w:ascii="Arial" w:hAnsi="Arial" w:cs="Arial"/>
          <w:sz w:val="24"/>
          <w:szCs w:val="24"/>
        </w:rPr>
        <w:t> (2022) ‘The Cost Effectiveness of Taxation of Sugary Foods and Beverages: A Systematic Review of Economic Evaluations’, </w:t>
      </w:r>
      <w:r w:rsidRPr="00D70C56">
        <w:rPr>
          <w:rFonts w:ascii="Arial" w:hAnsi="Arial" w:cs="Arial"/>
          <w:i/>
          <w:iCs/>
          <w:sz w:val="24"/>
          <w:szCs w:val="24"/>
        </w:rPr>
        <w:t>Applied health economics and health policy</w:t>
      </w:r>
      <w:r w:rsidRPr="00D70C56">
        <w:rPr>
          <w:rFonts w:ascii="Arial" w:hAnsi="Arial" w:cs="Arial"/>
          <w:sz w:val="24"/>
          <w:szCs w:val="24"/>
        </w:rPr>
        <w:t xml:space="preserve">, 20(2), pp. 185–198. Available at: </w:t>
      </w:r>
      <w:hyperlink r:id="rId25" w:history="1">
        <w:r w:rsidRPr="00D70C56">
          <w:rPr>
            <w:rStyle w:val="Hyperlink"/>
            <w:rFonts w:ascii="Arial" w:hAnsi="Arial" w:cs="Arial"/>
            <w:sz w:val="24"/>
            <w:szCs w:val="24"/>
          </w:rPr>
          <w:t>https://doi.org/10.1007/s40258-021-00685-x</w:t>
        </w:r>
      </w:hyperlink>
      <w:r w:rsidRPr="00D70C56">
        <w:rPr>
          <w:rFonts w:ascii="Arial" w:hAnsi="Arial" w:cs="Arial"/>
          <w:sz w:val="24"/>
          <w:szCs w:val="24"/>
        </w:rPr>
        <w:t>.</w:t>
      </w:r>
    </w:p>
    <w:p w14:paraId="2D788D81" w14:textId="77777777" w:rsidR="001648BD" w:rsidRPr="00D70C56" w:rsidRDefault="001648BD" w:rsidP="00D70C56">
      <w:pPr>
        <w:spacing w:line="480" w:lineRule="auto"/>
        <w:rPr>
          <w:rFonts w:ascii="Arial" w:hAnsi="Arial" w:cs="Arial"/>
          <w:sz w:val="24"/>
          <w:szCs w:val="24"/>
        </w:rPr>
      </w:pPr>
    </w:p>
    <w:p w14:paraId="325B6ADF" w14:textId="4FF0B5CC" w:rsidR="00435101" w:rsidRPr="00D70C56" w:rsidRDefault="001648BD" w:rsidP="00D70C56">
      <w:pPr>
        <w:pStyle w:val="ListParagraph"/>
        <w:numPr>
          <w:ilvl w:val="0"/>
          <w:numId w:val="3"/>
        </w:numPr>
        <w:spacing w:line="480" w:lineRule="auto"/>
        <w:rPr>
          <w:rFonts w:ascii="Arial" w:hAnsi="Arial" w:cs="Arial"/>
          <w:sz w:val="24"/>
          <w:szCs w:val="24"/>
        </w:rPr>
      </w:pPr>
      <w:r w:rsidRPr="00D70C56">
        <w:rPr>
          <w:rFonts w:ascii="Arial" w:hAnsi="Arial" w:cs="Arial"/>
          <w:sz w:val="24"/>
          <w:szCs w:val="24"/>
        </w:rPr>
        <w:t>Maani, N. </w:t>
      </w:r>
      <w:r w:rsidRPr="00D70C56">
        <w:rPr>
          <w:rFonts w:ascii="Arial" w:hAnsi="Arial" w:cs="Arial"/>
          <w:i/>
          <w:iCs/>
          <w:sz w:val="24"/>
          <w:szCs w:val="24"/>
        </w:rPr>
        <w:t>et al.</w:t>
      </w:r>
      <w:r w:rsidRPr="00D70C56">
        <w:rPr>
          <w:rFonts w:ascii="Arial" w:hAnsi="Arial" w:cs="Arial"/>
          <w:sz w:val="24"/>
          <w:szCs w:val="24"/>
        </w:rPr>
        <w:t> (2020) ‘Bringing the commercial determinants of health out of the shadows: a review of how the commercial determinants is represented in conceptual frameworks’, </w:t>
      </w:r>
      <w:r w:rsidRPr="00D70C56">
        <w:rPr>
          <w:rFonts w:ascii="Arial" w:hAnsi="Arial" w:cs="Arial"/>
          <w:i/>
          <w:iCs/>
          <w:sz w:val="24"/>
          <w:szCs w:val="24"/>
        </w:rPr>
        <w:t>European journal of public health</w:t>
      </w:r>
      <w:r w:rsidRPr="00D70C56">
        <w:rPr>
          <w:rFonts w:ascii="Arial" w:hAnsi="Arial" w:cs="Arial"/>
          <w:sz w:val="24"/>
          <w:szCs w:val="24"/>
        </w:rPr>
        <w:t xml:space="preserve">, 30(4), pp. 660–664. Available at: </w:t>
      </w:r>
      <w:hyperlink r:id="rId26" w:history="1">
        <w:r w:rsidRPr="00D70C56">
          <w:rPr>
            <w:rStyle w:val="Hyperlink"/>
            <w:rFonts w:ascii="Arial" w:hAnsi="Arial" w:cs="Arial"/>
            <w:sz w:val="24"/>
            <w:szCs w:val="24"/>
          </w:rPr>
          <w:t>https://doi.org/10.1093/eurpub/ckz197</w:t>
        </w:r>
      </w:hyperlink>
      <w:r w:rsidRPr="00D70C56">
        <w:rPr>
          <w:rFonts w:ascii="Arial" w:hAnsi="Arial" w:cs="Arial"/>
          <w:sz w:val="24"/>
          <w:szCs w:val="24"/>
        </w:rPr>
        <w:t>.</w:t>
      </w:r>
    </w:p>
    <w:p w14:paraId="2A3AFCDC" w14:textId="77777777" w:rsidR="00E175EA" w:rsidRPr="00D70C56" w:rsidRDefault="00E175EA" w:rsidP="00D70C56">
      <w:pPr>
        <w:spacing w:line="480" w:lineRule="auto"/>
        <w:rPr>
          <w:rFonts w:ascii="Arial" w:hAnsi="Arial" w:cs="Arial"/>
          <w:sz w:val="24"/>
          <w:szCs w:val="24"/>
        </w:rPr>
      </w:pPr>
    </w:p>
    <w:p w14:paraId="3ED5174B" w14:textId="0FCA5A43" w:rsidR="00D70C56" w:rsidRPr="00D70C56" w:rsidRDefault="00FD696E" w:rsidP="00D70C56">
      <w:pPr>
        <w:pStyle w:val="ListParagraph"/>
        <w:numPr>
          <w:ilvl w:val="0"/>
          <w:numId w:val="3"/>
        </w:numPr>
        <w:spacing w:line="480" w:lineRule="auto"/>
        <w:rPr>
          <w:rFonts w:ascii="Arial" w:hAnsi="Arial" w:cs="Arial"/>
          <w:sz w:val="24"/>
          <w:szCs w:val="24"/>
        </w:rPr>
      </w:pPr>
      <w:r w:rsidRPr="00D70C56">
        <w:rPr>
          <w:rFonts w:ascii="Arial" w:hAnsi="Arial" w:cs="Arial"/>
          <w:sz w:val="24"/>
          <w:szCs w:val="24"/>
        </w:rPr>
        <w:t>Momin</w:t>
      </w:r>
      <w:r w:rsidR="00C758A0">
        <w:rPr>
          <w:rFonts w:ascii="Arial" w:hAnsi="Arial" w:cs="Arial"/>
          <w:sz w:val="24"/>
          <w:szCs w:val="24"/>
        </w:rPr>
        <w:t xml:space="preserve"> (2022) </w:t>
      </w:r>
      <w:r w:rsidR="00B50763" w:rsidRPr="00D70C56">
        <w:rPr>
          <w:rFonts w:ascii="Arial" w:hAnsi="Arial" w:cs="Arial"/>
          <w:i/>
          <w:iCs/>
          <w:sz w:val="24"/>
          <w:szCs w:val="24"/>
        </w:rPr>
        <w:t>Pfizer PESTLE Analysis 2022</w:t>
      </w:r>
      <w:r w:rsidR="00B50763" w:rsidRPr="00D70C56">
        <w:rPr>
          <w:rFonts w:ascii="Arial" w:hAnsi="Arial" w:cs="Arial"/>
          <w:sz w:val="24"/>
          <w:szCs w:val="24"/>
        </w:rPr>
        <w:t xml:space="preserve">. Available at; </w:t>
      </w:r>
      <w:hyperlink r:id="rId27" w:history="1">
        <w:r w:rsidR="0017226F" w:rsidRPr="00D70C56">
          <w:rPr>
            <w:rStyle w:val="Hyperlink"/>
            <w:rFonts w:ascii="Arial" w:hAnsi="Arial" w:cs="Arial"/>
            <w:sz w:val="24"/>
            <w:szCs w:val="24"/>
          </w:rPr>
          <w:t>Pfizer PESTLE Analysis 2022</w:t>
        </w:r>
      </w:hyperlink>
      <w:r w:rsidR="00D70C56">
        <w:rPr>
          <w:rStyle w:val="Hyperlink"/>
          <w:rFonts w:ascii="Arial" w:hAnsi="Arial" w:cs="Arial"/>
          <w:sz w:val="24"/>
          <w:szCs w:val="24"/>
        </w:rPr>
        <w:t xml:space="preserve">. </w:t>
      </w:r>
      <w:r w:rsidR="00D70C56" w:rsidRPr="00D70C56">
        <w:rPr>
          <w:rFonts w:ascii="Arial" w:hAnsi="Arial" w:cs="Arial"/>
          <w:sz w:val="24"/>
          <w:szCs w:val="24"/>
        </w:rPr>
        <w:t>(Accessed December 10</w:t>
      </w:r>
      <w:r w:rsidR="00D70C56" w:rsidRPr="00D70C56">
        <w:rPr>
          <w:rFonts w:ascii="Arial" w:hAnsi="Arial" w:cs="Arial"/>
          <w:sz w:val="24"/>
          <w:szCs w:val="24"/>
          <w:vertAlign w:val="superscript"/>
        </w:rPr>
        <w:t>th</w:t>
      </w:r>
      <w:r w:rsidR="000011FB" w:rsidRPr="00D70C56">
        <w:rPr>
          <w:rFonts w:ascii="Arial" w:hAnsi="Arial" w:cs="Arial"/>
          <w:sz w:val="24"/>
          <w:szCs w:val="24"/>
        </w:rPr>
        <w:t>, 2022</w:t>
      </w:r>
      <w:r w:rsidR="00D70C56" w:rsidRPr="00D70C56">
        <w:rPr>
          <w:rFonts w:ascii="Arial" w:hAnsi="Arial" w:cs="Arial"/>
          <w:sz w:val="24"/>
          <w:szCs w:val="24"/>
        </w:rPr>
        <w:t>).</w:t>
      </w:r>
    </w:p>
    <w:p w14:paraId="7F0E8092" w14:textId="77777777" w:rsidR="00E175EA" w:rsidRPr="00D70C56" w:rsidRDefault="00E175EA" w:rsidP="00D70C56">
      <w:pPr>
        <w:spacing w:line="480" w:lineRule="auto"/>
        <w:rPr>
          <w:rFonts w:ascii="Arial" w:hAnsi="Arial" w:cs="Arial"/>
          <w:sz w:val="24"/>
          <w:szCs w:val="24"/>
        </w:rPr>
      </w:pPr>
    </w:p>
    <w:p w14:paraId="42E39428" w14:textId="4D91ED20" w:rsidR="00D70C56" w:rsidRPr="00D70C56" w:rsidRDefault="002A2BA6" w:rsidP="00D70C56">
      <w:pPr>
        <w:pStyle w:val="ListParagraph"/>
        <w:numPr>
          <w:ilvl w:val="0"/>
          <w:numId w:val="3"/>
        </w:numPr>
        <w:spacing w:line="480" w:lineRule="auto"/>
        <w:rPr>
          <w:rFonts w:ascii="Arial" w:hAnsi="Arial" w:cs="Arial"/>
          <w:sz w:val="24"/>
          <w:szCs w:val="24"/>
        </w:rPr>
      </w:pPr>
      <w:r w:rsidRPr="00D70C56">
        <w:rPr>
          <w:rFonts w:ascii="Arial" w:hAnsi="Arial" w:cs="Arial"/>
          <w:sz w:val="24"/>
          <w:szCs w:val="24"/>
        </w:rPr>
        <w:lastRenderedPageBreak/>
        <w:t xml:space="preserve">Mayne, </w:t>
      </w:r>
      <w:r w:rsidR="002604C9" w:rsidRPr="00D70C56">
        <w:rPr>
          <w:rFonts w:ascii="Arial" w:hAnsi="Arial" w:cs="Arial"/>
          <w:sz w:val="24"/>
          <w:szCs w:val="24"/>
        </w:rPr>
        <w:t>M</w:t>
      </w:r>
      <w:r w:rsidRPr="00D70C56">
        <w:rPr>
          <w:rFonts w:ascii="Arial" w:hAnsi="Arial" w:cs="Arial"/>
          <w:sz w:val="24"/>
          <w:szCs w:val="24"/>
        </w:rPr>
        <w:t xml:space="preserve"> (2022) </w:t>
      </w:r>
      <w:r w:rsidR="002604C9" w:rsidRPr="00D70C56">
        <w:rPr>
          <w:rFonts w:ascii="Arial" w:hAnsi="Arial" w:cs="Arial"/>
          <w:sz w:val="24"/>
          <w:szCs w:val="24"/>
        </w:rPr>
        <w:t>Flexible working bill: what do employers need to know?</w:t>
      </w:r>
      <w:r w:rsidR="00390A16" w:rsidRPr="00D70C56">
        <w:rPr>
          <w:rFonts w:ascii="Arial" w:hAnsi="Arial" w:cs="Arial"/>
          <w:sz w:val="24"/>
          <w:szCs w:val="24"/>
        </w:rPr>
        <w:t xml:space="preserve"> </w:t>
      </w:r>
      <w:r w:rsidR="00390A16" w:rsidRPr="00D70C56">
        <w:rPr>
          <w:rFonts w:ascii="Arial" w:hAnsi="Arial" w:cs="Arial"/>
          <w:i/>
          <w:iCs/>
          <w:sz w:val="24"/>
          <w:szCs w:val="24"/>
        </w:rPr>
        <w:t>People Management</w:t>
      </w:r>
      <w:r w:rsidR="00390A16" w:rsidRPr="00D70C56">
        <w:rPr>
          <w:rFonts w:ascii="Arial" w:hAnsi="Arial" w:cs="Arial"/>
          <w:sz w:val="24"/>
          <w:szCs w:val="24"/>
        </w:rPr>
        <w:t xml:space="preserve">. Available at; </w:t>
      </w:r>
      <w:hyperlink r:id="rId28" w:history="1">
        <w:r w:rsidR="008F5E4E" w:rsidRPr="00D70C56">
          <w:rPr>
            <w:rStyle w:val="Hyperlink"/>
            <w:rFonts w:ascii="Arial" w:hAnsi="Arial" w:cs="Arial"/>
            <w:sz w:val="24"/>
            <w:szCs w:val="24"/>
          </w:rPr>
          <w:t>Flexible working bill: what do employers need to know? (peoplemanagement.co.uk)</w:t>
        </w:r>
      </w:hyperlink>
      <w:r w:rsidR="00D70C56">
        <w:rPr>
          <w:rStyle w:val="Hyperlink"/>
          <w:rFonts w:ascii="Arial" w:hAnsi="Arial" w:cs="Arial"/>
          <w:sz w:val="24"/>
          <w:szCs w:val="24"/>
        </w:rPr>
        <w:t xml:space="preserve">. </w:t>
      </w:r>
      <w:r w:rsidR="00D70C56" w:rsidRPr="00D70C56">
        <w:rPr>
          <w:rFonts w:ascii="Arial" w:hAnsi="Arial" w:cs="Arial"/>
          <w:sz w:val="24"/>
          <w:szCs w:val="24"/>
        </w:rPr>
        <w:t>(Accessed December 10</w:t>
      </w:r>
      <w:r w:rsidR="00D70C56" w:rsidRPr="00D70C56">
        <w:rPr>
          <w:rFonts w:ascii="Arial" w:hAnsi="Arial" w:cs="Arial"/>
          <w:sz w:val="24"/>
          <w:szCs w:val="24"/>
          <w:vertAlign w:val="superscript"/>
        </w:rPr>
        <w:t>th</w:t>
      </w:r>
      <w:r w:rsidR="000011FB" w:rsidRPr="00D70C56">
        <w:rPr>
          <w:rFonts w:ascii="Arial" w:hAnsi="Arial" w:cs="Arial"/>
          <w:sz w:val="24"/>
          <w:szCs w:val="24"/>
        </w:rPr>
        <w:t>, 2022</w:t>
      </w:r>
      <w:r w:rsidR="00D70C56" w:rsidRPr="00D70C56">
        <w:rPr>
          <w:rFonts w:ascii="Arial" w:hAnsi="Arial" w:cs="Arial"/>
          <w:sz w:val="24"/>
          <w:szCs w:val="24"/>
        </w:rPr>
        <w:t>).</w:t>
      </w:r>
    </w:p>
    <w:p w14:paraId="3F08DA2B" w14:textId="77777777" w:rsidR="00D70C56" w:rsidRPr="00D70C56" w:rsidRDefault="00D70C56" w:rsidP="00D70C56">
      <w:pPr>
        <w:pStyle w:val="ListParagraph"/>
        <w:spacing w:line="480" w:lineRule="auto"/>
        <w:rPr>
          <w:rFonts w:ascii="Arial" w:hAnsi="Arial" w:cs="Arial"/>
          <w:sz w:val="24"/>
          <w:szCs w:val="24"/>
        </w:rPr>
      </w:pPr>
    </w:p>
    <w:p w14:paraId="33A0E41E" w14:textId="1B440BF8" w:rsidR="00E175EA" w:rsidRPr="00D70C56" w:rsidRDefault="00881CDD" w:rsidP="00D70C56">
      <w:pPr>
        <w:pStyle w:val="ListParagraph"/>
        <w:numPr>
          <w:ilvl w:val="0"/>
          <w:numId w:val="3"/>
        </w:numPr>
        <w:spacing w:line="480" w:lineRule="auto"/>
        <w:rPr>
          <w:rFonts w:ascii="Arial" w:hAnsi="Arial" w:cs="Arial"/>
          <w:sz w:val="24"/>
          <w:szCs w:val="24"/>
        </w:rPr>
      </w:pPr>
      <w:r w:rsidRPr="00D70C56">
        <w:rPr>
          <w:rFonts w:ascii="Arial" w:hAnsi="Arial" w:cs="Arial"/>
          <w:sz w:val="24"/>
          <w:szCs w:val="24"/>
        </w:rPr>
        <w:t xml:space="preserve">Paulet, R., Holland, P. and Morgan, D. (2021) ‘A </w:t>
      </w:r>
      <w:r w:rsidR="00C46823" w:rsidRPr="00D70C56">
        <w:rPr>
          <w:rFonts w:ascii="Arial" w:hAnsi="Arial" w:cs="Arial"/>
          <w:sz w:val="24"/>
          <w:szCs w:val="24"/>
        </w:rPr>
        <w:t>Meta</w:t>
      </w:r>
      <w:r w:rsidR="00C46823" w:rsidRPr="00D70C56">
        <w:rPr>
          <w:rFonts w:ascii="Cambria Math" w:hAnsi="Cambria Math" w:cs="Cambria Math"/>
          <w:sz w:val="24"/>
          <w:szCs w:val="24"/>
        </w:rPr>
        <w:t>‐</w:t>
      </w:r>
      <w:r w:rsidR="00C46823" w:rsidRPr="00D70C56">
        <w:rPr>
          <w:rFonts w:ascii="Arial" w:hAnsi="Arial" w:cs="Arial"/>
          <w:sz w:val="24"/>
          <w:szCs w:val="24"/>
        </w:rPr>
        <w:t xml:space="preserve">Review of 10 Years of Green Human Resource Management: Is </w:t>
      </w:r>
      <w:r w:rsidRPr="00D70C56">
        <w:rPr>
          <w:rFonts w:ascii="Arial" w:hAnsi="Arial" w:cs="Arial"/>
          <w:sz w:val="24"/>
          <w:szCs w:val="24"/>
        </w:rPr>
        <w:t xml:space="preserve">Green HRM </w:t>
      </w:r>
      <w:r w:rsidR="00C46823" w:rsidRPr="00D70C56">
        <w:rPr>
          <w:rFonts w:ascii="Arial" w:hAnsi="Arial" w:cs="Arial"/>
          <w:sz w:val="24"/>
          <w:szCs w:val="24"/>
        </w:rPr>
        <w:t>Headed Towards a Roadblock or a Revitalisation</w:t>
      </w:r>
      <w:r w:rsidRPr="00D70C56">
        <w:rPr>
          <w:rFonts w:ascii="Arial" w:hAnsi="Arial" w:cs="Arial"/>
          <w:sz w:val="24"/>
          <w:szCs w:val="24"/>
        </w:rPr>
        <w:t>?’, </w:t>
      </w:r>
      <w:r w:rsidRPr="00D70C56">
        <w:rPr>
          <w:rFonts w:ascii="Arial" w:hAnsi="Arial" w:cs="Arial"/>
          <w:i/>
          <w:iCs/>
          <w:sz w:val="24"/>
          <w:szCs w:val="24"/>
        </w:rPr>
        <w:t>Asia Pacific journal of human resources</w:t>
      </w:r>
      <w:r w:rsidRPr="00D70C56">
        <w:rPr>
          <w:rFonts w:ascii="Arial" w:hAnsi="Arial" w:cs="Arial"/>
          <w:sz w:val="24"/>
          <w:szCs w:val="24"/>
        </w:rPr>
        <w:t xml:space="preserve">, 59(2), pp. 159–183. Available at: </w:t>
      </w:r>
      <w:hyperlink r:id="rId29" w:history="1">
        <w:r w:rsidRPr="00D70C56">
          <w:rPr>
            <w:rStyle w:val="Hyperlink"/>
            <w:rFonts w:ascii="Arial" w:hAnsi="Arial" w:cs="Arial"/>
            <w:sz w:val="24"/>
            <w:szCs w:val="24"/>
          </w:rPr>
          <w:t>https://doi.org/10.1111/1744-7941.12285</w:t>
        </w:r>
      </w:hyperlink>
      <w:r w:rsidRPr="00D70C56">
        <w:rPr>
          <w:rFonts w:ascii="Arial" w:hAnsi="Arial" w:cs="Arial"/>
          <w:sz w:val="24"/>
          <w:szCs w:val="24"/>
        </w:rPr>
        <w:t>.</w:t>
      </w:r>
    </w:p>
    <w:p w14:paraId="17573D56" w14:textId="77777777" w:rsidR="00CD4DD8" w:rsidRPr="00D70C56" w:rsidRDefault="00CD4DD8" w:rsidP="00D70C56">
      <w:pPr>
        <w:spacing w:line="480" w:lineRule="auto"/>
        <w:rPr>
          <w:rFonts w:ascii="Arial" w:hAnsi="Arial" w:cs="Arial"/>
          <w:sz w:val="24"/>
          <w:szCs w:val="24"/>
        </w:rPr>
      </w:pPr>
    </w:p>
    <w:p w14:paraId="2D7737BB" w14:textId="431CDCC8" w:rsidR="00D70C56" w:rsidRPr="00C758A0" w:rsidRDefault="0012211A" w:rsidP="00C758A0">
      <w:pPr>
        <w:pStyle w:val="ListParagraph"/>
        <w:numPr>
          <w:ilvl w:val="0"/>
          <w:numId w:val="3"/>
        </w:numPr>
        <w:spacing w:line="480" w:lineRule="auto"/>
        <w:rPr>
          <w:rFonts w:ascii="Arial" w:hAnsi="Arial" w:cs="Arial"/>
          <w:sz w:val="24"/>
          <w:szCs w:val="24"/>
        </w:rPr>
      </w:pPr>
      <w:r w:rsidRPr="00020A40">
        <w:rPr>
          <w:rFonts w:ascii="Arial" w:hAnsi="Arial" w:cs="Arial"/>
          <w:i/>
          <w:iCs/>
          <w:sz w:val="24"/>
          <w:szCs w:val="24"/>
        </w:rPr>
        <w:t>Reward</w:t>
      </w:r>
      <w:r w:rsidR="00CD4DD8" w:rsidRPr="00020A40">
        <w:rPr>
          <w:rFonts w:ascii="Arial" w:hAnsi="Arial" w:cs="Arial"/>
          <w:i/>
          <w:iCs/>
          <w:sz w:val="24"/>
          <w:szCs w:val="24"/>
        </w:rPr>
        <w:t xml:space="preserve"> Gateway (2022) </w:t>
      </w:r>
      <w:r w:rsidR="00CD4DD8" w:rsidRPr="00D70C56">
        <w:rPr>
          <w:rFonts w:ascii="Arial" w:hAnsi="Arial" w:cs="Arial"/>
          <w:sz w:val="24"/>
          <w:szCs w:val="24"/>
        </w:rPr>
        <w:t xml:space="preserve">The </w:t>
      </w:r>
      <w:r w:rsidR="000011FB" w:rsidRPr="00D70C56">
        <w:rPr>
          <w:rFonts w:ascii="Arial" w:hAnsi="Arial" w:cs="Arial"/>
          <w:sz w:val="24"/>
          <w:szCs w:val="24"/>
        </w:rPr>
        <w:t>Cost-of-Living</w:t>
      </w:r>
      <w:r w:rsidR="00CD4DD8" w:rsidRPr="00D70C56">
        <w:rPr>
          <w:rFonts w:ascii="Arial" w:hAnsi="Arial" w:cs="Arial"/>
          <w:sz w:val="24"/>
          <w:szCs w:val="24"/>
        </w:rPr>
        <w:t xml:space="preserve"> Crisis Report</w:t>
      </w:r>
      <w:r w:rsidR="00F66E65" w:rsidRPr="00D70C56">
        <w:rPr>
          <w:rFonts w:ascii="Arial" w:hAnsi="Arial" w:cs="Arial"/>
          <w:sz w:val="24"/>
          <w:szCs w:val="24"/>
        </w:rPr>
        <w:t xml:space="preserve">: Supporting your people through </w:t>
      </w:r>
      <w:r w:rsidR="00744103" w:rsidRPr="00D70C56">
        <w:rPr>
          <w:rFonts w:ascii="Arial" w:hAnsi="Arial" w:cs="Arial"/>
          <w:sz w:val="24"/>
          <w:szCs w:val="24"/>
        </w:rPr>
        <w:t>cost-of-living</w:t>
      </w:r>
      <w:r w:rsidR="00F66E65" w:rsidRPr="00D70C56">
        <w:rPr>
          <w:rFonts w:ascii="Arial" w:hAnsi="Arial" w:cs="Arial"/>
          <w:sz w:val="24"/>
          <w:szCs w:val="24"/>
        </w:rPr>
        <w:t xml:space="preserve"> increases. Available at;</w:t>
      </w:r>
      <w:r w:rsidR="00CD4DD8" w:rsidRPr="00D70C56">
        <w:rPr>
          <w:rFonts w:ascii="Arial" w:hAnsi="Arial" w:cs="Arial"/>
          <w:sz w:val="24"/>
          <w:szCs w:val="24"/>
        </w:rPr>
        <w:t xml:space="preserve"> </w:t>
      </w:r>
      <w:hyperlink r:id="rId30" w:history="1">
        <w:r w:rsidRPr="00D70C56">
          <w:rPr>
            <w:rStyle w:val="Hyperlink"/>
            <w:rFonts w:ascii="Arial" w:hAnsi="Arial" w:cs="Arial"/>
            <w:sz w:val="24"/>
            <w:szCs w:val="24"/>
          </w:rPr>
          <w:t>uk-the-cost-of-living-crisis-report.pdf (rewardgateway.com)</w:t>
        </w:r>
      </w:hyperlink>
      <w:r w:rsidR="00C758A0">
        <w:rPr>
          <w:rStyle w:val="Hyperlink"/>
          <w:rFonts w:ascii="Arial" w:hAnsi="Arial" w:cs="Arial"/>
          <w:sz w:val="24"/>
          <w:szCs w:val="24"/>
        </w:rPr>
        <w:t xml:space="preserve">. </w:t>
      </w:r>
      <w:r w:rsidR="00D70C56" w:rsidRPr="00C758A0">
        <w:rPr>
          <w:rFonts w:ascii="Arial" w:hAnsi="Arial" w:cs="Arial"/>
          <w:sz w:val="24"/>
          <w:szCs w:val="24"/>
        </w:rPr>
        <w:t>(Accessed December 10</w:t>
      </w:r>
      <w:r w:rsidR="00D70C56" w:rsidRPr="00C758A0">
        <w:rPr>
          <w:rFonts w:ascii="Arial" w:hAnsi="Arial" w:cs="Arial"/>
          <w:sz w:val="24"/>
          <w:szCs w:val="24"/>
          <w:vertAlign w:val="superscript"/>
        </w:rPr>
        <w:t>th</w:t>
      </w:r>
      <w:r w:rsidR="000011FB" w:rsidRPr="00C758A0">
        <w:rPr>
          <w:rFonts w:ascii="Arial" w:hAnsi="Arial" w:cs="Arial"/>
          <w:sz w:val="24"/>
          <w:szCs w:val="24"/>
        </w:rPr>
        <w:t>, 2022</w:t>
      </w:r>
      <w:r w:rsidR="00D70C56" w:rsidRPr="00C758A0">
        <w:rPr>
          <w:rFonts w:ascii="Arial" w:hAnsi="Arial" w:cs="Arial"/>
          <w:sz w:val="24"/>
          <w:szCs w:val="24"/>
        </w:rPr>
        <w:t>).</w:t>
      </w:r>
    </w:p>
    <w:p w14:paraId="18A6E45F" w14:textId="77777777" w:rsidR="00CD4DD8" w:rsidRPr="00D70C56" w:rsidRDefault="00CD4DD8" w:rsidP="00D70C56">
      <w:pPr>
        <w:spacing w:line="480" w:lineRule="auto"/>
        <w:rPr>
          <w:rFonts w:ascii="Arial" w:hAnsi="Arial" w:cs="Arial"/>
          <w:sz w:val="24"/>
          <w:szCs w:val="24"/>
        </w:rPr>
      </w:pPr>
    </w:p>
    <w:p w14:paraId="58728CF5" w14:textId="73538FE7" w:rsidR="000B5DED" w:rsidRPr="00D70C56" w:rsidRDefault="00E175EA" w:rsidP="00D70C56">
      <w:pPr>
        <w:pStyle w:val="ListParagraph"/>
        <w:numPr>
          <w:ilvl w:val="0"/>
          <w:numId w:val="3"/>
        </w:numPr>
        <w:spacing w:line="480" w:lineRule="auto"/>
        <w:rPr>
          <w:rFonts w:ascii="Arial" w:hAnsi="Arial" w:cs="Arial"/>
          <w:sz w:val="24"/>
          <w:szCs w:val="24"/>
        </w:rPr>
      </w:pPr>
      <w:r w:rsidRPr="00D70C56">
        <w:rPr>
          <w:rFonts w:ascii="Arial" w:hAnsi="Arial" w:cs="Arial"/>
          <w:sz w:val="24"/>
          <w:szCs w:val="24"/>
        </w:rPr>
        <w:t>Ritter, T. and Pedersen, C.L. (2020) ‘Analysing the impact of the coronavirus crisis on business models’, </w:t>
      </w:r>
      <w:r w:rsidRPr="00D70C56">
        <w:rPr>
          <w:rFonts w:ascii="Arial" w:hAnsi="Arial" w:cs="Arial"/>
          <w:i/>
          <w:iCs/>
          <w:sz w:val="24"/>
          <w:szCs w:val="24"/>
        </w:rPr>
        <w:t>Industrial marketing management</w:t>
      </w:r>
      <w:r w:rsidRPr="00D70C56">
        <w:rPr>
          <w:rFonts w:ascii="Arial" w:hAnsi="Arial" w:cs="Arial"/>
          <w:sz w:val="24"/>
          <w:szCs w:val="24"/>
        </w:rPr>
        <w:t xml:space="preserve">, 88, pp. 214–224. Available at: </w:t>
      </w:r>
      <w:hyperlink r:id="rId31" w:history="1">
        <w:r w:rsidRPr="00D70C56">
          <w:rPr>
            <w:rStyle w:val="Hyperlink"/>
            <w:rFonts w:ascii="Arial" w:hAnsi="Arial" w:cs="Arial"/>
            <w:sz w:val="24"/>
            <w:szCs w:val="24"/>
          </w:rPr>
          <w:t>https://doi.org/10.1016/j.indmarman.2020.05.014</w:t>
        </w:r>
      </w:hyperlink>
      <w:r w:rsidRPr="00D70C56">
        <w:rPr>
          <w:rFonts w:ascii="Arial" w:hAnsi="Arial" w:cs="Arial"/>
          <w:sz w:val="24"/>
          <w:szCs w:val="24"/>
        </w:rPr>
        <w:t>.</w:t>
      </w:r>
    </w:p>
    <w:p w14:paraId="646B2CB1" w14:textId="77777777" w:rsidR="00E175EA" w:rsidRPr="00D70C56" w:rsidRDefault="00E175EA" w:rsidP="00D70C56">
      <w:pPr>
        <w:spacing w:line="480" w:lineRule="auto"/>
        <w:rPr>
          <w:rFonts w:ascii="Arial" w:hAnsi="Arial" w:cs="Arial"/>
          <w:sz w:val="24"/>
          <w:szCs w:val="24"/>
        </w:rPr>
      </w:pPr>
    </w:p>
    <w:p w14:paraId="24D0AB7C" w14:textId="4A97011F" w:rsidR="0017541C" w:rsidRDefault="00CE6B73" w:rsidP="00D70C56">
      <w:pPr>
        <w:pStyle w:val="ListParagraph"/>
        <w:numPr>
          <w:ilvl w:val="0"/>
          <w:numId w:val="3"/>
        </w:numPr>
        <w:spacing w:line="480" w:lineRule="auto"/>
        <w:rPr>
          <w:rFonts w:ascii="Arial" w:hAnsi="Arial" w:cs="Arial"/>
          <w:sz w:val="24"/>
          <w:szCs w:val="24"/>
        </w:rPr>
      </w:pPr>
      <w:r w:rsidRPr="00D70C56">
        <w:rPr>
          <w:rFonts w:ascii="Arial" w:hAnsi="Arial" w:cs="Arial"/>
          <w:sz w:val="24"/>
          <w:szCs w:val="24"/>
        </w:rPr>
        <w:t>Rouas, V. (2022). Introduction. In </w:t>
      </w:r>
      <w:r w:rsidRPr="00D70C56">
        <w:rPr>
          <w:rFonts w:ascii="Arial" w:hAnsi="Arial" w:cs="Arial"/>
          <w:i/>
          <w:iCs/>
          <w:sz w:val="24"/>
          <w:szCs w:val="24"/>
        </w:rPr>
        <w:t>Achieving Access to Justice in a Business and Human Rights Context: An Assessment of Litigation and Regulatory Responses in European Civil-Law Countries</w:t>
      </w:r>
      <w:r w:rsidRPr="00D70C56">
        <w:rPr>
          <w:rFonts w:ascii="Arial" w:hAnsi="Arial" w:cs="Arial"/>
          <w:sz w:val="24"/>
          <w:szCs w:val="24"/>
        </w:rPr>
        <w:t xml:space="preserve"> (pp. 3–33). University of London Press. </w:t>
      </w:r>
      <w:hyperlink r:id="rId32" w:history="1">
        <w:r w:rsidR="007300F9" w:rsidRPr="00D70C56">
          <w:rPr>
            <w:rStyle w:val="Hyperlink"/>
            <w:rFonts w:ascii="Arial" w:hAnsi="Arial" w:cs="Arial"/>
            <w:sz w:val="24"/>
            <w:szCs w:val="24"/>
          </w:rPr>
          <w:t>http://www.jstor.org/stable/j.ctv293p4bn.7</w:t>
        </w:r>
      </w:hyperlink>
      <w:r w:rsidR="007300F9" w:rsidRPr="00D70C56">
        <w:rPr>
          <w:rFonts w:ascii="Arial" w:hAnsi="Arial" w:cs="Arial"/>
          <w:sz w:val="24"/>
          <w:szCs w:val="24"/>
        </w:rPr>
        <w:t>.</w:t>
      </w:r>
      <w:r w:rsidR="00D70C56">
        <w:rPr>
          <w:rFonts w:ascii="Arial" w:hAnsi="Arial" w:cs="Arial"/>
          <w:sz w:val="24"/>
          <w:szCs w:val="24"/>
        </w:rPr>
        <w:t xml:space="preserve"> </w:t>
      </w:r>
      <w:r w:rsidR="00D70C56" w:rsidRPr="00D70C56">
        <w:rPr>
          <w:rFonts w:ascii="Arial" w:hAnsi="Arial" w:cs="Arial"/>
          <w:sz w:val="24"/>
          <w:szCs w:val="24"/>
        </w:rPr>
        <w:t>(Accessed December 10th</w:t>
      </w:r>
      <w:r w:rsidR="000011FB" w:rsidRPr="00D70C56">
        <w:rPr>
          <w:rFonts w:ascii="Arial" w:hAnsi="Arial" w:cs="Arial"/>
          <w:sz w:val="24"/>
          <w:szCs w:val="24"/>
        </w:rPr>
        <w:t>, 2022</w:t>
      </w:r>
      <w:r w:rsidR="00D70C56" w:rsidRPr="00D70C56">
        <w:rPr>
          <w:rFonts w:ascii="Arial" w:hAnsi="Arial" w:cs="Arial"/>
          <w:sz w:val="24"/>
          <w:szCs w:val="24"/>
        </w:rPr>
        <w:t>).</w:t>
      </w:r>
    </w:p>
    <w:p w14:paraId="570A8C83" w14:textId="77777777" w:rsidR="00D70C56" w:rsidRPr="00D70C56" w:rsidRDefault="00D70C56" w:rsidP="00D70C56">
      <w:pPr>
        <w:spacing w:line="480" w:lineRule="auto"/>
        <w:rPr>
          <w:rFonts w:ascii="Arial" w:hAnsi="Arial" w:cs="Arial"/>
          <w:sz w:val="24"/>
          <w:szCs w:val="24"/>
        </w:rPr>
      </w:pPr>
    </w:p>
    <w:p w14:paraId="46439160" w14:textId="573BE477" w:rsidR="00943002" w:rsidRPr="00D70C56" w:rsidRDefault="00943002" w:rsidP="00D70C56">
      <w:pPr>
        <w:pStyle w:val="ListParagraph"/>
        <w:numPr>
          <w:ilvl w:val="0"/>
          <w:numId w:val="3"/>
        </w:numPr>
        <w:spacing w:line="480" w:lineRule="auto"/>
        <w:rPr>
          <w:rFonts w:ascii="Arial" w:hAnsi="Arial" w:cs="Arial"/>
          <w:sz w:val="24"/>
          <w:szCs w:val="24"/>
        </w:rPr>
      </w:pPr>
      <w:r w:rsidRPr="00020A40">
        <w:rPr>
          <w:rFonts w:ascii="Arial" w:hAnsi="Arial" w:cs="Arial"/>
          <w:i/>
          <w:iCs/>
          <w:sz w:val="24"/>
          <w:szCs w:val="24"/>
        </w:rPr>
        <w:lastRenderedPageBreak/>
        <w:t>SCVO (2022)</w:t>
      </w:r>
      <w:r w:rsidRPr="00D70C56">
        <w:rPr>
          <w:rFonts w:ascii="Arial" w:hAnsi="Arial" w:cs="Arial"/>
          <w:sz w:val="24"/>
          <w:szCs w:val="24"/>
        </w:rPr>
        <w:t xml:space="preserve"> The </w:t>
      </w:r>
      <w:r w:rsidR="000011FB" w:rsidRPr="00D70C56">
        <w:rPr>
          <w:rFonts w:ascii="Arial" w:hAnsi="Arial" w:cs="Arial"/>
          <w:sz w:val="24"/>
          <w:szCs w:val="24"/>
        </w:rPr>
        <w:t>Cost-of-Living</w:t>
      </w:r>
      <w:r w:rsidRPr="00D70C56">
        <w:rPr>
          <w:rFonts w:ascii="Arial" w:hAnsi="Arial" w:cs="Arial"/>
          <w:sz w:val="24"/>
          <w:szCs w:val="24"/>
        </w:rPr>
        <w:t xml:space="preserve"> Crisis in Scotland: Analytical Report</w:t>
      </w:r>
    </w:p>
    <w:p w14:paraId="690A1837" w14:textId="5794182A" w:rsidR="00871BBC" w:rsidRDefault="00C811AF" w:rsidP="00D70C56">
      <w:pPr>
        <w:spacing w:line="480" w:lineRule="auto"/>
        <w:ind w:firstLine="720"/>
        <w:rPr>
          <w:rStyle w:val="Hyperlink"/>
          <w:rFonts w:ascii="Arial" w:hAnsi="Arial" w:cs="Arial"/>
          <w:sz w:val="24"/>
          <w:szCs w:val="24"/>
        </w:rPr>
      </w:pPr>
      <w:hyperlink r:id="rId33" w:anchor=":~:text=Further%20concerted%20and%20targeted%20action%20will%20be%20required,rising%20operating%20costs%20and%20reductions%20in%20fundraising%20income." w:history="1">
        <w:r w:rsidR="00CD137E" w:rsidRPr="00D70C56">
          <w:rPr>
            <w:rStyle w:val="Hyperlink"/>
            <w:rFonts w:ascii="Arial" w:hAnsi="Arial" w:cs="Arial"/>
            <w:sz w:val="24"/>
            <w:szCs w:val="24"/>
          </w:rPr>
          <w:t xml:space="preserve">The </w:t>
        </w:r>
        <w:r w:rsidR="000011FB" w:rsidRPr="00D70C56">
          <w:rPr>
            <w:rStyle w:val="Hyperlink"/>
            <w:rFonts w:ascii="Arial" w:hAnsi="Arial" w:cs="Arial"/>
            <w:sz w:val="24"/>
            <w:szCs w:val="24"/>
          </w:rPr>
          <w:t>Cost-of-Living</w:t>
        </w:r>
        <w:r w:rsidR="00CD137E" w:rsidRPr="00D70C56">
          <w:rPr>
            <w:rStyle w:val="Hyperlink"/>
            <w:rFonts w:ascii="Arial" w:hAnsi="Arial" w:cs="Arial"/>
            <w:sz w:val="24"/>
            <w:szCs w:val="24"/>
          </w:rPr>
          <w:t xml:space="preserve"> Crisis in Scotland: analytical report – SCVO</w:t>
        </w:r>
      </w:hyperlink>
    </w:p>
    <w:p w14:paraId="358CB16D" w14:textId="72378B63" w:rsidR="00D70C56" w:rsidRPr="00D70C56" w:rsidRDefault="00D70C56" w:rsidP="00D70C56">
      <w:pPr>
        <w:spacing w:line="480" w:lineRule="auto"/>
        <w:ind w:firstLine="720"/>
        <w:rPr>
          <w:rFonts w:ascii="Arial" w:hAnsi="Arial" w:cs="Arial"/>
          <w:color w:val="000000" w:themeColor="text1"/>
          <w:sz w:val="24"/>
          <w:szCs w:val="24"/>
        </w:rPr>
      </w:pPr>
      <w:r w:rsidRPr="00D70C56">
        <w:rPr>
          <w:rFonts w:ascii="Arial" w:hAnsi="Arial" w:cs="Arial"/>
          <w:color w:val="000000" w:themeColor="text1"/>
          <w:sz w:val="24"/>
          <w:szCs w:val="24"/>
        </w:rPr>
        <w:t>(Accessed December 10</w:t>
      </w:r>
      <w:r w:rsidRPr="00D70C56">
        <w:rPr>
          <w:rFonts w:ascii="Arial" w:hAnsi="Arial" w:cs="Arial"/>
          <w:color w:val="000000" w:themeColor="text1"/>
          <w:sz w:val="24"/>
          <w:szCs w:val="24"/>
          <w:vertAlign w:val="superscript"/>
        </w:rPr>
        <w:t>th</w:t>
      </w:r>
      <w:r w:rsidR="000011FB" w:rsidRPr="00D70C56">
        <w:rPr>
          <w:rFonts w:ascii="Arial" w:hAnsi="Arial" w:cs="Arial"/>
          <w:color w:val="000000" w:themeColor="text1"/>
          <w:sz w:val="24"/>
          <w:szCs w:val="24"/>
        </w:rPr>
        <w:t>, 2022</w:t>
      </w:r>
      <w:r w:rsidRPr="00D70C56">
        <w:rPr>
          <w:rFonts w:ascii="Arial" w:hAnsi="Arial" w:cs="Arial"/>
          <w:color w:val="000000" w:themeColor="text1"/>
          <w:sz w:val="24"/>
          <w:szCs w:val="24"/>
        </w:rPr>
        <w:t>).</w:t>
      </w:r>
    </w:p>
    <w:p w14:paraId="048195A8" w14:textId="77777777" w:rsidR="0017541C" w:rsidRPr="00D70C56" w:rsidRDefault="0017541C" w:rsidP="00D70C56">
      <w:pPr>
        <w:spacing w:line="480" w:lineRule="auto"/>
        <w:rPr>
          <w:rFonts w:ascii="Arial" w:hAnsi="Arial" w:cs="Arial"/>
          <w:sz w:val="24"/>
          <w:szCs w:val="24"/>
        </w:rPr>
      </w:pPr>
    </w:p>
    <w:p w14:paraId="4D479631" w14:textId="6AA57B71" w:rsidR="00440444" w:rsidRPr="00D70C56" w:rsidRDefault="00440444" w:rsidP="00D70C56">
      <w:pPr>
        <w:pStyle w:val="ListParagraph"/>
        <w:numPr>
          <w:ilvl w:val="0"/>
          <w:numId w:val="3"/>
        </w:numPr>
        <w:spacing w:line="480" w:lineRule="auto"/>
        <w:rPr>
          <w:rFonts w:ascii="Arial" w:hAnsi="Arial" w:cs="Arial"/>
          <w:sz w:val="24"/>
          <w:szCs w:val="24"/>
        </w:rPr>
      </w:pPr>
      <w:r w:rsidRPr="00D70C56">
        <w:rPr>
          <w:rFonts w:ascii="Arial" w:hAnsi="Arial" w:cs="Arial"/>
          <w:sz w:val="24"/>
          <w:szCs w:val="24"/>
        </w:rPr>
        <w:t xml:space="preserve">Taylor, S. &amp; Perkins, G. (2021) </w:t>
      </w:r>
      <w:r w:rsidRPr="00D70C56">
        <w:rPr>
          <w:rFonts w:ascii="Arial" w:hAnsi="Arial" w:cs="Arial"/>
          <w:i/>
          <w:iCs/>
          <w:sz w:val="24"/>
          <w:szCs w:val="24"/>
        </w:rPr>
        <w:t>Work and Employment in a Changing Business Environment</w:t>
      </w:r>
      <w:r w:rsidRPr="00D70C56">
        <w:rPr>
          <w:rFonts w:ascii="Arial" w:hAnsi="Arial" w:cs="Arial"/>
          <w:sz w:val="24"/>
          <w:szCs w:val="24"/>
        </w:rPr>
        <w:t>. London, United Kingdom; Kogan Page.</w:t>
      </w:r>
    </w:p>
    <w:p w14:paraId="4E59A85F" w14:textId="77777777" w:rsidR="00440444" w:rsidRPr="00D70C56" w:rsidRDefault="00440444" w:rsidP="00D70C56">
      <w:pPr>
        <w:spacing w:line="480" w:lineRule="auto"/>
        <w:rPr>
          <w:rFonts w:ascii="Arial" w:hAnsi="Arial" w:cs="Arial"/>
          <w:sz w:val="24"/>
          <w:szCs w:val="24"/>
        </w:rPr>
      </w:pPr>
    </w:p>
    <w:p w14:paraId="72B3D4BA" w14:textId="77777777" w:rsidR="00344A94" w:rsidRPr="00D70C56" w:rsidRDefault="00344A94" w:rsidP="00D70C56">
      <w:pPr>
        <w:spacing w:line="480" w:lineRule="auto"/>
        <w:rPr>
          <w:rFonts w:ascii="Arial" w:hAnsi="Arial" w:cs="Arial"/>
          <w:sz w:val="24"/>
          <w:szCs w:val="24"/>
        </w:rPr>
      </w:pPr>
    </w:p>
    <w:p w14:paraId="12302FA1" w14:textId="77777777" w:rsidR="007300F9" w:rsidRPr="00D70C56" w:rsidRDefault="007300F9" w:rsidP="00D70C56">
      <w:pPr>
        <w:spacing w:line="480" w:lineRule="auto"/>
        <w:rPr>
          <w:rFonts w:ascii="Arial" w:hAnsi="Arial" w:cs="Arial"/>
          <w:sz w:val="24"/>
          <w:szCs w:val="24"/>
        </w:rPr>
      </w:pPr>
    </w:p>
    <w:sectPr w:rsidR="007300F9" w:rsidRPr="00D70C56" w:rsidSect="00A67E71">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678364" w14:textId="77777777" w:rsidR="004363EB" w:rsidRDefault="004363EB" w:rsidP="001A0C17">
      <w:pPr>
        <w:spacing w:after="0" w:line="240" w:lineRule="auto"/>
      </w:pPr>
      <w:r>
        <w:separator/>
      </w:r>
    </w:p>
  </w:endnote>
  <w:endnote w:type="continuationSeparator" w:id="0">
    <w:p w14:paraId="6211546B" w14:textId="77777777" w:rsidR="004363EB" w:rsidRDefault="004363EB" w:rsidP="001A0C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A7B1F8E" w14:paraId="7C2B370B" w14:textId="77777777" w:rsidTr="4A7B1F8E">
      <w:trPr>
        <w:trHeight w:val="300"/>
      </w:trPr>
      <w:tc>
        <w:tcPr>
          <w:tcW w:w="3005" w:type="dxa"/>
        </w:tcPr>
        <w:p w14:paraId="3A299D59" w14:textId="3883D2FD" w:rsidR="4A7B1F8E" w:rsidRDefault="4A7B1F8E" w:rsidP="4A7B1F8E">
          <w:pPr>
            <w:pStyle w:val="Header"/>
            <w:ind w:left="-115"/>
          </w:pPr>
        </w:p>
      </w:tc>
      <w:tc>
        <w:tcPr>
          <w:tcW w:w="3005" w:type="dxa"/>
        </w:tcPr>
        <w:p w14:paraId="476CEC14" w14:textId="3C6C651E" w:rsidR="4A7B1F8E" w:rsidRDefault="4A7B1F8E" w:rsidP="4A7B1F8E">
          <w:pPr>
            <w:pStyle w:val="Header"/>
            <w:jc w:val="center"/>
          </w:pPr>
        </w:p>
      </w:tc>
      <w:tc>
        <w:tcPr>
          <w:tcW w:w="3005" w:type="dxa"/>
        </w:tcPr>
        <w:p w14:paraId="541B14C0" w14:textId="3A88CCB3" w:rsidR="4A7B1F8E" w:rsidRDefault="4A7B1F8E" w:rsidP="4A7B1F8E">
          <w:pPr>
            <w:pStyle w:val="Header"/>
            <w:ind w:right="-115"/>
            <w:jc w:val="right"/>
          </w:pPr>
        </w:p>
      </w:tc>
    </w:tr>
  </w:tbl>
  <w:p w14:paraId="12A9B47B" w14:textId="7049EDF0" w:rsidR="4A7B1F8E" w:rsidRDefault="4A7B1F8E" w:rsidP="4A7B1F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07B7F" w14:textId="77777777" w:rsidR="004363EB" w:rsidRDefault="004363EB" w:rsidP="001A0C17">
      <w:pPr>
        <w:spacing w:after="0" w:line="240" w:lineRule="auto"/>
      </w:pPr>
      <w:r>
        <w:separator/>
      </w:r>
    </w:p>
  </w:footnote>
  <w:footnote w:type="continuationSeparator" w:id="0">
    <w:p w14:paraId="52A10888" w14:textId="77777777" w:rsidR="004363EB" w:rsidRDefault="004363EB" w:rsidP="001A0C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0CAD2" w14:textId="48AE1FE1" w:rsidR="001A0C17" w:rsidRDefault="00C811AF" w:rsidP="00A67E71">
    <w:pPr>
      <w:pStyle w:val="Header"/>
      <w:ind w:firstLine="2880"/>
    </w:pPr>
    <w:r>
      <w:rPr>
        <w:noProof/>
      </w:rPr>
      <mc:AlternateContent>
        <mc:Choice Requires="wpg">
          <w:drawing>
            <wp:anchor distT="0" distB="0" distL="114300" distR="114300" simplePos="0" relativeHeight="251659264" behindDoc="0" locked="0" layoutInCell="1" allowOverlap="1" wp14:anchorId="4F906365" wp14:editId="530A2EB1">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530" cy="1024255"/>
              <wp:effectExtent l="0" t="0" r="4445" b="4445"/>
              <wp:wrapNone/>
              <wp:docPr id="1" name="Group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00530" cy="1024255"/>
                        <a:chOff x="0" y="0"/>
                        <a:chExt cx="17007" cy="10241"/>
                      </a:xfrm>
                    </wpg:grpSpPr>
                    <wpg:grpSp>
                      <wpg:cNvPr id="2" name="Group 159"/>
                      <wpg:cNvGrpSpPr>
                        <a:grpSpLocks/>
                      </wpg:cNvGrpSpPr>
                      <wpg:grpSpPr bwMode="auto">
                        <a:xfrm>
                          <a:off x="0" y="0"/>
                          <a:ext cx="17007" cy="10241"/>
                          <a:chOff x="0" y="0"/>
                          <a:chExt cx="17007" cy="10241"/>
                        </a:xfrm>
                      </wpg:grpSpPr>
                      <wps:wsp>
                        <wps:cNvPr id="3" name="Rectangle 160"/>
                        <wps:cNvSpPr>
                          <a:spLocks noChangeArrowheads="1"/>
                        </wps:cNvSpPr>
                        <wps:spPr bwMode="auto">
                          <a:xfrm>
                            <a:off x="0" y="0"/>
                            <a:ext cx="17007" cy="10241"/>
                          </a:xfrm>
                          <a:prstGeom prst="rect">
                            <a:avLst/>
                          </a:prstGeom>
                          <a:solidFill>
                            <a:schemeClr val="bg1">
                              <a:lumMod val="100000"/>
                              <a:lumOff val="0"/>
                              <a:alpha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4" name="Rectangle 1"/>
                        <wps:cNvSpPr>
                          <a:spLocks/>
                        </wps:cNvSpPr>
                        <wps:spPr bwMode="auto">
                          <a:xfrm>
                            <a:off x="2286" y="0"/>
                            <a:ext cx="14630" cy="10149"/>
                          </a:xfrm>
                          <a:custGeom>
                            <a:avLst/>
                            <a:gdLst>
                              <a:gd name="T0" fmla="*/ 0 w 1462822"/>
                              <a:gd name="T1" fmla="*/ 0 h 1014481"/>
                              <a:gd name="T2" fmla="*/ 1463040 w 1462822"/>
                              <a:gd name="T3" fmla="*/ 0 h 1014481"/>
                              <a:gd name="T4" fmla="*/ 910508 w 1462822"/>
                              <a:gd name="T5" fmla="*/ 376493 h 1014481"/>
                              <a:gd name="T6" fmla="*/ 0 w 1462822"/>
                              <a:gd name="T7" fmla="*/ 1014984 h 1014481"/>
                              <a:gd name="T8" fmla="*/ 0 w 1462822"/>
                              <a:gd name="T9" fmla="*/ 0 h 101448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462822" h="1014481">
                                <a:moveTo>
                                  <a:pt x="0" y="0"/>
                                </a:moveTo>
                                <a:lnTo>
                                  <a:pt x="1462822" y="0"/>
                                </a:lnTo>
                                <a:lnTo>
                                  <a:pt x="910372" y="376306"/>
                                </a:lnTo>
                                <a:lnTo>
                                  <a:pt x="0" y="1014481"/>
                                </a:lnTo>
                                <a:lnTo>
                                  <a:pt x="0" y="0"/>
                                </a:lnTo>
                                <a:close/>
                              </a:path>
                            </a:pathLst>
                          </a:custGeom>
                          <a:solidFill>
                            <a:schemeClr val="accent1">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5" name="Rectangle 162"/>
                        <wps:cNvSpPr>
                          <a:spLocks noChangeArrowheads="1"/>
                        </wps:cNvSpPr>
                        <wps:spPr bwMode="auto">
                          <a:xfrm>
                            <a:off x="2286" y="0"/>
                            <a:ext cx="14721" cy="10241"/>
                          </a:xfrm>
                          <a:prstGeom prst="rect">
                            <a:avLst/>
                          </a:prstGeom>
                          <a:blipFill dpi="0" rotWithShape="1">
                            <a:blip r:embed="rId1"/>
                            <a:srcRect/>
                            <a:stretch>
                              <a:fillRect/>
                            </a:stretch>
                          </a:blip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g:grpSp>
                    <wps:wsp>
                      <wps:cNvPr id="6" name="Text Box 163"/>
                      <wps:cNvSpPr txBox="1">
                        <a:spLocks noChangeArrowheads="1"/>
                      </wps:cNvSpPr>
                      <wps:spPr bwMode="auto">
                        <a:xfrm flipH="1">
                          <a:off x="2370" y="189"/>
                          <a:ext cx="4428" cy="37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55C4AC04" w14:textId="77777777" w:rsidR="001A0C17" w:rsidRDefault="001A0C17">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vert="horz" wrap="square" lIns="91440" tIns="91440" rIns="91440" bIns="91440" anchor="ctr"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4F906365" id="Group 158" o:spid="_x0000_s1026" style="position:absolute;left:0;text-align:left;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GDV3JQUAALkSAAAOAAAAZHJzL2Uyb0RvYy54bWzsWF1vo0YUfa/U/zDi&#10;sVJjwPgLxVltk2660rZddV31eQyDQQWGzuDY6a/vuTOAwbHdbTbpQ9U8OMBc7tw599wvrt/si5w9&#10;CKUzWS4d78p1mCgjGWflZun8unr37dxhuuZlzHNZiqXzKLTz5ubrr653VSh8mco8FopBSanDXbV0&#10;0rquwtFIR6kouL6SlSixmEhV8Bq3ajOKFd9Be5GPfNedjnZSxZWSkdAaT+/sonNj9CeJiOqfk0SL&#10;muVLB7bV5leZ3zX9jm6uebhRvEqzqDGDP8OKgmclNu1U3fGas63KnqgqskhJLZP6KpLFSCZJFglz&#10;BpzGc49Oc6/ktjJn2YS7TdXBBGiPcHq22uinh3tVfao+Kms9Lj/I6HcNXEa7ahP21+l+Y4XZevej&#10;jOFPvq2lOfg+UQWpwJHY3uD72OEr9jWL8NCbue5kDDdEWPNcP/AnE+uBKIWbnrwXpd/33pwd3vPo&#10;rREP7abG0MYwcnxjpb3EAT4qlsVLx3dYyQvYbGBl3mRBWo4PSS58dRCOj8LDFwUAoaQPbNFfxpZP&#10;Ka+EIaEmNjRgjlswf0GI8XKTC+ZNTTjtKiPXUkpbPrFS3qaQE2+VkrtU8BhmWTcOXqAbDTY+n2DH&#10;2HY04WGldH0vZMHoYukomG64yx8+6NoyqhUhKmuZZ/G7LM/NDWUkcZsr9sCRS9Ybz7yabwsEgn3m&#10;ufRnCY3nxGgj2zzieZXy3hMYZtIcKTVsHuyXl7RrKWl/axo9AdUtPkRcHa5l/AislLR5DXkYF6lU&#10;fzpsh5y2dPQfW66Ew/L3JfBeeEFASdDcBJOZjxvVX1n3V3gZQdXSiWrlMHtzW9vUua1UtkmxlwWh&#10;lG+RBpLMYHiwqzEXXLTWvjopgxOktDF+ipKEKhkLUluyttj+Lfd8fz512In8FkwP2c0LTH7p0S/a&#10;WvqRY1vKId3EIB892sRNflrBLUmRow59M2Iu2zEvmPpz37fMOoh5A7GUeS78OzdB1deGvNdpg6ax&#10;G1zQibjuhF12VieQ7sQWnjtx5+fNnPRkx7NpsBif1wtYO70XrESMd2J06sU8OK8THUgnfEHnYiB2&#10;9uTe0DlTCnk2nUzG0yfuGfrnkmTfRdB2QefQP5ck+y56ohOs7HjHU5v9UIT2ZcNFXCHk0WescF4i&#10;ZyU1lWeiJni/agsw5Gi1J24zQiuOg5H4mLDBnk/F/YF22Ezipik4KT4eiNsgXM3Oag8G4iACaW/D&#10;0hhjd2lOTQXhuFFE7kOjuLbOrXhNYBlAcMl2yIBNbLKUWhobgLReyAexkkayPmpssOdhNS/7Up02&#10;GGrKBmRbifZ/ZfQh6sYzCy+Cauwa+p2Vtm5r7Wvrid15qNdKHu8d5VIL+xphYJzZgUEY9lLboIx1&#10;Fc4WPh5Foqz/YemE/k6N2Xmww/+F8tIIcbp7Q0q2rXC/ezP1ZVAQgfsrdW/nK+jMR9ps54M2zbTD&#10;RdudfWYDt86zivonFleZGUnQKP2W1akBpW1eSKiZrNDcHM1VJ+ZPO7PdyWhbgMp2CFUi5zUmYJ1m&#10;lUZPFYpiLWJ0mO/jphxrFRHWCCGAWitRRwgiHiawrnlOLG8XcN3aTlL/MYof5rV/qS9EnbB0X9Ek&#10;+p3cY1YxJanHdlbvsdCS4kV5zxJQ7IdWdTMg++NZk5TnpiDxsJ2Sg8BHpaIQGM8mbeV8ZgR088Nn&#10;kqjer/fgKOHyJbNFM2icmC2alRedLQyf8H3E1IbmWw59gOnf47r/xenmLwAAAP//AwBQSwMECgAA&#10;AAAAAAAhAGNkTZd4GgAAeBoAABQAAABkcnMvbWVkaWEvaW1hZ2UxLnBuZ4lQTkcNChoKAAAADUlI&#10;RFIAAAHkAAABUAgGAAAAbvUNmgAAAAlwSFlzAAAuIwAALiMBeKU/dgAAABl0RVh0U29mdHdhcmUA&#10;QWRvYmUgSW1hZ2VSZWFkeXHJZTwAABoFSURBVHja7N0NlxTVnQfgy04gCAyMO7zoyMsghIMhkChI&#10;QAJRUDBqQsSAGHOMuvlg+1H2S+zH2HP27GbzIgT2/tPVOjYzTL9UdVfdep5z7iFBZqa7ek7/+t76&#10;1a0dCWAKT58+Xcp/nMljTwcf/v928DH/eY4/a28eP8jjSQPfe7VFx3R/Hjtb8vt4aoe3FWDKQF5v&#10;2Zsr9VjJ42Aef3EoGhXH91QeN/L4PI//+IFjAkwRxoeFcZEO5bFPGDfqv/K4lce9PH628T8IZGDS&#10;MI4Z1DFHojhH02D59u8ORe0e5bE7j9/k8XEarEI8QyADk4RxnC9edySKEjlwPI9vhHHt/lId20/y&#10;+HCcFwJgnDCOElec81pyNIoK45N5/J9DUat/pMG54U8n+QArkIFxRaN6l8NQjDhXvJbm294u2aPq&#10;w+oXedxOWyxLC2Rg1tlxfMrf40gU48U0KOUJ49nFsvRbedzJ49os30ggA9uF8WrSqC6JJnU9/pYG&#10;Ja2PUk29CoEMPC+Ml5MSV0nitXyalLemFcvSUdKKy5Ye1P3NBTKwVRjHEvUpR6IIG5vUTxyOif1P&#10;GpS0nrl2WCADTYdxlFNOJI3qUsJYk3o68fsflyzFsvTKPF4ogFExM1bi6j5N6skNt7SM88MfzvMH&#10;C2RgdHYcu3AtOxKdp0k9mbh2+GY1I15fxAMQyMDGMI438MOOROdpUo8nSlovVbPhd9IclqUFMjBO&#10;GNsWswzxGmpSP198UImSVrSlr7XlQQlkIMI4duA640h0mib19nZXIXynjR8+BTIIY3tUlxHGmtSb&#10;e5S+u+/wg7a/iEC/xUxBo7q7NKk3F6s+P06DGzyc68qnKqC/s+N4I19xJDprWN4Sxt+Z67XDAhmo&#10;I4yjUf2yI9FZ8drFOVHlrcGy9IU0OD98u6tPQiBDP8M4lqiPORKdtZ7HY2Gc/iWP62mB1w4LZGCW&#10;MI4lvWhUK3F18z37RBXEfW5Sx+pOK64dFsiAMO6fWJ6OVY2+Nqnj2uFYko629LUSn6BAhn6JN3SN&#10;6u6J4tZLPQ3j2Mb1ZhXG6yU/UYEM/Zkdx5aYq45E5/RxG8woaZ3N42pq+bXDAhmYNIxXkhJXF/Wt&#10;SR3XDkdbOkpa5/r2YgtkKD+M7VHdTfGa9aVJvbsK4djSsrfXxQtkKDuMbYvZzfflPjSpY1n6YhqU&#10;tG572QUylC4a1bschk7NFEtvUsfvY5wbfpjHK15ygQx9mB2vJ43qLim9SR2FwuGWlghk6E0YryaN&#10;6i4ptUkdy9LD+w5f9jILZOhbGMd1m+uORGeU2KR+sQrimBG7eYlAhl6GcSxRn3IkOiM+OJXUpB7e&#10;d/hjL61Ahj6HcTSpo52rUd2N996Tefw1db9JHSWtaEt/kZS0BDLw7exEiav94lzxkdT98lacGrmX&#10;BueHLUsLZKCaHR+r3iBpfxhHk7qr5a0oaV3J41dJSUsgA8+EcbSpDzsSrRdN6v0dDeNYlh6WtCxL&#10;C2RgkzC2LWY3vFKF2l879rhjNh/L0u97CQUysHUYxxv8GUei9eIDU5ea1LEsPbzvsGVpgQxsE8b2&#10;qO7G+2uXmtRx2mO4peVeL59ABsafdWlUt1eXmtSnqhmxLS0FMjDh7Hgtucyk7WHc9iZ1zIDjvsP/&#10;lhQCBTIwVRhHo/plR6K12t6kji0tYwOPiz7UCWRg+jCOJepjjkRrtblJHQH8mzxe9zIJZGC2MI7y&#10;VjSqlbjaaT21r0kdHw7iuuEbybXDAhkQxj14D21bkzpWUYZbWiKQgZrfYDWq26dNTeq4djg27/hV&#10;cm26QAYamR1HA3bVkWidKEQdTIsvb8Xvx3BLS9cOC2SgoTBeSUpcbdSGJvXZNFiWvuLlEMhAs2Fs&#10;j+p2OprHzrSYJnXMgIf3HXbtsEAG5hDGtsVs53tlhPEimtQRvp9Vs2HL0gIZmKMo5exyGFr1PhlN&#10;6nmXt2I2HOeGf+IlEMjA/GfH60mjuk2G22DOK4xjBhwbeNxKlqUFMrCwMI42tUZ1e8yzSX1yQxAj&#10;kIEFhvFyUuJqk0PV7LjpML5VBfFJhxyBDIsP41iiPuVItMawSd1UeevwhtmwkhYCGVoSxtGkPpE0&#10;qtvyfthkk/p8Hr9Orh1GIEMrxcxYiasd74VNNKn3pu+WpZW0EMjQ0tlx7MK17EgsXBNNatcOI5Ch&#10;I2G8asbUCnU3qW9Vw7XDCGToQBjbFrMd6mpSu3YYgQwdDOPYgcvt8RavjiZ1lLRuJtcOI5Chc2Fs&#10;j+p2vOet5/G3GcLYtcMIZOi4CAKN6sW+303bpHbtMAIZCpkdr6VBgYjFiHPF8Rr8ecKvc+0wAhkK&#10;CuNoVL/sSCzMi2mwR/i4YezaYQQyFBjGsUR9zJFYmEma1K4dRiBDoWEc5a1oVCtxLcZ6vAxp+/KW&#10;a4cRyCCMaeh97Xge3+TxZIt/49phBDL0RCxTa1Qv5j3teU1q1w4jkKFHs+OYca06EnO3VZM6ZsNX&#10;kmuHEcjQqzBeSUpci7BZk9q1wwhk6GkY26N6MUab1DEbvplcO4xAhl6GsW0xFyM+AD2t3svuJNcO&#10;I5Ch96JRvcthmOt7VzSp4yYRHybXDiOQgTw7jlmaRvV837e+yuNacu0wAhmowjiKRBrV87E7j9/l&#10;8WmyFSkCGdgQxstJiWsejuTxZh5/yOO0w4FABjaGcSxRn3IkGnWhGqeqP084JAhkYGMYL1XhoFFd&#10;v93VbDgC+EAeO/O4Uf1vEMjA98SMTYmrXkc2BPFQhPBVxxqBDGw2O45duJYdidoMl6WPj/x9bPZx&#10;pZohg0AGvhfG0aa26cTsRpelR8XpgIsOEwIZ2CyMbYs5u82WpTebMWtSI5CBTcM4duA640hMbatl&#10;6VEXkyY1AhnYIoztUT2dWJaOew9fTts3pDWpQSDDttaTlu8kIlSvp8GKwu4x//0lYQwCGZ43O46b&#10;3a84EmM5U82Gj0/wNQeqmbEmNQhk2DKMo1Ftv+Tnm2RZepQmNQhk2DaMY4n6mCPx3JntJMvSo16r&#10;BiCQYcswXqqCRonrWdMsS4/SpAaBDMJ4CrMsS2+kSQ0CGcYWy9Qa1QOzLkuPfi9NahDIMNbsOLbE&#10;XHUkalmWHg1jTWoQyDBWGK+kfpe4dldBfL3mWawmNQhkGDuM+7xH9YFqNnw+zb4sPUqTGgQyjB3G&#10;fd0WM2aub6bm9ufWpAaBDBOJQNrVk+fa1LL0RprUIJBh4tnxeupHo7rJZenRn6NJDQIZJgrjaFOX&#10;3qhuell6NIw1qUEgw0RhvJzKLXHNY1l6s+C/IIxBIMMkYRxL1KcKfGrzWpYedboKY0Agw9hhvFTN&#10;5kpqVM9zWXqUJjUIZJhKzIxLKXHFrHSey9IbxdL01TwO+pUCgQyTzo5jF67ljj+NA1UQx4x494Ie&#10;w54qjDWpQSDDxGEcberDHX4KsSx8Pi3+XK0mNQhkmDqMu7wt5nA2fKQlHwo0qUEgw1RhHDtwnenY&#10;w27DsvQoTWoQyDB1GHdtj+q2LEuP0qQGgQwzWU/daFS3aVl6I01qEMgw8+x4Lf+x0uKH2MZl6Y00&#10;qUEgw8xhHI3ql1v68Nq6LD36YUGTGgQyzBTGMbM71sKH1tZl6c0+MGhSg0CGmcI4ylvRqG5LiWt3&#10;FcIXUjeWfjWpQSBDUWF8ZEMQd4UmNQhkqEUsUy+6UX2hGsc7dNx2VmG85lcIBDLMOjuOLTFXF/Tj&#10;u7YsPRrGN5ImNQhkqCGMV9JiSlxdXJbeSJMaBDLUFsaL2KO6i8vSo2J5+qIwBoEMdYTxPLfF7PKy&#10;9KgTVRgDAhlqEY3qXQ3/jK4vS4/SpAaBDLXOjtdTs43qEpalN9KkBoEMtYdxtKmbaFTHsnRsaXk5&#10;ldU61qQGgQy1h/Fyqr/EFUF1PQ2WwHcXdsg0qUEgQ+1hHEvUp2r8lmeq2fDxQg+ZJjUIZKg9jKNJ&#10;HWWkWRvVpS5Lj9KkBoEMjYiZ8SwlrpKXpUdpUoNAhkZmx7EL1/KUX176svRGmtQgkKGxMI429eEJ&#10;v6wvy9KjYaxJDQIZGgnjSbfF7NOy9Ojz1qQGgQyNhPGuKljH0adl6VGH8rgijEEgQxNhPM4e1bur&#10;IL6e+rtMq0kNAhkatZ62blQfqGbD51O/lqVHxbaep/2qgECGpmbH0RBe2WI2+GYafxm7VDurMHZZ&#10;EwhkaCyMo1H98oa/siz9bBhrUoNAhkbDOJaoj1X/17L0s+KYXE3N3uEKEMj0PIyXqpnwq8my9GY0&#10;qUEgQ+NhHJc3fZLHe8lS7GY0qUEgQ+NBfCSPB3lci79yVJ6hSQ0CGRoL4mhQx1aYsTf1j9OgsPUP&#10;R+Z7NKlBIEMjIbxUzYajRb2r+usIm98K403DWJMaBDLUGsR7qtnw6sh/2p/HXUfoGZrUgECm1iAe&#10;3qFps2CJ2fLv89jnSH2PJjUgkKklhIclrdX0/D2oH1b/RonrO5rUgEBm5iBermbDK2P88yhwnczj&#10;iSP3LU1qQCAzdQgvVbPcmBHvGvPLzubxTh6PHcF/0qQGBDJTB/GeDbPhpQm+NL7mnjD+XhhrUgMC&#10;mYmDeLWaES9P8eXRqP7MUfxWhPAlYQwIZMYN4ViKPljNbpem/DZL1cx4ryP6bRjfSJrUgEBmjCBe&#10;rmbDqzV8u7jW+JWkUR00qQGBzLYhHDPZOC+8lsYvaW3nrTzOJTtxhdeqASCQ2TSId1UhPGlJaztx&#10;G8W4e9MjR/mfs2JNakAgs2kQz1LS2s6wxNX3MNakBgQym4bwZjd4qFuUt75KzhlrUgMCmWeCuM6S&#10;1vNE4P82aVRrUgMCme/Nhof3HZ7XnYPez2O957NjTWpAIDPRDR7qFncpeiP1u1GtSQ0IZEH8dDgb&#10;Xl7Aj49G9c2eh7EmNSCQexzC09zgoW7RqP60xy+DJjUgkHscxMMbPKwu+KHEB4JoVO/o6UuhSQ0I&#10;5J4G8Wqab0lruzB+mMe+1M8SlyY1IJB7FsJ13OChCW+n/jaqNakBgdyjIF5O3913uG1+lgb7VPex&#10;xHU6jwt+QwGBXHYIt6GkNc7s8IOehrEmNSCQCw/iPRtmw0stfqjRqL7fw5cozhNfTYNTBwACucAg&#10;bvIGD3WLDwpftnjm3pQ9VRhrUgMCubAQHpa0mrzBQxMeVh8c+lTi0qQGBHKBQTyvGzw04XoeJ/N4&#10;0qOXLM4VXxDGgEAuI4SHN3hYS91d6j2bxzt5PO7RS6dJDQjkQoJ4VxXCbS9pbedoHvd6Fsaa1IBA&#10;LiCIF3mDh7pFo/qTHr18mtSAQO54CMcMeHi7w1IayMNtMff25GXUpAYEcoeDuMslre3czeNQ6kej&#10;WpMaEMgdnQ0Pl6X3FPo0Y0vMc6kfO3FpUgMCuWNBHEvRw2XppYKf6qt5vJfHox68rJrUgEDuUBCv&#10;VCG80oOnG2Wmz3oSxprUgEDuQAh34QYPdYvy1uep/HPGmtSAQO5AEA9v8LDas6ceH0AepPIb1RHG&#10;Ud7SpAYEckuDeDWVXdLazm/SYBOTkmfHmtSAQG5pCA9v8HA4lV3S2s6VPH6Sym5Ux4eNi8IYEMjt&#10;CuLl9N19h/suGtU3Cw/jE1UYAwjkFoRwH0ta24ltMT8t/DlqUgMCuSVBXMoNHur2Qh5f5bGj0Oe3&#10;swrjNS81IJAXG8TD7SyXvZzPiA8mcfemfanMEpcmNSCQWzAbPpjKusFDE27ncTKPJwU+N01qQCAv&#10;MIhLvsFD3S7ncSmVWeLSpAYE8gJCeHiDhzWz4bFFuendQsNYkxoQyHMO4r7c4KFu0ai+X+hz06QG&#10;BPIcg3h4u0MlrcnFB5cvU3krCZrUgECeUwgvbZgNW5ae3sPqg0xJjWpNakAgzyGIlbTqcysNduMq&#10;6byxJjUgkBsO4r7f4KFuF/K4lsfjgp6TJjUgkBsKYSWtZhzN46PCwliTGhDIDQTxShXCbvBQv2hU&#10;f1LgbP+0lxYQyPWEsBs8NC+OcZS49hbyfHZWYeyyJkAg1xDEcU74cFLSmocHeRxKZTSqNakBgVxT&#10;ELvBw3y9lQbLuiU0qiOEryYFP0AgTx3Cwxs8xIxYSWt+zubxXh6PCnguMcO/kjSpASYP5Ora4Qhh&#10;Ja35i0uBPikkjDWpASYNZDd4aIUob8Ue1SWcM9akBpgkkKtl6bUqjC1LL04c+wep+41qTWqASQJZ&#10;Sat17lYfjLo8O9akBhgnkDeUtNzgoV2i9HQudbtRrUkNsF0gu8FDq8XNIt7P45sOPwdNaoAxZ8hn&#10;HIZWitWKTzsexprUABMEMu3zQh6f57Gjw89BkxpAIHfacI/qfambJS5NagCBXITbebySx5OOhrEm&#10;NYBA7rzLeVxK3WxUH6geuzAGEMidFku873Y4jG8kTWoAgdxx+9OgxNXVDxKa1AACufOiUf1lRx/7&#10;a9UAQCB33r002KK0a43qi0mTGkAgF+JWGuzG1aXzxprUAAK5KHGt7rU8HnfoMWtSAwjkohzN46MO&#10;hrEmNYBALkY0qj/r2GPWpAYQyEWJbTG/6NgsU5MaQCAX50EaLP12pVGtSQ0gkIvzThrc/agLjWpN&#10;agCBXKSzVcA96sBj1aQGEMhFWsvjkw6FsSY1gEAuzt487qdunDPWpAYQyEWKRvUfqlBuO01qAIFc&#10;rJgZH+zA7FiTGkAgF+tKHj9K7W5Ux3niq9WHBgAEcnGiUf1+Ht+0+DHuqcJYkxpAIBcpZpsftzyM&#10;NakBBHLRXsjj8zx2tPgxxrniC8IYQCCXKhrVD/PYl9pb4jqVx0+9VAACuWRxK8VX8njS0senSQ0g&#10;kIt3OQ2WgdvYqI6l6Z/ncdjLBCCQSxazzg9SO0tccU77raRJDSCQC7c/DUpcbQxjTWoAgdwLMfv8&#10;ssWz9vPCGEAg98G9PJZT+xrVmtQAArk3fpXHq6l9JS5NagCB3BuX8ngzj8ctekya1AACuVeO5nG7&#10;ZWGsSQ0gkHslGtV/TO06Z6xJDSCQeyW2xfyiZWH8UhosnwtjAIHcGw+q2WhbAjmWzi97WQAEcp+8&#10;k8fp1J5GtSY1gEDundifOs7RPmrBY4ml6der2TEAArk31vL4dUvCOM5h/yKPF70sAAK5T/amwR7V&#10;bThnHO3uXyblLQCB3DMxG/26JQGoSQ0gkHvrfjUrXfTs+JU02H0LAIHcO1fy+FFabKP6aTUr1qQG&#10;EMi9dDaP99Ni722sSQ0gkHstGtUfLziMNakBBHKvxc0Z4rzxjgU+Bk1qAHodyMM9qvelxZW4NKkB&#10;6H0gf5THoTyeLOjna1ID0PtAjpszxNaYi2hUa1IDIJCrIPwgLabEFUvT54QxAH0P5INpsC3mIsJY&#10;kxoAgZwGjerfL+hnR5P6ahrskw0AvQ7kh3ksp/k3qv81j7fy2OXXDYC+B/LdNNgBa94lrth05Ipf&#10;MwAE8qDR/NM8Hs/xZ8Ys/HweZ/yKASCQB7Pi23MO42GT+lW/XgAI5EGR6o9pvueMo0l9LQ3OGwNA&#10;7wM5GtVfzDmMozAW5S1NagAEcuW3eRyYYyBrUgMgkEfcyeN0ml+jWpMaAIE84lIVjo/m8LM0qQEQ&#10;yFvMVO/MKYw1qQEQyJuIItXnaT7njDWpARDIWwTk19WstWma1AAI5C3cT4NrjpueHe/L45dJkxoA&#10;gfyMG3n8KDXfqNakBkAgb+FCHjdTs/c2jll3tKjP+1UBQCBvPmP9cA5h/HrSpAZAIG8qtsWM88Y7&#10;GvwZURS7njSpARDIWwZl7FG9LzVX4orvfUkYAyCQt3Yvj0N5PGno++/J4+2kSQ2AQN7S5TzOpuYa&#10;1ZrUAAjkbcSlTR+kZkpcT6vvf8GvAwAC+fkz1/sNhXEsfb+RNKkBEMjPFY3q3zX0vaMg9nZS3gJA&#10;IG/rYRrsH113o1qTGgCBPKa7eRxN9Ze4NKkBEMhjitnrT/N4XPP31aQGQCCPKWbFH6V6S1ya1AAI&#10;5AkczOOPNYexJjUAAnkC0ah+mOotcEWT+q08XvJSAyCQx/MgjwM1BvLOPK4lTWoABPLY7uRxPNXX&#10;qI4mddwrWZMaAIE8pmhUR/P5UU3fL5rUbwhjAATyZOF5p6YwjqXuY2lwEwoAEMhj2pvHV6mec8aP&#10;q5m2JjUAAnkC0aj+uqYw1qQGQCBPKbbF3F9DIO+swnjVSwmAQJ7MjTTYNWvWRnXMsm8l5S0ABPLE&#10;YuvKuBxp1p24NKkBEMgzhOiHM4axJjUAAnkGsbz8hzx2zPA9NKkBEMgziBb0n9KggPV0hu+hSQ2A&#10;QJ7BvTTYo/rJlF+vSQ2AQJ7RL/I4m6ZvVGtSAyCQZxSXNr2bpi9xxYz4qjAGQCBPLxrV96cM4zjP&#10;fKSaXQOAQJ7SC1UYT0OTGgCBXJMv8tiXJm9UxyVRP8/jhJcFAIE8m5gZH06Tl7givH+ZNKkBEMgz&#10;i6Xm19Jg2XkSu9Og/KW8BYBAntGpPD5Kk5W4YlZ8MGlSA0AtgRyh+nCKMNakBoCaAjka1Z+lyQpc&#10;saQdd2o67fADQD2B/CCP/RMEsiY1ANQcyL/O43gav1GtSQ0ANQdyNKpj2fnRmP9ekxoAag7ktWp2&#10;/PcxZ8Wa1ABQcyDvzeOrCcJYkxoAag7kaFR/Pea/1aQGgIYC+W4ar1GtSQ0ADQVyFLLi/sbbNao1&#10;qQGgoUCORnWcB95uJ65oUl/PY9lhBYB6Azka1e9tE8ZPqxB+O2lSA0DtgTwscT3ZJow1qQGgoUBe&#10;yuNP6fkFrmhSn6sGANBAIN/L48A2s+PX06DoBQA0EMix/Hw2bd2ojlnz20mTGgAaC+RYfo5LnLYq&#10;cf0wjxtJkxoAGgvkaFTf3SKMNakBYA6BHI3qz7f4N5rUADCnQP5TNfMdbVVrUgPAnAL5fh4rafMS&#10;lyY1AMwpkF+rZsIbaVIDwJwDeTSMNakBYAGBvHFWrEkNAAsMZE1qAFhwIMeS9ek83nA4AGBxgfyf&#10;efx7Hn91OABgIf77/wUYABrqfiTH5BigAAAAAElFTkSuQmCCUEsDBBQABgAIAAAAIQDe0JlU3QAA&#10;AAUBAAAPAAAAZHJzL2Rvd25yZXYueG1sTI9BS8NAEIXvQv/DMgVvdtOKUdJsShGq6KFiW/C6zU6T&#10;tNnZsLtpo7/e0YteBh7v8eZ7+WKwrTijD40jBdNJAgKpdKahSsFuu7p5ABGiJqNbR6jgEwMsitFV&#10;rjPjLvSO502sBJdQyLSCOsYukzKUNVodJq5DYu/gvNWRpa+k8frC5baVsyRJpdUN8Ydad/hYY3na&#10;9FbBx/Py9Wm9Pb587VK76t/M+i7xvVLX42E5BxFxiH9h+MFndCiYae96MkG0CnhI/L3szdJ7nrHn&#10;UDq9BVnk8j998Q0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DX&#10;GDV3JQUAALkSAAAOAAAAAAAAAAAAAAAAADoCAABkcnMvZTJvRG9jLnhtbFBLAQItAAoAAAAAAAAA&#10;IQBjZE2XeBoAAHgaAAAUAAAAAAAAAAAAAAAAAIsHAABkcnMvbWVkaWEvaW1hZ2UxLnBuZ1BLAQIt&#10;ABQABgAIAAAAIQDe0JlU3QAAAAUBAAAPAAAAAAAAAAAAAAAAADUiAABkcnMvZG93bnJldi54bWxQ&#10;SwECLQAUAAYACAAAACEAqiYOvrwAAAAhAQAAGQAAAAAAAAAAAAAAAAA/IwAAZHJzL19yZWxzL2Uy&#10;b0RvYy54bWwucmVsc1BLBQYAAAAABgAGAHwBAAAyJA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RwaxgAAANoAAAAPAAAAZHJzL2Rvd25yZXYueG1sRI9Ba8JA&#10;FITvhf6H5RV6KbqpWgnRVaSl0KIIRiXXR/aZBLNv0+xWU3+9Kwg9DjPzDTOdd6YWJ2pdZVnBaz8C&#10;QZxbXXGhYLf97MUgnEfWWFsmBX/kYD57fJhiou2ZN3RKfSEChF2CCkrvm0RKl5dk0PVtQxy8g20N&#10;+iDbQuoWzwFuajmIorE0WHFYKLGh95LyY/prFPyMYv7eLQfjlT9kl0u2f9m+fayVen7qFhMQnjr/&#10;H763v7SCIdyuhBsgZ1cAAAD//wMAUEsBAi0AFAAGAAgAAAAhANvh9svuAAAAhQEAABMAAAAAAAAA&#10;AAAAAAAAAAAAAFtDb250ZW50X1R5cGVzXS54bWxQSwECLQAUAAYACAAAACEAWvQsW78AAAAVAQAA&#10;CwAAAAAAAAAAAAAAAAAfAQAAX3JlbHMvLnJlbHNQSwECLQAUAAYACAAAACEAMC0cGsYAAADaAAAA&#10;DwAAAAAAAAAAAAAAAAAHAgAAZHJzL2Rvd25yZXYueG1sUEsFBgAAAAADAAMAtwAAAPoCAAAAAA==&#10;" fillcolor="white [3212]" stroked="f" strokeweight="1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a5QxAAAANoAAAAPAAAAZHJzL2Rvd25yZXYueG1sRI9BawIx&#10;FITvhf6H8ApeSs1axNqtUYpUsYci2h56fGxeN4ubl2Xz1PjvTaHQ4zAz3zCzRfKtOlEfm8AGRsMC&#10;FHEVbMO1ga/P1cMUVBRki21gMnChCIv57c0MSxvOvKPTXmqVIRxLNOBEulLrWDnyGIehI87eT+g9&#10;SpZ9rW2P5wz3rX4sion22HBecNjR0lF12B+9gUq2T2804eft90f7frhPbi0pGTO4S68voISS/If/&#10;2htrYAy/V/IN0PMrAAAA//8DAFBLAQItABQABgAIAAAAIQDb4fbL7gAAAIUBAAATAAAAAAAAAAAA&#10;AAAAAAAAAABbQ29udGVudF9UeXBlc10ueG1sUEsBAi0AFAAGAAgAAAAhAFr0LFu/AAAAFQEAAAsA&#10;AAAAAAAAAAAAAAAAHwEAAF9yZWxzLy5yZWxzUEsBAi0AFAAGAAgAAAAhAETdrlDEAAAA2gAAAA8A&#10;AAAAAAAAAAAAAAAABwIAAGRycy9kb3ducmV2LnhtbFBLBQYAAAAAAwADALcAAAD4AgAAAAA=&#10;" path="m,l1462822,,910372,376306,,1014481,,xe" fillcolor="#4472c4 [3204]" stroked="f" strokeweight="1pt">
                  <v:stroke joinstyle="miter"/>
                  <v:path arrowok="t" o:connecttype="custom" o:connectlocs="0,0;14632,0;9106,3766;0,1015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x7dwQAAANoAAAAPAAAAZHJzL2Rvd25yZXYueG1sRI9Pi8Iw&#10;FMTvgt8hPMGLrKkLutI1yrIg7EnxD3t+NM+m2LyUJjb12xtB8DjMzG+Y1aa3teio9ZVjBbNpBoK4&#10;cLriUsH5tP1YgvABWWPtmBTcycNmPRysMNcu8oG6YyhFgrDPUYEJocml9IUhi37qGuLkXVxrMSTZ&#10;llK3GBPc1vIzyxbSYsVpwWBDv4aK6/FmFUwa+lqedv+FuXZdnOt9LC+3qNR41P98gwjUh3f41f7T&#10;CubwvJJugFw/AAAA//8DAFBLAQItABQABgAIAAAAIQDb4fbL7gAAAIUBAAATAAAAAAAAAAAAAAAA&#10;AAAAAABbQ29udGVudF9UeXBlc10ueG1sUEsBAi0AFAAGAAgAAAAhAFr0LFu/AAAAFQEAAAsAAAAA&#10;AAAAAAAAAAAAHwEAAF9yZWxzLy5yZWxzUEsBAi0AFAAGAAgAAAAhAOrzHt3BAAAA2gAAAA8AAAAA&#10;AAAAAAAAAAAABwIAAGRycy9kb3ducmV2LnhtbFBLBQYAAAAAAwADALcAAAD1Ag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6QLwwAAANoAAAAPAAAAZHJzL2Rvd25yZXYueG1sRI/BSgNB&#10;EETvQv5h6IA3M2siSVgzCSEQ8KAHE5Ecm5l2d3GnZ9nuJKtf7wiCx6KqXlGrzRBbc6FemsQO7icF&#10;GGKfQsOVg7fj/m4JRhQ5YJuYHHyRwGY9ullhGdKVX+ly0MpkCEuJDmrVrrRWfE0RZZI64ux9pD6i&#10;ZtlXNvR4zfDY2mlRzG3EhvNCjR3tavKfh3N08BCfZ160EDpN/ftsIS/fYaHO3Y6H7SMYpUH/w3/t&#10;p+BgDr9X8g2w6x8AAAD//wMAUEsBAi0AFAAGAAgAAAAhANvh9svuAAAAhQEAABMAAAAAAAAAAAAA&#10;AAAAAAAAAFtDb250ZW50X1R5cGVzXS54bWxQSwECLQAUAAYACAAAACEAWvQsW78AAAAVAQAACwAA&#10;AAAAAAAAAAAAAAAfAQAAX3JlbHMvLnJlbHNQSwECLQAUAAYACAAAACEAHW+kC8MAAADaAAAADwAA&#10;AAAAAAAAAAAAAAAHAgAAZHJzL2Rvd25yZXYueG1sUEsFBgAAAAADAAMAtwAAAPcCAAAAAA==&#10;" filled="f" stroked="f" strokeweight=".5pt">
                <v:textbox inset=",7.2pt,,7.2pt">
                  <w:txbxContent>
                    <w:p w14:paraId="55C4AC04" w14:textId="77777777" w:rsidR="001A0C17" w:rsidRDefault="001A0C17">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r w:rsidR="001A0C17">
      <w:t xml:space="preserve">Student Number </w:t>
    </w:r>
    <w:r w:rsidR="00C17676">
      <w:t>211473</w:t>
    </w:r>
    <w:r w:rsidR="00975C72">
      <w:t>1</w:t>
    </w:r>
  </w:p>
  <w:p w14:paraId="0BFBA523" w14:textId="0837A84F" w:rsidR="00C17676" w:rsidRDefault="00C17676" w:rsidP="4A7B1F8E">
    <w:pPr>
      <w:pStyle w:val="Header"/>
      <w:ind w:left="2160" w:firstLine="720"/>
    </w:pPr>
    <w:r>
      <w:t>Word Count 1071</w:t>
    </w:r>
  </w:p>
</w:hdr>
</file>

<file path=word/intelligence2.xml><?xml version="1.0" encoding="utf-8"?>
<int2:intelligence xmlns:int2="http://schemas.microsoft.com/office/intelligence/2020/intelligence" xmlns:oel="http://schemas.microsoft.com/office/2019/extlst">
  <int2:observations>
    <int2:bookmark int2:bookmarkName="_Int_fUrAZ9qH" int2:invalidationBookmarkName="" int2:hashCode="7dX0hyh6IdNcQV" int2:id="3oudty4g">
      <int2:extLst>
        <oel:ext uri="426473B9-03D8-482F-96C9-C2C85392BACA">
          <int2:similarityCritique int2:version="1" int2:context="Armstrong, M. and Taylor, S. (2020) Armstrong’s handbook of human resource management practice.">
            <int2:source int2:sourceType="Online" int2:sourceTitle="HRM-2022 P S Sanjana | PDF | Human Resource Management | Recruitment" int2:sourceUrl="https://www.scribd.com/document/604651255/HRM-2022-P-S-SANJANA" int2:sourceSnippet="Textbooks Armstrong, M. and Taylor, S. (2020) Armstrong’s Handbook of Human Resource Management Practice. 15th Ed. London: Kogan Page. Leatherbarrow, C. and Fletcher, J. (2018) Introduction to Human Resource Management. 4th Ed. Kogan Page. Authorised Assignment Brief 2. Student Name/ ID P S Sanjana">
              <int2:suggestions int2:citationType="Inline">
                <int2:suggestion int2:citationStyle="Mla" int2:isIdentical="1">
                  <int2:citationText>(“HRM-2022 P S Sanjana | PDF | Human Resource Management | Recruitment”)</int2:citationText>
                </int2:suggestion>
                <int2:suggestion int2:citationStyle="Apa" int2:isIdentical="1">
                  <int2:citationText>(“HRM-2022 P S Sanjana | PDF | Human Resource Management | Recruitment”)</int2:citationText>
                </int2:suggestion>
                <int2:suggestion int2:citationStyle="Chicago" int2:isIdentical="1">
                  <int2:citationText>(“HRM-2022 P S Sanjana | PDF | Human Resource Management | Recruitment”)</int2:citationText>
                </int2:suggestion>
              </int2:suggestions>
              <int2:suggestions int2:citationType="Full">
                <int2:suggestion int2:citationStyle="Mla" int2:isIdentical="1">
                  <int2:citationText>&lt;i&gt;HRM-2022 P S Sanjana | PDF | Human Resource Management | Recruitment&lt;/i&gt;, https://www.scribd.com/document/604651255/HRM-2022-P-S-SANJANA.</int2:citationText>
                </int2:suggestion>
                <int2:suggestion int2:citationStyle="Apa" int2:isIdentical="1">
                  <int2:citationText>&lt;i&gt;HRM-2022 P S Sanjana | PDF | Human Resource Management | Recruitment&lt;/i&gt;. (n.d.). Retrieved from https://www.scribd.com/document/604651255/HRM-2022-P-S-SANJANA</int2:citationText>
                </int2:suggestion>
                <int2:suggestion int2:citationStyle="Chicago" int2:isIdentical="1">
                  <int2:citationText>“HRM-2022 P S Sanjana | PDF | Human Resource Management | Recruitment” n.d., https://www.scribd.com/document/604651255/HRM-2022-P-S-SANJANA.</int2:citationText>
                </int2:suggestion>
              </int2:suggestions>
            </int2:source>
          </int2:similarityCritique>
        </oel:ext>
      </int2:extLst>
    </int2:bookmark>
    <int2:bookmark int2:bookmarkName="_Int_rgEkPd5r" int2:invalidationBookmarkName="" int2:hashCode="yjRW9AbicJGt/x" int2:id="rOXtZ78j">
      <int2:state int2:value="Rejected" int2:type="AugLoop_Text_Critique"/>
    </int2:bookmark>
    <int2:bookmark int2:bookmarkName="_Int_joBK5yHy" int2:invalidationBookmarkName="" int2:hashCode="BpSRRXVVFBlKSv" int2:id="cdvbEehR"/>
    <int2:bookmark int2:bookmarkName="_Int_eiqYlkxV" int2:invalidationBookmarkName="" int2:hashCode="djVsLbS3LmHt9c" int2:id="7wCOLMLb"/>
    <int2:bookmark int2:bookmarkName="_Int_zdeX8WCn" int2:invalidationBookmarkName="" int2:hashCode="e0dMsLOcF3PXGS" int2:id="8Y7kzifK">
      <int2:state int2:value="Rejected" int2:type="AugLoop_Text_Critique"/>
    </int2:bookmark>
    <int2:bookmark int2:bookmarkName="_Int_k4KfonIw" int2:invalidationBookmarkName="" int2:hashCode="RyEgunAaVtTbIz" int2:id="KoTKg5r7"/>
    <int2:bookmark int2:bookmarkName="_Int_wO3gdjb8" int2:invalidationBookmarkName="" int2:hashCode="G3BPsVE/TMVfRv" int2:id="T4rpXgRb"/>
    <int2:bookmark int2:bookmarkName="_Int_aASlhZ2x" int2:invalidationBookmarkName="" int2:hashCode="MoY5WIGzvRNW3f" int2:id="wr6DGIuD"/>
    <int2:bookmark int2:bookmarkName="_Int_9b93BtOC" int2:invalidationBookmarkName="" int2:hashCode="6ZdzYM1LImvdsT" int2:id="1LfO7iU7">
      <int2:state int2:value="Rejected" int2:type="AugLoop_Text_Critique"/>
    </int2:bookmark>
    <int2:entireDocument int2:id="0rzBnLdV">
      <int2:extLst>
        <oel:ext uri="E302BA01-7950-474C-9AD3-286E660C40A8">
          <int2:similaritySummary int2:version="1" int2:runId="1671211200030" int2:tilesCheckedInThisRun="0" int2:totalNumOfTiles="54" int2:similarityAnnotationCount="1" int2:numWords="1960" int2:numFlaggedWords="13"/>
        </oel:ext>
      </int2:extLst>
    </int2:entireDocument>
  </int2:observations>
  <int2:intelligenceSettings/>
  <int2:onDemandWorkflows>
    <int2:onDemandWorkflow int2:type="SimilarityCheck" int2:paragraphVersions="61589A70-77777777 74ACB85F-2129FADE 19B80AC5-5FDB21CE 22A421EB-768AC12E 1A8B9377-26E878E9 77A50C53-7A82B639 796A6538-13AB2397 01B9FF99-77777777 578F3393-4171E515 2BBA6194-5DF1160B 283E26B6-77777777 3E44CF33-170B2571 70CDA9DF-5334CE40 5AE7D8C3-066BF57C 0B738DE8-77777777 570259B7-463D4CA8 1038B59F-5D025053 6A9C5D11-77777777 0BAB39E2-77777777 42D84B5F-4D1EA6DE 7ED06528-77777777 1BC5B415-77777777 0A9A498C-77777777 5C043103-77777777 27D91FED-77777777 72F786DB-77777777 44578ACC-77777777 009C73BA-77777777 479D6D0F-77777777 7350CE9B-77777777 3C1CC6F5-77777777 035C6A3F-77777777 2FEA487A-77777777 5DDD0E5D-77777777 7A0476BC-178E84C8 5C5D359C-7D1D581B 30ECD87E-77777777 09203938-77777777 13E0A553-77777777 00915D97-06078CC4 4FEF9DB2-5D863795 4F652F48-3DB9904B 25CDEE05-77777777 1CB312BC-1194A1D5 15372E1C-77777777 40667D1E-5AB7E109 2C7B5F5A-77777777 24245528-77777777 4997A643-5555E9A7 0A244175-77777777 017D1974-2BEFE532 001DE0B1-77777777 775EA42D-0DBA2FE3 277E3E63-77777777 52FC39A6-77777777 5B66F37E-77777777 5B5546F7-11D27DE7 735FA447-77777777 664DDE7C-7A1F8970 3A0A7C21-77777777 2AF563A6-0FF54BF2 089B96E3-77777777 09973950-77777777 097E70DB-77777777 49879B95-033AC3F8 4B13921A-10C28D53 2D7790F8-77777777 27DBBC30-3E19D28A 0C994F1A-77777777 3F80C943-72A88D44 32D2E1CC-77777777 1737C7AB-42A8D6E7 6CD35E1F-77777777 392B5F17-77777777 087E3567-77777777 3E102EC8-490CF25C 23B2ED1A-77777777 11758841-4A27C2D7 42F527A5-77777777 340BBFDA-26A68324 12EA73AA-77777777 53D38BAA-1DD87426 7DF7A47A-77777777 1E1C08D9-4F019A1B 2D788D81-77777777 325B6ADF-4FF0B5CC 2A3AFCDC-77777777 3ED5174B-0FCA5A43 7F0E8092-77777777 42E39428-4D91ED20 3F08DA2B-77777777 33A0E41E-1B440BF8 17573D56-77777777 2D7737BB-431CDCC8 18A6E45F-77777777 58728CF5-73538FE7 646B2CB1-77777777 24D0AB7C-4A97011F 570A8C83-77777777 46439160-573BE477 690A1837-5794182A 358CB16D-72378B63 048195A8-77777777 4D479631-6AA57B71 4E59A85F-77777777 72B3D4BA-77777777 12302FA1-77777777 1CB0CAD2-0BE2A454 0BFBA523-0837A84F 3A299D59-3883D2FD 476CEC14-3C6C651E 541B14C0-3A88CCB3 12A9B47B-7049EDF0"/>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4E6346"/>
    <w:multiLevelType w:val="multilevel"/>
    <w:tmpl w:val="915CE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6B0712"/>
    <w:multiLevelType w:val="hybridMultilevel"/>
    <w:tmpl w:val="DC02E494"/>
    <w:lvl w:ilvl="0" w:tplc="B9743836">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082043"/>
    <w:multiLevelType w:val="multilevel"/>
    <w:tmpl w:val="DAA45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476D5F"/>
    <w:multiLevelType w:val="hybridMultilevel"/>
    <w:tmpl w:val="1CC29A24"/>
    <w:lvl w:ilvl="0" w:tplc="F618865C">
      <w:start w:val="1"/>
      <w:numFmt w:val="decimal"/>
      <w:lvlText w:val="%1."/>
      <w:lvlJc w:val="left"/>
      <w:pPr>
        <w:ind w:left="720" w:hanging="360"/>
      </w:pPr>
      <w:rPr>
        <w:rFonts w:ascii="Times New Roman" w:eastAsiaTheme="minorEastAsia" w:hAnsi="Times New Roman" w:cs="Times New Roman"/>
        <w:b w:val="0"/>
        <w:bCs w:val="0"/>
        <w:i w:val="0"/>
        <w:iCs w:val="0"/>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F233D1C"/>
    <w:multiLevelType w:val="hybridMultilevel"/>
    <w:tmpl w:val="94202324"/>
    <w:lvl w:ilvl="0" w:tplc="5BB480FA">
      <w:start w:val="1"/>
      <w:numFmt w:val="decimal"/>
      <w:lvlText w:val="%1."/>
      <w:lvlJc w:val="left"/>
      <w:pPr>
        <w:ind w:left="720" w:hanging="360"/>
      </w:pPr>
      <w:rPr>
        <w:rFonts w:hint="default"/>
        <w:b w:val="0"/>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60323010">
    <w:abstractNumId w:val="2"/>
  </w:num>
  <w:num w:numId="2" w16cid:durableId="2091347049">
    <w:abstractNumId w:val="0"/>
  </w:num>
  <w:num w:numId="3" w16cid:durableId="1230461652">
    <w:abstractNumId w:val="1"/>
  </w:num>
  <w:num w:numId="4" w16cid:durableId="1015617725">
    <w:abstractNumId w:val="4"/>
  </w:num>
  <w:num w:numId="5" w16cid:durableId="16190995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4C9"/>
    <w:rsid w:val="000011FB"/>
    <w:rsid w:val="0000619B"/>
    <w:rsid w:val="000076BF"/>
    <w:rsid w:val="00012386"/>
    <w:rsid w:val="00014FB8"/>
    <w:rsid w:val="00015E1C"/>
    <w:rsid w:val="00020A40"/>
    <w:rsid w:val="00022680"/>
    <w:rsid w:val="00023D73"/>
    <w:rsid w:val="00035F68"/>
    <w:rsid w:val="000578DF"/>
    <w:rsid w:val="00061F58"/>
    <w:rsid w:val="0006639A"/>
    <w:rsid w:val="00067F7E"/>
    <w:rsid w:val="0007651D"/>
    <w:rsid w:val="000770DA"/>
    <w:rsid w:val="00092A73"/>
    <w:rsid w:val="00097FB1"/>
    <w:rsid w:val="000A0E24"/>
    <w:rsid w:val="000A23A6"/>
    <w:rsid w:val="000A4374"/>
    <w:rsid w:val="000B5DED"/>
    <w:rsid w:val="000C4034"/>
    <w:rsid w:val="000D0323"/>
    <w:rsid w:val="000D34C3"/>
    <w:rsid w:val="000D57CF"/>
    <w:rsid w:val="000D5F80"/>
    <w:rsid w:val="000E0C38"/>
    <w:rsid w:val="000E12C3"/>
    <w:rsid w:val="001013EB"/>
    <w:rsid w:val="00107149"/>
    <w:rsid w:val="00116F80"/>
    <w:rsid w:val="0012211A"/>
    <w:rsid w:val="00122BA2"/>
    <w:rsid w:val="00131947"/>
    <w:rsid w:val="001421A4"/>
    <w:rsid w:val="00147B8C"/>
    <w:rsid w:val="00154D22"/>
    <w:rsid w:val="00162B1C"/>
    <w:rsid w:val="00162C0A"/>
    <w:rsid w:val="001648BD"/>
    <w:rsid w:val="00165976"/>
    <w:rsid w:val="00167688"/>
    <w:rsid w:val="0017226F"/>
    <w:rsid w:val="00172303"/>
    <w:rsid w:val="00175257"/>
    <w:rsid w:val="0017541C"/>
    <w:rsid w:val="001767CB"/>
    <w:rsid w:val="00182DE5"/>
    <w:rsid w:val="0018761D"/>
    <w:rsid w:val="00190351"/>
    <w:rsid w:val="00192275"/>
    <w:rsid w:val="001A0C17"/>
    <w:rsid w:val="001A0F15"/>
    <w:rsid w:val="001B01CE"/>
    <w:rsid w:val="001B137E"/>
    <w:rsid w:val="001B2FE3"/>
    <w:rsid w:val="001B71E7"/>
    <w:rsid w:val="001C0FC1"/>
    <w:rsid w:val="001C22BC"/>
    <w:rsid w:val="001D4C0E"/>
    <w:rsid w:val="001D506E"/>
    <w:rsid w:val="001D7C95"/>
    <w:rsid w:val="001E25E4"/>
    <w:rsid w:val="001E341D"/>
    <w:rsid w:val="001E660E"/>
    <w:rsid w:val="001E730C"/>
    <w:rsid w:val="001F03F4"/>
    <w:rsid w:val="001F0DE7"/>
    <w:rsid w:val="001F3503"/>
    <w:rsid w:val="00204BF8"/>
    <w:rsid w:val="00212DFC"/>
    <w:rsid w:val="002167B0"/>
    <w:rsid w:val="00216EC7"/>
    <w:rsid w:val="00220440"/>
    <w:rsid w:val="00232A8D"/>
    <w:rsid w:val="00233091"/>
    <w:rsid w:val="00235E1C"/>
    <w:rsid w:val="002414FD"/>
    <w:rsid w:val="002452C6"/>
    <w:rsid w:val="00254B6D"/>
    <w:rsid w:val="00254D8E"/>
    <w:rsid w:val="002604C9"/>
    <w:rsid w:val="002674BF"/>
    <w:rsid w:val="00272D4F"/>
    <w:rsid w:val="002766B0"/>
    <w:rsid w:val="002A225D"/>
    <w:rsid w:val="002A2822"/>
    <w:rsid w:val="002A2BA6"/>
    <w:rsid w:val="002A38C4"/>
    <w:rsid w:val="002B0422"/>
    <w:rsid w:val="002B42E5"/>
    <w:rsid w:val="002C2BF5"/>
    <w:rsid w:val="002D1CBC"/>
    <w:rsid w:val="002D619A"/>
    <w:rsid w:val="002D632A"/>
    <w:rsid w:val="002D6648"/>
    <w:rsid w:val="002E5AC5"/>
    <w:rsid w:val="002E7240"/>
    <w:rsid w:val="002F3B0F"/>
    <w:rsid w:val="002F65D7"/>
    <w:rsid w:val="00301CA4"/>
    <w:rsid w:val="00305E06"/>
    <w:rsid w:val="00307B4C"/>
    <w:rsid w:val="00312051"/>
    <w:rsid w:val="00314C47"/>
    <w:rsid w:val="0031542F"/>
    <w:rsid w:val="003155F4"/>
    <w:rsid w:val="0031629B"/>
    <w:rsid w:val="003239A2"/>
    <w:rsid w:val="0032789D"/>
    <w:rsid w:val="003315DB"/>
    <w:rsid w:val="00337626"/>
    <w:rsid w:val="003431B6"/>
    <w:rsid w:val="00344A94"/>
    <w:rsid w:val="00360289"/>
    <w:rsid w:val="00363061"/>
    <w:rsid w:val="003641BB"/>
    <w:rsid w:val="00366B72"/>
    <w:rsid w:val="0037195B"/>
    <w:rsid w:val="003770BE"/>
    <w:rsid w:val="003872B9"/>
    <w:rsid w:val="00387CD2"/>
    <w:rsid w:val="00390A16"/>
    <w:rsid w:val="00392785"/>
    <w:rsid w:val="0039744A"/>
    <w:rsid w:val="003A309C"/>
    <w:rsid w:val="003B78A4"/>
    <w:rsid w:val="003C58AE"/>
    <w:rsid w:val="003D3346"/>
    <w:rsid w:val="003D43B5"/>
    <w:rsid w:val="003E39C9"/>
    <w:rsid w:val="003F18A3"/>
    <w:rsid w:val="003F367E"/>
    <w:rsid w:val="00412EFC"/>
    <w:rsid w:val="004175B7"/>
    <w:rsid w:val="00417F77"/>
    <w:rsid w:val="00421BB4"/>
    <w:rsid w:val="00421D1C"/>
    <w:rsid w:val="00423961"/>
    <w:rsid w:val="004257CA"/>
    <w:rsid w:val="004279C7"/>
    <w:rsid w:val="00433D30"/>
    <w:rsid w:val="00435101"/>
    <w:rsid w:val="004363EB"/>
    <w:rsid w:val="00440444"/>
    <w:rsid w:val="004459DA"/>
    <w:rsid w:val="004462A6"/>
    <w:rsid w:val="004623F7"/>
    <w:rsid w:val="00463379"/>
    <w:rsid w:val="00464D18"/>
    <w:rsid w:val="00465E1F"/>
    <w:rsid w:val="00470AA5"/>
    <w:rsid w:val="0047679C"/>
    <w:rsid w:val="00477911"/>
    <w:rsid w:val="00491016"/>
    <w:rsid w:val="004A08CC"/>
    <w:rsid w:val="004A5B3D"/>
    <w:rsid w:val="004B17F9"/>
    <w:rsid w:val="004B282C"/>
    <w:rsid w:val="004B2B82"/>
    <w:rsid w:val="004B437C"/>
    <w:rsid w:val="004C1E7F"/>
    <w:rsid w:val="004C2823"/>
    <w:rsid w:val="004C28E5"/>
    <w:rsid w:val="004C2915"/>
    <w:rsid w:val="004D4361"/>
    <w:rsid w:val="004E34FB"/>
    <w:rsid w:val="004E6C71"/>
    <w:rsid w:val="004F089F"/>
    <w:rsid w:val="004F19AF"/>
    <w:rsid w:val="004F63DE"/>
    <w:rsid w:val="00502CC2"/>
    <w:rsid w:val="00505BF0"/>
    <w:rsid w:val="00507A1C"/>
    <w:rsid w:val="00510941"/>
    <w:rsid w:val="00512EBA"/>
    <w:rsid w:val="005170CD"/>
    <w:rsid w:val="00521F50"/>
    <w:rsid w:val="005234F5"/>
    <w:rsid w:val="005256DC"/>
    <w:rsid w:val="005303C9"/>
    <w:rsid w:val="00531D7A"/>
    <w:rsid w:val="0053301F"/>
    <w:rsid w:val="005364C6"/>
    <w:rsid w:val="005419CA"/>
    <w:rsid w:val="0055091E"/>
    <w:rsid w:val="00550EED"/>
    <w:rsid w:val="005624B4"/>
    <w:rsid w:val="00564370"/>
    <w:rsid w:val="005652AF"/>
    <w:rsid w:val="00566E64"/>
    <w:rsid w:val="00573B98"/>
    <w:rsid w:val="00585202"/>
    <w:rsid w:val="00586659"/>
    <w:rsid w:val="00592B3F"/>
    <w:rsid w:val="0059330A"/>
    <w:rsid w:val="005A4477"/>
    <w:rsid w:val="005B2E1C"/>
    <w:rsid w:val="005B5BD7"/>
    <w:rsid w:val="005C1862"/>
    <w:rsid w:val="005C6918"/>
    <w:rsid w:val="005D080E"/>
    <w:rsid w:val="005E7D1E"/>
    <w:rsid w:val="005F43C8"/>
    <w:rsid w:val="005F76B3"/>
    <w:rsid w:val="00601699"/>
    <w:rsid w:val="00606E6C"/>
    <w:rsid w:val="006079FD"/>
    <w:rsid w:val="00616A82"/>
    <w:rsid w:val="00625EC6"/>
    <w:rsid w:val="00630DB0"/>
    <w:rsid w:val="0063319E"/>
    <w:rsid w:val="00636ECD"/>
    <w:rsid w:val="006401AE"/>
    <w:rsid w:val="00640768"/>
    <w:rsid w:val="00641A0C"/>
    <w:rsid w:val="00642E9B"/>
    <w:rsid w:val="006465CF"/>
    <w:rsid w:val="006504C9"/>
    <w:rsid w:val="006547EF"/>
    <w:rsid w:val="006577EF"/>
    <w:rsid w:val="0066230E"/>
    <w:rsid w:val="00662BAB"/>
    <w:rsid w:val="00665204"/>
    <w:rsid w:val="00666E4D"/>
    <w:rsid w:val="006715F0"/>
    <w:rsid w:val="00685885"/>
    <w:rsid w:val="0069439C"/>
    <w:rsid w:val="0069621C"/>
    <w:rsid w:val="006A0E43"/>
    <w:rsid w:val="006A5AE4"/>
    <w:rsid w:val="006A762C"/>
    <w:rsid w:val="006B4F1E"/>
    <w:rsid w:val="006C24DE"/>
    <w:rsid w:val="006C2683"/>
    <w:rsid w:val="006C546A"/>
    <w:rsid w:val="006C790B"/>
    <w:rsid w:val="006D053C"/>
    <w:rsid w:val="006E1876"/>
    <w:rsid w:val="006E2765"/>
    <w:rsid w:val="006E37BE"/>
    <w:rsid w:val="006E6391"/>
    <w:rsid w:val="006E6B93"/>
    <w:rsid w:val="006F2144"/>
    <w:rsid w:val="006F6BD4"/>
    <w:rsid w:val="006F7354"/>
    <w:rsid w:val="006F7C7C"/>
    <w:rsid w:val="007009D4"/>
    <w:rsid w:val="007010A3"/>
    <w:rsid w:val="00704DFF"/>
    <w:rsid w:val="00706206"/>
    <w:rsid w:val="00725B35"/>
    <w:rsid w:val="00725DB1"/>
    <w:rsid w:val="00726663"/>
    <w:rsid w:val="007300F9"/>
    <w:rsid w:val="00733991"/>
    <w:rsid w:val="00743AF3"/>
    <w:rsid w:val="00744103"/>
    <w:rsid w:val="00746042"/>
    <w:rsid w:val="00750962"/>
    <w:rsid w:val="00750C97"/>
    <w:rsid w:val="0075195F"/>
    <w:rsid w:val="00756C90"/>
    <w:rsid w:val="00761E92"/>
    <w:rsid w:val="007633BA"/>
    <w:rsid w:val="0076402F"/>
    <w:rsid w:val="007672B0"/>
    <w:rsid w:val="0077488E"/>
    <w:rsid w:val="0077770A"/>
    <w:rsid w:val="007910FC"/>
    <w:rsid w:val="00791233"/>
    <w:rsid w:val="00792617"/>
    <w:rsid w:val="007975E3"/>
    <w:rsid w:val="007A09B8"/>
    <w:rsid w:val="007C10FC"/>
    <w:rsid w:val="007D15BD"/>
    <w:rsid w:val="007D262C"/>
    <w:rsid w:val="007E2C3E"/>
    <w:rsid w:val="007F057F"/>
    <w:rsid w:val="007F066D"/>
    <w:rsid w:val="007F7C12"/>
    <w:rsid w:val="0081091B"/>
    <w:rsid w:val="00810F07"/>
    <w:rsid w:val="0082590B"/>
    <w:rsid w:val="00845335"/>
    <w:rsid w:val="00850F26"/>
    <w:rsid w:val="0085321E"/>
    <w:rsid w:val="008540C4"/>
    <w:rsid w:val="00855462"/>
    <w:rsid w:val="00856CBA"/>
    <w:rsid w:val="00863C6C"/>
    <w:rsid w:val="008670DC"/>
    <w:rsid w:val="00871BBC"/>
    <w:rsid w:val="00875A91"/>
    <w:rsid w:val="00876BBF"/>
    <w:rsid w:val="00881CDD"/>
    <w:rsid w:val="0088270F"/>
    <w:rsid w:val="0088396B"/>
    <w:rsid w:val="00897F3B"/>
    <w:rsid w:val="008A40F8"/>
    <w:rsid w:val="008A6AC1"/>
    <w:rsid w:val="008A76D2"/>
    <w:rsid w:val="008B70D3"/>
    <w:rsid w:val="008C0AEC"/>
    <w:rsid w:val="008C166C"/>
    <w:rsid w:val="008C3788"/>
    <w:rsid w:val="008D436D"/>
    <w:rsid w:val="008E044F"/>
    <w:rsid w:val="008E67C8"/>
    <w:rsid w:val="008F0570"/>
    <w:rsid w:val="008F0D2A"/>
    <w:rsid w:val="008F20FC"/>
    <w:rsid w:val="008F2674"/>
    <w:rsid w:val="008F5896"/>
    <w:rsid w:val="008F5E4E"/>
    <w:rsid w:val="008F69B3"/>
    <w:rsid w:val="00903905"/>
    <w:rsid w:val="009051A0"/>
    <w:rsid w:val="0091313B"/>
    <w:rsid w:val="00913FA0"/>
    <w:rsid w:val="00923483"/>
    <w:rsid w:val="00927E2B"/>
    <w:rsid w:val="009337EB"/>
    <w:rsid w:val="00941919"/>
    <w:rsid w:val="00943002"/>
    <w:rsid w:val="00967424"/>
    <w:rsid w:val="0096787C"/>
    <w:rsid w:val="00975C72"/>
    <w:rsid w:val="00985C7C"/>
    <w:rsid w:val="009905FD"/>
    <w:rsid w:val="009963B0"/>
    <w:rsid w:val="009A4F03"/>
    <w:rsid w:val="009A68DD"/>
    <w:rsid w:val="009B456C"/>
    <w:rsid w:val="009B7F93"/>
    <w:rsid w:val="009C15D5"/>
    <w:rsid w:val="009C3279"/>
    <w:rsid w:val="009C584D"/>
    <w:rsid w:val="009C6F87"/>
    <w:rsid w:val="009D56B0"/>
    <w:rsid w:val="009D70BE"/>
    <w:rsid w:val="009E68D2"/>
    <w:rsid w:val="009E7A8F"/>
    <w:rsid w:val="009F0DD0"/>
    <w:rsid w:val="009F0FA6"/>
    <w:rsid w:val="009F47BD"/>
    <w:rsid w:val="009F7F9D"/>
    <w:rsid w:val="00A026B4"/>
    <w:rsid w:val="00A02E98"/>
    <w:rsid w:val="00A07D4D"/>
    <w:rsid w:val="00A17B95"/>
    <w:rsid w:val="00A2521A"/>
    <w:rsid w:val="00A314E8"/>
    <w:rsid w:val="00A35400"/>
    <w:rsid w:val="00A35851"/>
    <w:rsid w:val="00A36B7E"/>
    <w:rsid w:val="00A42BAD"/>
    <w:rsid w:val="00A511B4"/>
    <w:rsid w:val="00A5364E"/>
    <w:rsid w:val="00A57F7E"/>
    <w:rsid w:val="00A6462A"/>
    <w:rsid w:val="00A67E71"/>
    <w:rsid w:val="00A70736"/>
    <w:rsid w:val="00A84AB3"/>
    <w:rsid w:val="00AA1597"/>
    <w:rsid w:val="00AA5BE4"/>
    <w:rsid w:val="00AB512C"/>
    <w:rsid w:val="00AB6D30"/>
    <w:rsid w:val="00AC29E8"/>
    <w:rsid w:val="00AC5C16"/>
    <w:rsid w:val="00AD22E3"/>
    <w:rsid w:val="00AD652E"/>
    <w:rsid w:val="00AD764E"/>
    <w:rsid w:val="00AD7727"/>
    <w:rsid w:val="00AE3E6C"/>
    <w:rsid w:val="00AF5661"/>
    <w:rsid w:val="00AF6CC6"/>
    <w:rsid w:val="00B012AF"/>
    <w:rsid w:val="00B15842"/>
    <w:rsid w:val="00B26885"/>
    <w:rsid w:val="00B302A8"/>
    <w:rsid w:val="00B309E6"/>
    <w:rsid w:val="00B31DAD"/>
    <w:rsid w:val="00B338D1"/>
    <w:rsid w:val="00B35E29"/>
    <w:rsid w:val="00B37092"/>
    <w:rsid w:val="00B47971"/>
    <w:rsid w:val="00B50763"/>
    <w:rsid w:val="00B52840"/>
    <w:rsid w:val="00B52C5B"/>
    <w:rsid w:val="00B5515C"/>
    <w:rsid w:val="00B56E80"/>
    <w:rsid w:val="00B61A7F"/>
    <w:rsid w:val="00B621EA"/>
    <w:rsid w:val="00B6446C"/>
    <w:rsid w:val="00B74B48"/>
    <w:rsid w:val="00B75DA3"/>
    <w:rsid w:val="00B8190E"/>
    <w:rsid w:val="00BA249F"/>
    <w:rsid w:val="00BA2AEB"/>
    <w:rsid w:val="00BB1C7C"/>
    <w:rsid w:val="00BB28B0"/>
    <w:rsid w:val="00BD35BE"/>
    <w:rsid w:val="00BD550F"/>
    <w:rsid w:val="00BD60AD"/>
    <w:rsid w:val="00BE3AD5"/>
    <w:rsid w:val="00BF1A97"/>
    <w:rsid w:val="00BF4DAB"/>
    <w:rsid w:val="00C027B5"/>
    <w:rsid w:val="00C02BBE"/>
    <w:rsid w:val="00C05576"/>
    <w:rsid w:val="00C063E3"/>
    <w:rsid w:val="00C06C52"/>
    <w:rsid w:val="00C13317"/>
    <w:rsid w:val="00C15352"/>
    <w:rsid w:val="00C17676"/>
    <w:rsid w:val="00C23980"/>
    <w:rsid w:val="00C3476A"/>
    <w:rsid w:val="00C41D71"/>
    <w:rsid w:val="00C44B17"/>
    <w:rsid w:val="00C4542D"/>
    <w:rsid w:val="00C46823"/>
    <w:rsid w:val="00C46C2E"/>
    <w:rsid w:val="00C52828"/>
    <w:rsid w:val="00C553D6"/>
    <w:rsid w:val="00C55ED7"/>
    <w:rsid w:val="00C65577"/>
    <w:rsid w:val="00C73A68"/>
    <w:rsid w:val="00C74E00"/>
    <w:rsid w:val="00C758A0"/>
    <w:rsid w:val="00C76801"/>
    <w:rsid w:val="00C77B2D"/>
    <w:rsid w:val="00C811AF"/>
    <w:rsid w:val="00C8251C"/>
    <w:rsid w:val="00C859E9"/>
    <w:rsid w:val="00C9156E"/>
    <w:rsid w:val="00C93A19"/>
    <w:rsid w:val="00C95639"/>
    <w:rsid w:val="00C965B5"/>
    <w:rsid w:val="00CA109C"/>
    <w:rsid w:val="00CA4C14"/>
    <w:rsid w:val="00CA772D"/>
    <w:rsid w:val="00CB4FBC"/>
    <w:rsid w:val="00CD137E"/>
    <w:rsid w:val="00CD4DD8"/>
    <w:rsid w:val="00CD6084"/>
    <w:rsid w:val="00CD7983"/>
    <w:rsid w:val="00CE6B73"/>
    <w:rsid w:val="00CF5F91"/>
    <w:rsid w:val="00D01129"/>
    <w:rsid w:val="00D03F70"/>
    <w:rsid w:val="00D11EEF"/>
    <w:rsid w:val="00D1263E"/>
    <w:rsid w:val="00D14148"/>
    <w:rsid w:val="00D208ED"/>
    <w:rsid w:val="00D22ACA"/>
    <w:rsid w:val="00D249EF"/>
    <w:rsid w:val="00D25251"/>
    <w:rsid w:val="00D34605"/>
    <w:rsid w:val="00D3556A"/>
    <w:rsid w:val="00D37D23"/>
    <w:rsid w:val="00D43644"/>
    <w:rsid w:val="00D569A5"/>
    <w:rsid w:val="00D5784F"/>
    <w:rsid w:val="00D606AF"/>
    <w:rsid w:val="00D62BE2"/>
    <w:rsid w:val="00D63F99"/>
    <w:rsid w:val="00D70C56"/>
    <w:rsid w:val="00D81426"/>
    <w:rsid w:val="00D853EA"/>
    <w:rsid w:val="00D87120"/>
    <w:rsid w:val="00D9181E"/>
    <w:rsid w:val="00D919DC"/>
    <w:rsid w:val="00D9343A"/>
    <w:rsid w:val="00D9481A"/>
    <w:rsid w:val="00DA055D"/>
    <w:rsid w:val="00DA15A0"/>
    <w:rsid w:val="00DA4653"/>
    <w:rsid w:val="00DB47FA"/>
    <w:rsid w:val="00DB5562"/>
    <w:rsid w:val="00DC16CE"/>
    <w:rsid w:val="00DC1765"/>
    <w:rsid w:val="00DC19B7"/>
    <w:rsid w:val="00DC7C0E"/>
    <w:rsid w:val="00DD3B9A"/>
    <w:rsid w:val="00DD3C4D"/>
    <w:rsid w:val="00DD5C8E"/>
    <w:rsid w:val="00DE1F72"/>
    <w:rsid w:val="00DE1FFC"/>
    <w:rsid w:val="00E05DE6"/>
    <w:rsid w:val="00E15E26"/>
    <w:rsid w:val="00E175EA"/>
    <w:rsid w:val="00E20F74"/>
    <w:rsid w:val="00E22473"/>
    <w:rsid w:val="00E22C93"/>
    <w:rsid w:val="00E23546"/>
    <w:rsid w:val="00E4312E"/>
    <w:rsid w:val="00E43BDC"/>
    <w:rsid w:val="00E46911"/>
    <w:rsid w:val="00E46FD8"/>
    <w:rsid w:val="00E47F89"/>
    <w:rsid w:val="00E5090F"/>
    <w:rsid w:val="00E53395"/>
    <w:rsid w:val="00E62504"/>
    <w:rsid w:val="00E6604D"/>
    <w:rsid w:val="00E675E1"/>
    <w:rsid w:val="00E74EAD"/>
    <w:rsid w:val="00E76144"/>
    <w:rsid w:val="00E826EE"/>
    <w:rsid w:val="00E83D86"/>
    <w:rsid w:val="00E86A7F"/>
    <w:rsid w:val="00E925DC"/>
    <w:rsid w:val="00EB21A8"/>
    <w:rsid w:val="00EB3391"/>
    <w:rsid w:val="00ED1F37"/>
    <w:rsid w:val="00ED3A04"/>
    <w:rsid w:val="00ED57C7"/>
    <w:rsid w:val="00ED7C8A"/>
    <w:rsid w:val="00F025BA"/>
    <w:rsid w:val="00F03FEF"/>
    <w:rsid w:val="00F15AEC"/>
    <w:rsid w:val="00F20717"/>
    <w:rsid w:val="00F230C7"/>
    <w:rsid w:val="00F27787"/>
    <w:rsid w:val="00F34A36"/>
    <w:rsid w:val="00F3728B"/>
    <w:rsid w:val="00F471A1"/>
    <w:rsid w:val="00F55A5F"/>
    <w:rsid w:val="00F61142"/>
    <w:rsid w:val="00F63043"/>
    <w:rsid w:val="00F652DB"/>
    <w:rsid w:val="00F66E65"/>
    <w:rsid w:val="00F673C8"/>
    <w:rsid w:val="00F70B31"/>
    <w:rsid w:val="00F91028"/>
    <w:rsid w:val="00F94C12"/>
    <w:rsid w:val="00F97F0B"/>
    <w:rsid w:val="00FA3D34"/>
    <w:rsid w:val="00FB123D"/>
    <w:rsid w:val="00FB3F5B"/>
    <w:rsid w:val="00FB77D5"/>
    <w:rsid w:val="00FC3302"/>
    <w:rsid w:val="00FD254C"/>
    <w:rsid w:val="00FD696E"/>
    <w:rsid w:val="00FE46ED"/>
    <w:rsid w:val="00FF25BB"/>
    <w:rsid w:val="00FF665E"/>
    <w:rsid w:val="4A7B1F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AF6C09"/>
  <w15:chartTrackingRefBased/>
  <w15:docId w15:val="{9B6FE7A1-B247-4B5E-9A61-F813DDA1D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C56"/>
  </w:style>
  <w:style w:type="paragraph" w:styleId="Heading1">
    <w:name w:val="heading 1"/>
    <w:basedOn w:val="Normal"/>
    <w:next w:val="Normal"/>
    <w:link w:val="Heading1Char"/>
    <w:uiPriority w:val="9"/>
    <w:qFormat/>
    <w:rsid w:val="00B507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21F50"/>
    <w:rPr>
      <w:rFonts w:ascii="Times New Roman" w:hAnsi="Times New Roman" w:cs="Times New Roman"/>
      <w:sz w:val="24"/>
      <w:szCs w:val="24"/>
    </w:rPr>
  </w:style>
  <w:style w:type="character" w:styleId="Hyperlink">
    <w:name w:val="Hyperlink"/>
    <w:basedOn w:val="DefaultParagraphFont"/>
    <w:uiPriority w:val="99"/>
    <w:unhideWhenUsed/>
    <w:rsid w:val="00521F50"/>
    <w:rPr>
      <w:color w:val="0563C1" w:themeColor="hyperlink"/>
      <w:u w:val="single"/>
    </w:rPr>
  </w:style>
  <w:style w:type="character" w:styleId="UnresolvedMention">
    <w:name w:val="Unresolved Mention"/>
    <w:basedOn w:val="DefaultParagraphFont"/>
    <w:uiPriority w:val="99"/>
    <w:semiHidden/>
    <w:unhideWhenUsed/>
    <w:rsid w:val="00521F50"/>
    <w:rPr>
      <w:color w:val="605E5C"/>
      <w:shd w:val="clear" w:color="auto" w:fill="E1DFDD"/>
    </w:rPr>
  </w:style>
  <w:style w:type="character" w:styleId="FollowedHyperlink">
    <w:name w:val="FollowedHyperlink"/>
    <w:basedOn w:val="DefaultParagraphFont"/>
    <w:uiPriority w:val="99"/>
    <w:semiHidden/>
    <w:unhideWhenUsed/>
    <w:rsid w:val="007300F9"/>
    <w:rPr>
      <w:color w:val="954F72" w:themeColor="followedHyperlink"/>
      <w:u w:val="single"/>
    </w:rPr>
  </w:style>
  <w:style w:type="paragraph" w:styleId="Bibliography">
    <w:name w:val="Bibliography"/>
    <w:basedOn w:val="Normal"/>
    <w:next w:val="Normal"/>
    <w:uiPriority w:val="37"/>
    <w:semiHidden/>
    <w:unhideWhenUsed/>
    <w:rsid w:val="0053301F"/>
  </w:style>
  <w:style w:type="character" w:customStyle="1" w:styleId="Heading1Char">
    <w:name w:val="Heading 1 Char"/>
    <w:basedOn w:val="DefaultParagraphFont"/>
    <w:link w:val="Heading1"/>
    <w:uiPriority w:val="9"/>
    <w:rsid w:val="00B5076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1A0C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0C17"/>
  </w:style>
  <w:style w:type="paragraph" w:styleId="Footer">
    <w:name w:val="footer"/>
    <w:basedOn w:val="Normal"/>
    <w:link w:val="FooterChar"/>
    <w:uiPriority w:val="99"/>
    <w:unhideWhenUsed/>
    <w:rsid w:val="001A0C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0C17"/>
  </w:style>
  <w:style w:type="paragraph" w:styleId="IntenseQuote">
    <w:name w:val="Intense Quote"/>
    <w:basedOn w:val="Normal"/>
    <w:next w:val="Normal"/>
    <w:link w:val="IntenseQuoteChar"/>
    <w:uiPriority w:val="30"/>
    <w:qFormat/>
    <w:rsid w:val="0017541C"/>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17541C"/>
    <w:rPr>
      <w:i/>
      <w:iCs/>
      <w:color w:val="4472C4" w:themeColor="accent1"/>
    </w:rPr>
  </w:style>
  <w:style w:type="paragraph" w:styleId="ListParagraph">
    <w:name w:val="List Paragraph"/>
    <w:basedOn w:val="Normal"/>
    <w:uiPriority w:val="34"/>
    <w:qFormat/>
    <w:rsid w:val="00D70C56"/>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184431">
      <w:bodyDiv w:val="1"/>
      <w:marLeft w:val="0"/>
      <w:marRight w:val="0"/>
      <w:marTop w:val="0"/>
      <w:marBottom w:val="0"/>
      <w:divBdr>
        <w:top w:val="none" w:sz="0" w:space="0" w:color="auto"/>
        <w:left w:val="none" w:sz="0" w:space="0" w:color="auto"/>
        <w:bottom w:val="none" w:sz="0" w:space="0" w:color="auto"/>
        <w:right w:val="none" w:sz="0" w:space="0" w:color="auto"/>
      </w:divBdr>
    </w:div>
    <w:div w:id="550767676">
      <w:bodyDiv w:val="1"/>
      <w:marLeft w:val="0"/>
      <w:marRight w:val="0"/>
      <w:marTop w:val="0"/>
      <w:marBottom w:val="0"/>
      <w:divBdr>
        <w:top w:val="none" w:sz="0" w:space="0" w:color="auto"/>
        <w:left w:val="none" w:sz="0" w:space="0" w:color="auto"/>
        <w:bottom w:val="none" w:sz="0" w:space="0" w:color="auto"/>
        <w:right w:val="none" w:sz="0" w:space="0" w:color="auto"/>
      </w:divBdr>
    </w:div>
    <w:div w:id="662663845">
      <w:bodyDiv w:val="1"/>
      <w:marLeft w:val="0"/>
      <w:marRight w:val="0"/>
      <w:marTop w:val="0"/>
      <w:marBottom w:val="0"/>
      <w:divBdr>
        <w:top w:val="none" w:sz="0" w:space="0" w:color="auto"/>
        <w:left w:val="none" w:sz="0" w:space="0" w:color="auto"/>
        <w:bottom w:val="none" w:sz="0" w:space="0" w:color="auto"/>
        <w:right w:val="none" w:sz="0" w:space="0" w:color="auto"/>
      </w:divBdr>
    </w:div>
    <w:div w:id="712466276">
      <w:bodyDiv w:val="1"/>
      <w:marLeft w:val="0"/>
      <w:marRight w:val="0"/>
      <w:marTop w:val="0"/>
      <w:marBottom w:val="0"/>
      <w:divBdr>
        <w:top w:val="none" w:sz="0" w:space="0" w:color="auto"/>
        <w:left w:val="none" w:sz="0" w:space="0" w:color="auto"/>
        <w:bottom w:val="none" w:sz="0" w:space="0" w:color="auto"/>
        <w:right w:val="none" w:sz="0" w:space="0" w:color="auto"/>
      </w:divBdr>
    </w:div>
    <w:div w:id="713231421">
      <w:bodyDiv w:val="1"/>
      <w:marLeft w:val="0"/>
      <w:marRight w:val="0"/>
      <w:marTop w:val="0"/>
      <w:marBottom w:val="0"/>
      <w:divBdr>
        <w:top w:val="none" w:sz="0" w:space="0" w:color="auto"/>
        <w:left w:val="none" w:sz="0" w:space="0" w:color="auto"/>
        <w:bottom w:val="none" w:sz="0" w:space="0" w:color="auto"/>
        <w:right w:val="none" w:sz="0" w:space="0" w:color="auto"/>
      </w:divBdr>
    </w:div>
    <w:div w:id="783696557">
      <w:bodyDiv w:val="1"/>
      <w:marLeft w:val="0"/>
      <w:marRight w:val="0"/>
      <w:marTop w:val="0"/>
      <w:marBottom w:val="0"/>
      <w:divBdr>
        <w:top w:val="none" w:sz="0" w:space="0" w:color="auto"/>
        <w:left w:val="none" w:sz="0" w:space="0" w:color="auto"/>
        <w:bottom w:val="none" w:sz="0" w:space="0" w:color="auto"/>
        <w:right w:val="none" w:sz="0" w:space="0" w:color="auto"/>
      </w:divBdr>
    </w:div>
    <w:div w:id="865631001">
      <w:bodyDiv w:val="1"/>
      <w:marLeft w:val="0"/>
      <w:marRight w:val="0"/>
      <w:marTop w:val="0"/>
      <w:marBottom w:val="0"/>
      <w:divBdr>
        <w:top w:val="none" w:sz="0" w:space="0" w:color="auto"/>
        <w:left w:val="none" w:sz="0" w:space="0" w:color="auto"/>
        <w:bottom w:val="none" w:sz="0" w:space="0" w:color="auto"/>
        <w:right w:val="none" w:sz="0" w:space="0" w:color="auto"/>
      </w:divBdr>
    </w:div>
    <w:div w:id="1043988995">
      <w:bodyDiv w:val="1"/>
      <w:marLeft w:val="0"/>
      <w:marRight w:val="0"/>
      <w:marTop w:val="0"/>
      <w:marBottom w:val="0"/>
      <w:divBdr>
        <w:top w:val="none" w:sz="0" w:space="0" w:color="auto"/>
        <w:left w:val="none" w:sz="0" w:space="0" w:color="auto"/>
        <w:bottom w:val="none" w:sz="0" w:space="0" w:color="auto"/>
        <w:right w:val="none" w:sz="0" w:space="0" w:color="auto"/>
      </w:divBdr>
    </w:div>
    <w:div w:id="1314990096">
      <w:bodyDiv w:val="1"/>
      <w:marLeft w:val="0"/>
      <w:marRight w:val="0"/>
      <w:marTop w:val="0"/>
      <w:marBottom w:val="0"/>
      <w:divBdr>
        <w:top w:val="none" w:sz="0" w:space="0" w:color="auto"/>
        <w:left w:val="none" w:sz="0" w:space="0" w:color="auto"/>
        <w:bottom w:val="none" w:sz="0" w:space="0" w:color="auto"/>
        <w:right w:val="none" w:sz="0" w:space="0" w:color="auto"/>
      </w:divBdr>
    </w:div>
    <w:div w:id="1475104662">
      <w:bodyDiv w:val="1"/>
      <w:marLeft w:val="0"/>
      <w:marRight w:val="0"/>
      <w:marTop w:val="0"/>
      <w:marBottom w:val="0"/>
      <w:divBdr>
        <w:top w:val="none" w:sz="0" w:space="0" w:color="auto"/>
        <w:left w:val="none" w:sz="0" w:space="0" w:color="auto"/>
        <w:bottom w:val="none" w:sz="0" w:space="0" w:color="auto"/>
        <w:right w:val="none" w:sz="0" w:space="0" w:color="auto"/>
      </w:divBdr>
    </w:div>
    <w:div w:id="1837377255">
      <w:bodyDiv w:val="1"/>
      <w:marLeft w:val="0"/>
      <w:marRight w:val="0"/>
      <w:marTop w:val="0"/>
      <w:marBottom w:val="0"/>
      <w:divBdr>
        <w:top w:val="none" w:sz="0" w:space="0" w:color="auto"/>
        <w:left w:val="none" w:sz="0" w:space="0" w:color="auto"/>
        <w:bottom w:val="none" w:sz="0" w:space="0" w:color="auto"/>
        <w:right w:val="none" w:sz="0" w:space="0" w:color="auto"/>
      </w:divBdr>
    </w:div>
    <w:div w:id="2044288289">
      <w:bodyDiv w:val="1"/>
      <w:marLeft w:val="0"/>
      <w:marRight w:val="0"/>
      <w:marTop w:val="0"/>
      <w:marBottom w:val="0"/>
      <w:divBdr>
        <w:top w:val="none" w:sz="0" w:space="0" w:color="auto"/>
        <w:left w:val="none" w:sz="0" w:space="0" w:color="auto"/>
        <w:bottom w:val="none" w:sz="0" w:space="0" w:color="auto"/>
        <w:right w:val="none" w:sz="0" w:space="0" w:color="auto"/>
      </w:divBdr>
    </w:div>
    <w:div w:id="2089230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co.uk/knowledge/strategy/analytics/evidence-based-practice-factsheet" TargetMode="External"/><Relationship Id="rId18" Type="http://schemas.openxmlformats.org/officeDocument/2006/relationships/hyperlink" Target="https://doi.org/10.1016/j.socscimed.2022.114931" TargetMode="External"/><Relationship Id="rId26" Type="http://schemas.openxmlformats.org/officeDocument/2006/relationships/hyperlink" Target="https://doi.org/10.1093/eurpub/ckz197" TargetMode="External"/><Relationship Id="rId21" Type="http://schemas.openxmlformats.org/officeDocument/2006/relationships/hyperlink" Target="https://www.gov.uk/government/statistics/soft-drinks-industry-levy-statistics/soft-drinks-industry-levy-statistics-commentary-2021" TargetMode="External"/><Relationship Id="rId34" Type="http://schemas.openxmlformats.org/officeDocument/2006/relationships/header" Target="header1.xml"/><Relationship Id="rId7" Type="http://schemas.openxmlformats.org/officeDocument/2006/relationships/hyperlink" Target="https://pestleanalysis.com/what-is-pestle-analysis-used-for/" TargetMode="External"/><Relationship Id="rId12" Type="http://schemas.openxmlformats.org/officeDocument/2006/relationships/hyperlink" Target="https://www.cipd.co.uk/news-views/cipd-voice/Issue-32/mounting-recruitment-difficulties-higher-pay-inflation-2022" TargetMode="External"/><Relationship Id="rId17" Type="http://schemas.openxmlformats.org/officeDocument/2006/relationships/hyperlink" Target="https://pestleanalysis.com/pestle-analysis-of-escape-rooms/?dicbo=v2-330a6b2395aac97bd1ad60539da518dc" TargetMode="External"/><Relationship Id="rId25" Type="http://schemas.openxmlformats.org/officeDocument/2006/relationships/hyperlink" Target="https://doi.org/10.1007/s40258-021-00685-x" TargetMode="External"/><Relationship Id="rId33" Type="http://schemas.openxmlformats.org/officeDocument/2006/relationships/hyperlink" Target="https://scvo.scot/policy/research/evidence-library/2022-the-cost-of-living-crisis-in-scotland-analytical-report" TargetMode="External"/><Relationship Id="rId38" Type="http://schemas.microsoft.com/office/2020/10/relationships/intelligence" Target="intelligence2.xml"/><Relationship Id="rId2" Type="http://schemas.openxmlformats.org/officeDocument/2006/relationships/styles" Target="styles.xml"/><Relationship Id="rId16" Type="http://schemas.openxmlformats.org/officeDocument/2006/relationships/hyperlink" Target="https://www.legislation.gov.uk/ukpga/2010/15/contents" TargetMode="External"/><Relationship Id="rId20" Type="http://schemas.openxmlformats.org/officeDocument/2006/relationships/hyperlink" Target="https://www.peoplemanagement.co.uk/article/1806755/four-day-week-people-happier-pay-rise?bulletin=pm-daily&amp;utm_source=mc&amp;utm_medium=email&amp;utm_content=PM_Daily_30112022.https%3a%2f%2fwww.peoplemanagement.co.uk%2farticle%2f1806755%2ffour-day-week-people-happier-pay-rise%3fbulletin%3dpm-daily&amp;utm_campaign=7295441&amp;utm_term=8429178" TargetMode="External"/><Relationship Id="rId29" Type="http://schemas.openxmlformats.org/officeDocument/2006/relationships/hyperlink" Target="https://doi.org/10.1111/1744-7941.1228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culture/well-being/evidence-financial-wellbeing" TargetMode="External"/><Relationship Id="rId24" Type="http://schemas.openxmlformats.org/officeDocument/2006/relationships/hyperlink" Target="https://doi.org/10.1136/bmj.n463" TargetMode="External"/><Relationship Id="rId32" Type="http://schemas.openxmlformats.org/officeDocument/2006/relationships/hyperlink" Target="http://www.jstor.org/stable/j.ctv293p4bn.7"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017/S002210902100048X" TargetMode="External"/><Relationship Id="rId23" Type="http://schemas.openxmlformats.org/officeDocument/2006/relationships/hyperlink" Target="file:///C:\Users\dawnj\Zotero\storage\WFCWYKYQ\pestel-analysis.html" TargetMode="External"/><Relationship Id="rId28" Type="http://schemas.openxmlformats.org/officeDocument/2006/relationships/hyperlink" Target="https://www.peoplemanagement.co.uk/article/1807194/flexible-working-bill-employers-need-know?bulletin=pm-daily&amp;utm_source=mc&amp;utm_medium=email&amp;utm_content=PM_Daily_05122022.https%3a%2f%2fwww.peoplemanagement.co.uk%2farticle%2f1807194%2fflexible-working-bill-employers-need-know%3fbulletin%3dpm-daily&amp;utm_campaign=7295441&amp;utm_term=8429178" TargetMode="External"/><Relationship Id="rId36" Type="http://schemas.openxmlformats.org/officeDocument/2006/relationships/fontTable" Target="fontTable.xml"/><Relationship Id="rId10" Type="http://schemas.openxmlformats.org/officeDocument/2006/relationships/hyperlink" Target="https://www.cipd.co.uk/Images/flexible-hybrid-working-practices-report_tcm18-108941.pdf" TargetMode="External"/><Relationship Id="rId19" Type="http://schemas.openxmlformats.org/officeDocument/2006/relationships/hyperlink" Target="https://www.mckinsey.com/~/media/mckinsey/industries/chemicals/our%20insights/organizing%20to%20enable%20the%20shift%20from%20volume%20to%20value/how_do_i_manage_complexity_in_my_organization.ashx" TargetMode="External"/><Relationship Id="rId31" Type="http://schemas.openxmlformats.org/officeDocument/2006/relationships/hyperlink" Target="https://doi.org/10.1016/j.indmarman.2020.05.014" TargetMode="External"/><Relationship Id="rId4" Type="http://schemas.openxmlformats.org/officeDocument/2006/relationships/webSettings" Target="webSettings.xml"/><Relationship Id="rId9" Type="http://schemas.openxmlformats.org/officeDocument/2006/relationships/hyperlink" Target="https://soundcloud.com/cipd/podcast-63-business-savvy-hr" TargetMode="External"/><Relationship Id="rId14" Type="http://schemas.openxmlformats.org/officeDocument/2006/relationships/hyperlink" Target="https://www.cipd.co.uk/news-views/cipd-voice/Issue-33/great-resignation-fact-fiction" TargetMode="External"/><Relationship Id="rId22" Type="http://schemas.openxmlformats.org/officeDocument/2006/relationships/hyperlink" Target="https://www.ilo.org/wcmsp5/groups/public/@dgreports/@dcomm/documents/briefingnote/wcms_767028.pdf" TargetMode="External"/><Relationship Id="rId27" Type="http://schemas.openxmlformats.org/officeDocument/2006/relationships/hyperlink" Target="https://pestleanalysis.com/pfizer-pestle-analysis/" TargetMode="External"/><Relationship Id="rId30" Type="http://schemas.openxmlformats.org/officeDocument/2006/relationships/hyperlink" Target="https://www.rewardgateway.com/hubfs/Resources-eBooks/uk-the-cost-of-living-crisis-report.pdf" TargetMode="External"/><Relationship Id="rId35" Type="http://schemas.openxmlformats.org/officeDocument/2006/relationships/footer" Target="footer1.xml"/><Relationship Id="rId8" Type="http://schemas.openxmlformats.org/officeDocument/2006/relationships/hyperlink" Target="https://doi.org/10.1177/0170840611410825" TargetMode="Externa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5114</Words>
  <Characters>29154</Characters>
  <Application>Microsoft Office Word</Application>
  <DocSecurity>0</DocSecurity>
  <Lines>242</Lines>
  <Paragraphs>68</Paragraphs>
  <ScaleCrop>false</ScaleCrop>
  <Company/>
  <LinksUpToDate>false</LinksUpToDate>
  <CharactersWithSpaces>34200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Jones</dc:creator>
  <cp:keywords/>
  <dc:description/>
  <cp:lastModifiedBy>Dawn Jones</cp:lastModifiedBy>
  <cp:revision>2</cp:revision>
  <cp:lastPrinted>2022-12-15T16:47:00Z</cp:lastPrinted>
  <dcterms:created xsi:type="dcterms:W3CDTF">2022-12-16T17:30:00Z</dcterms:created>
  <dcterms:modified xsi:type="dcterms:W3CDTF">2022-12-16T17:30:00Z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zotero-version="6.0.18"&gt;&lt;session id="mFbmWV5N"/&gt;&lt;style id="http://www.zotero.org/styles/harvard-cite-them-right" hasBibliography="1" bibliographyStyleHasBeenSet="0"/&gt;&lt;prefs&gt;&lt;pref name="fieldType" value="Field"/&gt;&lt;pref name="automatic</vt:lpwstr>
  </property>
  <property fmtid="{D5CDD505-2E9C-101B-9397-08002B2CF9AE}" pid="3" name="ZOTERO_PREF_2">
    <vt:lpwstr>JournalAbbreviations" value="true"/&gt;&lt;/prefs&gt;&lt;/data&gt;</vt:lpwstr>
  </property>
</Properties>
</file>