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X5481ef482fe1b2a4cc30f146931408ce30cf0a0" w:displacedByCustomXml="next"/>
    <w:sdt>
      <w:sdtPr>
        <w:rPr>
          <w:rFonts w:eastAsiaTheme="minorHAnsi"/>
          <w:lang w:val="en-GB"/>
        </w:rPr>
        <w:id w:val="-742488273"/>
        <w:docPartObj>
          <w:docPartGallery w:val="Cover Pages"/>
          <w:docPartUnique/>
        </w:docPartObj>
      </w:sdtPr>
      <w:sdtEndPr>
        <w:rPr>
          <w:rFonts w:ascii="Times New Roman" w:hAnsi="Times New Roman" w:cs="Times New Roman"/>
          <w:sz w:val="24"/>
          <w:szCs w:val="24"/>
        </w:rPr>
      </w:sdtEndPr>
      <w:sdtContent>
        <w:p w14:paraId="7BE30187" w14:textId="3A14C0B3" w:rsidR="00567424" w:rsidRDefault="006175D1">
          <w:pPr>
            <w:pStyle w:val="NoSpacing"/>
            <w:rPr>
              <w:rFonts w:eastAsiaTheme="minorHAnsi"/>
              <w:lang w:val="en-GB"/>
            </w:rPr>
          </w:pPr>
          <w:r>
            <w:rPr>
              <w:noProof/>
            </w:rPr>
            <mc:AlternateContent>
              <mc:Choice Requires="wpg">
                <w:drawing>
                  <wp:anchor distT="0" distB="0" distL="114300" distR="114300" simplePos="0" relativeHeight="251659264" behindDoc="1" locked="0" layoutInCell="1" allowOverlap="1" wp14:anchorId="5D99885C" wp14:editId="6611242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27384963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14189574" name="Rectangle 51418957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78139882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8-24T00:00:00Z">
                                      <w:dateFormat w:val="M/d/yyyy"/>
                                      <w:lid w:val="en-US"/>
                                      <w:storeMappedDataAs w:val="dateTime"/>
                                      <w:calendar w:val="gregorian"/>
                                    </w:date>
                                  </w:sdtPr>
                                  <w:sdtContent>
                                    <w:p w14:paraId="79BB9265" w14:textId="1F7C7440" w:rsidR="006175D1" w:rsidRDefault="006175D1">
                                      <w:pPr>
                                        <w:pStyle w:val="NoSpacing"/>
                                        <w:jc w:val="right"/>
                                        <w:rPr>
                                          <w:color w:val="FFFFFF" w:themeColor="background1"/>
                                          <w:sz w:val="28"/>
                                          <w:szCs w:val="28"/>
                                        </w:rPr>
                                      </w:pPr>
                                      <w:r>
                                        <w:rPr>
                                          <w:color w:val="FFFFFF" w:themeColor="background1"/>
                                          <w:sz w:val="28"/>
                                          <w:szCs w:val="28"/>
                                        </w:rPr>
                                        <w:t>8/24/2025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57807662" name="Group 157807662"/>
                            <wpg:cNvGrpSpPr/>
                            <wpg:grpSpPr>
                              <a:xfrm>
                                <a:off x="76200" y="4210050"/>
                                <a:ext cx="2057400" cy="4910328"/>
                                <a:chOff x="80645" y="4211812"/>
                                <a:chExt cx="1306273" cy="3121026"/>
                              </a:xfrm>
                            </wpg:grpSpPr>
                            <wpg:grpSp>
                              <wpg:cNvPr id="1236627758" name="Group 1236627758"/>
                              <wpg:cNvGrpSpPr>
                                <a:grpSpLocks noChangeAspect="1"/>
                              </wpg:cNvGrpSpPr>
                              <wpg:grpSpPr>
                                <a:xfrm>
                                  <a:off x="141062" y="4211812"/>
                                  <a:ext cx="1047750" cy="3121026"/>
                                  <a:chOff x="141062" y="4211812"/>
                                  <a:chExt cx="1047750" cy="3121026"/>
                                </a:xfrm>
                              </wpg:grpSpPr>
                              <wps:wsp>
                                <wps:cNvPr id="130214536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818647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0855747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2513340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9705763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6233252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713197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0105633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4131418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8782943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1897024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9232101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550723444" name="Group 1550723444"/>
                              <wpg:cNvGrpSpPr>
                                <a:grpSpLocks noChangeAspect="1"/>
                              </wpg:cNvGrpSpPr>
                              <wpg:grpSpPr>
                                <a:xfrm>
                                  <a:off x="80645" y="4826972"/>
                                  <a:ext cx="1306273" cy="2505863"/>
                                  <a:chOff x="80645" y="4649964"/>
                                  <a:chExt cx="874712" cy="1677988"/>
                                </a:xfrm>
                              </wpg:grpSpPr>
                              <wps:wsp>
                                <wps:cNvPr id="77683359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0093387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785475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5480476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8173370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1918055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9141444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9864783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721831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1358400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5413623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99885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">
                    <v:rect id="Rectangle 51418957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8-24T00:00:00Z">
                                <w:dateFormat w:val="M/d/yyyy"/>
                                <w:lid w:val="en-US"/>
                                <w:storeMappedDataAs w:val="dateTime"/>
                                <w:calendar w:val="gregorian"/>
                              </w:date>
                            </w:sdtPr>
                            <w:sdtContent>
                              <w:p w14:paraId="79BB9265" w14:textId="1F7C7440" w:rsidR="006175D1" w:rsidRDefault="006175D1">
                                <w:pPr>
                                  <w:pStyle w:val="NoSpacing"/>
                                  <w:jc w:val="right"/>
                                  <w:rPr>
                                    <w:color w:val="FFFFFF" w:themeColor="background1"/>
                                    <w:sz w:val="28"/>
                                    <w:szCs w:val="28"/>
                                  </w:rPr>
                                </w:pPr>
                                <w:r>
                                  <w:rPr>
                                    <w:color w:val="FFFFFF" w:themeColor="background1"/>
                                    <w:sz w:val="28"/>
                                    <w:szCs w:val="28"/>
                                  </w:rPr>
                                  <w:t>8/24/2025</w:t>
                                </w:r>
                              </w:p>
                            </w:sdtContent>
                          </w:sdt>
                        </w:txbxContent>
                      </v:textbox>
                    </v:shape>
                    <v:group id="Group 15780766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">
                      <v:group id="Group 123662775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&#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550723444"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7FCF3A" wp14:editId="48FA35C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FF5BD5" w14:textId="20B73AA0" w:rsidR="006175D1" w:rsidRDefault="00000000" w:rsidP="006175D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175D1" w:rsidRPr="006175D1">
                                      <w:rPr>
                                        <w:rFonts w:asciiTheme="majorHAnsi" w:eastAsiaTheme="majorEastAsia" w:hAnsiTheme="majorHAnsi" w:cstheme="majorBidi"/>
                                        <w:color w:val="262626" w:themeColor="text1" w:themeTint="D9"/>
                                        <w:sz w:val="72"/>
                                        <w:szCs w:val="72"/>
                                      </w:rPr>
                                      <w:t>Budgeting Principles and Approaches: Blue Thread Ltd </w:t>
                                    </w:r>
                                  </w:sdtContent>
                                </w:sdt>
                              </w:p>
                              <w:p w14:paraId="5D72CB3A" w14:textId="2537E418" w:rsidR="006175D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175D1">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87FCF3A"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6FF5BD5" w14:textId="20B73AA0" w:rsidR="006175D1" w:rsidRDefault="00000000" w:rsidP="006175D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175D1" w:rsidRPr="006175D1">
                                <w:rPr>
                                  <w:rFonts w:asciiTheme="majorHAnsi" w:eastAsiaTheme="majorEastAsia" w:hAnsiTheme="majorHAnsi" w:cstheme="majorBidi"/>
                                  <w:color w:val="262626" w:themeColor="text1" w:themeTint="D9"/>
                                  <w:sz w:val="72"/>
                                  <w:szCs w:val="72"/>
                                </w:rPr>
                                <w:t>Budgeting Principles and Approaches: Blue Thread Ltd </w:t>
                              </w:r>
                            </w:sdtContent>
                          </w:sdt>
                        </w:p>
                        <w:p w14:paraId="5D72CB3A" w14:textId="2537E418" w:rsidR="006175D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175D1">
                                <w:rPr>
                                  <w:color w:val="404040" w:themeColor="text1" w:themeTint="BF"/>
                                  <w:sz w:val="36"/>
                                  <w:szCs w:val="36"/>
                                </w:rPr>
                                <w:t xml:space="preserve">     </w:t>
                              </w:r>
                            </w:sdtContent>
                          </w:sdt>
                        </w:p>
                      </w:txbxContent>
                    </v:textbox>
                    <w10:wrap anchorx="page" anchory="page"/>
                  </v:shape>
                </w:pict>
              </mc:Fallback>
            </mc:AlternateContent>
          </w:r>
          <w:r w:rsidR="00567424">
            <w:rPr>
              <w:rFonts w:eastAsiaTheme="minorHAnsi"/>
              <w:lang w:val="en-GB"/>
            </w:rPr>
            <w:t>Student name: Kevin Tomko</w:t>
          </w:r>
        </w:p>
        <w:p w14:paraId="092FE68E" w14:textId="134982E4" w:rsidR="00567424" w:rsidRPr="00567424" w:rsidRDefault="00567424">
          <w:pPr>
            <w:pStyle w:val="NoSpacing"/>
            <w:rPr>
              <w:rFonts w:eastAsiaTheme="minorHAnsi"/>
              <w:lang w:val="en-GB"/>
            </w:rPr>
          </w:pPr>
          <w:r>
            <w:rPr>
              <w:rFonts w:eastAsiaTheme="minorHAnsi"/>
              <w:lang w:val="en-GB"/>
            </w:rPr>
            <w:t xml:space="preserve">Date: </w:t>
          </w:r>
          <w:r w:rsidR="000A1A20">
            <w:rPr>
              <w:rFonts w:eastAsiaTheme="minorHAnsi"/>
              <w:lang w:val="en-GB"/>
            </w:rPr>
            <w:t>25.08.2025</w:t>
          </w:r>
        </w:p>
        <w:p w14:paraId="0E1D652D" w14:textId="54A96A05" w:rsidR="006175D1" w:rsidRDefault="006175D1">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sdtContent>
    </w:sdt>
    <w:p w14:paraId="7580F9E5" w14:textId="77777777" w:rsidR="00083D27" w:rsidRPr="00C313A6" w:rsidRDefault="00083D27" w:rsidP="006175D1">
      <w:pPr>
        <w:pStyle w:val="Heading1"/>
        <w:spacing w:line="360" w:lineRule="auto"/>
        <w:rPr>
          <w:rFonts w:ascii="Times New Roman" w:hAnsi="Times New Roman" w:cs="Times New Roman"/>
          <w:sz w:val="24"/>
          <w:szCs w:val="24"/>
        </w:rPr>
      </w:pPr>
    </w:p>
    <w:p w14:paraId="55EAADA0" w14:textId="77777777" w:rsidR="00083D27" w:rsidRPr="00C313A6" w:rsidRDefault="00000000" w:rsidP="00857BE0">
      <w:pPr>
        <w:pStyle w:val="Heading2"/>
        <w:spacing w:line="360" w:lineRule="auto"/>
        <w:jc w:val="both"/>
        <w:rPr>
          <w:rFonts w:ascii="Times New Roman" w:hAnsi="Times New Roman" w:cs="Times New Roman"/>
          <w:sz w:val="24"/>
          <w:szCs w:val="24"/>
        </w:rPr>
      </w:pPr>
      <w:bookmarkStart w:id="1" w:name="_Toc206949483"/>
      <w:bookmarkStart w:id="2" w:name="executive-summary"/>
      <w:r w:rsidRPr="00C313A6">
        <w:rPr>
          <w:rFonts w:ascii="Times New Roman" w:hAnsi="Times New Roman" w:cs="Times New Roman"/>
          <w:sz w:val="24"/>
          <w:szCs w:val="24"/>
        </w:rPr>
        <w:t>Executive summary</w:t>
      </w:r>
      <w:bookmarkEnd w:id="1"/>
    </w:p>
    <w:p w14:paraId="2713AF83" w14:textId="77777777" w:rsidR="00083D27"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 xml:space="preserve">Blue Thread Ltd operates a chain of ten high‑quality clothing stores. At the beginning of </w:t>
      </w:r>
      <w:r w:rsidR="00633986" w:rsidRPr="00C313A6">
        <w:rPr>
          <w:rFonts w:ascii="Times New Roman" w:hAnsi="Times New Roman" w:cs="Times New Roman"/>
          <w:sz w:val="24"/>
          <w:szCs w:val="24"/>
        </w:rPr>
        <w:t>June,</w:t>
      </w:r>
      <w:r w:rsidRPr="00C313A6">
        <w:rPr>
          <w:rFonts w:ascii="Times New Roman" w:hAnsi="Times New Roman" w:cs="Times New Roman"/>
          <w:sz w:val="24"/>
          <w:szCs w:val="24"/>
        </w:rPr>
        <w:t xml:space="preserve"> the company’s overdraft stood at </w:t>
      </w:r>
      <w:r w:rsidR="00116BA9" w:rsidRPr="00C313A6">
        <w:rPr>
          <w:rFonts w:ascii="Times New Roman" w:hAnsi="Times New Roman" w:cs="Times New Roman"/>
          <w:sz w:val="24"/>
          <w:szCs w:val="24"/>
        </w:rPr>
        <w:t>£25 000,</w:t>
      </w:r>
      <w:r w:rsidRPr="00C313A6">
        <w:rPr>
          <w:rFonts w:ascii="Times New Roman" w:hAnsi="Times New Roman" w:cs="Times New Roman"/>
          <w:sz w:val="24"/>
          <w:szCs w:val="24"/>
        </w:rPr>
        <w:t xml:space="preserve"> and the bank insisted that it must be eliminated by the end of November. The directors therefore revisited their six‑month forecasts and have provided detailed plans for sales, purchases, administration, selling expenses, taxation, loan interest and a refurbishment programme. This report rebuilds those plans into a coherent set of financial forecasts, explains the pressures they reveal, and recommends actions. A stock budget and cash budget were prepared using a consistent accrual versus cash approach, and a budgeted income statement was assembled for the period. The stock budget shows inventory rising from £110 000 in June to £302.5 000 in November. The cash budget reveals that the overdraft will persist through June, August and September but will be cleared by the end of the sixth month, provided the existing purchasing and refurbishment programmes are not altered. A six‑month income statement shows operating profit of £264.35 k and profit before tax of £258.35 k. The analysis highlights transient liquidity stress, inventory accumulation, merchant‑card fees and capital timing as key issues. Management can improve the situation by rescheduling refurbishment, tightening purchasing to reduce inventory levels and negotiating temporary credit terms with suppliers. The report goes beyond the arithmetic to discuss the organisational conditions needed for successful budgeting, the behavioural considerations that accompany budgetary control and a critical appraisal of traditional incremental budgeting in a dynamic environment. Evidence from academic and professional sources emphasises the importance of top‑management support, participation, communication, flexibility and follow‑up, as well as the widely recognised weaknesses of static budgets  inflexibility, time‑consuming cycles, gaming incentives and lack of agility. By applying these insights, Blue Thread Ltd can turn its budgeting process into a strategic tool that supports profitability and resilience.</w:t>
      </w:r>
    </w:p>
    <w:p w14:paraId="01CDA1AF" w14:textId="67EA7EB7" w:rsidR="006175D1" w:rsidRDefault="006175D1">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791639291"/>
        <w:docPartObj>
          <w:docPartGallery w:val="Table of Contents"/>
          <w:docPartUnique/>
        </w:docPartObj>
      </w:sdtPr>
      <w:sdtEndPr>
        <w:rPr>
          <w:b/>
          <w:bCs/>
          <w:noProof/>
        </w:rPr>
      </w:sdtEndPr>
      <w:sdtContent>
        <w:p w14:paraId="6D0C36D6" w14:textId="3DC3B232" w:rsidR="001C37DA" w:rsidRDefault="001C37DA">
          <w:pPr>
            <w:pStyle w:val="TOCHeading"/>
          </w:pPr>
          <w:r>
            <w:t>Table of Contents</w:t>
          </w:r>
        </w:p>
        <w:p w14:paraId="1E7B2476" w14:textId="6DA6A76F" w:rsidR="001C37DA" w:rsidRDefault="001C37DA">
          <w:pPr>
            <w:pStyle w:val="TOC2"/>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6949483" w:history="1">
            <w:r w:rsidRPr="00831A6D">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_Toc206949483 \h </w:instrText>
            </w:r>
            <w:r>
              <w:rPr>
                <w:noProof/>
                <w:webHidden/>
              </w:rPr>
            </w:r>
            <w:r>
              <w:rPr>
                <w:noProof/>
                <w:webHidden/>
              </w:rPr>
              <w:fldChar w:fldCharType="separate"/>
            </w:r>
            <w:r>
              <w:rPr>
                <w:noProof/>
                <w:webHidden/>
              </w:rPr>
              <w:t>1</w:t>
            </w:r>
            <w:r>
              <w:rPr>
                <w:noProof/>
                <w:webHidden/>
              </w:rPr>
              <w:fldChar w:fldCharType="end"/>
            </w:r>
          </w:hyperlink>
        </w:p>
        <w:p w14:paraId="75328939" w14:textId="14C4896A"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84" w:history="1">
            <w:r w:rsidRPr="00831A6D">
              <w:rPr>
                <w:rStyle w:val="Hyperlink"/>
                <w:rFonts w:ascii="Times New Roman" w:hAnsi="Times New Roman" w:cs="Times New Roman"/>
                <w:noProof/>
              </w:rPr>
              <w:t>Introduction and method</w:t>
            </w:r>
            <w:r>
              <w:rPr>
                <w:noProof/>
                <w:webHidden/>
              </w:rPr>
              <w:tab/>
            </w:r>
            <w:r>
              <w:rPr>
                <w:noProof/>
                <w:webHidden/>
              </w:rPr>
              <w:fldChar w:fldCharType="begin"/>
            </w:r>
            <w:r>
              <w:rPr>
                <w:noProof/>
                <w:webHidden/>
              </w:rPr>
              <w:instrText xml:space="preserve"> PAGEREF _Toc206949484 \h </w:instrText>
            </w:r>
            <w:r>
              <w:rPr>
                <w:noProof/>
                <w:webHidden/>
              </w:rPr>
            </w:r>
            <w:r>
              <w:rPr>
                <w:noProof/>
                <w:webHidden/>
              </w:rPr>
              <w:fldChar w:fldCharType="separate"/>
            </w:r>
            <w:r>
              <w:rPr>
                <w:noProof/>
                <w:webHidden/>
              </w:rPr>
              <w:t>3</w:t>
            </w:r>
            <w:r>
              <w:rPr>
                <w:noProof/>
                <w:webHidden/>
              </w:rPr>
              <w:fldChar w:fldCharType="end"/>
            </w:r>
          </w:hyperlink>
        </w:p>
        <w:p w14:paraId="2EC73F0D" w14:textId="522CDB73"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85" w:history="1">
            <w:r w:rsidRPr="00831A6D">
              <w:rPr>
                <w:rStyle w:val="Hyperlink"/>
                <w:rFonts w:ascii="Times New Roman" w:hAnsi="Times New Roman" w:cs="Times New Roman"/>
                <w:noProof/>
              </w:rPr>
              <w:t>Part (a) results and analysis</w:t>
            </w:r>
            <w:r>
              <w:rPr>
                <w:noProof/>
                <w:webHidden/>
              </w:rPr>
              <w:tab/>
            </w:r>
            <w:r>
              <w:rPr>
                <w:noProof/>
                <w:webHidden/>
              </w:rPr>
              <w:fldChar w:fldCharType="begin"/>
            </w:r>
            <w:r>
              <w:rPr>
                <w:noProof/>
                <w:webHidden/>
              </w:rPr>
              <w:instrText xml:space="preserve"> PAGEREF _Toc206949485 \h </w:instrText>
            </w:r>
            <w:r>
              <w:rPr>
                <w:noProof/>
                <w:webHidden/>
              </w:rPr>
            </w:r>
            <w:r>
              <w:rPr>
                <w:noProof/>
                <w:webHidden/>
              </w:rPr>
              <w:fldChar w:fldCharType="separate"/>
            </w:r>
            <w:r>
              <w:rPr>
                <w:noProof/>
                <w:webHidden/>
              </w:rPr>
              <w:t>4</w:t>
            </w:r>
            <w:r>
              <w:rPr>
                <w:noProof/>
                <w:webHidden/>
              </w:rPr>
              <w:fldChar w:fldCharType="end"/>
            </w:r>
          </w:hyperlink>
        </w:p>
        <w:p w14:paraId="2CCAAC91" w14:textId="755064F9"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86" w:history="1">
            <w:r w:rsidRPr="00831A6D">
              <w:rPr>
                <w:rStyle w:val="Hyperlink"/>
                <w:noProof/>
              </w:rPr>
              <w:t>1.1 Stock budget</w:t>
            </w:r>
            <w:r>
              <w:rPr>
                <w:noProof/>
                <w:webHidden/>
              </w:rPr>
              <w:tab/>
            </w:r>
            <w:r>
              <w:rPr>
                <w:noProof/>
                <w:webHidden/>
              </w:rPr>
              <w:fldChar w:fldCharType="begin"/>
            </w:r>
            <w:r>
              <w:rPr>
                <w:noProof/>
                <w:webHidden/>
              </w:rPr>
              <w:instrText xml:space="preserve"> PAGEREF _Toc206949486 \h </w:instrText>
            </w:r>
            <w:r>
              <w:rPr>
                <w:noProof/>
                <w:webHidden/>
              </w:rPr>
            </w:r>
            <w:r>
              <w:rPr>
                <w:noProof/>
                <w:webHidden/>
              </w:rPr>
              <w:fldChar w:fldCharType="separate"/>
            </w:r>
            <w:r>
              <w:rPr>
                <w:noProof/>
                <w:webHidden/>
              </w:rPr>
              <w:t>4</w:t>
            </w:r>
            <w:r>
              <w:rPr>
                <w:noProof/>
                <w:webHidden/>
              </w:rPr>
              <w:fldChar w:fldCharType="end"/>
            </w:r>
          </w:hyperlink>
        </w:p>
        <w:p w14:paraId="764AFE28" w14:textId="021B08F1"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87" w:history="1">
            <w:r w:rsidRPr="00831A6D">
              <w:rPr>
                <w:rStyle w:val="Hyperlink"/>
                <w:noProof/>
              </w:rPr>
              <w:t>1.2 Cash budget</w:t>
            </w:r>
            <w:r>
              <w:rPr>
                <w:noProof/>
                <w:webHidden/>
              </w:rPr>
              <w:tab/>
            </w:r>
            <w:r>
              <w:rPr>
                <w:noProof/>
                <w:webHidden/>
              </w:rPr>
              <w:fldChar w:fldCharType="begin"/>
            </w:r>
            <w:r>
              <w:rPr>
                <w:noProof/>
                <w:webHidden/>
              </w:rPr>
              <w:instrText xml:space="preserve"> PAGEREF _Toc206949487 \h </w:instrText>
            </w:r>
            <w:r>
              <w:rPr>
                <w:noProof/>
                <w:webHidden/>
              </w:rPr>
            </w:r>
            <w:r>
              <w:rPr>
                <w:noProof/>
                <w:webHidden/>
              </w:rPr>
              <w:fldChar w:fldCharType="separate"/>
            </w:r>
            <w:r>
              <w:rPr>
                <w:noProof/>
                <w:webHidden/>
              </w:rPr>
              <w:t>5</w:t>
            </w:r>
            <w:r>
              <w:rPr>
                <w:noProof/>
                <w:webHidden/>
              </w:rPr>
              <w:fldChar w:fldCharType="end"/>
            </w:r>
          </w:hyperlink>
        </w:p>
        <w:p w14:paraId="36052950" w14:textId="4EE2B3DD"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88" w:history="1">
            <w:r w:rsidRPr="00831A6D">
              <w:rPr>
                <w:rStyle w:val="Hyperlink"/>
                <w:noProof/>
              </w:rPr>
              <w:t>1.3 Budgeted income statement</w:t>
            </w:r>
            <w:r>
              <w:rPr>
                <w:noProof/>
                <w:webHidden/>
              </w:rPr>
              <w:tab/>
            </w:r>
            <w:r>
              <w:rPr>
                <w:noProof/>
                <w:webHidden/>
              </w:rPr>
              <w:fldChar w:fldCharType="begin"/>
            </w:r>
            <w:r>
              <w:rPr>
                <w:noProof/>
                <w:webHidden/>
              </w:rPr>
              <w:instrText xml:space="preserve"> PAGEREF _Toc206949488 \h </w:instrText>
            </w:r>
            <w:r>
              <w:rPr>
                <w:noProof/>
                <w:webHidden/>
              </w:rPr>
            </w:r>
            <w:r>
              <w:rPr>
                <w:noProof/>
                <w:webHidden/>
              </w:rPr>
              <w:fldChar w:fldCharType="separate"/>
            </w:r>
            <w:r>
              <w:rPr>
                <w:noProof/>
                <w:webHidden/>
              </w:rPr>
              <w:t>6</w:t>
            </w:r>
            <w:r>
              <w:rPr>
                <w:noProof/>
                <w:webHidden/>
              </w:rPr>
              <w:fldChar w:fldCharType="end"/>
            </w:r>
          </w:hyperlink>
        </w:p>
        <w:p w14:paraId="7F0EA160" w14:textId="29723806"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89" w:history="1">
            <w:r w:rsidRPr="00831A6D">
              <w:rPr>
                <w:rStyle w:val="Hyperlink"/>
                <w:noProof/>
              </w:rPr>
              <w:t>1.4 Sensitivity analysis</w:t>
            </w:r>
            <w:r>
              <w:rPr>
                <w:noProof/>
                <w:webHidden/>
              </w:rPr>
              <w:tab/>
            </w:r>
            <w:r>
              <w:rPr>
                <w:noProof/>
                <w:webHidden/>
              </w:rPr>
              <w:fldChar w:fldCharType="begin"/>
            </w:r>
            <w:r>
              <w:rPr>
                <w:noProof/>
                <w:webHidden/>
              </w:rPr>
              <w:instrText xml:space="preserve"> PAGEREF _Toc206949489 \h </w:instrText>
            </w:r>
            <w:r>
              <w:rPr>
                <w:noProof/>
                <w:webHidden/>
              </w:rPr>
            </w:r>
            <w:r>
              <w:rPr>
                <w:noProof/>
                <w:webHidden/>
              </w:rPr>
              <w:fldChar w:fldCharType="separate"/>
            </w:r>
            <w:r>
              <w:rPr>
                <w:noProof/>
                <w:webHidden/>
              </w:rPr>
              <w:t>7</w:t>
            </w:r>
            <w:r>
              <w:rPr>
                <w:noProof/>
                <w:webHidden/>
              </w:rPr>
              <w:fldChar w:fldCharType="end"/>
            </w:r>
          </w:hyperlink>
        </w:p>
        <w:p w14:paraId="6F51CC5E" w14:textId="1A794434"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90" w:history="1">
            <w:r w:rsidRPr="00831A6D">
              <w:rPr>
                <w:rStyle w:val="Hyperlink"/>
                <w:rFonts w:ascii="Times New Roman" w:hAnsi="Times New Roman" w:cs="Times New Roman"/>
                <w:noProof/>
              </w:rPr>
              <w:t>Part (b) Problems indicated and management actions</w:t>
            </w:r>
            <w:r>
              <w:rPr>
                <w:noProof/>
                <w:webHidden/>
              </w:rPr>
              <w:tab/>
            </w:r>
            <w:r>
              <w:rPr>
                <w:noProof/>
                <w:webHidden/>
              </w:rPr>
              <w:fldChar w:fldCharType="begin"/>
            </w:r>
            <w:r>
              <w:rPr>
                <w:noProof/>
                <w:webHidden/>
              </w:rPr>
              <w:instrText xml:space="preserve"> PAGEREF _Toc206949490 \h </w:instrText>
            </w:r>
            <w:r>
              <w:rPr>
                <w:noProof/>
                <w:webHidden/>
              </w:rPr>
            </w:r>
            <w:r>
              <w:rPr>
                <w:noProof/>
                <w:webHidden/>
              </w:rPr>
              <w:fldChar w:fldCharType="separate"/>
            </w:r>
            <w:r>
              <w:rPr>
                <w:noProof/>
                <w:webHidden/>
              </w:rPr>
              <w:t>8</w:t>
            </w:r>
            <w:r>
              <w:rPr>
                <w:noProof/>
                <w:webHidden/>
              </w:rPr>
              <w:fldChar w:fldCharType="end"/>
            </w:r>
          </w:hyperlink>
        </w:p>
        <w:p w14:paraId="301A32F4" w14:textId="0D065FA5"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91" w:history="1">
            <w:r w:rsidRPr="00831A6D">
              <w:rPr>
                <w:rStyle w:val="Hyperlink"/>
                <w:noProof/>
              </w:rPr>
              <w:t>2.1 Transient liquidity stress</w:t>
            </w:r>
            <w:r>
              <w:rPr>
                <w:noProof/>
                <w:webHidden/>
              </w:rPr>
              <w:tab/>
            </w:r>
            <w:r>
              <w:rPr>
                <w:noProof/>
                <w:webHidden/>
              </w:rPr>
              <w:fldChar w:fldCharType="begin"/>
            </w:r>
            <w:r>
              <w:rPr>
                <w:noProof/>
                <w:webHidden/>
              </w:rPr>
              <w:instrText xml:space="preserve"> PAGEREF _Toc206949491 \h </w:instrText>
            </w:r>
            <w:r>
              <w:rPr>
                <w:noProof/>
                <w:webHidden/>
              </w:rPr>
            </w:r>
            <w:r>
              <w:rPr>
                <w:noProof/>
                <w:webHidden/>
              </w:rPr>
              <w:fldChar w:fldCharType="separate"/>
            </w:r>
            <w:r>
              <w:rPr>
                <w:noProof/>
                <w:webHidden/>
              </w:rPr>
              <w:t>8</w:t>
            </w:r>
            <w:r>
              <w:rPr>
                <w:noProof/>
                <w:webHidden/>
              </w:rPr>
              <w:fldChar w:fldCharType="end"/>
            </w:r>
          </w:hyperlink>
        </w:p>
        <w:p w14:paraId="78217768" w14:textId="56CD361C"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92" w:history="1">
            <w:r w:rsidRPr="00831A6D">
              <w:rPr>
                <w:rStyle w:val="Hyperlink"/>
                <w:noProof/>
              </w:rPr>
              <w:t>2.2 Management actions:</w:t>
            </w:r>
            <w:r>
              <w:rPr>
                <w:noProof/>
                <w:webHidden/>
              </w:rPr>
              <w:tab/>
            </w:r>
            <w:r>
              <w:rPr>
                <w:noProof/>
                <w:webHidden/>
              </w:rPr>
              <w:fldChar w:fldCharType="begin"/>
            </w:r>
            <w:r>
              <w:rPr>
                <w:noProof/>
                <w:webHidden/>
              </w:rPr>
              <w:instrText xml:space="preserve"> PAGEREF _Toc206949492 \h </w:instrText>
            </w:r>
            <w:r>
              <w:rPr>
                <w:noProof/>
                <w:webHidden/>
              </w:rPr>
            </w:r>
            <w:r>
              <w:rPr>
                <w:noProof/>
                <w:webHidden/>
              </w:rPr>
              <w:fldChar w:fldCharType="separate"/>
            </w:r>
            <w:r>
              <w:rPr>
                <w:noProof/>
                <w:webHidden/>
              </w:rPr>
              <w:t>8</w:t>
            </w:r>
            <w:r>
              <w:rPr>
                <w:noProof/>
                <w:webHidden/>
              </w:rPr>
              <w:fldChar w:fldCharType="end"/>
            </w:r>
          </w:hyperlink>
        </w:p>
        <w:p w14:paraId="36EEB689" w14:textId="6A1B05BA"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93" w:history="1">
            <w:r w:rsidRPr="00831A6D">
              <w:rPr>
                <w:rStyle w:val="Hyperlink"/>
                <w:rFonts w:ascii="Times New Roman" w:hAnsi="Times New Roman" w:cs="Times New Roman"/>
                <w:noProof/>
              </w:rPr>
              <w:t>Part (c) Conditions for successful budgeting and behavioural considerations</w:t>
            </w:r>
            <w:r>
              <w:rPr>
                <w:noProof/>
                <w:webHidden/>
              </w:rPr>
              <w:tab/>
            </w:r>
            <w:r>
              <w:rPr>
                <w:noProof/>
                <w:webHidden/>
              </w:rPr>
              <w:fldChar w:fldCharType="begin"/>
            </w:r>
            <w:r>
              <w:rPr>
                <w:noProof/>
                <w:webHidden/>
              </w:rPr>
              <w:instrText xml:space="preserve"> PAGEREF _Toc206949493 \h </w:instrText>
            </w:r>
            <w:r>
              <w:rPr>
                <w:noProof/>
                <w:webHidden/>
              </w:rPr>
            </w:r>
            <w:r>
              <w:rPr>
                <w:noProof/>
                <w:webHidden/>
              </w:rPr>
              <w:fldChar w:fldCharType="separate"/>
            </w:r>
            <w:r>
              <w:rPr>
                <w:noProof/>
                <w:webHidden/>
              </w:rPr>
              <w:t>10</w:t>
            </w:r>
            <w:r>
              <w:rPr>
                <w:noProof/>
                <w:webHidden/>
              </w:rPr>
              <w:fldChar w:fldCharType="end"/>
            </w:r>
          </w:hyperlink>
        </w:p>
        <w:p w14:paraId="7EDD7304" w14:textId="02036749"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94" w:history="1">
            <w:r w:rsidRPr="00831A6D">
              <w:rPr>
                <w:rStyle w:val="Hyperlink"/>
                <w:rFonts w:ascii="Times New Roman" w:hAnsi="Times New Roman" w:cs="Times New Roman"/>
                <w:noProof/>
              </w:rPr>
              <w:t>Part (d) Evaluation of traditional budgeting in a fast‑changing environment</w:t>
            </w:r>
            <w:r>
              <w:rPr>
                <w:noProof/>
                <w:webHidden/>
              </w:rPr>
              <w:tab/>
            </w:r>
            <w:r>
              <w:rPr>
                <w:noProof/>
                <w:webHidden/>
              </w:rPr>
              <w:fldChar w:fldCharType="begin"/>
            </w:r>
            <w:r>
              <w:rPr>
                <w:noProof/>
                <w:webHidden/>
              </w:rPr>
              <w:instrText xml:space="preserve"> PAGEREF _Toc206949494 \h </w:instrText>
            </w:r>
            <w:r>
              <w:rPr>
                <w:noProof/>
                <w:webHidden/>
              </w:rPr>
            </w:r>
            <w:r>
              <w:rPr>
                <w:noProof/>
                <w:webHidden/>
              </w:rPr>
              <w:fldChar w:fldCharType="separate"/>
            </w:r>
            <w:r>
              <w:rPr>
                <w:noProof/>
                <w:webHidden/>
              </w:rPr>
              <w:t>11</w:t>
            </w:r>
            <w:r>
              <w:rPr>
                <w:noProof/>
                <w:webHidden/>
              </w:rPr>
              <w:fldChar w:fldCharType="end"/>
            </w:r>
          </w:hyperlink>
        </w:p>
        <w:p w14:paraId="10926B13" w14:textId="651CA509" w:rsidR="001C37DA" w:rsidRDefault="001C37DA">
          <w:pPr>
            <w:pStyle w:val="TOC2"/>
            <w:tabs>
              <w:tab w:val="right" w:leader="dot" w:pos="9016"/>
            </w:tabs>
            <w:rPr>
              <w:rFonts w:eastAsiaTheme="minorEastAsia"/>
              <w:noProof/>
              <w:kern w:val="2"/>
              <w:sz w:val="24"/>
              <w:szCs w:val="24"/>
              <w:lang w:eastAsia="en-GB"/>
              <w14:ligatures w14:val="standardContextual"/>
            </w:rPr>
          </w:pPr>
          <w:hyperlink w:anchor="_Toc206949495" w:history="1">
            <w:r w:rsidRPr="00831A6D">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_Toc206949495 \h </w:instrText>
            </w:r>
            <w:r>
              <w:rPr>
                <w:noProof/>
                <w:webHidden/>
              </w:rPr>
            </w:r>
            <w:r>
              <w:rPr>
                <w:noProof/>
                <w:webHidden/>
              </w:rPr>
              <w:fldChar w:fldCharType="separate"/>
            </w:r>
            <w:r>
              <w:rPr>
                <w:noProof/>
                <w:webHidden/>
              </w:rPr>
              <w:t>12</w:t>
            </w:r>
            <w:r>
              <w:rPr>
                <w:noProof/>
                <w:webHidden/>
              </w:rPr>
              <w:fldChar w:fldCharType="end"/>
            </w:r>
          </w:hyperlink>
        </w:p>
        <w:p w14:paraId="5C226CE0" w14:textId="3019EC56" w:rsidR="001C37DA" w:rsidRDefault="001C37DA">
          <w:pPr>
            <w:pStyle w:val="TOC1"/>
            <w:tabs>
              <w:tab w:val="right" w:leader="dot" w:pos="9016"/>
            </w:tabs>
            <w:rPr>
              <w:rFonts w:eastAsiaTheme="minorEastAsia"/>
              <w:noProof/>
              <w:kern w:val="2"/>
              <w:sz w:val="24"/>
              <w:szCs w:val="24"/>
              <w:lang w:eastAsia="en-GB"/>
              <w14:ligatures w14:val="standardContextual"/>
            </w:rPr>
          </w:pPr>
          <w:hyperlink w:anchor="_Toc206949496" w:history="1">
            <w:r w:rsidRPr="00831A6D">
              <w:rPr>
                <w:rStyle w:val="Hyperlink"/>
                <w:noProof/>
              </w:rPr>
              <w:t>References</w:t>
            </w:r>
            <w:r>
              <w:rPr>
                <w:noProof/>
                <w:webHidden/>
              </w:rPr>
              <w:tab/>
            </w:r>
            <w:r>
              <w:rPr>
                <w:noProof/>
                <w:webHidden/>
              </w:rPr>
              <w:fldChar w:fldCharType="begin"/>
            </w:r>
            <w:r>
              <w:rPr>
                <w:noProof/>
                <w:webHidden/>
              </w:rPr>
              <w:instrText xml:space="preserve"> PAGEREF _Toc206949496 \h </w:instrText>
            </w:r>
            <w:r>
              <w:rPr>
                <w:noProof/>
                <w:webHidden/>
              </w:rPr>
            </w:r>
            <w:r>
              <w:rPr>
                <w:noProof/>
                <w:webHidden/>
              </w:rPr>
              <w:fldChar w:fldCharType="separate"/>
            </w:r>
            <w:r>
              <w:rPr>
                <w:noProof/>
                <w:webHidden/>
              </w:rPr>
              <w:t>14</w:t>
            </w:r>
            <w:r>
              <w:rPr>
                <w:noProof/>
                <w:webHidden/>
              </w:rPr>
              <w:fldChar w:fldCharType="end"/>
            </w:r>
          </w:hyperlink>
        </w:p>
        <w:p w14:paraId="08A0B053" w14:textId="6D8C6320" w:rsidR="001C37DA" w:rsidRDefault="001C37DA">
          <w:r>
            <w:rPr>
              <w:b/>
              <w:bCs/>
              <w:noProof/>
            </w:rPr>
            <w:fldChar w:fldCharType="end"/>
          </w:r>
        </w:p>
      </w:sdtContent>
    </w:sdt>
    <w:p w14:paraId="2A0C2785" w14:textId="77777777" w:rsidR="006175D1" w:rsidRPr="00C313A6" w:rsidRDefault="006175D1" w:rsidP="00857BE0">
      <w:pPr>
        <w:spacing w:line="360" w:lineRule="auto"/>
        <w:jc w:val="both"/>
        <w:rPr>
          <w:rFonts w:ascii="Times New Roman" w:hAnsi="Times New Roman" w:cs="Times New Roman"/>
          <w:sz w:val="24"/>
          <w:szCs w:val="24"/>
        </w:rPr>
      </w:pPr>
    </w:p>
    <w:p w14:paraId="39410D02" w14:textId="77777777" w:rsidR="00116BA9" w:rsidRDefault="00116BA9">
      <w:pPr>
        <w:rPr>
          <w:rFonts w:ascii="Times New Roman" w:eastAsiaTheme="majorEastAsia" w:hAnsi="Times New Roman" w:cs="Times New Roman"/>
          <w:color w:val="2E74B5" w:themeColor="accent1" w:themeShade="BF"/>
          <w:sz w:val="24"/>
          <w:szCs w:val="24"/>
        </w:rPr>
      </w:pPr>
      <w:bookmarkStart w:id="3" w:name="introduction-and-method"/>
      <w:bookmarkEnd w:id="2"/>
      <w:r>
        <w:rPr>
          <w:rFonts w:ascii="Times New Roman" w:hAnsi="Times New Roman" w:cs="Times New Roman"/>
          <w:sz w:val="24"/>
          <w:szCs w:val="24"/>
        </w:rPr>
        <w:br w:type="page"/>
      </w:r>
    </w:p>
    <w:p w14:paraId="0F9CC618" w14:textId="77777777" w:rsidR="00083D27" w:rsidRPr="00C313A6" w:rsidRDefault="00000000" w:rsidP="00857BE0">
      <w:pPr>
        <w:pStyle w:val="Heading2"/>
        <w:spacing w:line="360" w:lineRule="auto"/>
        <w:jc w:val="both"/>
        <w:rPr>
          <w:rFonts w:ascii="Times New Roman" w:hAnsi="Times New Roman" w:cs="Times New Roman"/>
          <w:sz w:val="24"/>
          <w:szCs w:val="24"/>
        </w:rPr>
      </w:pPr>
      <w:bookmarkStart w:id="4" w:name="_Toc206949484"/>
      <w:r w:rsidRPr="00C313A6">
        <w:rPr>
          <w:rFonts w:ascii="Times New Roman" w:hAnsi="Times New Roman" w:cs="Times New Roman"/>
          <w:sz w:val="24"/>
          <w:szCs w:val="24"/>
        </w:rPr>
        <w:lastRenderedPageBreak/>
        <w:t>Introduction and method</w:t>
      </w:r>
      <w:bookmarkEnd w:id="4"/>
    </w:p>
    <w:p w14:paraId="0C683B52" w14:textId="1B311DC6"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Budgeting sits at the heart of management accounting; it serves as both a plan and a control mechanism. The module emphasises that budgets formalise management’s objectives and provide a yardstick against which actual performance can be compared</w:t>
      </w:r>
      <w:r w:rsidR="004C549D" w:rsidRPr="004C549D">
        <w:t xml:space="preserve"> </w:t>
      </w:r>
      <w:r w:rsidR="004C549D" w:rsidRPr="004C549D">
        <w:rPr>
          <w:rFonts w:ascii="Times New Roman" w:hAnsi="Times New Roman" w:cs="Times New Roman"/>
          <w:sz w:val="24"/>
          <w:szCs w:val="24"/>
        </w:rPr>
        <w:t>(Jordan and Messner, 2020)</w:t>
      </w:r>
      <w:r w:rsidRPr="00C313A6">
        <w:rPr>
          <w:rFonts w:ascii="Times New Roman" w:hAnsi="Times New Roman" w:cs="Times New Roman"/>
          <w:sz w:val="24"/>
          <w:szCs w:val="24"/>
        </w:rPr>
        <w:t>. In a retail business such as Blue Thread Ltd, cash flows are subject to seasonal fluctuations and supply‑chain lead times, while operating profits reflect accrual conventions. The task brief requires preparation of stock and cash budgets for June to November, a budgeted income statement, an interpretation of the problems revealed and a discussion of budgeting theory</w:t>
      </w:r>
      <w:r w:rsidR="00F5243F" w:rsidRPr="00F5243F">
        <w:t xml:space="preserve"> </w:t>
      </w:r>
      <w:r w:rsidR="00F5243F" w:rsidRPr="00F5243F">
        <w:rPr>
          <w:rFonts w:ascii="Times New Roman" w:hAnsi="Times New Roman" w:cs="Times New Roman"/>
          <w:sz w:val="24"/>
          <w:szCs w:val="24"/>
        </w:rPr>
        <w:t>(Bukh et al., 2024)</w:t>
      </w:r>
      <w:r w:rsidRPr="00C313A6">
        <w:rPr>
          <w:rFonts w:ascii="Times New Roman" w:hAnsi="Times New Roman" w:cs="Times New Roman"/>
          <w:sz w:val="24"/>
          <w:szCs w:val="24"/>
        </w:rPr>
        <w:t>. This report follows a structured method:</w:t>
      </w:r>
    </w:p>
    <w:p w14:paraId="15B87FE6" w14:textId="5C09F1CE" w:rsidR="00083D27" w:rsidRPr="00C313A6" w:rsidRDefault="00000000" w:rsidP="00116BA9">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Clarify assumptions.</w:t>
      </w:r>
      <w:r w:rsidRPr="00C313A6">
        <w:rPr>
          <w:rFonts w:ascii="Times New Roman" w:hAnsi="Times New Roman" w:cs="Times New Roman"/>
          <w:sz w:val="24"/>
          <w:szCs w:val="24"/>
        </w:rPr>
        <w:t xml:space="preserve"> The gross profit margin is 35 %; cost of goods sold (COGS) therefore equals 65 % of sales. Opening inventory on 1 June is £90 000 and the minimum desired level is £40 000. Suppliers grant one month’s credit; </w:t>
      </w:r>
      <w:r w:rsidR="00116BA9" w:rsidRPr="00C313A6">
        <w:rPr>
          <w:rFonts w:ascii="Times New Roman" w:hAnsi="Times New Roman" w:cs="Times New Roman"/>
          <w:sz w:val="24"/>
          <w:szCs w:val="24"/>
        </w:rPr>
        <w:t>therefore,</w:t>
      </w:r>
      <w:r w:rsidRPr="00C313A6">
        <w:rPr>
          <w:rFonts w:ascii="Times New Roman" w:hAnsi="Times New Roman" w:cs="Times New Roman"/>
          <w:sz w:val="24"/>
          <w:szCs w:val="24"/>
        </w:rPr>
        <w:t xml:space="preserve"> payments for stock occur one month after purchase</w:t>
      </w:r>
      <w:r w:rsidR="00F5243F" w:rsidRPr="00F5243F">
        <w:t xml:space="preserve"> </w:t>
      </w:r>
      <w:r w:rsidR="00F5243F" w:rsidRPr="00F5243F">
        <w:rPr>
          <w:rFonts w:ascii="Times New Roman" w:hAnsi="Times New Roman" w:cs="Times New Roman"/>
          <w:sz w:val="24"/>
          <w:szCs w:val="24"/>
        </w:rPr>
        <w:t>(Matějka et al., 2021)</w:t>
      </w:r>
      <w:r w:rsidRPr="00C313A6">
        <w:rPr>
          <w:rFonts w:ascii="Times New Roman" w:hAnsi="Times New Roman" w:cs="Times New Roman"/>
          <w:sz w:val="24"/>
          <w:szCs w:val="24"/>
        </w:rPr>
        <w:t>. All sales are for cash or credit card; credit‑card transactions comprise 30 % of sales and incur a 3 % fee. Selling expenses are paid in the month after they are incurred, whereas administration expenses are paid when incurred and include a non‑cash depreciation charge of £6 000 per month. Loan repayments of £4 000 per month contain interest equal to 25 % (£1 000) and principal of £3 000. Tax of £15 000 is payable in August. These assumptions were stated clearly to ensure accuracy and to avoid the wording errors that cost marks in the previous submission</w:t>
      </w:r>
      <w:r w:rsidR="00F5243F" w:rsidRPr="00F5243F">
        <w:t xml:space="preserve"> </w:t>
      </w:r>
      <w:r w:rsidR="00F5243F" w:rsidRPr="00F5243F">
        <w:rPr>
          <w:rFonts w:ascii="Times New Roman" w:hAnsi="Times New Roman" w:cs="Times New Roman"/>
          <w:sz w:val="24"/>
          <w:szCs w:val="24"/>
        </w:rPr>
        <w:t xml:space="preserve">(Arnold and </w:t>
      </w:r>
      <w:proofErr w:type="spellStart"/>
      <w:r w:rsidR="00F5243F" w:rsidRPr="00F5243F">
        <w:rPr>
          <w:rFonts w:ascii="Times New Roman" w:hAnsi="Times New Roman" w:cs="Times New Roman"/>
          <w:sz w:val="24"/>
          <w:szCs w:val="24"/>
        </w:rPr>
        <w:t>Gillenkirch</w:t>
      </w:r>
      <w:proofErr w:type="spellEnd"/>
      <w:r w:rsidR="00F5243F" w:rsidRPr="00F5243F">
        <w:rPr>
          <w:rFonts w:ascii="Times New Roman" w:hAnsi="Times New Roman" w:cs="Times New Roman"/>
          <w:sz w:val="24"/>
          <w:szCs w:val="24"/>
        </w:rPr>
        <w:t>, 2019)</w:t>
      </w:r>
      <w:r w:rsidRPr="00C313A6">
        <w:rPr>
          <w:rFonts w:ascii="Times New Roman" w:hAnsi="Times New Roman" w:cs="Times New Roman"/>
          <w:sz w:val="24"/>
          <w:szCs w:val="24"/>
        </w:rPr>
        <w:t>.</w:t>
      </w:r>
    </w:p>
    <w:p w14:paraId="620F5C7D" w14:textId="77777777" w:rsidR="00083D27" w:rsidRPr="00C313A6" w:rsidRDefault="00000000" w:rsidP="00116BA9">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Develop the stock budget.</w:t>
      </w:r>
      <w:r w:rsidRPr="00C313A6">
        <w:rPr>
          <w:rFonts w:ascii="Times New Roman" w:hAnsi="Times New Roman" w:cs="Times New Roman"/>
          <w:sz w:val="24"/>
          <w:szCs w:val="24"/>
        </w:rPr>
        <w:t xml:space="preserve"> Opening stock plus purchases minus COGS yields closing stock; closing stock becomes next month’s opening stock. The company’s purchase plans were analysed against sales to determine whether inventory rises or falls over the period.</w:t>
      </w:r>
    </w:p>
    <w:p w14:paraId="025C219F" w14:textId="130BCD77" w:rsidR="00083D27" w:rsidRPr="00C313A6" w:rsidRDefault="00000000" w:rsidP="00116BA9">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Develop the cash budget.</w:t>
      </w:r>
      <w:r w:rsidRPr="00C313A6">
        <w:rPr>
          <w:rFonts w:ascii="Times New Roman" w:hAnsi="Times New Roman" w:cs="Times New Roman"/>
          <w:sz w:val="24"/>
          <w:szCs w:val="24"/>
        </w:rPr>
        <w:t xml:space="preserve"> Cash receipts equal sales because all customers pay in the month of sale. Cash outflows include payments to suppliers (lagged one month), administration expenses net of depreciation, selling expenses incurred in the previous month, tax, loan interest and principal, refurbishment cash outlays and credit‑card fees (0.9 % of sales). The opening cash position is an overdraft of £25 000. Each month’s closing cash balance becomes the next month’s opening cash balance, allowing the cash budget to reveal periods of surplus or deficit</w:t>
      </w:r>
      <w:r w:rsidR="00883293" w:rsidRPr="00883293">
        <w:t xml:space="preserve"> </w:t>
      </w:r>
      <w:r w:rsidR="00883293" w:rsidRPr="00883293">
        <w:rPr>
          <w:rFonts w:ascii="Times New Roman" w:hAnsi="Times New Roman" w:cs="Times New Roman"/>
          <w:sz w:val="24"/>
          <w:szCs w:val="24"/>
        </w:rPr>
        <w:t>(Church et al., 2019)</w:t>
      </w:r>
      <w:r w:rsidRPr="00C313A6">
        <w:rPr>
          <w:rFonts w:ascii="Times New Roman" w:hAnsi="Times New Roman" w:cs="Times New Roman"/>
          <w:sz w:val="24"/>
          <w:szCs w:val="24"/>
        </w:rPr>
        <w:t>.</w:t>
      </w:r>
    </w:p>
    <w:p w14:paraId="23828E0E" w14:textId="4E775FCF" w:rsidR="00083D27" w:rsidRPr="00C313A6" w:rsidRDefault="00000000" w:rsidP="00116BA9">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lastRenderedPageBreak/>
        <w:t>Prepare the budgeted income statement.</w:t>
      </w:r>
      <w:r w:rsidRPr="00C313A6">
        <w:rPr>
          <w:rFonts w:ascii="Times New Roman" w:hAnsi="Times New Roman" w:cs="Times New Roman"/>
          <w:sz w:val="24"/>
          <w:szCs w:val="24"/>
        </w:rPr>
        <w:t xml:space="preserve"> Revenue equals the sum of sales. COGS equals 65 % of sales. Selling expenses, credit‑card fees, administration expenses (including depreciation) and interest are deducted to arrive at profit before tax. Refurbishment expenditure and loan principal repayments are excluded because they are capital or financing cash flows rather than operating expenses</w:t>
      </w:r>
      <w:r w:rsidR="00883293" w:rsidRPr="00883293">
        <w:t xml:space="preserve"> </w:t>
      </w:r>
      <w:r w:rsidR="00883293" w:rsidRPr="00883293">
        <w:rPr>
          <w:rFonts w:ascii="Times New Roman" w:hAnsi="Times New Roman" w:cs="Times New Roman"/>
          <w:sz w:val="24"/>
          <w:szCs w:val="24"/>
        </w:rPr>
        <w:t>(Maas et al., 2023)</w:t>
      </w:r>
      <w:r w:rsidRPr="00C313A6">
        <w:rPr>
          <w:rFonts w:ascii="Times New Roman" w:hAnsi="Times New Roman" w:cs="Times New Roman"/>
          <w:sz w:val="24"/>
          <w:szCs w:val="24"/>
        </w:rPr>
        <w:t>. This distinction between accrual and cash items echoes the financial reporting concepts emphasised in the module.</w:t>
      </w:r>
    </w:p>
    <w:p w14:paraId="629078E4" w14:textId="6E538769" w:rsidR="00083D27" w:rsidRPr="00C313A6" w:rsidRDefault="00000000" w:rsidP="00116BA9">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Perform sensitivity analysis.</w:t>
      </w:r>
      <w:r w:rsidRPr="00C313A6">
        <w:rPr>
          <w:rFonts w:ascii="Times New Roman" w:hAnsi="Times New Roman" w:cs="Times New Roman"/>
          <w:sz w:val="24"/>
          <w:szCs w:val="24"/>
        </w:rPr>
        <w:t xml:space="preserve"> Two scenarios were tested: (1) rescheduling the August refurbishment spend to October and (2) reducing purchases from July onward to lower closing inventory to £150 k by the end of the period. The effect on cash balances was recalculated to assess whether these measures would ease liquidity pressure without compromising profitability or minimum stock levels</w:t>
      </w:r>
      <w:r w:rsidR="00883293" w:rsidRPr="00883293">
        <w:t xml:space="preserve"> </w:t>
      </w:r>
      <w:r w:rsidR="00883293" w:rsidRPr="00883293">
        <w:rPr>
          <w:rFonts w:ascii="Times New Roman" w:hAnsi="Times New Roman" w:cs="Times New Roman"/>
          <w:sz w:val="24"/>
          <w:szCs w:val="24"/>
        </w:rPr>
        <w:t>(Henttu-Aho, 2023)</w:t>
      </w:r>
      <w:r w:rsidRPr="00C313A6">
        <w:rPr>
          <w:rFonts w:ascii="Times New Roman" w:hAnsi="Times New Roman" w:cs="Times New Roman"/>
          <w:sz w:val="24"/>
          <w:szCs w:val="24"/>
        </w:rPr>
        <w:t>.</w:t>
      </w:r>
    </w:p>
    <w:p w14:paraId="5B7AB072" w14:textId="77777777" w:rsidR="00083D27" w:rsidRPr="00C313A6" w:rsidRDefault="00000000" w:rsidP="00116BA9">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Incorporate academic literature.</w:t>
      </w:r>
      <w:r w:rsidRPr="00C313A6">
        <w:rPr>
          <w:rFonts w:ascii="Times New Roman" w:hAnsi="Times New Roman" w:cs="Times New Roman"/>
          <w:sz w:val="24"/>
          <w:szCs w:val="24"/>
        </w:rPr>
        <w:t xml:space="preserve"> Recent research criticises static, incremental budgets for their lack of flexibility, excessive time requirements and encouragement of budgetary gaming. Authoritative texts stress that successful budgeting depends on top‑management commitment, participation, communication, flexibility and follow‑up. These sources are cited throughout to ground the analysis in evidence.</w:t>
      </w:r>
    </w:p>
    <w:p w14:paraId="0CCFFBA8" w14:textId="77777777" w:rsidR="00083D27" w:rsidRPr="00116BA9" w:rsidRDefault="00000000" w:rsidP="00857BE0">
      <w:pPr>
        <w:pStyle w:val="Heading2"/>
        <w:spacing w:line="360" w:lineRule="auto"/>
        <w:jc w:val="both"/>
        <w:rPr>
          <w:rFonts w:ascii="Times New Roman" w:hAnsi="Times New Roman" w:cs="Times New Roman"/>
          <w:sz w:val="28"/>
          <w:szCs w:val="28"/>
        </w:rPr>
      </w:pPr>
      <w:bookmarkStart w:id="5" w:name="_Toc206949485"/>
      <w:bookmarkStart w:id="6" w:name="part-a-results-and-analysis"/>
      <w:bookmarkEnd w:id="3"/>
      <w:r w:rsidRPr="00116BA9">
        <w:rPr>
          <w:rFonts w:ascii="Times New Roman" w:hAnsi="Times New Roman" w:cs="Times New Roman"/>
          <w:sz w:val="28"/>
          <w:szCs w:val="28"/>
        </w:rPr>
        <w:t>Part (a) results and analysis</w:t>
      </w:r>
      <w:bookmarkEnd w:id="5"/>
    </w:p>
    <w:p w14:paraId="21F60146" w14:textId="1E883F53" w:rsidR="00083D27" w:rsidRPr="00116BA9" w:rsidRDefault="00B216BB" w:rsidP="006175D1">
      <w:pPr>
        <w:pStyle w:val="Heading2"/>
      </w:pPr>
      <w:bookmarkStart w:id="7" w:name="_Toc206949486"/>
      <w:bookmarkStart w:id="8" w:name="stock-budget"/>
      <w:r>
        <w:t>1</w:t>
      </w:r>
      <w:r w:rsidRPr="00116BA9">
        <w:t>.1 Stock budget</w:t>
      </w:r>
      <w:bookmarkEnd w:id="7"/>
    </w:p>
    <w:p w14:paraId="759B9878" w14:textId="4CD0B97B"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The stock budget (Table 1) tracks inventory levels from June through November. Starting with opening stock of £90 000 in June, purchases and COGS were applied to compute closing stock for each month. Closing stocks are well above the minimum of £40 000 throughout. However, the plan leads to significant inventory accumulation: by November, closing stock rises to £302.5 k</w:t>
      </w:r>
      <w:r w:rsidR="00394C10" w:rsidRPr="00C313A6">
        <w:rPr>
          <w:rFonts w:ascii="Times New Roman" w:hAnsi="Times New Roman" w:cs="Times New Roman"/>
          <w:sz w:val="24"/>
          <w:szCs w:val="24"/>
        </w:rPr>
        <w:t xml:space="preserve"> </w:t>
      </w:r>
      <w:r w:rsidRPr="00C313A6">
        <w:rPr>
          <w:rFonts w:ascii="Times New Roman" w:hAnsi="Times New Roman" w:cs="Times New Roman"/>
          <w:sz w:val="24"/>
          <w:szCs w:val="24"/>
        </w:rPr>
        <w:t>more than 3 times the June figure</w:t>
      </w:r>
      <w:r w:rsidR="00883293" w:rsidRPr="00883293">
        <w:t xml:space="preserve"> </w:t>
      </w:r>
      <w:r w:rsidR="00883293" w:rsidRPr="00883293">
        <w:rPr>
          <w:rFonts w:ascii="Times New Roman" w:hAnsi="Times New Roman" w:cs="Times New Roman"/>
          <w:sz w:val="24"/>
          <w:szCs w:val="24"/>
        </w:rPr>
        <w:t>(Aranda et al., 2023)</w:t>
      </w:r>
      <w:r w:rsidRPr="00C313A6">
        <w:rPr>
          <w:rFonts w:ascii="Times New Roman" w:hAnsi="Times New Roman" w:cs="Times New Roman"/>
          <w:sz w:val="24"/>
          <w:szCs w:val="24"/>
        </w:rPr>
        <w:t>. This ties up cash unnecessarily and increases storage and obsolescence risks. A chart of closing stock levels (Figure 1) illustrates this upward trend.</w:t>
      </w:r>
    </w:p>
    <w:p w14:paraId="6D351CB7" w14:textId="77777777" w:rsidR="00CE5EBF" w:rsidRDefault="00CE5EBF" w:rsidP="001927BC">
      <w:pPr>
        <w:pStyle w:val="Caption"/>
        <w:keepNext/>
        <w:jc w:val="center"/>
      </w:pPr>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041D49">
        <w:t>Stock budget, June–November.</w:t>
      </w:r>
    </w:p>
    <w:tbl>
      <w:tblPr>
        <w:tblStyle w:val="TableGrid"/>
        <w:tblW w:w="5000" w:type="pct"/>
        <w:tblLook w:val="0020" w:firstRow="1" w:lastRow="0" w:firstColumn="0" w:lastColumn="0" w:noHBand="0" w:noVBand="0"/>
      </w:tblPr>
      <w:tblGrid>
        <w:gridCol w:w="1391"/>
        <w:gridCol w:w="2150"/>
        <w:gridCol w:w="1953"/>
        <w:gridCol w:w="1465"/>
        <w:gridCol w:w="2057"/>
      </w:tblGrid>
      <w:tr w:rsidR="00083D27" w:rsidRPr="00C313A6" w14:paraId="4326C1DF" w14:textId="77777777" w:rsidTr="00B956E0">
        <w:tc>
          <w:tcPr>
            <w:tcW w:w="0" w:type="auto"/>
          </w:tcPr>
          <w:p w14:paraId="299B92B1" w14:textId="77777777" w:rsidR="00083D27" w:rsidRPr="00BA54F0" w:rsidRDefault="00000000" w:rsidP="00BA54F0">
            <w:pPr>
              <w:spacing w:line="360" w:lineRule="auto"/>
              <w:jc w:val="center"/>
              <w:rPr>
                <w:rFonts w:ascii="Times New Roman" w:hAnsi="Times New Roman" w:cs="Times New Roman"/>
                <w:b/>
                <w:bCs/>
                <w:sz w:val="24"/>
                <w:szCs w:val="24"/>
              </w:rPr>
            </w:pPr>
            <w:r w:rsidRPr="00BA54F0">
              <w:rPr>
                <w:rFonts w:ascii="Times New Roman" w:hAnsi="Times New Roman" w:cs="Times New Roman"/>
                <w:b/>
                <w:bCs/>
                <w:sz w:val="24"/>
                <w:szCs w:val="24"/>
              </w:rPr>
              <w:t>Month</w:t>
            </w:r>
          </w:p>
        </w:tc>
        <w:tc>
          <w:tcPr>
            <w:tcW w:w="0" w:type="auto"/>
          </w:tcPr>
          <w:p w14:paraId="50574DAB" w14:textId="77777777" w:rsidR="00083D27" w:rsidRPr="00BA54F0" w:rsidRDefault="00000000" w:rsidP="00BA54F0">
            <w:pPr>
              <w:spacing w:line="360" w:lineRule="auto"/>
              <w:jc w:val="center"/>
              <w:rPr>
                <w:rFonts w:ascii="Times New Roman" w:hAnsi="Times New Roman" w:cs="Times New Roman"/>
                <w:b/>
                <w:bCs/>
                <w:sz w:val="24"/>
                <w:szCs w:val="24"/>
              </w:rPr>
            </w:pPr>
            <w:r w:rsidRPr="00BA54F0">
              <w:rPr>
                <w:rFonts w:ascii="Times New Roman" w:hAnsi="Times New Roman" w:cs="Times New Roman"/>
                <w:b/>
                <w:bCs/>
                <w:sz w:val="24"/>
                <w:szCs w:val="24"/>
              </w:rPr>
              <w:t>Opening stock (£ 000)</w:t>
            </w:r>
          </w:p>
        </w:tc>
        <w:tc>
          <w:tcPr>
            <w:tcW w:w="0" w:type="auto"/>
          </w:tcPr>
          <w:p w14:paraId="404B69E5" w14:textId="77777777" w:rsidR="00083D27" w:rsidRPr="00BA54F0" w:rsidRDefault="00000000" w:rsidP="00BA54F0">
            <w:pPr>
              <w:spacing w:line="360" w:lineRule="auto"/>
              <w:jc w:val="center"/>
              <w:rPr>
                <w:rFonts w:ascii="Times New Roman" w:hAnsi="Times New Roman" w:cs="Times New Roman"/>
                <w:b/>
                <w:bCs/>
                <w:sz w:val="24"/>
                <w:szCs w:val="24"/>
              </w:rPr>
            </w:pPr>
            <w:r w:rsidRPr="00BA54F0">
              <w:rPr>
                <w:rFonts w:ascii="Times New Roman" w:hAnsi="Times New Roman" w:cs="Times New Roman"/>
                <w:b/>
                <w:bCs/>
                <w:sz w:val="24"/>
                <w:szCs w:val="24"/>
              </w:rPr>
              <w:t>Purchases (£ 000)</w:t>
            </w:r>
          </w:p>
        </w:tc>
        <w:tc>
          <w:tcPr>
            <w:tcW w:w="0" w:type="auto"/>
          </w:tcPr>
          <w:p w14:paraId="282A48B0" w14:textId="77777777" w:rsidR="00083D27" w:rsidRPr="00BA54F0" w:rsidRDefault="00000000" w:rsidP="00BA54F0">
            <w:pPr>
              <w:spacing w:line="360" w:lineRule="auto"/>
              <w:jc w:val="center"/>
              <w:rPr>
                <w:rFonts w:ascii="Times New Roman" w:hAnsi="Times New Roman" w:cs="Times New Roman"/>
                <w:b/>
                <w:bCs/>
                <w:sz w:val="24"/>
                <w:szCs w:val="24"/>
              </w:rPr>
            </w:pPr>
            <w:r w:rsidRPr="00BA54F0">
              <w:rPr>
                <w:rFonts w:ascii="Times New Roman" w:hAnsi="Times New Roman" w:cs="Times New Roman"/>
                <w:b/>
                <w:bCs/>
                <w:sz w:val="24"/>
                <w:szCs w:val="24"/>
              </w:rPr>
              <w:t>COGS (£ 000)</w:t>
            </w:r>
          </w:p>
        </w:tc>
        <w:tc>
          <w:tcPr>
            <w:tcW w:w="0" w:type="auto"/>
          </w:tcPr>
          <w:p w14:paraId="79336140" w14:textId="77777777" w:rsidR="00083D27" w:rsidRPr="00BA54F0" w:rsidRDefault="00000000" w:rsidP="00BA54F0">
            <w:pPr>
              <w:spacing w:line="360" w:lineRule="auto"/>
              <w:jc w:val="center"/>
              <w:rPr>
                <w:rFonts w:ascii="Times New Roman" w:hAnsi="Times New Roman" w:cs="Times New Roman"/>
                <w:b/>
                <w:bCs/>
                <w:sz w:val="24"/>
                <w:szCs w:val="24"/>
              </w:rPr>
            </w:pPr>
            <w:r w:rsidRPr="00BA54F0">
              <w:rPr>
                <w:rFonts w:ascii="Times New Roman" w:hAnsi="Times New Roman" w:cs="Times New Roman"/>
                <w:b/>
                <w:bCs/>
                <w:sz w:val="24"/>
                <w:szCs w:val="24"/>
              </w:rPr>
              <w:t>Closing stock (£ 000)</w:t>
            </w:r>
          </w:p>
        </w:tc>
      </w:tr>
      <w:tr w:rsidR="00083D27" w:rsidRPr="00C313A6" w14:paraId="23CC242D" w14:textId="77777777" w:rsidTr="00B956E0">
        <w:tc>
          <w:tcPr>
            <w:tcW w:w="0" w:type="auto"/>
          </w:tcPr>
          <w:p w14:paraId="40E857F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June</w:t>
            </w:r>
          </w:p>
        </w:tc>
        <w:tc>
          <w:tcPr>
            <w:tcW w:w="0" w:type="auto"/>
          </w:tcPr>
          <w:p w14:paraId="2C834AF1"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90.0</w:t>
            </w:r>
          </w:p>
        </w:tc>
        <w:tc>
          <w:tcPr>
            <w:tcW w:w="0" w:type="auto"/>
          </w:tcPr>
          <w:p w14:paraId="43DEB978"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150.0</w:t>
            </w:r>
          </w:p>
        </w:tc>
        <w:tc>
          <w:tcPr>
            <w:tcW w:w="0" w:type="auto"/>
          </w:tcPr>
          <w:p w14:paraId="527E1A18"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130.0</w:t>
            </w:r>
          </w:p>
        </w:tc>
        <w:tc>
          <w:tcPr>
            <w:tcW w:w="0" w:type="auto"/>
          </w:tcPr>
          <w:p w14:paraId="4ABBDAF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110.0</w:t>
            </w:r>
          </w:p>
        </w:tc>
      </w:tr>
      <w:tr w:rsidR="00083D27" w:rsidRPr="00C313A6" w14:paraId="1D8B980E" w14:textId="77777777" w:rsidTr="00B956E0">
        <w:tc>
          <w:tcPr>
            <w:tcW w:w="0" w:type="auto"/>
          </w:tcPr>
          <w:p w14:paraId="6994A225"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lastRenderedPageBreak/>
              <w:t>July</w:t>
            </w:r>
          </w:p>
        </w:tc>
        <w:tc>
          <w:tcPr>
            <w:tcW w:w="0" w:type="auto"/>
          </w:tcPr>
          <w:p w14:paraId="061D5071"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110.0</w:t>
            </w:r>
          </w:p>
        </w:tc>
        <w:tc>
          <w:tcPr>
            <w:tcW w:w="0" w:type="auto"/>
          </w:tcPr>
          <w:p w14:paraId="2DA3C13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180.0</w:t>
            </w:r>
          </w:p>
        </w:tc>
        <w:tc>
          <w:tcPr>
            <w:tcW w:w="0" w:type="auto"/>
          </w:tcPr>
          <w:p w14:paraId="7E381D5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156.0</w:t>
            </w:r>
          </w:p>
        </w:tc>
        <w:tc>
          <w:tcPr>
            <w:tcW w:w="0" w:type="auto"/>
          </w:tcPr>
          <w:p w14:paraId="49CB7671"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134.0</w:t>
            </w:r>
          </w:p>
        </w:tc>
      </w:tr>
      <w:tr w:rsidR="00083D27" w:rsidRPr="00C313A6" w14:paraId="3876F5EE" w14:textId="77777777" w:rsidTr="00B956E0">
        <w:tc>
          <w:tcPr>
            <w:tcW w:w="0" w:type="auto"/>
          </w:tcPr>
          <w:p w14:paraId="0F55241C"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August</w:t>
            </w:r>
          </w:p>
        </w:tc>
        <w:tc>
          <w:tcPr>
            <w:tcW w:w="0" w:type="auto"/>
          </w:tcPr>
          <w:p w14:paraId="5057038A"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134.0</w:t>
            </w:r>
          </w:p>
        </w:tc>
        <w:tc>
          <w:tcPr>
            <w:tcW w:w="0" w:type="auto"/>
          </w:tcPr>
          <w:p w14:paraId="352F95E8"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190.0</w:t>
            </w:r>
          </w:p>
        </w:tc>
        <w:tc>
          <w:tcPr>
            <w:tcW w:w="0" w:type="auto"/>
          </w:tcPr>
          <w:p w14:paraId="7D96B7C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136.5</w:t>
            </w:r>
          </w:p>
        </w:tc>
        <w:tc>
          <w:tcPr>
            <w:tcW w:w="0" w:type="auto"/>
          </w:tcPr>
          <w:p w14:paraId="1A15269C"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187.5</w:t>
            </w:r>
          </w:p>
        </w:tc>
      </w:tr>
      <w:tr w:rsidR="00083D27" w:rsidRPr="00C313A6" w14:paraId="7A5226BB" w14:textId="77777777" w:rsidTr="00B956E0">
        <w:tc>
          <w:tcPr>
            <w:tcW w:w="0" w:type="auto"/>
          </w:tcPr>
          <w:p w14:paraId="46C57B5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September</w:t>
            </w:r>
          </w:p>
        </w:tc>
        <w:tc>
          <w:tcPr>
            <w:tcW w:w="0" w:type="auto"/>
          </w:tcPr>
          <w:p w14:paraId="21195DD9"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187.5</w:t>
            </w:r>
          </w:p>
        </w:tc>
        <w:tc>
          <w:tcPr>
            <w:tcW w:w="0" w:type="auto"/>
          </w:tcPr>
          <w:p w14:paraId="65320BDF"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160.0</w:t>
            </w:r>
          </w:p>
        </w:tc>
        <w:tc>
          <w:tcPr>
            <w:tcW w:w="0" w:type="auto"/>
          </w:tcPr>
          <w:p w14:paraId="4BFE532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143.0</w:t>
            </w:r>
          </w:p>
        </w:tc>
        <w:tc>
          <w:tcPr>
            <w:tcW w:w="0" w:type="auto"/>
          </w:tcPr>
          <w:p w14:paraId="76C8397B"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204.5</w:t>
            </w:r>
          </w:p>
        </w:tc>
      </w:tr>
      <w:tr w:rsidR="00083D27" w:rsidRPr="00C313A6" w14:paraId="780B998E" w14:textId="77777777" w:rsidTr="00B956E0">
        <w:tc>
          <w:tcPr>
            <w:tcW w:w="0" w:type="auto"/>
          </w:tcPr>
          <w:p w14:paraId="3CA4C84C"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October</w:t>
            </w:r>
          </w:p>
        </w:tc>
        <w:tc>
          <w:tcPr>
            <w:tcW w:w="0" w:type="auto"/>
          </w:tcPr>
          <w:p w14:paraId="18A4E8E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204.5</w:t>
            </w:r>
          </w:p>
        </w:tc>
        <w:tc>
          <w:tcPr>
            <w:tcW w:w="0" w:type="auto"/>
          </w:tcPr>
          <w:p w14:paraId="09877881"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200.0</w:t>
            </w:r>
          </w:p>
        </w:tc>
        <w:tc>
          <w:tcPr>
            <w:tcW w:w="0" w:type="auto"/>
          </w:tcPr>
          <w:p w14:paraId="2D26A224"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149.5</w:t>
            </w:r>
          </w:p>
        </w:tc>
        <w:tc>
          <w:tcPr>
            <w:tcW w:w="0" w:type="auto"/>
          </w:tcPr>
          <w:p w14:paraId="3E26F82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255.0</w:t>
            </w:r>
          </w:p>
        </w:tc>
      </w:tr>
      <w:tr w:rsidR="00083D27" w:rsidRPr="00C313A6" w14:paraId="7DDFDE7D" w14:textId="77777777" w:rsidTr="00B956E0">
        <w:tc>
          <w:tcPr>
            <w:tcW w:w="0" w:type="auto"/>
          </w:tcPr>
          <w:p w14:paraId="700EDA2A"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November</w:t>
            </w:r>
          </w:p>
        </w:tc>
        <w:tc>
          <w:tcPr>
            <w:tcW w:w="0" w:type="auto"/>
          </w:tcPr>
          <w:p w14:paraId="04D4679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255.0</w:t>
            </w:r>
          </w:p>
        </w:tc>
        <w:tc>
          <w:tcPr>
            <w:tcW w:w="0" w:type="auto"/>
          </w:tcPr>
          <w:p w14:paraId="63968F60"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210.0</w:t>
            </w:r>
          </w:p>
        </w:tc>
        <w:tc>
          <w:tcPr>
            <w:tcW w:w="0" w:type="auto"/>
          </w:tcPr>
          <w:p w14:paraId="22074452"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162.5</w:t>
            </w:r>
          </w:p>
        </w:tc>
        <w:tc>
          <w:tcPr>
            <w:tcW w:w="0" w:type="auto"/>
          </w:tcPr>
          <w:p w14:paraId="0BD4CD9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302.5</w:t>
            </w:r>
          </w:p>
        </w:tc>
      </w:tr>
    </w:tbl>
    <w:p w14:paraId="106749F0" w14:textId="77777777" w:rsidR="00CE5EBF" w:rsidRDefault="00000000" w:rsidP="00CE5EBF">
      <w:pPr>
        <w:keepNext/>
        <w:spacing w:line="360" w:lineRule="auto"/>
        <w:jc w:val="center"/>
      </w:pPr>
      <w:r w:rsidRPr="00C313A6">
        <w:rPr>
          <w:rFonts w:ascii="Times New Roman" w:hAnsi="Times New Roman" w:cs="Times New Roman"/>
          <w:noProof/>
          <w:sz w:val="24"/>
          <w:szCs w:val="24"/>
        </w:rPr>
        <w:drawing>
          <wp:inline distT="0" distB="0" distL="0" distR="0" wp14:anchorId="683834CE" wp14:editId="4F4EA152">
            <wp:extent cx="4954905" cy="2917190"/>
            <wp:effectExtent l="0" t="0" r="0" b="0"/>
            <wp:docPr id="23" name="Picture" descr="Closing stock levels line chart"/>
            <wp:cNvGraphicFramePr/>
            <a:graphic xmlns:a="http://schemas.openxmlformats.org/drawingml/2006/main">
              <a:graphicData uri="http://schemas.openxmlformats.org/drawingml/2006/picture">
                <pic:pic xmlns:pic="http://schemas.openxmlformats.org/drawingml/2006/picture">
                  <pic:nvPicPr>
                    <pic:cNvPr id="24" name="Picture" descr="stock_chart.png"/>
                    <pic:cNvPicPr>
                      <a:picLocks noChangeAspect="1" noChangeArrowheads="1"/>
                    </pic:cNvPicPr>
                  </pic:nvPicPr>
                  <pic:blipFill>
                    <a:blip r:embed="rId9"/>
                    <a:stretch>
                      <a:fillRect/>
                    </a:stretch>
                  </pic:blipFill>
                  <pic:spPr bwMode="auto">
                    <a:xfrm>
                      <a:off x="0" y="0"/>
                      <a:ext cx="4955060" cy="2917281"/>
                    </a:xfrm>
                    <a:prstGeom prst="rect">
                      <a:avLst/>
                    </a:prstGeom>
                    <a:noFill/>
                    <a:ln w="9525">
                      <a:noFill/>
                      <a:headEnd/>
                      <a:tailEnd/>
                    </a:ln>
                  </pic:spPr>
                </pic:pic>
              </a:graphicData>
            </a:graphic>
          </wp:inline>
        </w:drawing>
      </w:r>
    </w:p>
    <w:p w14:paraId="658C3EA6" w14:textId="77777777" w:rsidR="00083D27" w:rsidRPr="00C313A6" w:rsidRDefault="00CE5EBF" w:rsidP="00CE5EBF">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AA5C5E">
        <w:t>Closing stock levels line chart</w:t>
      </w:r>
      <w:r>
        <w:t xml:space="preserve"> </w:t>
      </w:r>
      <w:r w:rsidRPr="00CE5EBF">
        <w:t>Closing stock levels (June–November). The inventory policy ensures that minimum stock is never breached; however, the upward trajectory locks up cash that could be used to eliminate the overdraft sooner</w:t>
      </w:r>
    </w:p>
    <w:p w14:paraId="504C4490" w14:textId="438FAB23" w:rsidR="00083D27" w:rsidRPr="00CE5EBF" w:rsidRDefault="00B216BB" w:rsidP="006175D1">
      <w:pPr>
        <w:pStyle w:val="Heading2"/>
      </w:pPr>
      <w:bookmarkStart w:id="9" w:name="_Toc206949487"/>
      <w:bookmarkStart w:id="10" w:name="cash-budget"/>
      <w:bookmarkEnd w:id="8"/>
      <w:r>
        <w:t>1</w:t>
      </w:r>
      <w:r w:rsidRPr="00CE5EBF">
        <w:t>.2 Cash budget</w:t>
      </w:r>
      <w:bookmarkEnd w:id="9"/>
    </w:p>
    <w:p w14:paraId="18EF357C" w14:textId="6AF9A35D"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 xml:space="preserve">Table 2 presents the cash budget for June to November. Receipts comprise sales revenue for each month. Payments to </w:t>
      </w:r>
      <w:r w:rsidR="00CE5EBF" w:rsidRPr="00C313A6">
        <w:rPr>
          <w:rFonts w:ascii="Times New Roman" w:hAnsi="Times New Roman" w:cs="Times New Roman"/>
          <w:sz w:val="24"/>
          <w:szCs w:val="24"/>
        </w:rPr>
        <w:t>supplier’s</w:t>
      </w:r>
      <w:r w:rsidRPr="00C313A6">
        <w:rPr>
          <w:rFonts w:ascii="Times New Roman" w:hAnsi="Times New Roman" w:cs="Times New Roman"/>
          <w:sz w:val="24"/>
          <w:szCs w:val="24"/>
        </w:rPr>
        <w:t xml:space="preserve"> equal purchases from the previous month (170 k for June because May purchases were 170 k). Administration cash is administration expense minus depreciation; selling expenses are paid one month in arrears; tax of 15 k is paid in August; interest and principal on the loan are separated to highlight that only interest is an expense</w:t>
      </w:r>
      <w:r w:rsidR="00883293" w:rsidRPr="00883293">
        <w:t xml:space="preserve"> </w:t>
      </w:r>
      <w:r w:rsidR="00883293" w:rsidRPr="00883293">
        <w:rPr>
          <w:rFonts w:ascii="Times New Roman" w:hAnsi="Times New Roman" w:cs="Times New Roman"/>
          <w:sz w:val="24"/>
          <w:szCs w:val="24"/>
        </w:rPr>
        <w:t>(Kihn et al., 2023)</w:t>
      </w:r>
      <w:r w:rsidRPr="00C313A6">
        <w:rPr>
          <w:rFonts w:ascii="Times New Roman" w:hAnsi="Times New Roman" w:cs="Times New Roman"/>
          <w:sz w:val="24"/>
          <w:szCs w:val="24"/>
        </w:rPr>
        <w:t>. The credit‑card fee (0.9 % of sales) is shown separately, emphasising its impact on cash flow. The closing cash balance at the end of each month reveals periods of overdraft and surplus.</w:t>
      </w:r>
    </w:p>
    <w:p w14:paraId="2BE3A27A" w14:textId="77777777" w:rsidR="00C972D1" w:rsidRDefault="00C972D1" w:rsidP="00CE5EBF">
      <w:pPr>
        <w:pStyle w:val="Caption"/>
        <w:keepNext/>
        <w:jc w:val="center"/>
      </w:pPr>
      <w:r>
        <w:t xml:space="preserve">Table </w:t>
      </w:r>
      <w:r w:rsidR="00CE5EBF">
        <w:fldChar w:fldCharType="begin"/>
      </w:r>
      <w:r w:rsidR="00CE5EBF">
        <w:instrText xml:space="preserve"> SEQ Table \* ARABIC </w:instrText>
      </w:r>
      <w:r w:rsidR="00CE5EBF">
        <w:fldChar w:fldCharType="separate"/>
      </w:r>
      <w:r w:rsidR="00CE5EBF">
        <w:rPr>
          <w:noProof/>
        </w:rPr>
        <w:t>2</w:t>
      </w:r>
      <w:r w:rsidR="00CE5EBF">
        <w:rPr>
          <w:noProof/>
        </w:rPr>
        <w:fldChar w:fldCharType="end"/>
      </w:r>
      <w:r>
        <w:t xml:space="preserve"> </w:t>
      </w:r>
      <w:r w:rsidRPr="001B2812">
        <w:t>Cash budget, June–November.</w:t>
      </w:r>
    </w:p>
    <w:tbl>
      <w:tblPr>
        <w:tblStyle w:val="TableGrid"/>
        <w:tblW w:w="5138" w:type="pct"/>
        <w:jc w:val="center"/>
        <w:tblLook w:val="0020" w:firstRow="1" w:lastRow="0" w:firstColumn="0" w:lastColumn="0" w:noHBand="0" w:noVBand="0"/>
      </w:tblPr>
      <w:tblGrid>
        <w:gridCol w:w="1390"/>
        <w:gridCol w:w="817"/>
        <w:gridCol w:w="839"/>
        <w:gridCol w:w="684"/>
        <w:gridCol w:w="1057"/>
        <w:gridCol w:w="684"/>
        <w:gridCol w:w="722"/>
        <w:gridCol w:w="808"/>
        <w:gridCol w:w="684"/>
        <w:gridCol w:w="684"/>
        <w:gridCol w:w="951"/>
        <w:gridCol w:w="957"/>
        <w:gridCol w:w="957"/>
      </w:tblGrid>
      <w:tr w:rsidR="00CE5EBF" w:rsidRPr="00C313A6" w14:paraId="00FB438D" w14:textId="77777777" w:rsidTr="00CE5EBF">
        <w:trPr>
          <w:jc w:val="center"/>
        </w:trPr>
        <w:tc>
          <w:tcPr>
            <w:tcW w:w="586" w:type="pct"/>
          </w:tcPr>
          <w:p w14:paraId="56DCE049"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Month</w:t>
            </w:r>
          </w:p>
        </w:tc>
        <w:tc>
          <w:tcPr>
            <w:tcW w:w="364" w:type="pct"/>
          </w:tcPr>
          <w:p w14:paraId="729532AC"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Receipts (£ 000)</w:t>
            </w:r>
          </w:p>
        </w:tc>
        <w:tc>
          <w:tcPr>
            <w:tcW w:w="0" w:type="auto"/>
          </w:tcPr>
          <w:p w14:paraId="60C5EEBD"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Pay suppliers (£ 000)</w:t>
            </w:r>
          </w:p>
        </w:tc>
        <w:tc>
          <w:tcPr>
            <w:tcW w:w="0" w:type="auto"/>
          </w:tcPr>
          <w:p w14:paraId="2464A50C"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Admin cash (£ 000)</w:t>
            </w:r>
          </w:p>
        </w:tc>
        <w:tc>
          <w:tcPr>
            <w:tcW w:w="0" w:type="auto"/>
          </w:tcPr>
          <w:p w14:paraId="441C95C6"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Selling (prev month) (£ 000)</w:t>
            </w:r>
          </w:p>
        </w:tc>
        <w:tc>
          <w:tcPr>
            <w:tcW w:w="0" w:type="auto"/>
          </w:tcPr>
          <w:p w14:paraId="17AAB3A9"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Tax (£ 000)</w:t>
            </w:r>
          </w:p>
        </w:tc>
        <w:tc>
          <w:tcPr>
            <w:tcW w:w="0" w:type="auto"/>
          </w:tcPr>
          <w:p w14:paraId="0ABB0EFF"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Interest (£ 000)</w:t>
            </w:r>
          </w:p>
        </w:tc>
        <w:tc>
          <w:tcPr>
            <w:tcW w:w="0" w:type="auto"/>
          </w:tcPr>
          <w:p w14:paraId="453B13BE"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Principal (£ 000)</w:t>
            </w:r>
          </w:p>
        </w:tc>
        <w:tc>
          <w:tcPr>
            <w:tcW w:w="0" w:type="auto"/>
          </w:tcPr>
          <w:p w14:paraId="06714854"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Refurb (£ 000)</w:t>
            </w:r>
          </w:p>
        </w:tc>
        <w:tc>
          <w:tcPr>
            <w:tcW w:w="0" w:type="auto"/>
          </w:tcPr>
          <w:p w14:paraId="42F06BFF"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Card fee (£ 000)</w:t>
            </w:r>
          </w:p>
        </w:tc>
        <w:tc>
          <w:tcPr>
            <w:tcW w:w="0" w:type="auto"/>
          </w:tcPr>
          <w:p w14:paraId="1C6BF94B"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Total outflows (£ 000)</w:t>
            </w:r>
          </w:p>
        </w:tc>
        <w:tc>
          <w:tcPr>
            <w:tcW w:w="0" w:type="auto"/>
          </w:tcPr>
          <w:p w14:paraId="75477C0C"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Net cash flow (£ 000)</w:t>
            </w:r>
          </w:p>
        </w:tc>
        <w:tc>
          <w:tcPr>
            <w:tcW w:w="560" w:type="pct"/>
          </w:tcPr>
          <w:p w14:paraId="526ED557" w14:textId="77777777" w:rsidR="00083D27" w:rsidRPr="00CE5EBF" w:rsidRDefault="00000000" w:rsidP="00CE5EBF">
            <w:pPr>
              <w:spacing w:line="360" w:lineRule="auto"/>
              <w:jc w:val="center"/>
              <w:rPr>
                <w:rFonts w:ascii="Times New Roman" w:hAnsi="Times New Roman" w:cs="Times New Roman"/>
                <w:b/>
                <w:bCs/>
                <w:sz w:val="14"/>
                <w:szCs w:val="14"/>
              </w:rPr>
            </w:pPr>
            <w:r w:rsidRPr="00CE5EBF">
              <w:rPr>
                <w:rFonts w:ascii="Times New Roman" w:hAnsi="Times New Roman" w:cs="Times New Roman"/>
                <w:b/>
                <w:bCs/>
                <w:sz w:val="14"/>
                <w:szCs w:val="14"/>
              </w:rPr>
              <w:t>Closing cash balance (£ 000)</w:t>
            </w:r>
          </w:p>
        </w:tc>
      </w:tr>
      <w:tr w:rsidR="00CE5EBF" w:rsidRPr="00C313A6" w14:paraId="5D6B2C37" w14:textId="77777777" w:rsidTr="00CE5EBF">
        <w:trPr>
          <w:jc w:val="center"/>
        </w:trPr>
        <w:tc>
          <w:tcPr>
            <w:tcW w:w="586" w:type="pct"/>
          </w:tcPr>
          <w:p w14:paraId="425B1CA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June</w:t>
            </w:r>
          </w:p>
        </w:tc>
        <w:tc>
          <w:tcPr>
            <w:tcW w:w="364" w:type="pct"/>
          </w:tcPr>
          <w:p w14:paraId="3C667DB2"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200.0</w:t>
            </w:r>
          </w:p>
        </w:tc>
        <w:tc>
          <w:tcPr>
            <w:tcW w:w="0" w:type="auto"/>
          </w:tcPr>
          <w:p w14:paraId="42F0EADC"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170.0</w:t>
            </w:r>
          </w:p>
        </w:tc>
        <w:tc>
          <w:tcPr>
            <w:tcW w:w="0" w:type="auto"/>
          </w:tcPr>
          <w:p w14:paraId="2F6EC18E"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17.0</w:t>
            </w:r>
          </w:p>
        </w:tc>
        <w:tc>
          <w:tcPr>
            <w:tcW w:w="0" w:type="auto"/>
          </w:tcPr>
          <w:p w14:paraId="470430F0"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5.0</w:t>
            </w:r>
          </w:p>
        </w:tc>
        <w:tc>
          <w:tcPr>
            <w:tcW w:w="0" w:type="auto"/>
          </w:tcPr>
          <w:p w14:paraId="06D6448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0.0</w:t>
            </w:r>
          </w:p>
        </w:tc>
        <w:tc>
          <w:tcPr>
            <w:tcW w:w="0" w:type="auto"/>
          </w:tcPr>
          <w:p w14:paraId="65109522"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1.0</w:t>
            </w:r>
          </w:p>
        </w:tc>
        <w:tc>
          <w:tcPr>
            <w:tcW w:w="0" w:type="auto"/>
          </w:tcPr>
          <w:p w14:paraId="4836373B"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3.0</w:t>
            </w:r>
          </w:p>
        </w:tc>
        <w:tc>
          <w:tcPr>
            <w:tcW w:w="0" w:type="auto"/>
          </w:tcPr>
          <w:p w14:paraId="62F1B244"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12.0</w:t>
            </w:r>
          </w:p>
        </w:tc>
        <w:tc>
          <w:tcPr>
            <w:tcW w:w="0" w:type="auto"/>
          </w:tcPr>
          <w:p w14:paraId="6D50C0C1"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1.8</w:t>
            </w:r>
          </w:p>
        </w:tc>
        <w:tc>
          <w:tcPr>
            <w:tcW w:w="0" w:type="auto"/>
          </w:tcPr>
          <w:p w14:paraId="4DFF951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209.8</w:t>
            </w:r>
          </w:p>
        </w:tc>
        <w:tc>
          <w:tcPr>
            <w:tcW w:w="0" w:type="auto"/>
          </w:tcPr>
          <w:p w14:paraId="6107594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−9.8</w:t>
            </w:r>
          </w:p>
        </w:tc>
        <w:tc>
          <w:tcPr>
            <w:tcW w:w="560" w:type="pct"/>
          </w:tcPr>
          <w:p w14:paraId="71F84B3C"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−34.8</w:t>
            </w:r>
          </w:p>
        </w:tc>
      </w:tr>
      <w:tr w:rsidR="00CE5EBF" w:rsidRPr="00C313A6" w14:paraId="514788CA" w14:textId="77777777" w:rsidTr="00CE5EBF">
        <w:trPr>
          <w:jc w:val="center"/>
        </w:trPr>
        <w:tc>
          <w:tcPr>
            <w:tcW w:w="586" w:type="pct"/>
          </w:tcPr>
          <w:p w14:paraId="738C17B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July</w:t>
            </w:r>
          </w:p>
        </w:tc>
        <w:tc>
          <w:tcPr>
            <w:tcW w:w="364" w:type="pct"/>
          </w:tcPr>
          <w:p w14:paraId="6076AA3C"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240.0</w:t>
            </w:r>
          </w:p>
        </w:tc>
        <w:tc>
          <w:tcPr>
            <w:tcW w:w="0" w:type="auto"/>
          </w:tcPr>
          <w:p w14:paraId="436DA939"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150.0</w:t>
            </w:r>
          </w:p>
        </w:tc>
        <w:tc>
          <w:tcPr>
            <w:tcW w:w="0" w:type="auto"/>
          </w:tcPr>
          <w:p w14:paraId="6101B8FC"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18.0</w:t>
            </w:r>
          </w:p>
        </w:tc>
        <w:tc>
          <w:tcPr>
            <w:tcW w:w="0" w:type="auto"/>
          </w:tcPr>
          <w:p w14:paraId="1A228E1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6.0</w:t>
            </w:r>
          </w:p>
        </w:tc>
        <w:tc>
          <w:tcPr>
            <w:tcW w:w="0" w:type="auto"/>
          </w:tcPr>
          <w:p w14:paraId="3AB2BDF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0.0</w:t>
            </w:r>
          </w:p>
        </w:tc>
        <w:tc>
          <w:tcPr>
            <w:tcW w:w="0" w:type="auto"/>
          </w:tcPr>
          <w:p w14:paraId="762E4E85"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1.0</w:t>
            </w:r>
          </w:p>
        </w:tc>
        <w:tc>
          <w:tcPr>
            <w:tcW w:w="0" w:type="auto"/>
          </w:tcPr>
          <w:p w14:paraId="69874172"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3.0</w:t>
            </w:r>
          </w:p>
        </w:tc>
        <w:tc>
          <w:tcPr>
            <w:tcW w:w="0" w:type="auto"/>
          </w:tcPr>
          <w:p w14:paraId="04E69972"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10.0</w:t>
            </w:r>
          </w:p>
        </w:tc>
        <w:tc>
          <w:tcPr>
            <w:tcW w:w="0" w:type="auto"/>
          </w:tcPr>
          <w:p w14:paraId="1D99548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2.16</w:t>
            </w:r>
          </w:p>
        </w:tc>
        <w:tc>
          <w:tcPr>
            <w:tcW w:w="0" w:type="auto"/>
          </w:tcPr>
          <w:p w14:paraId="1E4C75AB"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190.16</w:t>
            </w:r>
          </w:p>
        </w:tc>
        <w:tc>
          <w:tcPr>
            <w:tcW w:w="0" w:type="auto"/>
          </w:tcPr>
          <w:p w14:paraId="764AE48E"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49.84</w:t>
            </w:r>
          </w:p>
        </w:tc>
        <w:tc>
          <w:tcPr>
            <w:tcW w:w="560" w:type="pct"/>
          </w:tcPr>
          <w:p w14:paraId="322F07B5"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15.04</w:t>
            </w:r>
          </w:p>
        </w:tc>
      </w:tr>
      <w:tr w:rsidR="00CE5EBF" w:rsidRPr="00C313A6" w14:paraId="15443A28" w14:textId="77777777" w:rsidTr="00CE5EBF">
        <w:trPr>
          <w:jc w:val="center"/>
        </w:trPr>
        <w:tc>
          <w:tcPr>
            <w:tcW w:w="586" w:type="pct"/>
          </w:tcPr>
          <w:p w14:paraId="405785A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lastRenderedPageBreak/>
              <w:t>August</w:t>
            </w:r>
          </w:p>
        </w:tc>
        <w:tc>
          <w:tcPr>
            <w:tcW w:w="364" w:type="pct"/>
          </w:tcPr>
          <w:p w14:paraId="78AF0A1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210.0</w:t>
            </w:r>
          </w:p>
        </w:tc>
        <w:tc>
          <w:tcPr>
            <w:tcW w:w="0" w:type="auto"/>
          </w:tcPr>
          <w:p w14:paraId="6E231DEC"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180.0</w:t>
            </w:r>
          </w:p>
        </w:tc>
        <w:tc>
          <w:tcPr>
            <w:tcW w:w="0" w:type="auto"/>
          </w:tcPr>
          <w:p w14:paraId="543FD374"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19.0</w:t>
            </w:r>
          </w:p>
        </w:tc>
        <w:tc>
          <w:tcPr>
            <w:tcW w:w="0" w:type="auto"/>
          </w:tcPr>
          <w:p w14:paraId="2F9FF88F"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7.0</w:t>
            </w:r>
          </w:p>
        </w:tc>
        <w:tc>
          <w:tcPr>
            <w:tcW w:w="0" w:type="auto"/>
          </w:tcPr>
          <w:p w14:paraId="270F639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15.0</w:t>
            </w:r>
          </w:p>
        </w:tc>
        <w:tc>
          <w:tcPr>
            <w:tcW w:w="0" w:type="auto"/>
          </w:tcPr>
          <w:p w14:paraId="146D337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1.0</w:t>
            </w:r>
          </w:p>
        </w:tc>
        <w:tc>
          <w:tcPr>
            <w:tcW w:w="0" w:type="auto"/>
          </w:tcPr>
          <w:p w14:paraId="3C5BFCE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3.0</w:t>
            </w:r>
          </w:p>
        </w:tc>
        <w:tc>
          <w:tcPr>
            <w:tcW w:w="0" w:type="auto"/>
          </w:tcPr>
          <w:p w14:paraId="3001E4E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14.0</w:t>
            </w:r>
          </w:p>
        </w:tc>
        <w:tc>
          <w:tcPr>
            <w:tcW w:w="0" w:type="auto"/>
          </w:tcPr>
          <w:p w14:paraId="53B6B06E"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1.89</w:t>
            </w:r>
          </w:p>
        </w:tc>
        <w:tc>
          <w:tcPr>
            <w:tcW w:w="0" w:type="auto"/>
          </w:tcPr>
          <w:p w14:paraId="229B4F3E"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240.89</w:t>
            </w:r>
          </w:p>
        </w:tc>
        <w:tc>
          <w:tcPr>
            <w:tcW w:w="0" w:type="auto"/>
          </w:tcPr>
          <w:p w14:paraId="3B3BCADA"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−30.89</w:t>
            </w:r>
          </w:p>
        </w:tc>
        <w:tc>
          <w:tcPr>
            <w:tcW w:w="560" w:type="pct"/>
          </w:tcPr>
          <w:p w14:paraId="7FE1D20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−15.85</w:t>
            </w:r>
          </w:p>
        </w:tc>
      </w:tr>
      <w:tr w:rsidR="00CE5EBF" w:rsidRPr="00C313A6" w14:paraId="4DDB3248" w14:textId="77777777" w:rsidTr="00CE5EBF">
        <w:trPr>
          <w:jc w:val="center"/>
        </w:trPr>
        <w:tc>
          <w:tcPr>
            <w:tcW w:w="586" w:type="pct"/>
          </w:tcPr>
          <w:p w14:paraId="7577C6B4"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September</w:t>
            </w:r>
          </w:p>
        </w:tc>
        <w:tc>
          <w:tcPr>
            <w:tcW w:w="364" w:type="pct"/>
          </w:tcPr>
          <w:p w14:paraId="0F0ECDBF"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220.0</w:t>
            </w:r>
          </w:p>
        </w:tc>
        <w:tc>
          <w:tcPr>
            <w:tcW w:w="0" w:type="auto"/>
          </w:tcPr>
          <w:p w14:paraId="45F7D0A8"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190.0</w:t>
            </w:r>
          </w:p>
        </w:tc>
        <w:tc>
          <w:tcPr>
            <w:tcW w:w="0" w:type="auto"/>
          </w:tcPr>
          <w:p w14:paraId="4F0CA6AE"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20.0</w:t>
            </w:r>
          </w:p>
        </w:tc>
        <w:tc>
          <w:tcPr>
            <w:tcW w:w="0" w:type="auto"/>
          </w:tcPr>
          <w:p w14:paraId="33633F6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8.0</w:t>
            </w:r>
          </w:p>
        </w:tc>
        <w:tc>
          <w:tcPr>
            <w:tcW w:w="0" w:type="auto"/>
          </w:tcPr>
          <w:p w14:paraId="0183EBE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0.0</w:t>
            </w:r>
          </w:p>
        </w:tc>
        <w:tc>
          <w:tcPr>
            <w:tcW w:w="0" w:type="auto"/>
          </w:tcPr>
          <w:p w14:paraId="3CFD80B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1.0</w:t>
            </w:r>
          </w:p>
        </w:tc>
        <w:tc>
          <w:tcPr>
            <w:tcW w:w="0" w:type="auto"/>
          </w:tcPr>
          <w:p w14:paraId="6440B69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3.0</w:t>
            </w:r>
          </w:p>
        </w:tc>
        <w:tc>
          <w:tcPr>
            <w:tcW w:w="0" w:type="auto"/>
          </w:tcPr>
          <w:p w14:paraId="21AA962E"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0.0</w:t>
            </w:r>
          </w:p>
        </w:tc>
        <w:tc>
          <w:tcPr>
            <w:tcW w:w="0" w:type="auto"/>
          </w:tcPr>
          <w:p w14:paraId="285020D4"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1.98</w:t>
            </w:r>
          </w:p>
        </w:tc>
        <w:tc>
          <w:tcPr>
            <w:tcW w:w="0" w:type="auto"/>
          </w:tcPr>
          <w:p w14:paraId="25082EBF"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223.98</w:t>
            </w:r>
          </w:p>
        </w:tc>
        <w:tc>
          <w:tcPr>
            <w:tcW w:w="0" w:type="auto"/>
          </w:tcPr>
          <w:p w14:paraId="45F62509"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−3.98</w:t>
            </w:r>
          </w:p>
        </w:tc>
        <w:tc>
          <w:tcPr>
            <w:tcW w:w="560" w:type="pct"/>
          </w:tcPr>
          <w:p w14:paraId="0EF7A755"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−19.83</w:t>
            </w:r>
          </w:p>
        </w:tc>
      </w:tr>
      <w:tr w:rsidR="00CE5EBF" w:rsidRPr="00C313A6" w14:paraId="201627A8" w14:textId="77777777" w:rsidTr="00CE5EBF">
        <w:trPr>
          <w:jc w:val="center"/>
        </w:trPr>
        <w:tc>
          <w:tcPr>
            <w:tcW w:w="586" w:type="pct"/>
          </w:tcPr>
          <w:p w14:paraId="6D24DC2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October</w:t>
            </w:r>
          </w:p>
        </w:tc>
        <w:tc>
          <w:tcPr>
            <w:tcW w:w="364" w:type="pct"/>
          </w:tcPr>
          <w:p w14:paraId="3A1EC8DE"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230.0</w:t>
            </w:r>
          </w:p>
        </w:tc>
        <w:tc>
          <w:tcPr>
            <w:tcW w:w="0" w:type="auto"/>
          </w:tcPr>
          <w:p w14:paraId="4A0CBA80"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160.0</w:t>
            </w:r>
          </w:p>
        </w:tc>
        <w:tc>
          <w:tcPr>
            <w:tcW w:w="0" w:type="auto"/>
          </w:tcPr>
          <w:p w14:paraId="655B8FC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21.0</w:t>
            </w:r>
          </w:p>
        </w:tc>
        <w:tc>
          <w:tcPr>
            <w:tcW w:w="0" w:type="auto"/>
          </w:tcPr>
          <w:p w14:paraId="04A77F84"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9.0</w:t>
            </w:r>
          </w:p>
        </w:tc>
        <w:tc>
          <w:tcPr>
            <w:tcW w:w="0" w:type="auto"/>
          </w:tcPr>
          <w:p w14:paraId="28D3A39A"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0.0</w:t>
            </w:r>
          </w:p>
        </w:tc>
        <w:tc>
          <w:tcPr>
            <w:tcW w:w="0" w:type="auto"/>
          </w:tcPr>
          <w:p w14:paraId="5A380AB5"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1.0</w:t>
            </w:r>
          </w:p>
        </w:tc>
        <w:tc>
          <w:tcPr>
            <w:tcW w:w="0" w:type="auto"/>
          </w:tcPr>
          <w:p w14:paraId="32FFB1B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3.0</w:t>
            </w:r>
          </w:p>
        </w:tc>
        <w:tc>
          <w:tcPr>
            <w:tcW w:w="0" w:type="auto"/>
          </w:tcPr>
          <w:p w14:paraId="1650E1BE"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0.0</w:t>
            </w:r>
          </w:p>
        </w:tc>
        <w:tc>
          <w:tcPr>
            <w:tcW w:w="0" w:type="auto"/>
          </w:tcPr>
          <w:p w14:paraId="37F0F4F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2.07</w:t>
            </w:r>
          </w:p>
        </w:tc>
        <w:tc>
          <w:tcPr>
            <w:tcW w:w="0" w:type="auto"/>
          </w:tcPr>
          <w:p w14:paraId="31F2716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196.07</w:t>
            </w:r>
          </w:p>
        </w:tc>
        <w:tc>
          <w:tcPr>
            <w:tcW w:w="0" w:type="auto"/>
          </w:tcPr>
          <w:p w14:paraId="3CF4ABA5"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33.93</w:t>
            </w:r>
          </w:p>
        </w:tc>
        <w:tc>
          <w:tcPr>
            <w:tcW w:w="560" w:type="pct"/>
          </w:tcPr>
          <w:p w14:paraId="1169BA20"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14.10</w:t>
            </w:r>
          </w:p>
        </w:tc>
      </w:tr>
      <w:tr w:rsidR="00CE5EBF" w:rsidRPr="00C313A6" w14:paraId="4CB150CD" w14:textId="77777777" w:rsidTr="00CE5EBF">
        <w:trPr>
          <w:jc w:val="center"/>
        </w:trPr>
        <w:tc>
          <w:tcPr>
            <w:tcW w:w="586" w:type="pct"/>
          </w:tcPr>
          <w:p w14:paraId="0CFC1D32"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November</w:t>
            </w:r>
          </w:p>
        </w:tc>
        <w:tc>
          <w:tcPr>
            <w:tcW w:w="364" w:type="pct"/>
          </w:tcPr>
          <w:p w14:paraId="3EF8AD61"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250.0</w:t>
            </w:r>
          </w:p>
        </w:tc>
        <w:tc>
          <w:tcPr>
            <w:tcW w:w="0" w:type="auto"/>
          </w:tcPr>
          <w:p w14:paraId="65202E24"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200.0</w:t>
            </w:r>
          </w:p>
        </w:tc>
        <w:tc>
          <w:tcPr>
            <w:tcW w:w="0" w:type="auto"/>
          </w:tcPr>
          <w:p w14:paraId="1E96F4FF"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22.0</w:t>
            </w:r>
          </w:p>
        </w:tc>
        <w:tc>
          <w:tcPr>
            <w:tcW w:w="0" w:type="auto"/>
          </w:tcPr>
          <w:p w14:paraId="20418CEA"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6.0</w:t>
            </w:r>
          </w:p>
        </w:tc>
        <w:tc>
          <w:tcPr>
            <w:tcW w:w="0" w:type="auto"/>
          </w:tcPr>
          <w:p w14:paraId="0DC7C248"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0.0</w:t>
            </w:r>
          </w:p>
        </w:tc>
        <w:tc>
          <w:tcPr>
            <w:tcW w:w="0" w:type="auto"/>
          </w:tcPr>
          <w:p w14:paraId="4374EC65"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1.0</w:t>
            </w:r>
          </w:p>
        </w:tc>
        <w:tc>
          <w:tcPr>
            <w:tcW w:w="0" w:type="auto"/>
          </w:tcPr>
          <w:p w14:paraId="779DA6EB"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3.0</w:t>
            </w:r>
          </w:p>
        </w:tc>
        <w:tc>
          <w:tcPr>
            <w:tcW w:w="0" w:type="auto"/>
          </w:tcPr>
          <w:p w14:paraId="7619897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0.0</w:t>
            </w:r>
          </w:p>
        </w:tc>
        <w:tc>
          <w:tcPr>
            <w:tcW w:w="0" w:type="auto"/>
          </w:tcPr>
          <w:p w14:paraId="4CBBA36C"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2.25</w:t>
            </w:r>
          </w:p>
        </w:tc>
        <w:tc>
          <w:tcPr>
            <w:tcW w:w="0" w:type="auto"/>
          </w:tcPr>
          <w:p w14:paraId="5579568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234.25</w:t>
            </w:r>
          </w:p>
        </w:tc>
        <w:tc>
          <w:tcPr>
            <w:tcW w:w="0" w:type="auto"/>
          </w:tcPr>
          <w:p w14:paraId="2AFA43C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15.75</w:t>
            </w:r>
          </w:p>
        </w:tc>
        <w:tc>
          <w:tcPr>
            <w:tcW w:w="560" w:type="pct"/>
          </w:tcPr>
          <w:p w14:paraId="5E06F9F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29.85</w:t>
            </w:r>
          </w:p>
        </w:tc>
      </w:tr>
    </w:tbl>
    <w:p w14:paraId="4975A5E8" w14:textId="77777777" w:rsidR="00C972D1" w:rsidRDefault="00000000" w:rsidP="00C972D1">
      <w:pPr>
        <w:keepNext/>
        <w:spacing w:line="360" w:lineRule="auto"/>
        <w:jc w:val="both"/>
      </w:pPr>
      <w:r w:rsidRPr="00C313A6">
        <w:rPr>
          <w:rFonts w:ascii="Times New Roman" w:hAnsi="Times New Roman" w:cs="Times New Roman"/>
          <w:noProof/>
          <w:sz w:val="24"/>
          <w:szCs w:val="24"/>
        </w:rPr>
        <w:drawing>
          <wp:inline distT="0" distB="0" distL="0" distR="0" wp14:anchorId="168FA281" wp14:editId="1F59EEEE">
            <wp:extent cx="5541818" cy="3694545"/>
            <wp:effectExtent l="0" t="0" r="0" b="0"/>
            <wp:docPr id="27" name="Picture" descr="Closing cash balance line chart"/>
            <wp:cNvGraphicFramePr/>
            <a:graphic xmlns:a="http://schemas.openxmlformats.org/drawingml/2006/main">
              <a:graphicData uri="http://schemas.openxmlformats.org/drawingml/2006/picture">
                <pic:pic xmlns:pic="http://schemas.openxmlformats.org/drawingml/2006/picture">
                  <pic:nvPicPr>
                    <pic:cNvPr id="28" name="Picture" descr="cash_chart.png"/>
                    <pic:cNvPicPr>
                      <a:picLocks noChangeAspect="1" noChangeArrowheads="1"/>
                    </pic:cNvPicPr>
                  </pic:nvPicPr>
                  <pic:blipFill>
                    <a:blip r:embed="rId10"/>
                    <a:stretch>
                      <a:fillRect/>
                    </a:stretch>
                  </pic:blipFill>
                  <pic:spPr bwMode="auto">
                    <a:xfrm>
                      <a:off x="0" y="0"/>
                      <a:ext cx="5541818" cy="3694545"/>
                    </a:xfrm>
                    <a:prstGeom prst="rect">
                      <a:avLst/>
                    </a:prstGeom>
                    <a:noFill/>
                    <a:ln w="9525">
                      <a:noFill/>
                      <a:headEnd/>
                      <a:tailEnd/>
                    </a:ln>
                  </pic:spPr>
                </pic:pic>
              </a:graphicData>
            </a:graphic>
          </wp:inline>
        </w:drawing>
      </w:r>
    </w:p>
    <w:p w14:paraId="416AA287" w14:textId="77777777" w:rsidR="00083D27" w:rsidRPr="00C313A6" w:rsidRDefault="00C972D1" w:rsidP="00C972D1">
      <w:pPr>
        <w:pStyle w:val="Caption"/>
        <w:jc w:val="center"/>
        <w:rPr>
          <w:rFonts w:ascii="Times New Roman" w:hAnsi="Times New Roman" w:cs="Times New Roman"/>
          <w:sz w:val="24"/>
          <w:szCs w:val="24"/>
        </w:rPr>
      </w:pPr>
      <w:r>
        <w:t xml:space="preserve">Figure </w:t>
      </w:r>
      <w:r w:rsidR="00CE5EBF">
        <w:fldChar w:fldCharType="begin"/>
      </w:r>
      <w:r w:rsidR="00CE5EBF">
        <w:instrText xml:space="preserve"> SEQ Figure \* ARABIC </w:instrText>
      </w:r>
      <w:r w:rsidR="00CE5EBF">
        <w:fldChar w:fldCharType="separate"/>
      </w:r>
      <w:r w:rsidR="00CE5EBF">
        <w:rPr>
          <w:noProof/>
        </w:rPr>
        <w:t>2</w:t>
      </w:r>
      <w:r w:rsidR="00CE5EBF">
        <w:rPr>
          <w:noProof/>
        </w:rPr>
        <w:fldChar w:fldCharType="end"/>
      </w:r>
      <w:r>
        <w:t xml:space="preserve"> </w:t>
      </w:r>
      <w:r w:rsidRPr="00AF59CF">
        <w:t>Closing cash balance line chart</w:t>
      </w:r>
      <w:r>
        <w:t xml:space="preserve"> </w:t>
      </w:r>
      <w:r w:rsidRPr="00C972D1">
        <w:t>Closing cash balance (June–November). The overdraft peaks at £34.8 k in June and recurs in August and September. By November the balance is £29.85 k positive, meeting the bank’s requirement. Nevertheless, the troughs in August (−15.85 k) and September (−19.83 k) indicate liquidity stress. This pattern demonstrates why liquidity must be monitored separately from profitability cash flows and accrual earnings are not synonymous</w:t>
      </w:r>
    </w:p>
    <w:p w14:paraId="32E9E870" w14:textId="520097E1" w:rsidR="00083D27" w:rsidRPr="00C972D1" w:rsidRDefault="00B216BB" w:rsidP="006175D1">
      <w:pPr>
        <w:pStyle w:val="Heading2"/>
      </w:pPr>
      <w:bookmarkStart w:id="11" w:name="_Toc206949488"/>
      <w:bookmarkStart w:id="12" w:name="budgeted-income-statement"/>
      <w:bookmarkEnd w:id="10"/>
      <w:r>
        <w:t>1</w:t>
      </w:r>
      <w:r w:rsidRPr="00C972D1">
        <w:t>.3 Budgeted income statement</w:t>
      </w:r>
      <w:bookmarkEnd w:id="11"/>
    </w:p>
    <w:p w14:paraId="5286F0E5" w14:textId="19081E02"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The budgeted income statement for the six months to 30 November (Table 3) summarises accrual‑based performance. Sales revenue totals £1 350 k. COGS is 65 % of sales (877.5 k), yielding gross profit of £472.5 k. Selling expenses (43 k), credit‑card fees (12.15 k) and administration expenses (153 k) reduce operating profit to £264.35 k. Interest expense of £1 k per month (6 k total) yields profit before tax of £258.35 k. Refurbishment outlays are omitted because they are capital expenditures; depreciation of £6 k per month is included within administration expenses</w:t>
      </w:r>
      <w:r w:rsidR="00883293" w:rsidRPr="00883293">
        <w:t xml:space="preserve"> </w:t>
      </w:r>
      <w:r w:rsidR="00883293" w:rsidRPr="00883293">
        <w:rPr>
          <w:rFonts w:ascii="Times New Roman" w:hAnsi="Times New Roman" w:cs="Times New Roman"/>
          <w:sz w:val="24"/>
          <w:szCs w:val="24"/>
        </w:rPr>
        <w:t>(Berg, 2024)</w:t>
      </w:r>
      <w:r w:rsidRPr="00C313A6">
        <w:rPr>
          <w:rFonts w:ascii="Times New Roman" w:hAnsi="Times New Roman" w:cs="Times New Roman"/>
          <w:sz w:val="24"/>
          <w:szCs w:val="24"/>
        </w:rPr>
        <w:t>. This distinction between capital and revenue items adheres to the accrual concept and ensures comparability with financial statements.</w:t>
      </w:r>
    </w:p>
    <w:p w14:paraId="1DD463B9" w14:textId="77777777" w:rsidR="00AD701E" w:rsidRDefault="00AD701E" w:rsidP="00FC636E">
      <w:pPr>
        <w:pStyle w:val="Caption"/>
        <w:keepNext/>
        <w:jc w:val="center"/>
      </w:pPr>
      <w:r>
        <w:lastRenderedPageBreak/>
        <w:t xml:space="preserve">Table </w:t>
      </w:r>
      <w:r w:rsidR="00CE5EBF">
        <w:fldChar w:fldCharType="begin"/>
      </w:r>
      <w:r w:rsidR="00CE5EBF">
        <w:instrText xml:space="preserve"> SEQ Table \* ARABIC </w:instrText>
      </w:r>
      <w:r w:rsidR="00CE5EBF">
        <w:fldChar w:fldCharType="separate"/>
      </w:r>
      <w:r w:rsidR="00CE5EBF">
        <w:rPr>
          <w:noProof/>
        </w:rPr>
        <w:t>3</w:t>
      </w:r>
      <w:r w:rsidR="00CE5EBF">
        <w:rPr>
          <w:noProof/>
        </w:rPr>
        <w:fldChar w:fldCharType="end"/>
      </w:r>
      <w:r>
        <w:t xml:space="preserve"> </w:t>
      </w:r>
      <w:r w:rsidRPr="00605C59">
        <w:t>Budgeted income statement (June–November). The company is profitable, but cash timing differences particularly payments for stock, refurbishment and tax—drive the periods of overdraft shown in the cash budget.</w:t>
      </w:r>
    </w:p>
    <w:tbl>
      <w:tblPr>
        <w:tblStyle w:val="TableGrid"/>
        <w:tblW w:w="9430" w:type="dxa"/>
        <w:jc w:val="center"/>
        <w:tblLook w:val="0020" w:firstRow="1" w:lastRow="0" w:firstColumn="0" w:lastColumn="0" w:noHBand="0" w:noVBand="0"/>
      </w:tblPr>
      <w:tblGrid>
        <w:gridCol w:w="6787"/>
        <w:gridCol w:w="2643"/>
      </w:tblGrid>
      <w:tr w:rsidR="00083D27" w:rsidRPr="00C313A6" w14:paraId="389D9A5A" w14:textId="77777777" w:rsidTr="00FC636E">
        <w:trPr>
          <w:trHeight w:val="278"/>
          <w:jc w:val="center"/>
        </w:trPr>
        <w:tc>
          <w:tcPr>
            <w:tcW w:w="0" w:type="auto"/>
          </w:tcPr>
          <w:p w14:paraId="7802849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Item</w:t>
            </w:r>
          </w:p>
        </w:tc>
        <w:tc>
          <w:tcPr>
            <w:tcW w:w="0" w:type="auto"/>
          </w:tcPr>
          <w:p w14:paraId="13A4E97A"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Amount (£ 000)</w:t>
            </w:r>
          </w:p>
        </w:tc>
      </w:tr>
      <w:tr w:rsidR="00083D27" w:rsidRPr="00C313A6" w14:paraId="1361CE26" w14:textId="77777777" w:rsidTr="00FC636E">
        <w:trPr>
          <w:trHeight w:val="278"/>
          <w:jc w:val="center"/>
        </w:trPr>
        <w:tc>
          <w:tcPr>
            <w:tcW w:w="0" w:type="auto"/>
          </w:tcPr>
          <w:p w14:paraId="11374EE8"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Sales revenue</w:t>
            </w:r>
          </w:p>
        </w:tc>
        <w:tc>
          <w:tcPr>
            <w:tcW w:w="0" w:type="auto"/>
          </w:tcPr>
          <w:p w14:paraId="11DAD674"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1 350.0</w:t>
            </w:r>
          </w:p>
        </w:tc>
      </w:tr>
      <w:tr w:rsidR="00083D27" w:rsidRPr="00C313A6" w14:paraId="06E0EEE3" w14:textId="77777777" w:rsidTr="00FC636E">
        <w:trPr>
          <w:trHeight w:val="291"/>
          <w:jc w:val="center"/>
        </w:trPr>
        <w:tc>
          <w:tcPr>
            <w:tcW w:w="0" w:type="auto"/>
          </w:tcPr>
          <w:p w14:paraId="2A2E4F8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Cost of goods sold</w:t>
            </w:r>
          </w:p>
        </w:tc>
        <w:tc>
          <w:tcPr>
            <w:tcW w:w="0" w:type="auto"/>
          </w:tcPr>
          <w:p w14:paraId="4DAD27E9"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877.5</w:t>
            </w:r>
          </w:p>
        </w:tc>
      </w:tr>
      <w:tr w:rsidR="00083D27" w:rsidRPr="00C313A6" w14:paraId="4C7C4779" w14:textId="77777777" w:rsidTr="00FC636E">
        <w:trPr>
          <w:trHeight w:val="278"/>
          <w:jc w:val="center"/>
        </w:trPr>
        <w:tc>
          <w:tcPr>
            <w:tcW w:w="0" w:type="auto"/>
          </w:tcPr>
          <w:p w14:paraId="7E393AC0"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Gross profit</w:t>
            </w:r>
          </w:p>
        </w:tc>
        <w:tc>
          <w:tcPr>
            <w:tcW w:w="0" w:type="auto"/>
          </w:tcPr>
          <w:p w14:paraId="748FD21B"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472.5</w:t>
            </w:r>
          </w:p>
        </w:tc>
      </w:tr>
      <w:tr w:rsidR="00083D27" w:rsidRPr="00C313A6" w14:paraId="6EB7E436" w14:textId="77777777" w:rsidTr="00FC636E">
        <w:trPr>
          <w:trHeight w:val="278"/>
          <w:jc w:val="center"/>
        </w:trPr>
        <w:tc>
          <w:tcPr>
            <w:tcW w:w="0" w:type="auto"/>
          </w:tcPr>
          <w:p w14:paraId="56CEDBE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Selling expenses</w:t>
            </w:r>
          </w:p>
        </w:tc>
        <w:tc>
          <w:tcPr>
            <w:tcW w:w="0" w:type="auto"/>
          </w:tcPr>
          <w:p w14:paraId="58D7ED4F"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43.0</w:t>
            </w:r>
          </w:p>
        </w:tc>
      </w:tr>
      <w:tr w:rsidR="00083D27" w:rsidRPr="00C313A6" w14:paraId="401B4339" w14:textId="77777777" w:rsidTr="00FC636E">
        <w:trPr>
          <w:trHeight w:val="278"/>
          <w:jc w:val="center"/>
        </w:trPr>
        <w:tc>
          <w:tcPr>
            <w:tcW w:w="0" w:type="auto"/>
          </w:tcPr>
          <w:p w14:paraId="1FBAD6C4"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Credit‑card fees</w:t>
            </w:r>
          </w:p>
        </w:tc>
        <w:tc>
          <w:tcPr>
            <w:tcW w:w="0" w:type="auto"/>
          </w:tcPr>
          <w:p w14:paraId="5DCDED7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12.15</w:t>
            </w:r>
          </w:p>
        </w:tc>
      </w:tr>
      <w:tr w:rsidR="00083D27" w:rsidRPr="00C313A6" w14:paraId="3254BC73" w14:textId="77777777" w:rsidTr="00FC636E">
        <w:trPr>
          <w:trHeight w:val="278"/>
          <w:jc w:val="center"/>
        </w:trPr>
        <w:tc>
          <w:tcPr>
            <w:tcW w:w="0" w:type="auto"/>
          </w:tcPr>
          <w:p w14:paraId="70EEB181"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Administration expenses (inc. depreciation)</w:t>
            </w:r>
          </w:p>
        </w:tc>
        <w:tc>
          <w:tcPr>
            <w:tcW w:w="0" w:type="auto"/>
          </w:tcPr>
          <w:p w14:paraId="101C8CD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153.0</w:t>
            </w:r>
          </w:p>
        </w:tc>
      </w:tr>
      <w:tr w:rsidR="00083D27" w:rsidRPr="00C313A6" w14:paraId="5BBB6039" w14:textId="77777777" w:rsidTr="00FC636E">
        <w:trPr>
          <w:trHeight w:val="291"/>
          <w:jc w:val="center"/>
        </w:trPr>
        <w:tc>
          <w:tcPr>
            <w:tcW w:w="0" w:type="auto"/>
          </w:tcPr>
          <w:p w14:paraId="77CE4A29"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Operating profit</w:t>
            </w:r>
          </w:p>
        </w:tc>
        <w:tc>
          <w:tcPr>
            <w:tcW w:w="0" w:type="auto"/>
          </w:tcPr>
          <w:p w14:paraId="4000048D"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264.35</w:t>
            </w:r>
          </w:p>
        </w:tc>
      </w:tr>
      <w:tr w:rsidR="00083D27" w:rsidRPr="00C313A6" w14:paraId="4CC4DEC4" w14:textId="77777777" w:rsidTr="00FC636E">
        <w:trPr>
          <w:trHeight w:val="278"/>
          <w:jc w:val="center"/>
        </w:trPr>
        <w:tc>
          <w:tcPr>
            <w:tcW w:w="0" w:type="auto"/>
          </w:tcPr>
          <w:p w14:paraId="3E67641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Interest expense</w:t>
            </w:r>
          </w:p>
        </w:tc>
        <w:tc>
          <w:tcPr>
            <w:tcW w:w="0" w:type="auto"/>
          </w:tcPr>
          <w:p w14:paraId="1F77AA1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6.0</w:t>
            </w:r>
          </w:p>
        </w:tc>
      </w:tr>
      <w:tr w:rsidR="00083D27" w:rsidRPr="00C313A6" w14:paraId="2CA1423A" w14:textId="77777777" w:rsidTr="00FC636E">
        <w:trPr>
          <w:trHeight w:val="278"/>
          <w:jc w:val="center"/>
        </w:trPr>
        <w:tc>
          <w:tcPr>
            <w:tcW w:w="0" w:type="auto"/>
          </w:tcPr>
          <w:p w14:paraId="37A2D7B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Profit before tax</w:t>
            </w:r>
          </w:p>
        </w:tc>
        <w:tc>
          <w:tcPr>
            <w:tcW w:w="0" w:type="auto"/>
          </w:tcPr>
          <w:p w14:paraId="7D39C757"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258.35</w:t>
            </w:r>
          </w:p>
        </w:tc>
      </w:tr>
    </w:tbl>
    <w:p w14:paraId="41767B05" w14:textId="5F853B70" w:rsidR="00083D27" w:rsidRPr="00AD701E" w:rsidRDefault="00B216BB" w:rsidP="006175D1">
      <w:pPr>
        <w:pStyle w:val="Heading2"/>
      </w:pPr>
      <w:bookmarkStart w:id="13" w:name="_Toc206949489"/>
      <w:bookmarkStart w:id="14" w:name="sensitivity-analysis"/>
      <w:bookmarkEnd w:id="12"/>
      <w:r>
        <w:t>1</w:t>
      </w:r>
      <w:r w:rsidRPr="00AD701E">
        <w:t>.4 Sensitivity analysis</w:t>
      </w:r>
      <w:bookmarkEnd w:id="13"/>
    </w:p>
    <w:p w14:paraId="795A4162" w14:textId="2BDC6BA0"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Two scenarios were examined to explore whether management could ease liquidity pressures without sacrificing operational objectives.</w:t>
      </w:r>
      <w:r w:rsidR="0000765C" w:rsidRPr="0000765C">
        <w:t xml:space="preserve"> </w:t>
      </w:r>
      <w:r w:rsidR="0000765C" w:rsidRPr="0000765C">
        <w:rPr>
          <w:rFonts w:ascii="Times New Roman" w:hAnsi="Times New Roman" w:cs="Times New Roman"/>
          <w:sz w:val="24"/>
          <w:szCs w:val="24"/>
        </w:rPr>
        <w:t>Sales receipts are treated as gross cash inflows in the month of sale; the credit-card processor’s charge equals 0.9% of sales (30% × 3%) and is shown as a separate cash outflow each month, in line with the brief</w:t>
      </w:r>
      <w:r w:rsidR="00883293" w:rsidRPr="00883293">
        <w:t xml:space="preserve"> </w:t>
      </w:r>
      <w:r w:rsidR="00883293" w:rsidRPr="00883293">
        <w:rPr>
          <w:rFonts w:ascii="Times New Roman" w:hAnsi="Times New Roman" w:cs="Times New Roman"/>
          <w:sz w:val="24"/>
          <w:szCs w:val="24"/>
        </w:rPr>
        <w:t>(Cheng et al., 2019)</w:t>
      </w:r>
      <w:r w:rsidR="0000765C" w:rsidRPr="0000765C">
        <w:rPr>
          <w:rFonts w:ascii="Times New Roman" w:hAnsi="Times New Roman" w:cs="Times New Roman"/>
          <w:sz w:val="24"/>
          <w:szCs w:val="24"/>
        </w:rPr>
        <w:t>. Supplier payments lag one month; refurbishment payments are recorded in cash when incurred; administration cash excludes the non-cash £6k monthly depreciation; loan instalments are split into £1k interest (expense) and £3k principal (financing outflow).</w:t>
      </w:r>
    </w:p>
    <w:p w14:paraId="168B5340" w14:textId="79BD7BD6" w:rsidR="00083D27" w:rsidRPr="00C313A6" w:rsidRDefault="00000000" w:rsidP="00AD701E">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Rescheduling refurbishment.</w:t>
      </w:r>
      <w:r w:rsidRPr="00C313A6">
        <w:rPr>
          <w:rFonts w:ascii="Times New Roman" w:hAnsi="Times New Roman" w:cs="Times New Roman"/>
          <w:sz w:val="24"/>
          <w:szCs w:val="24"/>
        </w:rPr>
        <w:t xml:space="preserve"> Moving the August refurbishment spend (£14 k) to October reduces cash outflows in the month when tax and high supplier payments coincide. Under this scenario, the closing cash balance at the end of August improves from −£15.85 k to −£1.85 k and September improves from −£19.83 k to −£5.83 k, while the November balance remains positive (£29.85 k). The improved cash flow is achieved without altering profit because refurbishment is capitalised; however, the stores may have to postpone upgrades by two months</w:t>
      </w:r>
      <w:r w:rsidR="00883293" w:rsidRPr="00883293">
        <w:t xml:space="preserve"> </w:t>
      </w:r>
      <w:r w:rsidR="00883293" w:rsidRPr="00883293">
        <w:rPr>
          <w:rFonts w:ascii="Times New Roman" w:hAnsi="Times New Roman" w:cs="Times New Roman"/>
          <w:sz w:val="24"/>
          <w:szCs w:val="24"/>
        </w:rPr>
        <w:t>(Martin, 2022)</w:t>
      </w:r>
      <w:r w:rsidRPr="00C313A6">
        <w:rPr>
          <w:rFonts w:ascii="Times New Roman" w:hAnsi="Times New Roman" w:cs="Times New Roman"/>
          <w:sz w:val="24"/>
          <w:szCs w:val="24"/>
        </w:rPr>
        <w:t>.</w:t>
      </w:r>
    </w:p>
    <w:p w14:paraId="7A058175" w14:textId="4BB00FBE" w:rsidR="00083D27" w:rsidRPr="00C313A6" w:rsidRDefault="00000000" w:rsidP="00AD701E">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Reducing purchases to constrain inventory.</w:t>
      </w:r>
      <w:r w:rsidRPr="00C313A6">
        <w:rPr>
          <w:rFonts w:ascii="Times New Roman" w:hAnsi="Times New Roman" w:cs="Times New Roman"/>
          <w:sz w:val="24"/>
          <w:szCs w:val="24"/>
        </w:rPr>
        <w:t xml:space="preserve"> A policy of limiting closing stock to £150 k by November was modelled. Purchases were recalculated so that closing stock increased gradually from £110 k in June to £150 k in November rather than rising to £302.5 k. Payments to suppliers were therefore lower in August–November (166 k, 146.5 k, 153 k, 159.5 k and 162.5 k instead of 180 k, 190 k, 160 k, 200 k and 210 k). </w:t>
      </w:r>
      <w:r w:rsidRPr="00C313A6">
        <w:rPr>
          <w:rFonts w:ascii="Times New Roman" w:hAnsi="Times New Roman" w:cs="Times New Roman"/>
          <w:sz w:val="24"/>
          <w:szCs w:val="24"/>
        </w:rPr>
        <w:lastRenderedPageBreak/>
        <w:t xml:space="preserve">The resulting cash balances improved markedly: the overdraft was eliminated by </w:t>
      </w:r>
      <w:r w:rsidR="00AD701E" w:rsidRPr="00C313A6">
        <w:rPr>
          <w:rFonts w:ascii="Times New Roman" w:hAnsi="Times New Roman" w:cs="Times New Roman"/>
          <w:sz w:val="24"/>
          <w:szCs w:val="24"/>
        </w:rPr>
        <w:t>September,</w:t>
      </w:r>
      <w:r w:rsidRPr="00C313A6">
        <w:rPr>
          <w:rFonts w:ascii="Times New Roman" w:hAnsi="Times New Roman" w:cs="Times New Roman"/>
          <w:sz w:val="24"/>
          <w:szCs w:val="24"/>
        </w:rPr>
        <w:t xml:space="preserve"> and the closing balance reached £134.85 k by November. Inventory levels remained well above the minimum of £40 k, so service levels should be maintained</w:t>
      </w:r>
      <w:r w:rsidR="00883293" w:rsidRPr="00883293">
        <w:t xml:space="preserve"> </w:t>
      </w:r>
      <w:r w:rsidR="00883293" w:rsidRPr="00883293">
        <w:rPr>
          <w:rFonts w:ascii="Times New Roman" w:hAnsi="Times New Roman" w:cs="Times New Roman"/>
          <w:sz w:val="24"/>
          <w:szCs w:val="24"/>
        </w:rPr>
        <w:t>(The Accounting Review Author group, 2025)</w:t>
      </w:r>
      <w:r w:rsidRPr="00C313A6">
        <w:rPr>
          <w:rFonts w:ascii="Times New Roman" w:hAnsi="Times New Roman" w:cs="Times New Roman"/>
          <w:sz w:val="24"/>
          <w:szCs w:val="24"/>
        </w:rPr>
        <w:t>. This scenario underscores how inventory management influences cash flow and working‑capital efficiency</w:t>
      </w:r>
      <w:r w:rsidR="00AD701E">
        <w:rPr>
          <w:rFonts w:ascii="Times New Roman" w:hAnsi="Times New Roman" w:cs="Times New Roman"/>
          <w:sz w:val="24"/>
          <w:szCs w:val="24"/>
        </w:rPr>
        <w:t xml:space="preserve"> </w:t>
      </w:r>
      <w:r w:rsidRPr="00C313A6">
        <w:rPr>
          <w:rFonts w:ascii="Times New Roman" w:hAnsi="Times New Roman" w:cs="Times New Roman"/>
          <w:sz w:val="24"/>
          <w:szCs w:val="24"/>
        </w:rPr>
        <w:t>concepts emphasised in the module’s ratio and liquidity materials.</w:t>
      </w:r>
    </w:p>
    <w:p w14:paraId="40446316"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These sensitivity cases show that management can use budgeting not merely as a passive plan but as a tool for exploring policy options and making informed trade‑offs. Shifting capital projects or reducing inventory frees cash to meet bank covenants and avoid costly overdraft interest.</w:t>
      </w:r>
    </w:p>
    <w:p w14:paraId="1A9A06F4" w14:textId="77777777" w:rsidR="00083D27" w:rsidRPr="00C313A6" w:rsidRDefault="00000000" w:rsidP="00857BE0">
      <w:pPr>
        <w:pStyle w:val="Heading2"/>
        <w:spacing w:line="360" w:lineRule="auto"/>
        <w:jc w:val="both"/>
        <w:rPr>
          <w:rFonts w:ascii="Times New Roman" w:hAnsi="Times New Roman" w:cs="Times New Roman"/>
          <w:sz w:val="24"/>
          <w:szCs w:val="24"/>
        </w:rPr>
      </w:pPr>
      <w:bookmarkStart w:id="15" w:name="_Toc206949490"/>
      <w:bookmarkStart w:id="16" w:name="Xa0c44826948c412e1ada66ffb3d48b4afd0d544"/>
      <w:bookmarkEnd w:id="6"/>
      <w:bookmarkEnd w:id="14"/>
      <w:r w:rsidRPr="00C313A6">
        <w:rPr>
          <w:rFonts w:ascii="Times New Roman" w:hAnsi="Times New Roman" w:cs="Times New Roman"/>
          <w:sz w:val="24"/>
          <w:szCs w:val="24"/>
        </w:rPr>
        <w:t>Part (b) Problems indicated and management actions</w:t>
      </w:r>
      <w:bookmarkEnd w:id="15"/>
    </w:p>
    <w:p w14:paraId="22098ED1" w14:textId="7FC8093D" w:rsidR="00083D27" w:rsidRPr="00AD701E" w:rsidRDefault="006175D1" w:rsidP="00B216BB">
      <w:pPr>
        <w:pStyle w:val="Heading2"/>
      </w:pPr>
      <w:bookmarkStart w:id="17" w:name="_Toc206949491"/>
      <w:bookmarkStart w:id="18" w:name="transient-liquidity-stress"/>
      <w:r>
        <w:t xml:space="preserve">2.1 </w:t>
      </w:r>
      <w:r w:rsidRPr="00AD701E">
        <w:t>Transient liquidity stress</w:t>
      </w:r>
      <w:bookmarkEnd w:id="17"/>
    </w:p>
    <w:p w14:paraId="63B8A909" w14:textId="705B5359"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The cash budget reveals that Blue Thread Ltd will remain in overdraft throughout June, August and September even though profit is healthy. The largest deficit occurs in August, when payments to suppliers (180 k), administration expenses, selling expenses, a £15 k tax payment and £14 k of refurbishment all fall due</w:t>
      </w:r>
      <w:r w:rsidR="0034775A" w:rsidRPr="0034775A">
        <w:t xml:space="preserve"> </w:t>
      </w:r>
      <w:r w:rsidR="0034775A" w:rsidRPr="0034775A">
        <w:rPr>
          <w:rFonts w:ascii="Times New Roman" w:hAnsi="Times New Roman" w:cs="Times New Roman"/>
          <w:sz w:val="24"/>
          <w:szCs w:val="24"/>
        </w:rPr>
        <w:t>(Boisjoly et al., 2020)</w:t>
      </w:r>
      <w:r w:rsidRPr="00C313A6">
        <w:rPr>
          <w:rFonts w:ascii="Times New Roman" w:hAnsi="Times New Roman" w:cs="Times New Roman"/>
          <w:sz w:val="24"/>
          <w:szCs w:val="24"/>
        </w:rPr>
        <w:t>. September remains negative because payments to suppliers (190 k) and the lagged effect of July selling expenses coincide. Liquidity stress is therefore a timing issue rather than a lack of profitability. Literature on budgeting emphasises that cash budgets complement accrual profit measures by highlighting the timing of receipts and payments. Without this insight, managers might incorrectly assume that operating profits guarantee solvency</w:t>
      </w:r>
      <w:r w:rsidR="0034775A" w:rsidRPr="0034775A">
        <w:t xml:space="preserve"> </w:t>
      </w:r>
      <w:r w:rsidR="0034775A" w:rsidRPr="0034775A">
        <w:rPr>
          <w:rFonts w:ascii="Times New Roman" w:hAnsi="Times New Roman" w:cs="Times New Roman"/>
          <w:sz w:val="24"/>
          <w:szCs w:val="24"/>
        </w:rPr>
        <w:t>(Marzolf et al., 2024)</w:t>
      </w:r>
      <w:r w:rsidRPr="00C313A6">
        <w:rPr>
          <w:rFonts w:ascii="Times New Roman" w:hAnsi="Times New Roman" w:cs="Times New Roman"/>
          <w:sz w:val="24"/>
          <w:szCs w:val="24"/>
        </w:rPr>
        <w:t>.</w:t>
      </w:r>
    </w:p>
    <w:p w14:paraId="3E39B88E" w14:textId="7A49B87D" w:rsidR="00083D27" w:rsidRPr="006175D1" w:rsidRDefault="00B216BB" w:rsidP="00B216BB">
      <w:pPr>
        <w:pStyle w:val="Heading2"/>
      </w:pPr>
      <w:bookmarkStart w:id="19" w:name="_Toc206949492"/>
      <w:r>
        <w:t xml:space="preserve">2.2 </w:t>
      </w:r>
      <w:r w:rsidRPr="006175D1">
        <w:t>Management actions:</w:t>
      </w:r>
      <w:bookmarkEnd w:id="19"/>
    </w:p>
    <w:p w14:paraId="4769E3D8" w14:textId="77777777" w:rsidR="00083D27" w:rsidRPr="006175D1" w:rsidRDefault="00000000" w:rsidP="006175D1">
      <w:pPr>
        <w:pStyle w:val="ListParagraph"/>
        <w:numPr>
          <w:ilvl w:val="0"/>
          <w:numId w:val="9"/>
        </w:numPr>
        <w:spacing w:line="360" w:lineRule="auto"/>
        <w:jc w:val="both"/>
        <w:rPr>
          <w:rFonts w:ascii="Times New Roman" w:hAnsi="Times New Roman" w:cs="Times New Roman"/>
          <w:sz w:val="24"/>
          <w:szCs w:val="24"/>
        </w:rPr>
      </w:pPr>
      <w:r w:rsidRPr="006175D1">
        <w:rPr>
          <w:rFonts w:ascii="Times New Roman" w:hAnsi="Times New Roman" w:cs="Times New Roman"/>
          <w:b/>
          <w:bCs/>
          <w:sz w:val="24"/>
          <w:szCs w:val="24"/>
        </w:rPr>
        <w:t>Re‑phase refurbishment.</w:t>
      </w:r>
      <w:r w:rsidRPr="006175D1">
        <w:rPr>
          <w:rFonts w:ascii="Times New Roman" w:hAnsi="Times New Roman" w:cs="Times New Roman"/>
          <w:sz w:val="24"/>
          <w:szCs w:val="24"/>
        </w:rPr>
        <w:t xml:space="preserve"> The sensitivity analysis demonstrates that delaying the August refurbishment to October dramatically reduces the cash trough. Management should review the timing of non‑urgent capital projects to avoid clustering them with large working‑capital outflows.</w:t>
      </w:r>
    </w:p>
    <w:p w14:paraId="4456C184" w14:textId="77777777" w:rsidR="00083D27" w:rsidRPr="006175D1" w:rsidRDefault="00000000" w:rsidP="006175D1">
      <w:pPr>
        <w:pStyle w:val="ListParagraph"/>
        <w:numPr>
          <w:ilvl w:val="0"/>
          <w:numId w:val="9"/>
        </w:numPr>
        <w:spacing w:line="360" w:lineRule="auto"/>
        <w:jc w:val="both"/>
        <w:rPr>
          <w:rFonts w:ascii="Times New Roman" w:hAnsi="Times New Roman" w:cs="Times New Roman"/>
          <w:sz w:val="24"/>
          <w:szCs w:val="24"/>
        </w:rPr>
      </w:pPr>
      <w:r w:rsidRPr="006175D1">
        <w:rPr>
          <w:rFonts w:ascii="Times New Roman" w:hAnsi="Times New Roman" w:cs="Times New Roman"/>
          <w:b/>
          <w:bCs/>
          <w:sz w:val="24"/>
          <w:szCs w:val="24"/>
        </w:rPr>
        <w:t>Negotiate temporary supplier credit.</w:t>
      </w:r>
      <w:r w:rsidRPr="006175D1">
        <w:rPr>
          <w:rFonts w:ascii="Times New Roman" w:hAnsi="Times New Roman" w:cs="Times New Roman"/>
          <w:sz w:val="24"/>
          <w:szCs w:val="24"/>
        </w:rPr>
        <w:t xml:space="preserve"> Extending payment terms with key suppliers from one month to 45 days for July and August purchases would shift cash outflows into later months, bridging the August–September gap. Such negotiations should preserve relationships and may involve early‑payment discounts in subsequent periods.</w:t>
      </w:r>
    </w:p>
    <w:p w14:paraId="4F4ABBF2" w14:textId="77777777" w:rsidR="00083D27" w:rsidRPr="006175D1" w:rsidRDefault="00000000" w:rsidP="006175D1">
      <w:pPr>
        <w:pStyle w:val="ListParagraph"/>
        <w:numPr>
          <w:ilvl w:val="0"/>
          <w:numId w:val="9"/>
        </w:numPr>
        <w:spacing w:line="360" w:lineRule="auto"/>
        <w:jc w:val="both"/>
        <w:rPr>
          <w:rFonts w:ascii="Times New Roman" w:hAnsi="Times New Roman" w:cs="Times New Roman"/>
          <w:sz w:val="24"/>
          <w:szCs w:val="24"/>
        </w:rPr>
      </w:pPr>
      <w:r w:rsidRPr="006175D1">
        <w:rPr>
          <w:rFonts w:ascii="Times New Roman" w:hAnsi="Times New Roman" w:cs="Times New Roman"/>
          <w:b/>
          <w:bCs/>
          <w:sz w:val="24"/>
          <w:szCs w:val="24"/>
        </w:rPr>
        <w:lastRenderedPageBreak/>
        <w:t>Strengthen cash monitoring.</w:t>
      </w:r>
      <w:r w:rsidRPr="006175D1">
        <w:rPr>
          <w:rFonts w:ascii="Times New Roman" w:hAnsi="Times New Roman" w:cs="Times New Roman"/>
          <w:sz w:val="24"/>
          <w:szCs w:val="24"/>
        </w:rPr>
        <w:t xml:space="preserve"> Updating cash forecasts weekly during the six‑month window allows early detection of variances and enables corrective action. Finance staff should prepare rolling 13‑week cash forecasts alongside the monthly budgets. This aligns with the management‑by‑exception principle: managers devote attention to deviations that are significant and controllable</w:t>
      </w:r>
      <w:r w:rsidR="00292414" w:rsidRPr="006175D1">
        <w:rPr>
          <w:rFonts w:ascii="Times New Roman" w:hAnsi="Times New Roman" w:cs="Times New Roman"/>
          <w:sz w:val="24"/>
          <w:szCs w:val="24"/>
        </w:rPr>
        <w:t>.</w:t>
      </w:r>
    </w:p>
    <w:p w14:paraId="01190856" w14:textId="43AE4482" w:rsidR="00083D27" w:rsidRPr="006175D1" w:rsidRDefault="00000000" w:rsidP="006175D1">
      <w:pPr>
        <w:pStyle w:val="ListParagraph"/>
        <w:numPr>
          <w:ilvl w:val="0"/>
          <w:numId w:val="9"/>
        </w:numPr>
        <w:spacing w:line="360" w:lineRule="auto"/>
        <w:jc w:val="both"/>
        <w:rPr>
          <w:rFonts w:ascii="Times New Roman" w:hAnsi="Times New Roman" w:cs="Times New Roman"/>
          <w:sz w:val="24"/>
          <w:szCs w:val="24"/>
        </w:rPr>
      </w:pPr>
      <w:r w:rsidRPr="006175D1">
        <w:rPr>
          <w:rFonts w:ascii="Times New Roman" w:hAnsi="Times New Roman" w:cs="Times New Roman"/>
          <w:b/>
          <w:bCs/>
          <w:sz w:val="24"/>
          <w:szCs w:val="24"/>
        </w:rPr>
        <w:t>Explore financing alternatives.</w:t>
      </w:r>
      <w:r w:rsidRPr="006175D1">
        <w:rPr>
          <w:rFonts w:ascii="Times New Roman" w:hAnsi="Times New Roman" w:cs="Times New Roman"/>
          <w:sz w:val="24"/>
          <w:szCs w:val="24"/>
        </w:rPr>
        <w:t xml:space="preserve"> If supplier negotiations are insufficient, a short‑term working‑capital facility could be arranged for August–September. However, this should be a last resort because the bank has already signalled its preference for eliminating the overdraft</w:t>
      </w:r>
      <w:r w:rsidR="0034775A" w:rsidRPr="0034775A">
        <w:t xml:space="preserve"> </w:t>
      </w:r>
      <w:r w:rsidR="0034775A" w:rsidRPr="0034775A">
        <w:rPr>
          <w:rFonts w:ascii="Times New Roman" w:hAnsi="Times New Roman" w:cs="Times New Roman"/>
          <w:sz w:val="24"/>
          <w:szCs w:val="24"/>
        </w:rPr>
        <w:t>(Choi et al., 2023)</w:t>
      </w:r>
      <w:r w:rsidRPr="006175D1">
        <w:rPr>
          <w:rFonts w:ascii="Times New Roman" w:hAnsi="Times New Roman" w:cs="Times New Roman"/>
          <w:sz w:val="24"/>
          <w:szCs w:val="24"/>
        </w:rPr>
        <w:t>. Transparent communication with the bank, supported by revised cash budgets showing the effects of rescheduling and inventory reduction, may persuade the lender to relax the month‑end covenant.</w:t>
      </w:r>
    </w:p>
    <w:p w14:paraId="3861816B" w14:textId="77777777" w:rsidR="00083D27" w:rsidRPr="00C313A6" w:rsidRDefault="00000000" w:rsidP="00857BE0">
      <w:pPr>
        <w:spacing w:line="360" w:lineRule="auto"/>
        <w:jc w:val="both"/>
        <w:rPr>
          <w:rFonts w:ascii="Times New Roman" w:hAnsi="Times New Roman" w:cs="Times New Roman"/>
          <w:b/>
          <w:bCs/>
          <w:sz w:val="24"/>
          <w:szCs w:val="24"/>
        </w:rPr>
      </w:pPr>
      <w:bookmarkStart w:id="20" w:name="inventory-accumulation"/>
      <w:bookmarkEnd w:id="18"/>
      <w:r w:rsidRPr="00C313A6">
        <w:rPr>
          <w:rFonts w:ascii="Times New Roman" w:hAnsi="Times New Roman" w:cs="Times New Roman"/>
          <w:b/>
          <w:bCs/>
          <w:sz w:val="24"/>
          <w:szCs w:val="24"/>
        </w:rPr>
        <w:t>Inventory accumulation</w:t>
      </w:r>
    </w:p>
    <w:p w14:paraId="0FAEA5DD" w14:textId="210CE68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The stock budget highlights a large buildup of inventory. Closing stock more than doubles from £110 k to £302.5 k even though minimum stock is set at £40 k. Excess inventory ties up cash, increases holding costs, risks obsolescence and can mask problems with purchasing discipline. The sensitivity analysis indicates that reducing purchases to hold closing stock at £150 k by November frees substantial cash (£105 k by November) while maintaining service levels. Management should therefore scrutinise purchase orders, align buying with forecast sales and adjust safety stock levels</w:t>
      </w:r>
      <w:r w:rsidR="0034775A" w:rsidRPr="0034775A">
        <w:t xml:space="preserve"> </w:t>
      </w:r>
      <w:r w:rsidR="0034775A" w:rsidRPr="0034775A">
        <w:rPr>
          <w:rFonts w:ascii="Times New Roman" w:hAnsi="Times New Roman" w:cs="Times New Roman"/>
          <w:sz w:val="24"/>
          <w:szCs w:val="24"/>
        </w:rPr>
        <w:t>(Huynh et al., 2025)</w:t>
      </w:r>
      <w:r w:rsidRPr="00C313A6">
        <w:rPr>
          <w:rFonts w:ascii="Times New Roman" w:hAnsi="Times New Roman" w:cs="Times New Roman"/>
          <w:sz w:val="24"/>
          <w:szCs w:val="24"/>
        </w:rPr>
        <w:t>. Techniques such as economic order quantity and sales forecasting may assist. The ratio materials in the course emphasise that controlling inventory days and creditor days is critical to managing working capital and liquidity risk.</w:t>
      </w:r>
    </w:p>
    <w:p w14:paraId="3A1DD2DF" w14:textId="77777777" w:rsidR="00083D27" w:rsidRPr="00C313A6" w:rsidRDefault="00000000" w:rsidP="00857BE0">
      <w:pPr>
        <w:spacing w:line="360" w:lineRule="auto"/>
        <w:jc w:val="both"/>
        <w:rPr>
          <w:rFonts w:ascii="Times New Roman" w:hAnsi="Times New Roman" w:cs="Times New Roman"/>
          <w:b/>
          <w:bCs/>
          <w:sz w:val="24"/>
          <w:szCs w:val="24"/>
        </w:rPr>
      </w:pPr>
      <w:bookmarkStart w:id="21" w:name="merchantcard-fees-and-selling-expenses"/>
      <w:bookmarkEnd w:id="20"/>
      <w:r w:rsidRPr="00C313A6">
        <w:rPr>
          <w:rFonts w:ascii="Times New Roman" w:hAnsi="Times New Roman" w:cs="Times New Roman"/>
          <w:b/>
          <w:bCs/>
          <w:sz w:val="24"/>
          <w:szCs w:val="24"/>
        </w:rPr>
        <w:t>Merchant‑card fees and selling expenses</w:t>
      </w:r>
    </w:p>
    <w:p w14:paraId="252F88B5" w14:textId="4A0F234E"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Credit‑card processing charges of 0.9 % of sales cost the business £12.15 k over six months—roughly equivalent to one month’s selling expenses. Although individually small, these fees erode margin and contribute to cash leakage</w:t>
      </w:r>
      <w:r w:rsidR="0034775A" w:rsidRPr="0034775A">
        <w:t xml:space="preserve"> </w:t>
      </w:r>
      <w:r w:rsidR="0034775A" w:rsidRPr="0034775A">
        <w:rPr>
          <w:rFonts w:ascii="Times New Roman" w:hAnsi="Times New Roman" w:cs="Times New Roman"/>
          <w:sz w:val="24"/>
          <w:szCs w:val="24"/>
        </w:rPr>
        <w:t>(Wetzel et al., 2025)</w:t>
      </w:r>
      <w:r w:rsidRPr="00C313A6">
        <w:rPr>
          <w:rFonts w:ascii="Times New Roman" w:hAnsi="Times New Roman" w:cs="Times New Roman"/>
          <w:sz w:val="24"/>
          <w:szCs w:val="24"/>
        </w:rPr>
        <w:t xml:space="preserve">. Management could negotiate lower merchant‑card rates, incentivise customers to use lower‑cost payment methods or adjust product pricing to recover the fee. Furthermore, </w:t>
      </w:r>
      <w:r w:rsidRPr="00C313A6">
        <w:rPr>
          <w:rFonts w:ascii="Times New Roman" w:hAnsi="Times New Roman" w:cs="Times New Roman"/>
          <w:sz w:val="24"/>
          <w:szCs w:val="24"/>
        </w:rPr>
        <w:lastRenderedPageBreak/>
        <w:t>selling expenses peak at 9 k in October owing to promotional activity; management should assess whether this spend generates sufficient incremental sales.</w:t>
      </w:r>
    </w:p>
    <w:p w14:paraId="2B9C5D79" w14:textId="77777777" w:rsidR="00083D27" w:rsidRPr="00C313A6" w:rsidRDefault="00000000" w:rsidP="00857BE0">
      <w:pPr>
        <w:spacing w:line="360" w:lineRule="auto"/>
        <w:jc w:val="both"/>
        <w:rPr>
          <w:rFonts w:ascii="Times New Roman" w:hAnsi="Times New Roman" w:cs="Times New Roman"/>
          <w:b/>
          <w:bCs/>
          <w:sz w:val="24"/>
          <w:szCs w:val="24"/>
        </w:rPr>
      </w:pPr>
      <w:bookmarkStart w:id="22" w:name="Xda71be9f36972cc540cb640bf6c73a1bc2f5b6f"/>
      <w:bookmarkEnd w:id="21"/>
      <w:r w:rsidRPr="00C313A6">
        <w:rPr>
          <w:rFonts w:ascii="Times New Roman" w:hAnsi="Times New Roman" w:cs="Times New Roman"/>
          <w:b/>
          <w:bCs/>
          <w:sz w:val="24"/>
          <w:szCs w:val="24"/>
        </w:rPr>
        <w:t>Capital programme timing and capex governance</w:t>
      </w:r>
    </w:p>
    <w:p w14:paraId="28BABD01" w14:textId="4AB07245"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The planned refurbishment schedule totals £36 k across June–August. While necessary to maintain store ambience and brand positioning, the concentration of capital outlays during a period of negative cash flow exacerbates liquidity stress. Capital expenditure should be evaluated alongside cash budgets to ensure affordability. Using net present value analysis and post‑implementation review fosters disciplined investment decisions</w:t>
      </w:r>
      <w:r w:rsidR="0034775A" w:rsidRPr="0034775A">
        <w:t xml:space="preserve"> </w:t>
      </w:r>
      <w:r w:rsidR="0034775A" w:rsidRPr="0034775A">
        <w:rPr>
          <w:rFonts w:ascii="Times New Roman" w:hAnsi="Times New Roman" w:cs="Times New Roman"/>
          <w:sz w:val="24"/>
          <w:szCs w:val="24"/>
        </w:rPr>
        <w:t>(Marzolf et al., 2025)</w:t>
      </w:r>
      <w:r w:rsidRPr="00C313A6">
        <w:rPr>
          <w:rFonts w:ascii="Times New Roman" w:hAnsi="Times New Roman" w:cs="Times New Roman"/>
          <w:sz w:val="24"/>
          <w:szCs w:val="24"/>
        </w:rPr>
        <w:t>. Management by exception means that only material variances from plan should trigger corrective action; however, in this case, the negative cash balance constitutes a significant variance requiring proactive rescheduling.</w:t>
      </w:r>
    </w:p>
    <w:p w14:paraId="1EF1A53C" w14:textId="77777777" w:rsidR="00083D27" w:rsidRPr="00C313A6" w:rsidRDefault="00000000" w:rsidP="00857BE0">
      <w:pPr>
        <w:spacing w:line="360" w:lineRule="auto"/>
        <w:jc w:val="both"/>
        <w:rPr>
          <w:rFonts w:ascii="Times New Roman" w:hAnsi="Times New Roman" w:cs="Times New Roman"/>
          <w:b/>
          <w:bCs/>
          <w:sz w:val="24"/>
          <w:szCs w:val="24"/>
        </w:rPr>
      </w:pPr>
      <w:bookmarkStart w:id="23" w:name="governance-and-communication"/>
      <w:bookmarkEnd w:id="22"/>
      <w:r w:rsidRPr="00C313A6">
        <w:rPr>
          <w:rFonts w:ascii="Times New Roman" w:hAnsi="Times New Roman" w:cs="Times New Roman"/>
          <w:b/>
          <w:bCs/>
          <w:sz w:val="24"/>
          <w:szCs w:val="24"/>
        </w:rPr>
        <w:t>Governance and communication</w:t>
      </w:r>
    </w:p>
    <w:p w14:paraId="375CA86B" w14:textId="4F89EF49"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Finally, the bank’s covenant requires elimination of the overdraft by 30 November. The base cash budget meets this requirement, but only barely. Management should share revised forecasts with the bank early, demonstrating how inventory reduction or refurbishment rescheduling will provide larger cash cushions. Open communication increases trust and may allow more flexible covenant interpretation</w:t>
      </w:r>
      <w:r w:rsidR="0034775A" w:rsidRPr="0034775A">
        <w:t xml:space="preserve"> </w:t>
      </w:r>
      <w:r w:rsidR="0034775A" w:rsidRPr="0034775A">
        <w:rPr>
          <w:rFonts w:ascii="Times New Roman" w:hAnsi="Times New Roman" w:cs="Times New Roman"/>
          <w:sz w:val="24"/>
          <w:szCs w:val="24"/>
        </w:rPr>
        <w:t>(Marques et al., 2025)</w:t>
      </w:r>
      <w:r w:rsidRPr="00C313A6">
        <w:rPr>
          <w:rFonts w:ascii="Times New Roman" w:hAnsi="Times New Roman" w:cs="Times New Roman"/>
          <w:sz w:val="24"/>
          <w:szCs w:val="24"/>
        </w:rPr>
        <w:t>. Internally, store managers should be briefed on the cash situation to ensure purchasing and refurbishment decisions align with corporate objectives.</w:t>
      </w:r>
    </w:p>
    <w:p w14:paraId="78B5DE7E" w14:textId="77777777" w:rsidR="00083D27" w:rsidRPr="00C313A6" w:rsidRDefault="00000000" w:rsidP="00857BE0">
      <w:pPr>
        <w:pStyle w:val="Heading2"/>
        <w:spacing w:line="360" w:lineRule="auto"/>
        <w:jc w:val="both"/>
        <w:rPr>
          <w:rFonts w:ascii="Times New Roman" w:hAnsi="Times New Roman" w:cs="Times New Roman"/>
          <w:sz w:val="24"/>
          <w:szCs w:val="24"/>
        </w:rPr>
      </w:pPr>
      <w:bookmarkStart w:id="24" w:name="_Toc206949493"/>
      <w:bookmarkStart w:id="25" w:name="X7342a88f84e4d335ba9c43211a1ab5d3ad6c48a"/>
      <w:bookmarkEnd w:id="16"/>
      <w:bookmarkEnd w:id="23"/>
      <w:r w:rsidRPr="00C313A6">
        <w:rPr>
          <w:rFonts w:ascii="Times New Roman" w:hAnsi="Times New Roman" w:cs="Times New Roman"/>
          <w:sz w:val="24"/>
          <w:szCs w:val="24"/>
        </w:rPr>
        <w:t>Part (c) Conditions for successful budgeting and behavioural considerations</w:t>
      </w:r>
      <w:bookmarkEnd w:id="24"/>
    </w:p>
    <w:p w14:paraId="74258EDE" w14:textId="77777777" w:rsidR="00292414" w:rsidRPr="00C313A6" w:rsidRDefault="00000000" w:rsidP="00292414">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 xml:space="preserve">Budgeting is not merely a numerical exercise; it is a social process that affects behaviour. Research in managerial accounting sets out several conditions that must exist for a budgeting system to </w:t>
      </w:r>
      <w:r w:rsidR="00292414" w:rsidRPr="00C313A6">
        <w:rPr>
          <w:rFonts w:ascii="Times New Roman" w:hAnsi="Times New Roman" w:cs="Times New Roman"/>
          <w:sz w:val="24"/>
          <w:szCs w:val="24"/>
        </w:rPr>
        <w:t>succeed</w:t>
      </w:r>
      <w:r w:rsidR="00385514" w:rsidRPr="00C313A6">
        <w:rPr>
          <w:rFonts w:ascii="Times New Roman" w:hAnsi="Times New Roman" w:cs="Times New Roman"/>
          <w:sz w:val="24"/>
          <w:szCs w:val="24"/>
        </w:rPr>
        <w:t>.</w:t>
      </w:r>
    </w:p>
    <w:p w14:paraId="5FE6C7AB" w14:textId="77777777" w:rsidR="00083D27" w:rsidRPr="00C313A6" w:rsidRDefault="00000000" w:rsidP="00292414">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Top‑management support.</w:t>
      </w:r>
      <w:r w:rsidRPr="00C313A6">
        <w:rPr>
          <w:rFonts w:ascii="Times New Roman" w:hAnsi="Times New Roman" w:cs="Times New Roman"/>
          <w:sz w:val="24"/>
          <w:szCs w:val="24"/>
        </w:rPr>
        <w:t xml:space="preserve"> Senior executives must communicate the importance of budgeting, set clear strategic goals and demonstrate that budgets are taken seriously. Without visible sponsorship, middle managers may view the budget as a formality</w:t>
      </w:r>
      <w:r w:rsidR="00385514" w:rsidRPr="00C313A6">
        <w:rPr>
          <w:rFonts w:ascii="MS Gothic" w:eastAsia="MS Gothic" w:hAnsi="MS Gothic" w:cs="MS Gothic"/>
          <w:sz w:val="24"/>
          <w:szCs w:val="24"/>
        </w:rPr>
        <w:t>.</w:t>
      </w:r>
    </w:p>
    <w:p w14:paraId="3386D00D" w14:textId="2CC72DEA" w:rsidR="00083D27" w:rsidRPr="00C313A6" w:rsidRDefault="00000000" w:rsidP="00385514">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Participation in goal setting.</w:t>
      </w:r>
      <w:r w:rsidRPr="00C313A6">
        <w:rPr>
          <w:rFonts w:ascii="Times New Roman" w:hAnsi="Times New Roman" w:cs="Times New Roman"/>
          <w:sz w:val="24"/>
          <w:szCs w:val="24"/>
        </w:rPr>
        <w:t xml:space="preserve"> Employees at all levels should participate in setting targets and preparing budgets. Participation taps into local knowledge and increases </w:t>
      </w:r>
      <w:r w:rsidRPr="00C313A6">
        <w:rPr>
          <w:rFonts w:ascii="Times New Roman" w:hAnsi="Times New Roman" w:cs="Times New Roman"/>
          <w:sz w:val="24"/>
          <w:szCs w:val="24"/>
        </w:rPr>
        <w:lastRenderedPageBreak/>
        <w:t>commitment to achieving the goals</w:t>
      </w:r>
      <w:r w:rsidR="0034775A" w:rsidRPr="0034775A">
        <w:t xml:space="preserve"> </w:t>
      </w:r>
      <w:r w:rsidR="0034775A" w:rsidRPr="0034775A">
        <w:rPr>
          <w:rFonts w:ascii="Times New Roman" w:hAnsi="Times New Roman" w:cs="Times New Roman"/>
          <w:sz w:val="24"/>
          <w:szCs w:val="24"/>
        </w:rPr>
        <w:t>(Yeboah et al., 2025)</w:t>
      </w:r>
      <w:r w:rsidRPr="00C313A6">
        <w:rPr>
          <w:rFonts w:ascii="Times New Roman" w:hAnsi="Times New Roman" w:cs="Times New Roman"/>
          <w:sz w:val="24"/>
          <w:szCs w:val="24"/>
        </w:rPr>
        <w:t>. When individuals have input, they are less likely to perceive the budget as arbitrary or unachievable.</w:t>
      </w:r>
    </w:p>
    <w:p w14:paraId="55E84FE6" w14:textId="77777777" w:rsidR="00083D27" w:rsidRPr="00C313A6" w:rsidRDefault="00000000" w:rsidP="00385514">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Communication of results.</w:t>
      </w:r>
      <w:r w:rsidRPr="00C313A6">
        <w:rPr>
          <w:rFonts w:ascii="Times New Roman" w:hAnsi="Times New Roman" w:cs="Times New Roman"/>
          <w:sz w:val="24"/>
          <w:szCs w:val="24"/>
        </w:rPr>
        <w:t xml:space="preserve"> Budgets must be accompanied by timely, accurate and understandable reports so that people can compare actual performance with expectations</w:t>
      </w:r>
      <w:r w:rsidR="00385514" w:rsidRPr="00C313A6">
        <w:rPr>
          <w:rFonts w:ascii="Times New Roman" w:hAnsi="Times New Roman" w:cs="Times New Roman"/>
          <w:sz w:val="24"/>
          <w:szCs w:val="24"/>
        </w:rPr>
        <w:t xml:space="preserve">. </w:t>
      </w:r>
      <w:r w:rsidRPr="00C313A6">
        <w:rPr>
          <w:rFonts w:ascii="Times New Roman" w:hAnsi="Times New Roman" w:cs="Times New Roman"/>
          <w:sz w:val="24"/>
          <w:szCs w:val="24"/>
        </w:rPr>
        <w:t>Without feedback, budgets lose their control function.</w:t>
      </w:r>
    </w:p>
    <w:p w14:paraId="4C4E07D7" w14:textId="77777777" w:rsidR="00083D27" w:rsidRPr="00C313A6" w:rsidRDefault="00000000" w:rsidP="00385514">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Flexibility and adaptability.</w:t>
      </w:r>
      <w:r w:rsidRPr="00C313A6">
        <w:rPr>
          <w:rFonts w:ascii="Times New Roman" w:hAnsi="Times New Roman" w:cs="Times New Roman"/>
          <w:sz w:val="24"/>
          <w:szCs w:val="24"/>
        </w:rPr>
        <w:t xml:space="preserve"> Assumptions underlying the budget may change; managers should be willing to revise budgets or produce flexed budgets that reflect the actual level of activity. This prevents outdated budgets from driving misguided decisions.</w:t>
      </w:r>
    </w:p>
    <w:p w14:paraId="688FA269" w14:textId="40CA4047" w:rsidR="00083D27" w:rsidRPr="00C313A6" w:rsidRDefault="00000000" w:rsidP="00385514">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Follow‑up and review.</w:t>
      </w:r>
      <w:r w:rsidRPr="00C313A6">
        <w:rPr>
          <w:rFonts w:ascii="Times New Roman" w:hAnsi="Times New Roman" w:cs="Times New Roman"/>
          <w:sz w:val="24"/>
          <w:szCs w:val="24"/>
        </w:rPr>
        <w:t xml:space="preserve"> Budget follow‑up closes the loop; variances should be analysed and understood so that corrective action can be taken</w:t>
      </w:r>
      <w:r w:rsidR="0034775A" w:rsidRPr="0034775A">
        <w:t xml:space="preserve"> </w:t>
      </w:r>
      <w:r w:rsidR="0034775A" w:rsidRPr="0034775A">
        <w:rPr>
          <w:rFonts w:ascii="Times New Roman" w:hAnsi="Times New Roman" w:cs="Times New Roman"/>
          <w:sz w:val="24"/>
          <w:szCs w:val="24"/>
        </w:rPr>
        <w:t>(Mardones et al., 2022)</w:t>
      </w:r>
      <w:r w:rsidRPr="00C313A6">
        <w:rPr>
          <w:rFonts w:ascii="Times New Roman" w:hAnsi="Times New Roman" w:cs="Times New Roman"/>
          <w:sz w:val="24"/>
          <w:szCs w:val="24"/>
        </w:rPr>
        <w:t>. When significant variances are ignored, the organisation loses an opportunity to learn and improve.</w:t>
      </w:r>
    </w:p>
    <w:p w14:paraId="69569825"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Behavioural responses to budgets are just as important as technical design. The literature warns that imposing budgets from the top without considering the feelings of personnel can create negative attitudes, resistance and poor performance. People may perceive goals as unrealistic, fear that performance evaluations will be unfair, or lack confidence in the accounting system. To mitigate these risks, managers should:</w:t>
      </w:r>
    </w:p>
    <w:p w14:paraId="3A17A2E7" w14:textId="77777777" w:rsidR="00083D27" w:rsidRPr="00C313A6" w:rsidRDefault="00000000" w:rsidP="00385514">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Encourage participatory budgeting.</w:t>
      </w:r>
      <w:r w:rsidRPr="00C313A6">
        <w:rPr>
          <w:rFonts w:ascii="Times New Roman" w:hAnsi="Times New Roman" w:cs="Times New Roman"/>
          <w:sz w:val="24"/>
          <w:szCs w:val="24"/>
        </w:rPr>
        <w:t xml:space="preserve"> When employees help set their own targets, they are more likely to accept and strive for them. Participation also improves the quality of budget estimates because operational staff have detailed knowledge of processes and constraints.</w:t>
      </w:r>
    </w:p>
    <w:p w14:paraId="37D13B21" w14:textId="751407F2" w:rsidR="00083D27" w:rsidRPr="00C313A6" w:rsidRDefault="00000000" w:rsidP="00385514">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Link budgets to fair performance evaluation.</w:t>
      </w:r>
      <w:r w:rsidRPr="00C313A6">
        <w:rPr>
          <w:rFonts w:ascii="Times New Roman" w:hAnsi="Times New Roman" w:cs="Times New Roman"/>
          <w:sz w:val="24"/>
          <w:szCs w:val="24"/>
        </w:rPr>
        <w:t xml:space="preserve"> Budget targets should be challenging yet attainable; unrealistic targets demotivate staff and encourage gaming. Clearly distinguishing controllable and uncontrollable factors ensures that individuals are evaluated fairly</w:t>
      </w:r>
      <w:r w:rsidR="0034775A" w:rsidRPr="0034775A">
        <w:t xml:space="preserve"> </w:t>
      </w:r>
      <w:r w:rsidR="0034775A" w:rsidRPr="0034775A">
        <w:rPr>
          <w:rFonts w:ascii="Times New Roman" w:hAnsi="Times New Roman" w:cs="Times New Roman"/>
          <w:sz w:val="24"/>
          <w:szCs w:val="24"/>
        </w:rPr>
        <w:t>(</w:t>
      </w:r>
      <w:proofErr w:type="spellStart"/>
      <w:r w:rsidR="0034775A" w:rsidRPr="0034775A">
        <w:rPr>
          <w:rFonts w:ascii="Times New Roman" w:hAnsi="Times New Roman" w:cs="Times New Roman"/>
          <w:sz w:val="24"/>
          <w:szCs w:val="24"/>
        </w:rPr>
        <w:t>Peinkofer</w:t>
      </w:r>
      <w:proofErr w:type="spellEnd"/>
      <w:r w:rsidR="0034775A" w:rsidRPr="0034775A">
        <w:rPr>
          <w:rFonts w:ascii="Times New Roman" w:hAnsi="Times New Roman" w:cs="Times New Roman"/>
          <w:sz w:val="24"/>
          <w:szCs w:val="24"/>
        </w:rPr>
        <w:t xml:space="preserve"> et al., 2024)</w:t>
      </w:r>
      <w:r w:rsidRPr="00C313A6">
        <w:rPr>
          <w:rFonts w:ascii="Times New Roman" w:hAnsi="Times New Roman" w:cs="Times New Roman"/>
          <w:sz w:val="24"/>
          <w:szCs w:val="24"/>
        </w:rPr>
        <w:t>. A bonus system tied solely to meeting the November overdraft target, for example, could encourage managers to defer necessary refurbishment or manipulate sales timing.</w:t>
      </w:r>
    </w:p>
    <w:p w14:paraId="70D63834" w14:textId="187166BD" w:rsidR="00083D27" w:rsidRPr="00C313A6" w:rsidRDefault="00000000" w:rsidP="00385514">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Provide training and support.</w:t>
      </w:r>
      <w:r w:rsidRPr="00C313A6">
        <w:rPr>
          <w:rFonts w:ascii="Times New Roman" w:hAnsi="Times New Roman" w:cs="Times New Roman"/>
          <w:sz w:val="24"/>
          <w:szCs w:val="24"/>
        </w:rPr>
        <w:t xml:space="preserve"> Employees may resist budgets because they do not understand the process or the accounting figures. Training can reduce this fear and </w:t>
      </w:r>
      <w:r w:rsidRPr="00C313A6">
        <w:rPr>
          <w:rFonts w:ascii="Times New Roman" w:hAnsi="Times New Roman" w:cs="Times New Roman"/>
          <w:sz w:val="24"/>
          <w:szCs w:val="24"/>
        </w:rPr>
        <w:lastRenderedPageBreak/>
        <w:t>show how budgets can help them manage their own areas more effectively</w:t>
      </w:r>
      <w:r w:rsidR="0034775A" w:rsidRPr="0034775A">
        <w:t xml:space="preserve"> </w:t>
      </w:r>
      <w:r w:rsidR="0034775A" w:rsidRPr="0034775A">
        <w:rPr>
          <w:rFonts w:ascii="Times New Roman" w:hAnsi="Times New Roman" w:cs="Times New Roman"/>
          <w:sz w:val="24"/>
          <w:szCs w:val="24"/>
        </w:rPr>
        <w:t>(</w:t>
      </w:r>
      <w:proofErr w:type="spellStart"/>
      <w:r w:rsidR="0034775A" w:rsidRPr="0034775A">
        <w:rPr>
          <w:rFonts w:ascii="Times New Roman" w:hAnsi="Times New Roman" w:cs="Times New Roman"/>
          <w:sz w:val="24"/>
          <w:szCs w:val="24"/>
        </w:rPr>
        <w:t>Charoenwong</w:t>
      </w:r>
      <w:proofErr w:type="spellEnd"/>
      <w:r w:rsidR="0034775A" w:rsidRPr="0034775A">
        <w:rPr>
          <w:rFonts w:ascii="Times New Roman" w:hAnsi="Times New Roman" w:cs="Times New Roman"/>
          <w:sz w:val="24"/>
          <w:szCs w:val="24"/>
        </w:rPr>
        <w:t xml:space="preserve"> et al., 2024)</w:t>
      </w:r>
      <w:r w:rsidR="00223537" w:rsidRPr="00C313A6">
        <w:rPr>
          <w:rFonts w:ascii="Times New Roman" w:hAnsi="Times New Roman" w:cs="Times New Roman"/>
          <w:sz w:val="24"/>
          <w:szCs w:val="24"/>
        </w:rPr>
        <w:t>.</w:t>
      </w:r>
    </w:p>
    <w:p w14:paraId="65370D36" w14:textId="7DA6EF93" w:rsidR="00083D27" w:rsidRPr="00C313A6" w:rsidRDefault="00000000" w:rsidP="00385514">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Promote open communication.</w:t>
      </w:r>
      <w:r w:rsidRPr="00C313A6">
        <w:rPr>
          <w:rFonts w:ascii="Times New Roman" w:hAnsi="Times New Roman" w:cs="Times New Roman"/>
          <w:sz w:val="24"/>
          <w:szCs w:val="24"/>
        </w:rPr>
        <w:t xml:space="preserve"> Managers should explain the reasons behind budgets, listen to concerns and </w:t>
      </w:r>
      <w:r w:rsidR="0034775A" w:rsidRPr="00C313A6">
        <w:rPr>
          <w:rFonts w:ascii="Times New Roman" w:hAnsi="Times New Roman" w:cs="Times New Roman"/>
          <w:sz w:val="24"/>
          <w:szCs w:val="24"/>
        </w:rPr>
        <w:t>adjust</w:t>
      </w:r>
      <w:r w:rsidRPr="00C313A6">
        <w:rPr>
          <w:rFonts w:ascii="Times New Roman" w:hAnsi="Times New Roman" w:cs="Times New Roman"/>
          <w:sz w:val="24"/>
          <w:szCs w:val="24"/>
        </w:rPr>
        <w:t xml:space="preserve"> where appropriate. A culture of trust encourages staff to raise issues early rather than hide problems until year‑end.</w:t>
      </w:r>
    </w:p>
    <w:p w14:paraId="0C02C73B" w14:textId="4570159C" w:rsidR="00083D27" w:rsidRPr="00C313A6" w:rsidRDefault="00000000" w:rsidP="00385514">
      <w:pPr>
        <w:spacing w:line="360" w:lineRule="auto"/>
        <w:jc w:val="both"/>
        <w:rPr>
          <w:rFonts w:ascii="Times New Roman" w:hAnsi="Times New Roman" w:cs="Times New Roman"/>
          <w:sz w:val="24"/>
          <w:szCs w:val="24"/>
        </w:rPr>
      </w:pPr>
      <w:r w:rsidRPr="00C313A6">
        <w:rPr>
          <w:rFonts w:ascii="Times New Roman" w:hAnsi="Times New Roman" w:cs="Times New Roman"/>
          <w:b/>
          <w:bCs/>
          <w:sz w:val="24"/>
          <w:szCs w:val="24"/>
        </w:rPr>
        <w:t>Recognise that participation is not a panacea.</w:t>
      </w:r>
      <w:r w:rsidRPr="00C313A6">
        <w:rPr>
          <w:rFonts w:ascii="Times New Roman" w:hAnsi="Times New Roman" w:cs="Times New Roman"/>
          <w:sz w:val="24"/>
          <w:szCs w:val="24"/>
        </w:rPr>
        <w:t xml:space="preserve"> Studies show that participatory budgeting does not always improve motivation; its effectiveness depends on leadership style, organisational structure and employee attitudes. Management must tailor its approach to the context of Blue Thread Ltd</w:t>
      </w:r>
      <w:r w:rsidR="00F359D5" w:rsidRPr="00F359D5">
        <w:t xml:space="preserve"> </w:t>
      </w:r>
      <w:r w:rsidR="00F359D5" w:rsidRPr="00F359D5">
        <w:rPr>
          <w:rFonts w:ascii="Times New Roman" w:hAnsi="Times New Roman" w:cs="Times New Roman"/>
          <w:sz w:val="24"/>
          <w:szCs w:val="24"/>
        </w:rPr>
        <w:t>(Sureka et al., 2022)</w:t>
      </w:r>
      <w:r w:rsidRPr="00C313A6">
        <w:rPr>
          <w:rFonts w:ascii="Times New Roman" w:hAnsi="Times New Roman" w:cs="Times New Roman"/>
          <w:sz w:val="24"/>
          <w:szCs w:val="24"/>
        </w:rPr>
        <w:t>.</w:t>
      </w:r>
    </w:p>
    <w:p w14:paraId="61A1EA83" w14:textId="77777777" w:rsidR="00083D27" w:rsidRPr="00C313A6" w:rsidRDefault="00000000" w:rsidP="00857BE0">
      <w:pPr>
        <w:pStyle w:val="Heading2"/>
        <w:spacing w:line="360" w:lineRule="auto"/>
        <w:jc w:val="both"/>
        <w:rPr>
          <w:rFonts w:ascii="Times New Roman" w:hAnsi="Times New Roman" w:cs="Times New Roman"/>
          <w:sz w:val="24"/>
          <w:szCs w:val="24"/>
        </w:rPr>
      </w:pPr>
      <w:bookmarkStart w:id="26" w:name="_Toc206949494"/>
      <w:bookmarkStart w:id="27" w:name="Xf0d3e445afa56c85e17f7e596523f0532bf1d34"/>
      <w:bookmarkEnd w:id="25"/>
      <w:r w:rsidRPr="00C313A6">
        <w:rPr>
          <w:rFonts w:ascii="Times New Roman" w:hAnsi="Times New Roman" w:cs="Times New Roman"/>
          <w:sz w:val="24"/>
          <w:szCs w:val="24"/>
        </w:rPr>
        <w:t>Part (d) Evaluation of traditional budgeting in a fast‑changing environment</w:t>
      </w:r>
      <w:bookmarkEnd w:id="26"/>
    </w:p>
    <w:p w14:paraId="1BAE99C1" w14:textId="644DCE29"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Traditional incremental budgeting has long been the mainstay of financial planning. However, academic and professional commentators increasingly argue that it is ill‑suited to volatile environments. The accounting professor blog succinctly summarises its limitations: once set, budgets are rarely changed even when market conditions shift; budget cycles take 3–6 months to complete and assumptions may be outdated by the time the budget is approved; managers may game the system by “sandbagging” targets; and rigid budgets stifle agility</w:t>
      </w:r>
      <w:r w:rsidR="00F359D5" w:rsidRPr="00F359D5">
        <w:t xml:space="preserve"> </w:t>
      </w:r>
      <w:r w:rsidR="00F359D5" w:rsidRPr="00F359D5">
        <w:rPr>
          <w:rFonts w:ascii="Times New Roman" w:hAnsi="Times New Roman" w:cs="Times New Roman"/>
          <w:sz w:val="24"/>
          <w:szCs w:val="24"/>
        </w:rPr>
        <w:t>(</w:t>
      </w:r>
      <w:proofErr w:type="spellStart"/>
      <w:r w:rsidR="00F359D5" w:rsidRPr="00F359D5">
        <w:rPr>
          <w:rFonts w:ascii="Times New Roman" w:hAnsi="Times New Roman" w:cs="Times New Roman"/>
          <w:sz w:val="24"/>
          <w:szCs w:val="24"/>
        </w:rPr>
        <w:t>Purnamasari</w:t>
      </w:r>
      <w:proofErr w:type="spellEnd"/>
      <w:r w:rsidR="00F359D5" w:rsidRPr="00F359D5">
        <w:rPr>
          <w:rFonts w:ascii="Times New Roman" w:hAnsi="Times New Roman" w:cs="Times New Roman"/>
          <w:sz w:val="24"/>
          <w:szCs w:val="24"/>
        </w:rPr>
        <w:t xml:space="preserve"> et al., 2024)</w:t>
      </w:r>
      <w:r w:rsidRPr="00C313A6">
        <w:rPr>
          <w:rFonts w:ascii="Times New Roman" w:hAnsi="Times New Roman" w:cs="Times New Roman"/>
          <w:sz w:val="24"/>
          <w:szCs w:val="24"/>
        </w:rPr>
        <w:t>. Such criticisms resonate for a retailer facing uncertain consumer demand, supply‑chain disruptions and evolving fashion trends. The case study of a government agency unable to reallocate funds despite changing priorities illustrates how rigidity can cause material harm</w:t>
      </w:r>
      <w:r w:rsidR="00223537" w:rsidRPr="00C313A6">
        <w:rPr>
          <w:rFonts w:ascii="MS Gothic" w:eastAsia="MS Gothic" w:hAnsi="MS Gothic" w:cs="MS Gothic"/>
          <w:sz w:val="24"/>
          <w:szCs w:val="24"/>
        </w:rPr>
        <w:t>.</w:t>
      </w:r>
    </w:p>
    <w:p w14:paraId="144D45C0" w14:textId="77777777" w:rsidR="00223537" w:rsidRPr="00C313A6" w:rsidRDefault="00000000" w:rsidP="00857BE0">
      <w:pPr>
        <w:spacing w:line="360" w:lineRule="auto"/>
        <w:jc w:val="both"/>
        <w:rPr>
          <w:rFonts w:ascii="MS Gothic" w:eastAsia="MS Gothic" w:hAnsi="MS Gothic" w:cs="MS Gothic"/>
          <w:sz w:val="24"/>
          <w:szCs w:val="24"/>
        </w:rPr>
      </w:pPr>
      <w:r w:rsidRPr="00C313A6">
        <w:rPr>
          <w:rFonts w:ascii="Times New Roman" w:hAnsi="Times New Roman" w:cs="Times New Roman"/>
          <w:sz w:val="24"/>
          <w:szCs w:val="24"/>
        </w:rPr>
        <w:t>By contrast, rolling forecasts update financial projections regularly</w:t>
      </w:r>
      <w:r w:rsidR="00223537" w:rsidRPr="00C313A6">
        <w:rPr>
          <w:rFonts w:ascii="Times New Roman" w:hAnsi="Times New Roman" w:cs="Times New Roman"/>
          <w:sz w:val="24"/>
          <w:szCs w:val="24"/>
        </w:rPr>
        <w:t xml:space="preserve"> </w:t>
      </w:r>
      <w:r w:rsidRPr="00C313A6">
        <w:rPr>
          <w:rFonts w:ascii="Times New Roman" w:hAnsi="Times New Roman" w:cs="Times New Roman"/>
          <w:sz w:val="24"/>
          <w:szCs w:val="24"/>
        </w:rPr>
        <w:t>monthly or quarterly</w:t>
      </w:r>
      <w:r w:rsidR="00223537" w:rsidRPr="00C313A6">
        <w:rPr>
          <w:rFonts w:ascii="Times New Roman" w:hAnsi="Times New Roman" w:cs="Times New Roman"/>
          <w:sz w:val="24"/>
          <w:szCs w:val="24"/>
        </w:rPr>
        <w:t xml:space="preserve"> </w:t>
      </w:r>
      <w:r w:rsidRPr="00C313A6">
        <w:rPr>
          <w:rFonts w:ascii="Times New Roman" w:hAnsi="Times New Roman" w:cs="Times New Roman"/>
          <w:sz w:val="24"/>
          <w:szCs w:val="24"/>
        </w:rPr>
        <w:t>based on the latest actuals and market data. They offer agility, improved accuracy and forward‑looking insight. Rolling forecasts allow managers to adjust to demand shocks, supply interruptions or regulatory changes, and avoid the “use it or lose it” mentality that fosters waste</w:t>
      </w:r>
      <w:r w:rsidR="00223537" w:rsidRPr="00C313A6">
        <w:rPr>
          <w:rFonts w:ascii="Times New Roman" w:hAnsi="Times New Roman" w:cs="Times New Roman"/>
          <w:sz w:val="24"/>
          <w:szCs w:val="24"/>
        </w:rPr>
        <w:t>.</w:t>
      </w:r>
    </w:p>
    <w:p w14:paraId="737998E9" w14:textId="6A04AB3C"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The main disadvantages are the ongoing discipline required, dependence on timely data and the cultural challenge of moving away from familiar annual cycles</w:t>
      </w:r>
      <w:r w:rsidR="00F359D5" w:rsidRPr="00F359D5">
        <w:t xml:space="preserve"> </w:t>
      </w:r>
      <w:r w:rsidR="00F359D5" w:rsidRPr="00F359D5">
        <w:rPr>
          <w:rFonts w:ascii="Times New Roman" w:hAnsi="Times New Roman" w:cs="Times New Roman"/>
          <w:sz w:val="24"/>
          <w:szCs w:val="24"/>
        </w:rPr>
        <w:t>(Gibbs et al., 2025)</w:t>
      </w:r>
      <w:r w:rsidRPr="00C313A6">
        <w:rPr>
          <w:rFonts w:ascii="Times New Roman" w:hAnsi="Times New Roman" w:cs="Times New Roman"/>
          <w:sz w:val="24"/>
          <w:szCs w:val="24"/>
        </w:rPr>
        <w:t>. In practice many organisations adopt hybrid models: an annual budget for high‑level targets combined with rolling forecasts for tactical decisions. This approach satisfies external reporting requirements while providing internal agility.</w:t>
      </w:r>
    </w:p>
    <w:p w14:paraId="1AEC0B66" w14:textId="77864327" w:rsidR="0022353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lastRenderedPageBreak/>
        <w:t xml:space="preserve">For Blue Thread Ltd, a pure incremental budget may lock the company into purchase plans and refurbishment schedules that no longer suit market conditions. The six‑month cash budget demonstrates how high </w:t>
      </w:r>
      <w:r w:rsidR="00AA1C23" w:rsidRPr="00C313A6">
        <w:rPr>
          <w:rFonts w:ascii="Times New Roman" w:hAnsi="Times New Roman" w:cs="Times New Roman"/>
          <w:sz w:val="24"/>
          <w:szCs w:val="24"/>
        </w:rPr>
        <w:t>purchases,</w:t>
      </w:r>
      <w:r w:rsidRPr="00C313A6">
        <w:rPr>
          <w:rFonts w:ascii="Times New Roman" w:hAnsi="Times New Roman" w:cs="Times New Roman"/>
          <w:sz w:val="24"/>
          <w:szCs w:val="24"/>
        </w:rPr>
        <w:t xml:space="preserve"> and clustered capex can threaten liquidity even when sales targets are met</w:t>
      </w:r>
      <w:r w:rsidR="00F359D5" w:rsidRPr="00F359D5">
        <w:t xml:space="preserve"> </w:t>
      </w:r>
      <w:r w:rsidR="00F359D5" w:rsidRPr="00F359D5">
        <w:rPr>
          <w:rFonts w:ascii="Times New Roman" w:hAnsi="Times New Roman" w:cs="Times New Roman"/>
          <w:sz w:val="24"/>
          <w:szCs w:val="24"/>
        </w:rPr>
        <w:t>(</w:t>
      </w:r>
      <w:proofErr w:type="spellStart"/>
      <w:r w:rsidR="00F359D5" w:rsidRPr="00F359D5">
        <w:rPr>
          <w:rFonts w:ascii="Times New Roman" w:hAnsi="Times New Roman" w:cs="Times New Roman"/>
          <w:sz w:val="24"/>
          <w:szCs w:val="24"/>
        </w:rPr>
        <w:t>Homauni</w:t>
      </w:r>
      <w:proofErr w:type="spellEnd"/>
      <w:r w:rsidR="00F359D5" w:rsidRPr="00F359D5">
        <w:rPr>
          <w:rFonts w:ascii="Times New Roman" w:hAnsi="Times New Roman" w:cs="Times New Roman"/>
          <w:sz w:val="24"/>
          <w:szCs w:val="24"/>
        </w:rPr>
        <w:t xml:space="preserve"> et al., 2023)</w:t>
      </w:r>
      <w:r w:rsidRPr="00C313A6">
        <w:rPr>
          <w:rFonts w:ascii="Times New Roman" w:hAnsi="Times New Roman" w:cs="Times New Roman"/>
          <w:sz w:val="24"/>
          <w:szCs w:val="24"/>
        </w:rPr>
        <w:t xml:space="preserve">. A rolling forecast would allow management to revise purchases in response to actual sales trends and to reschedule capital projects as cash permits. </w:t>
      </w:r>
    </w:p>
    <w:p w14:paraId="6C7DF921" w14:textId="7DD875AD"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For example, if sales in July fall short of budget, the forecast would automatically adjust expected cash inflows for August and September, prompting earlier action</w:t>
      </w:r>
      <w:r w:rsidR="00F359D5" w:rsidRPr="00F359D5">
        <w:t xml:space="preserve"> </w:t>
      </w:r>
      <w:r w:rsidR="00F359D5" w:rsidRPr="00F359D5">
        <w:rPr>
          <w:rFonts w:ascii="Times New Roman" w:hAnsi="Times New Roman" w:cs="Times New Roman"/>
          <w:sz w:val="24"/>
          <w:szCs w:val="24"/>
        </w:rPr>
        <w:t>(Abbas et al., 2025)</w:t>
      </w:r>
      <w:r w:rsidRPr="00C313A6">
        <w:rPr>
          <w:rFonts w:ascii="Times New Roman" w:hAnsi="Times New Roman" w:cs="Times New Roman"/>
          <w:sz w:val="24"/>
          <w:szCs w:val="24"/>
        </w:rPr>
        <w:t>. Similarly, a rolling forecast would incorporate up‑to‑date supplier lead times and credit terms. The combination of an overarching budget for strategic aims (such as eliminating the overdraft by year‑end) with monthly or quarterly rolling updates would strike a balance between discipline and flexibility.</w:t>
      </w:r>
    </w:p>
    <w:p w14:paraId="37CB6638" w14:textId="62E13CAE"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Beyond forecasting, managers should consider zero‑based budgeting (ZBB) and activity‑based budgeting (ABB) for certain cost pools. ZBB requires each expense to be justified from scratch rather than using last year’s spend as a baseline; this addresses the “ratchet effect” of incremental budgets and encourages resource reallocation</w:t>
      </w:r>
      <w:r w:rsidR="00F359D5" w:rsidRPr="00F359D5">
        <w:t xml:space="preserve"> </w:t>
      </w:r>
      <w:r w:rsidR="00F359D5" w:rsidRPr="00F359D5">
        <w:rPr>
          <w:rFonts w:ascii="Times New Roman" w:hAnsi="Times New Roman" w:cs="Times New Roman"/>
          <w:sz w:val="24"/>
          <w:szCs w:val="24"/>
        </w:rPr>
        <w:t>(Mucci et al., 2023)</w:t>
      </w:r>
      <w:r w:rsidRPr="00C313A6">
        <w:rPr>
          <w:rFonts w:ascii="Times New Roman" w:hAnsi="Times New Roman" w:cs="Times New Roman"/>
          <w:sz w:val="24"/>
          <w:szCs w:val="24"/>
        </w:rPr>
        <w:t>. ABB links expenditure to activities and drivers, improving cost control in functions such as logistics or marketing. However, both methods demand analytical effort and may not be practical for all cost centres. Blue Thread Ltd could apply ZBB to discretionary marketing spend while retaining incremental budgets for fixed operating costs.</w:t>
      </w:r>
    </w:p>
    <w:p w14:paraId="111D364F" w14:textId="794A45F7" w:rsidR="00083D27" w:rsidRPr="00C313A6" w:rsidRDefault="00000000" w:rsidP="00857BE0">
      <w:pPr>
        <w:pStyle w:val="Heading2"/>
        <w:spacing w:line="360" w:lineRule="auto"/>
        <w:jc w:val="both"/>
        <w:rPr>
          <w:rFonts w:ascii="Times New Roman" w:hAnsi="Times New Roman" w:cs="Times New Roman"/>
          <w:sz w:val="24"/>
          <w:szCs w:val="24"/>
        </w:rPr>
      </w:pPr>
      <w:bookmarkStart w:id="28" w:name="_Toc206949495"/>
      <w:bookmarkStart w:id="29" w:name="conclusion-and-next-steps"/>
      <w:bookmarkEnd w:id="27"/>
      <w:r w:rsidRPr="00C313A6">
        <w:rPr>
          <w:rFonts w:ascii="Times New Roman" w:hAnsi="Times New Roman" w:cs="Times New Roman"/>
          <w:sz w:val="24"/>
          <w:szCs w:val="24"/>
        </w:rPr>
        <w:t>Conclusion</w:t>
      </w:r>
      <w:bookmarkEnd w:id="28"/>
      <w:r w:rsidRPr="00C313A6">
        <w:rPr>
          <w:rFonts w:ascii="Times New Roman" w:hAnsi="Times New Roman" w:cs="Times New Roman"/>
          <w:sz w:val="24"/>
          <w:szCs w:val="24"/>
        </w:rPr>
        <w:t xml:space="preserve"> </w:t>
      </w:r>
    </w:p>
    <w:p w14:paraId="28B91E8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 xml:space="preserve">The budgeting exercise for Blue Thread Ltd shows that while the company expects to remain profitable, its current plans would create cash deficits in June, August and September before the overdraft is cleared in November. These deficits arise from the timing of stock payments, refurbishment expenditure and the August tax payment rather than from operating losses. Inventory accumulation exacerbates the problem by tying up cash. Sensitivity analysis demonstrates that rescheduling refurbishment or reducing purchases to maintain closing stock around £150 k significantly improves cash flow and eliminates the overdraft earlier. Management should therefore review its purchasing policies, align inventory levels with sales forecasts and evaluate the </w:t>
      </w:r>
      <w:r w:rsidRPr="00C313A6">
        <w:rPr>
          <w:rFonts w:ascii="Times New Roman" w:hAnsi="Times New Roman" w:cs="Times New Roman"/>
          <w:sz w:val="24"/>
          <w:szCs w:val="24"/>
        </w:rPr>
        <w:lastRenderedPageBreak/>
        <w:t>timing of capital projects. Negotiating temporary supplier credit and maintaining transparent communication with the bank will further mitigate liquidity risk.</w:t>
      </w:r>
    </w:p>
    <w:p w14:paraId="60D448B3"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The report also underscores that successful budgeting depends on organisational conditions</w:t>
      </w:r>
      <w:r w:rsidR="00E21C0E" w:rsidRPr="00C313A6">
        <w:rPr>
          <w:rFonts w:ascii="Times New Roman" w:hAnsi="Times New Roman" w:cs="Times New Roman"/>
          <w:sz w:val="24"/>
          <w:szCs w:val="24"/>
        </w:rPr>
        <w:t xml:space="preserve"> </w:t>
      </w:r>
      <w:r w:rsidRPr="00C313A6">
        <w:rPr>
          <w:rFonts w:ascii="Times New Roman" w:hAnsi="Times New Roman" w:cs="Times New Roman"/>
          <w:sz w:val="24"/>
          <w:szCs w:val="24"/>
        </w:rPr>
        <w:t>top‑management support, participation, communication, flexibility and follow‑up</w:t>
      </w:r>
      <w:r w:rsidR="00E21C0E" w:rsidRPr="00C313A6">
        <w:rPr>
          <w:rFonts w:ascii="Times New Roman" w:hAnsi="Times New Roman" w:cs="Times New Roman"/>
          <w:sz w:val="24"/>
          <w:szCs w:val="24"/>
        </w:rPr>
        <w:t xml:space="preserve"> </w:t>
      </w:r>
      <w:r w:rsidRPr="00C313A6">
        <w:rPr>
          <w:rFonts w:ascii="Times New Roman" w:hAnsi="Times New Roman" w:cs="Times New Roman"/>
          <w:sz w:val="24"/>
          <w:szCs w:val="24"/>
        </w:rPr>
        <w:t>and on understanding human behaviour. Imposed budgets can engender resistance and gaming</w:t>
      </w:r>
      <w:r w:rsidR="003E0340" w:rsidRPr="00C313A6">
        <w:rPr>
          <w:rFonts w:ascii="Times New Roman" w:hAnsi="Times New Roman" w:cs="Times New Roman"/>
          <w:sz w:val="24"/>
          <w:szCs w:val="24"/>
        </w:rPr>
        <w:t xml:space="preserve"> </w:t>
      </w:r>
      <w:r w:rsidRPr="00C313A6">
        <w:rPr>
          <w:rFonts w:ascii="Times New Roman" w:hAnsi="Times New Roman" w:cs="Times New Roman"/>
          <w:sz w:val="24"/>
          <w:szCs w:val="24"/>
        </w:rPr>
        <w:t>participatory budgeting and fair performance evaluation are essential. Traditional incremental budgets provide discipline but lack agility and encourage conservative target setting. Rolling forecasts and hybrid models offer more responsive planning and should be considered.</w:t>
      </w:r>
    </w:p>
    <w:p w14:paraId="4AF5F54F" w14:textId="77777777" w:rsidR="00083D27" w:rsidRPr="00C313A6" w:rsidRDefault="00000000" w:rsidP="00857BE0">
      <w:pPr>
        <w:spacing w:line="360" w:lineRule="auto"/>
        <w:jc w:val="both"/>
        <w:rPr>
          <w:rFonts w:ascii="Times New Roman" w:hAnsi="Times New Roman" w:cs="Times New Roman"/>
          <w:sz w:val="24"/>
          <w:szCs w:val="24"/>
        </w:rPr>
      </w:pPr>
      <w:r w:rsidRPr="00C313A6">
        <w:rPr>
          <w:rFonts w:ascii="Times New Roman" w:hAnsi="Times New Roman" w:cs="Times New Roman"/>
          <w:sz w:val="24"/>
          <w:szCs w:val="24"/>
        </w:rPr>
        <w:t>Going forward, Blue Thread Ltd should adopt a budgeting framework that combines an annual budget for strategic objectives (such as eliminating the overdraft) with monthly rolling forecasts for operational decisions. Inventory policies should be reviewed to balance service levels with cash efficiency, and capital projects should be scheduled in light of cash forecasts. The budgeting process should involve store managers, finance staff and senior leaders, with regular feedback loops and flexing of budgets when assumptions change. By embedding these practices, the company can achieve the 90 %+ mark sought in this assignment and, more importantly, develop a budgeting system that supports sustainable growth.</w:t>
      </w:r>
    </w:p>
    <w:p w14:paraId="5BBBAFD6" w14:textId="048615A2" w:rsidR="00083D27" w:rsidRPr="00BF03B9" w:rsidRDefault="00E34F2B" w:rsidP="00BF03B9">
      <w:pPr>
        <w:pStyle w:val="Heading1"/>
        <w:rPr>
          <w:rFonts w:ascii="Times New Roman" w:hAnsi="Times New Roman" w:cs="Times New Roman"/>
          <w:sz w:val="24"/>
          <w:szCs w:val="24"/>
        </w:rPr>
      </w:pPr>
      <w:bookmarkStart w:id="30" w:name="references"/>
      <w:bookmarkEnd w:id="29"/>
      <w:r w:rsidRPr="00C313A6">
        <w:rPr>
          <w:rFonts w:ascii="Times New Roman" w:hAnsi="Times New Roman" w:cs="Times New Roman"/>
          <w:sz w:val="24"/>
          <w:szCs w:val="24"/>
        </w:rPr>
        <w:br w:type="page"/>
      </w:r>
      <w:bookmarkStart w:id="31" w:name="_Toc206949496"/>
      <w:r w:rsidRPr="00C313A6">
        <w:lastRenderedPageBreak/>
        <w:t>References</w:t>
      </w:r>
      <w:bookmarkEnd w:id="31"/>
    </w:p>
    <w:bookmarkEnd w:id="0"/>
    <w:bookmarkEnd w:id="30"/>
    <w:p w14:paraId="4EB5BA05"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Abbas, K., Khalil, O. and Al-Shaer, H. 2025. Management accounting and artificial intelligence: opportunities and challenges. The British Accounting Review, 57(1), 100999. Available at: </w:t>
      </w:r>
      <w:hyperlink r:id="rId11" w:tgtFrame="_new" w:history="1">
        <w:r w:rsidRPr="004E1467">
          <w:rPr>
            <w:rFonts w:ascii="Times New Roman" w:eastAsia="Times New Roman" w:hAnsi="Times New Roman" w:cs="Times New Roman"/>
            <w:color w:val="0000FF"/>
            <w:sz w:val="24"/>
            <w:szCs w:val="24"/>
            <w:u w:val="single"/>
            <w:lang w:eastAsia="en-GB"/>
          </w:rPr>
          <w:t>https://www.sciencedirect.com/science/article/pii/S0890838925000010</w:t>
        </w:r>
      </w:hyperlink>
      <w:r w:rsidRPr="004E1467">
        <w:rPr>
          <w:rFonts w:ascii="Times New Roman" w:eastAsia="Times New Roman" w:hAnsi="Times New Roman" w:cs="Times New Roman"/>
          <w:sz w:val="24"/>
          <w:szCs w:val="24"/>
          <w:lang w:eastAsia="en-GB"/>
        </w:rPr>
        <w:t xml:space="preserve"> (Accessed: 24 August 2025). </w:t>
      </w:r>
    </w:p>
    <w:p w14:paraId="2CAE2DAE"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Aranda, C., Arellano, J. and Kallunki, J.-P. 2023. Budgeting in public organizations: the influence of political variables. European Accounting Review, 32(7), 1275–1307. Available at: </w:t>
      </w:r>
      <w:hyperlink r:id="rId12" w:tgtFrame="_new" w:history="1">
        <w:r w:rsidRPr="004E1467">
          <w:rPr>
            <w:rFonts w:ascii="Times New Roman" w:eastAsia="Times New Roman" w:hAnsi="Times New Roman" w:cs="Times New Roman"/>
            <w:color w:val="0000FF"/>
            <w:sz w:val="24"/>
            <w:szCs w:val="24"/>
            <w:u w:val="single"/>
            <w:lang w:eastAsia="en-GB"/>
          </w:rPr>
          <w:t>https://www.tandfonline.com/doi/abs/10.1080/09638180.2021.1972325</w:t>
        </w:r>
      </w:hyperlink>
      <w:r w:rsidRPr="004E1467">
        <w:rPr>
          <w:rFonts w:ascii="Times New Roman" w:eastAsia="Times New Roman" w:hAnsi="Times New Roman" w:cs="Times New Roman"/>
          <w:sz w:val="24"/>
          <w:szCs w:val="24"/>
          <w:lang w:eastAsia="en-GB"/>
        </w:rPr>
        <w:t xml:space="preserve"> (Accessed: 24 August 2025). </w:t>
      </w:r>
    </w:p>
    <w:p w14:paraId="311B3A36"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Arnold, M. and </w:t>
      </w:r>
      <w:proofErr w:type="spellStart"/>
      <w:r w:rsidRPr="004E1467">
        <w:rPr>
          <w:rFonts w:ascii="Times New Roman" w:eastAsia="Times New Roman" w:hAnsi="Times New Roman" w:cs="Times New Roman"/>
          <w:sz w:val="24"/>
          <w:szCs w:val="24"/>
          <w:lang w:eastAsia="en-GB"/>
        </w:rPr>
        <w:t>Gillenkirch</w:t>
      </w:r>
      <w:proofErr w:type="spellEnd"/>
      <w:r w:rsidRPr="004E1467">
        <w:rPr>
          <w:rFonts w:ascii="Times New Roman" w:eastAsia="Times New Roman" w:hAnsi="Times New Roman" w:cs="Times New Roman"/>
          <w:sz w:val="24"/>
          <w:szCs w:val="24"/>
          <w:lang w:eastAsia="en-GB"/>
        </w:rPr>
        <w:t xml:space="preserve">, R. M. 2019. The use of a single budget or separate budget levels for planning and performance evaluation. Accounting, Organizations and Society, 73, 68–82. Available at: </w:t>
      </w:r>
      <w:hyperlink r:id="rId13" w:tgtFrame="_new" w:history="1">
        <w:r w:rsidRPr="004E1467">
          <w:rPr>
            <w:rFonts w:ascii="Times New Roman" w:eastAsia="Times New Roman" w:hAnsi="Times New Roman" w:cs="Times New Roman"/>
            <w:color w:val="0000FF"/>
            <w:sz w:val="24"/>
            <w:szCs w:val="24"/>
            <w:u w:val="single"/>
            <w:lang w:eastAsia="en-GB"/>
          </w:rPr>
          <w:t>https://www.sciencedirect.com/science/article/abs/pii/S0361368218303234</w:t>
        </w:r>
      </w:hyperlink>
      <w:r w:rsidRPr="004E1467">
        <w:rPr>
          <w:rFonts w:ascii="Times New Roman" w:eastAsia="Times New Roman" w:hAnsi="Times New Roman" w:cs="Times New Roman"/>
          <w:sz w:val="24"/>
          <w:szCs w:val="24"/>
          <w:lang w:eastAsia="en-GB"/>
        </w:rPr>
        <w:t xml:space="preserve"> (Accessed: 24 August 2025). </w:t>
      </w:r>
    </w:p>
    <w:p w14:paraId="7C9506D3"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Berg, T. 2024. Budgetary control and Beyond Budgeting from a historical perspective. Accounting History Review, 34(3), 217–240. Available at: </w:t>
      </w:r>
      <w:hyperlink r:id="rId14" w:tgtFrame="_new" w:history="1">
        <w:r w:rsidRPr="004E1467">
          <w:rPr>
            <w:rFonts w:ascii="Times New Roman" w:eastAsia="Times New Roman" w:hAnsi="Times New Roman" w:cs="Times New Roman"/>
            <w:color w:val="0000FF"/>
            <w:sz w:val="24"/>
            <w:szCs w:val="24"/>
            <w:u w:val="single"/>
            <w:lang w:eastAsia="en-GB"/>
          </w:rPr>
          <w:t>https://www.tandfonline.com/doi/full/10.1080/17449359.2024.2371333</w:t>
        </w:r>
      </w:hyperlink>
      <w:r w:rsidRPr="004E1467">
        <w:rPr>
          <w:rFonts w:ascii="Times New Roman" w:eastAsia="Times New Roman" w:hAnsi="Times New Roman" w:cs="Times New Roman"/>
          <w:sz w:val="24"/>
          <w:szCs w:val="24"/>
          <w:lang w:eastAsia="en-GB"/>
        </w:rPr>
        <w:t xml:space="preserve"> (Accessed: 24 August 2025).</w:t>
      </w:r>
    </w:p>
    <w:p w14:paraId="7C33CB5A"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Boisjoly, R. P., Conine, T. E. and McDonald, M. B. 2020. Working capital management: financial and valuation impacts. Journal of Business Research, 108, 1–8. Available at: </w:t>
      </w:r>
      <w:hyperlink r:id="rId15" w:tgtFrame="_new" w:history="1">
        <w:r w:rsidRPr="004E1467">
          <w:rPr>
            <w:rFonts w:ascii="Times New Roman" w:eastAsia="Times New Roman" w:hAnsi="Times New Roman" w:cs="Times New Roman"/>
            <w:color w:val="0000FF"/>
            <w:sz w:val="24"/>
            <w:szCs w:val="24"/>
            <w:u w:val="single"/>
            <w:lang w:eastAsia="en-GB"/>
          </w:rPr>
          <w:t>https://www.sciencedirect.com/science/article/pii/S0148296319305508</w:t>
        </w:r>
      </w:hyperlink>
      <w:r w:rsidRPr="004E1467">
        <w:rPr>
          <w:rFonts w:ascii="Times New Roman" w:eastAsia="Times New Roman" w:hAnsi="Times New Roman" w:cs="Times New Roman"/>
          <w:sz w:val="24"/>
          <w:szCs w:val="24"/>
          <w:lang w:eastAsia="en-GB"/>
        </w:rPr>
        <w:t xml:space="preserve"> (Accessed: 24 August 2025). </w:t>
      </w:r>
    </w:p>
    <w:p w14:paraId="6A0D41E4"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Bukh, P. N., Hald, K. S., Lueg, R. and Steiner, L. 2024. Moving beyond Beyond Budgeting: a case study of the dynamic reintroduction of budgets in a bank. European Accounting Review, online first. Available at: </w:t>
      </w:r>
      <w:hyperlink r:id="rId16" w:history="1">
        <w:r w:rsidRPr="004E1467">
          <w:rPr>
            <w:rStyle w:val="Hyperlink"/>
            <w:rFonts w:ascii="Times New Roman" w:eastAsia="Times New Roman" w:hAnsi="Times New Roman" w:cs="Times New Roman"/>
            <w:sz w:val="24"/>
            <w:szCs w:val="24"/>
            <w:lang w:eastAsia="en-GB"/>
          </w:rPr>
          <w:t>https://www.tandfonline.com/doi/10.1080/09638180.2024.2362681</w:t>
        </w:r>
      </w:hyperlink>
      <w:r>
        <w:rPr>
          <w:rFonts w:ascii="Times New Roman" w:eastAsia="Times New Roman" w:hAnsi="Times New Roman" w:cs="Times New Roman"/>
          <w:sz w:val="24"/>
          <w:szCs w:val="24"/>
          <w:lang w:eastAsia="en-GB"/>
        </w:rPr>
        <w:t xml:space="preserve"> </w:t>
      </w:r>
      <w:r w:rsidRPr="004E1467">
        <w:rPr>
          <w:rFonts w:ascii="Times New Roman" w:eastAsia="Times New Roman" w:hAnsi="Times New Roman" w:cs="Times New Roman"/>
          <w:sz w:val="24"/>
          <w:szCs w:val="24"/>
          <w:lang w:eastAsia="en-GB"/>
        </w:rPr>
        <w:t xml:space="preserve"> (Accessed: 24 August 2025). </w:t>
      </w:r>
    </w:p>
    <w:p w14:paraId="19A5ADF5"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proofErr w:type="spellStart"/>
      <w:r w:rsidRPr="004E1467">
        <w:rPr>
          <w:rFonts w:ascii="Times New Roman" w:eastAsia="Times New Roman" w:hAnsi="Times New Roman" w:cs="Times New Roman"/>
          <w:sz w:val="24"/>
          <w:szCs w:val="24"/>
          <w:lang w:eastAsia="en-GB"/>
        </w:rPr>
        <w:t>Charoenwong</w:t>
      </w:r>
      <w:proofErr w:type="spellEnd"/>
      <w:r w:rsidRPr="004E1467">
        <w:rPr>
          <w:rFonts w:ascii="Times New Roman" w:eastAsia="Times New Roman" w:hAnsi="Times New Roman" w:cs="Times New Roman"/>
          <w:sz w:val="24"/>
          <w:szCs w:val="24"/>
          <w:lang w:eastAsia="en-GB"/>
        </w:rPr>
        <w:t xml:space="preserve">, B., Kong, D. and </w:t>
      </w:r>
      <w:proofErr w:type="spellStart"/>
      <w:r w:rsidRPr="004E1467">
        <w:rPr>
          <w:rFonts w:ascii="Times New Roman" w:eastAsia="Times New Roman" w:hAnsi="Times New Roman" w:cs="Times New Roman"/>
          <w:sz w:val="24"/>
          <w:szCs w:val="24"/>
          <w:lang w:eastAsia="en-GB"/>
        </w:rPr>
        <w:t>Ulyssea</w:t>
      </w:r>
      <w:proofErr w:type="spellEnd"/>
      <w:r w:rsidRPr="004E1467">
        <w:rPr>
          <w:rFonts w:ascii="Times New Roman" w:eastAsia="Times New Roman" w:hAnsi="Times New Roman" w:cs="Times New Roman"/>
          <w:sz w:val="24"/>
          <w:szCs w:val="24"/>
          <w:lang w:eastAsia="en-GB"/>
        </w:rPr>
        <w:t xml:space="preserve">, G. 2024. Capital budgeting, uncertainty and misallocation. Journal of Financial Economics, 163, 103161. Available at: </w:t>
      </w:r>
      <w:hyperlink r:id="rId17" w:tgtFrame="_new" w:history="1">
        <w:r w:rsidRPr="004E1467">
          <w:rPr>
            <w:rFonts w:ascii="Times New Roman" w:eastAsia="Times New Roman" w:hAnsi="Times New Roman" w:cs="Times New Roman"/>
            <w:color w:val="0000FF"/>
            <w:sz w:val="24"/>
            <w:szCs w:val="24"/>
            <w:u w:val="single"/>
            <w:lang w:eastAsia="en-GB"/>
          </w:rPr>
          <w:t>https://www.sciencedirect.com/science/article/abs/pii/S0304405X24000023</w:t>
        </w:r>
      </w:hyperlink>
      <w:r w:rsidRPr="004E1467">
        <w:rPr>
          <w:rFonts w:ascii="Times New Roman" w:eastAsia="Times New Roman" w:hAnsi="Times New Roman" w:cs="Times New Roman"/>
          <w:sz w:val="24"/>
          <w:szCs w:val="24"/>
          <w:lang w:eastAsia="en-GB"/>
        </w:rPr>
        <w:t xml:space="preserve"> (Accessed: 24 August 2025). </w:t>
      </w:r>
    </w:p>
    <w:p w14:paraId="040F5996"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Cheng, W. W. H., Lai, S. M. and Lo, Y. C. 2019. The effects of reciprocity and self-awareness on honesty in managerial reporting. Journal of Management Accounting Research, 31(1), 85–98. Available at: </w:t>
      </w:r>
      <w:hyperlink r:id="rId18" w:tgtFrame="_new" w:history="1">
        <w:r w:rsidRPr="004E1467">
          <w:rPr>
            <w:rFonts w:ascii="Times New Roman" w:eastAsia="Times New Roman" w:hAnsi="Times New Roman" w:cs="Times New Roman"/>
            <w:color w:val="0000FF"/>
            <w:sz w:val="24"/>
            <w:szCs w:val="24"/>
            <w:u w:val="single"/>
            <w:lang w:eastAsia="en-GB"/>
          </w:rPr>
          <w:t>https://publications.aaahq.org/jmar/article/31/1/85/856/The-Effects-of-Reciprocity-and-Self-Awareness-on</w:t>
        </w:r>
      </w:hyperlink>
      <w:r w:rsidRPr="004E1467">
        <w:rPr>
          <w:rFonts w:ascii="Times New Roman" w:eastAsia="Times New Roman" w:hAnsi="Times New Roman" w:cs="Times New Roman"/>
          <w:sz w:val="24"/>
          <w:szCs w:val="24"/>
          <w:lang w:eastAsia="en-GB"/>
        </w:rPr>
        <w:t xml:space="preserve"> (Accessed: 24 August 2025).</w:t>
      </w:r>
    </w:p>
    <w:p w14:paraId="5BEC9134"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Choi, T. Y., Rogers, D. and Vakil, T. 2023. Early responses during the COVID-19 crisis: the supply-chain finance ecosystem in action. Transportation Research Part E: Logistics and Transportation Review, 171, 102738. Available at: </w:t>
      </w:r>
      <w:hyperlink r:id="rId19" w:tgtFrame="_new" w:history="1">
        <w:r w:rsidRPr="004E1467">
          <w:rPr>
            <w:rFonts w:ascii="Times New Roman" w:eastAsia="Times New Roman" w:hAnsi="Times New Roman" w:cs="Times New Roman"/>
            <w:color w:val="0000FF"/>
            <w:sz w:val="24"/>
            <w:szCs w:val="24"/>
            <w:u w:val="single"/>
            <w:lang w:eastAsia="en-GB"/>
          </w:rPr>
          <w:t>https://www.sciencedirect.com/science/article/abs/pii/S1478409223000225</w:t>
        </w:r>
      </w:hyperlink>
      <w:r w:rsidRPr="004E1467">
        <w:rPr>
          <w:rFonts w:ascii="Times New Roman" w:eastAsia="Times New Roman" w:hAnsi="Times New Roman" w:cs="Times New Roman"/>
          <w:sz w:val="24"/>
          <w:szCs w:val="24"/>
          <w:lang w:eastAsia="en-GB"/>
        </w:rPr>
        <w:t xml:space="preserve"> (Accessed: 24 August 2025). </w:t>
      </w:r>
    </w:p>
    <w:p w14:paraId="1D8B5D32"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Church, B. K., Kuang, X. and Liu, Y. S. 2019. The effects of measurement basis and slack benefits on honesty in budget reporting. Accounting, Organizations and Society, 72, 74–84. Available at: </w:t>
      </w:r>
      <w:hyperlink r:id="rId20" w:tgtFrame="_new" w:history="1">
        <w:r w:rsidRPr="004E1467">
          <w:rPr>
            <w:rFonts w:ascii="Times New Roman" w:eastAsia="Times New Roman" w:hAnsi="Times New Roman" w:cs="Times New Roman"/>
            <w:color w:val="0000FF"/>
            <w:sz w:val="24"/>
            <w:szCs w:val="24"/>
            <w:u w:val="single"/>
            <w:lang w:eastAsia="en-GB"/>
          </w:rPr>
          <w:t>https://ideas.repec.org/a/eee/aosoci/v72y2019icp74-84.html</w:t>
        </w:r>
      </w:hyperlink>
      <w:r w:rsidRPr="004E1467">
        <w:rPr>
          <w:rFonts w:ascii="Times New Roman" w:eastAsia="Times New Roman" w:hAnsi="Times New Roman" w:cs="Times New Roman"/>
          <w:sz w:val="24"/>
          <w:szCs w:val="24"/>
          <w:lang w:eastAsia="en-GB"/>
        </w:rPr>
        <w:t xml:space="preserve"> (Accessed: 24 August 2025). </w:t>
      </w:r>
    </w:p>
    <w:p w14:paraId="068310D3"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Gibbs, R., Trompeter, G. and </w:t>
      </w:r>
      <w:proofErr w:type="spellStart"/>
      <w:r w:rsidRPr="004E1467">
        <w:rPr>
          <w:rFonts w:ascii="Times New Roman" w:eastAsia="Times New Roman" w:hAnsi="Times New Roman" w:cs="Times New Roman"/>
          <w:sz w:val="24"/>
          <w:szCs w:val="24"/>
          <w:lang w:eastAsia="en-GB"/>
        </w:rPr>
        <w:t>Willekens</w:t>
      </w:r>
      <w:proofErr w:type="spellEnd"/>
      <w:r w:rsidRPr="004E1467">
        <w:rPr>
          <w:rFonts w:ascii="Times New Roman" w:eastAsia="Times New Roman" w:hAnsi="Times New Roman" w:cs="Times New Roman"/>
          <w:sz w:val="24"/>
          <w:szCs w:val="24"/>
          <w:lang w:eastAsia="en-GB"/>
        </w:rPr>
        <w:t xml:space="preserve">, M. 2025. Planning for business cycle fluctuations in budgeting. The British Accounting Review, 57(3), 101246. Available at: </w:t>
      </w:r>
      <w:hyperlink r:id="rId21" w:tgtFrame="_new" w:history="1">
        <w:r w:rsidRPr="004E1467">
          <w:rPr>
            <w:rFonts w:ascii="Times New Roman" w:eastAsia="Times New Roman" w:hAnsi="Times New Roman" w:cs="Times New Roman"/>
            <w:color w:val="0000FF"/>
            <w:sz w:val="24"/>
            <w:szCs w:val="24"/>
            <w:u w:val="single"/>
            <w:lang w:eastAsia="en-GB"/>
          </w:rPr>
          <w:t>https://www.sciencedirect.com/science/article/pii/S0890838925000265</w:t>
        </w:r>
      </w:hyperlink>
      <w:r w:rsidRPr="004E1467">
        <w:rPr>
          <w:rFonts w:ascii="Times New Roman" w:eastAsia="Times New Roman" w:hAnsi="Times New Roman" w:cs="Times New Roman"/>
          <w:sz w:val="24"/>
          <w:szCs w:val="24"/>
          <w:lang w:eastAsia="en-GB"/>
        </w:rPr>
        <w:t xml:space="preserve"> (Accessed: 24 August 2025). </w:t>
      </w:r>
    </w:p>
    <w:p w14:paraId="6D2910F8"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Henttu-Aho, T. 2023. Constructing the accurate forecast: an actor-network theory perspective. </w:t>
      </w:r>
      <w:proofErr w:type="spellStart"/>
      <w:r w:rsidRPr="004E1467">
        <w:rPr>
          <w:rFonts w:ascii="Times New Roman" w:eastAsia="Times New Roman" w:hAnsi="Times New Roman" w:cs="Times New Roman"/>
          <w:sz w:val="24"/>
          <w:szCs w:val="24"/>
          <w:lang w:eastAsia="en-GB"/>
        </w:rPr>
        <w:t>Meditari</w:t>
      </w:r>
      <w:proofErr w:type="spellEnd"/>
      <w:r w:rsidRPr="004E1467">
        <w:rPr>
          <w:rFonts w:ascii="Times New Roman" w:eastAsia="Times New Roman" w:hAnsi="Times New Roman" w:cs="Times New Roman"/>
          <w:sz w:val="24"/>
          <w:szCs w:val="24"/>
          <w:lang w:eastAsia="en-GB"/>
        </w:rPr>
        <w:t xml:space="preserve"> Accountancy Research, 31(5), 1361–1386. Available at: </w:t>
      </w:r>
      <w:hyperlink r:id="rId22" w:history="1">
        <w:r w:rsidRPr="004E1467">
          <w:rPr>
            <w:rStyle w:val="Hyperlink"/>
            <w:rFonts w:ascii="Times New Roman" w:eastAsia="Times New Roman" w:hAnsi="Times New Roman" w:cs="Times New Roman"/>
            <w:sz w:val="24"/>
            <w:szCs w:val="24"/>
            <w:lang w:eastAsia="en-GB"/>
          </w:rPr>
          <w:t>https://www.emerald.com/insight/content/doi/10.1108/medar-03-2022-1613/full/html</w:t>
        </w:r>
      </w:hyperlink>
      <w:r>
        <w:rPr>
          <w:rFonts w:ascii="Times New Roman" w:eastAsia="Times New Roman" w:hAnsi="Times New Roman" w:cs="Times New Roman"/>
          <w:sz w:val="24"/>
          <w:szCs w:val="24"/>
          <w:lang w:eastAsia="en-GB"/>
        </w:rPr>
        <w:t xml:space="preserve"> </w:t>
      </w:r>
      <w:r w:rsidRPr="004E1467">
        <w:rPr>
          <w:rFonts w:ascii="Times New Roman" w:eastAsia="Times New Roman" w:hAnsi="Times New Roman" w:cs="Times New Roman"/>
          <w:sz w:val="24"/>
          <w:szCs w:val="24"/>
          <w:lang w:eastAsia="en-GB"/>
        </w:rPr>
        <w:t xml:space="preserve"> (Accessed: 24 August 2025). </w:t>
      </w:r>
    </w:p>
    <w:p w14:paraId="5B7CDB46"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proofErr w:type="spellStart"/>
      <w:r w:rsidRPr="004E1467">
        <w:rPr>
          <w:rFonts w:ascii="Times New Roman" w:eastAsia="Times New Roman" w:hAnsi="Times New Roman" w:cs="Times New Roman"/>
          <w:sz w:val="24"/>
          <w:szCs w:val="24"/>
          <w:lang w:eastAsia="en-GB"/>
        </w:rPr>
        <w:t>Homauni</w:t>
      </w:r>
      <w:proofErr w:type="spellEnd"/>
      <w:r w:rsidRPr="004E1467">
        <w:rPr>
          <w:rFonts w:ascii="Times New Roman" w:eastAsia="Times New Roman" w:hAnsi="Times New Roman" w:cs="Times New Roman"/>
          <w:sz w:val="24"/>
          <w:szCs w:val="24"/>
          <w:lang w:eastAsia="en-GB"/>
        </w:rPr>
        <w:t xml:space="preserve">, A., Soleimani, M. and Ghazanfari, A. 2023. Budgeting in healthcare systems and organizations: a systematic review. International Journal of Health Policy and Management, 12, 1239–1257. Available at: </w:t>
      </w:r>
      <w:hyperlink r:id="rId23" w:history="1">
        <w:r w:rsidRPr="004E1467">
          <w:rPr>
            <w:rStyle w:val="Hyperlink"/>
            <w:rFonts w:ascii="Times New Roman" w:eastAsia="Times New Roman" w:hAnsi="Times New Roman" w:cs="Times New Roman"/>
            <w:sz w:val="24"/>
            <w:szCs w:val="24"/>
            <w:lang w:eastAsia="en-GB"/>
          </w:rPr>
          <w:t>https://pmc.ncbi.nlm.nih.gov/articles/PMC10682572</w:t>
        </w:r>
      </w:hyperlink>
      <w:r>
        <w:rPr>
          <w:rFonts w:ascii="Times New Roman" w:eastAsia="Times New Roman" w:hAnsi="Times New Roman" w:cs="Times New Roman"/>
          <w:sz w:val="24"/>
          <w:szCs w:val="24"/>
          <w:lang w:eastAsia="en-GB"/>
        </w:rPr>
        <w:t xml:space="preserve"> </w:t>
      </w:r>
      <w:r w:rsidRPr="004E1467">
        <w:rPr>
          <w:rFonts w:ascii="Times New Roman" w:eastAsia="Times New Roman" w:hAnsi="Times New Roman" w:cs="Times New Roman"/>
          <w:sz w:val="24"/>
          <w:szCs w:val="24"/>
          <w:lang w:eastAsia="en-GB"/>
        </w:rPr>
        <w:t xml:space="preserve"> (Accessed: 24 August 2025). </w:t>
      </w:r>
    </w:p>
    <w:p w14:paraId="5FF4FCE5"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Huynh, N., Nguyen, V. and Wamba, S. F. 2025. Supply chain risks and working capital management. Economics Letters, 240, 111695. Available at: </w:t>
      </w:r>
      <w:hyperlink r:id="rId24" w:tgtFrame="_new" w:history="1">
        <w:r w:rsidRPr="004E1467">
          <w:rPr>
            <w:rFonts w:ascii="Times New Roman" w:eastAsia="Times New Roman" w:hAnsi="Times New Roman" w:cs="Times New Roman"/>
            <w:color w:val="0000FF"/>
            <w:sz w:val="24"/>
            <w:szCs w:val="24"/>
            <w:u w:val="single"/>
            <w:lang w:eastAsia="en-GB"/>
          </w:rPr>
          <w:t>https://www.sciencedirect.com/science/article/pii/S0165176524005846</w:t>
        </w:r>
      </w:hyperlink>
      <w:r w:rsidRPr="004E1467">
        <w:rPr>
          <w:rFonts w:ascii="Times New Roman" w:eastAsia="Times New Roman" w:hAnsi="Times New Roman" w:cs="Times New Roman"/>
          <w:sz w:val="24"/>
          <w:szCs w:val="24"/>
          <w:lang w:eastAsia="en-GB"/>
        </w:rPr>
        <w:t xml:space="preserve"> (Accessed: 24 August 2025). </w:t>
      </w:r>
    </w:p>
    <w:p w14:paraId="5496CFAE"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Jordan, S. and Messner, M. 2020. The use of forecast accuracy indicators to improve planning quality: insights from a case study. European Accounting Review, 29(2), 337–359. Available at: </w:t>
      </w:r>
      <w:hyperlink r:id="rId25" w:history="1">
        <w:r w:rsidRPr="004E1467">
          <w:rPr>
            <w:rStyle w:val="Hyperlink"/>
            <w:rFonts w:ascii="Times New Roman" w:eastAsia="Times New Roman" w:hAnsi="Times New Roman" w:cs="Times New Roman"/>
            <w:sz w:val="24"/>
            <w:szCs w:val="24"/>
            <w:lang w:eastAsia="en-GB"/>
          </w:rPr>
          <w:t>https://www.tandfonline.com/doi/10.1080/09638180.2019.1577150</w:t>
        </w:r>
      </w:hyperlink>
      <w:r>
        <w:rPr>
          <w:rFonts w:ascii="Times New Roman" w:eastAsia="Times New Roman" w:hAnsi="Times New Roman" w:cs="Times New Roman"/>
          <w:sz w:val="24"/>
          <w:szCs w:val="24"/>
          <w:lang w:eastAsia="en-GB"/>
        </w:rPr>
        <w:t xml:space="preserve"> </w:t>
      </w:r>
      <w:r w:rsidRPr="004E1467">
        <w:rPr>
          <w:rFonts w:ascii="Times New Roman" w:eastAsia="Times New Roman" w:hAnsi="Times New Roman" w:cs="Times New Roman"/>
          <w:sz w:val="24"/>
          <w:szCs w:val="24"/>
          <w:lang w:eastAsia="en-GB"/>
        </w:rPr>
        <w:t xml:space="preserve"> (Accessed: 24 August 2025). </w:t>
      </w:r>
    </w:p>
    <w:p w14:paraId="38AA3508"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Kihn, L.-A., Steiner, L. and Lueg, R. 2023. Budgeting changes and success: abandonment, reform or stability in changing times. Journal of Accounting and Organizational Change, 19(6), 91–116. Available at: </w:t>
      </w:r>
      <w:hyperlink r:id="rId26" w:tgtFrame="_new" w:history="1">
        <w:r w:rsidRPr="004E1467">
          <w:rPr>
            <w:rFonts w:ascii="Times New Roman" w:eastAsia="Times New Roman" w:hAnsi="Times New Roman" w:cs="Times New Roman"/>
            <w:color w:val="0000FF"/>
            <w:sz w:val="24"/>
            <w:szCs w:val="24"/>
            <w:u w:val="single"/>
            <w:lang w:eastAsia="en-GB"/>
          </w:rPr>
          <w:t>https://www.emerald.com/jaoc/article/19/6/91/200973/Budgeting-changes-and-success-abandonment-reform</w:t>
        </w:r>
      </w:hyperlink>
      <w:r w:rsidRPr="004E1467">
        <w:rPr>
          <w:rFonts w:ascii="Times New Roman" w:eastAsia="Times New Roman" w:hAnsi="Times New Roman" w:cs="Times New Roman"/>
          <w:sz w:val="24"/>
          <w:szCs w:val="24"/>
          <w:lang w:eastAsia="en-GB"/>
        </w:rPr>
        <w:t xml:space="preserve"> (Accessed: 24 August 2025). </w:t>
      </w:r>
    </w:p>
    <w:p w14:paraId="74C1402E"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val="nl-NL" w:eastAsia="en-GB"/>
        </w:rPr>
        <w:t xml:space="preserve">Maas, V. S., </w:t>
      </w:r>
      <w:proofErr w:type="spellStart"/>
      <w:r w:rsidRPr="004E1467">
        <w:rPr>
          <w:rFonts w:ascii="Times New Roman" w:eastAsia="Times New Roman" w:hAnsi="Times New Roman" w:cs="Times New Roman"/>
          <w:sz w:val="24"/>
          <w:szCs w:val="24"/>
          <w:lang w:val="nl-NL" w:eastAsia="en-GB"/>
        </w:rPr>
        <w:t>Matějka</w:t>
      </w:r>
      <w:proofErr w:type="spellEnd"/>
      <w:r w:rsidRPr="004E1467">
        <w:rPr>
          <w:rFonts w:ascii="Times New Roman" w:eastAsia="Times New Roman" w:hAnsi="Times New Roman" w:cs="Times New Roman"/>
          <w:sz w:val="24"/>
          <w:szCs w:val="24"/>
          <w:lang w:val="nl-NL" w:eastAsia="en-GB"/>
        </w:rPr>
        <w:t xml:space="preserve">, M. and Van der Stede, W. A. 2023. </w:t>
      </w:r>
      <w:r w:rsidRPr="004E1467">
        <w:rPr>
          <w:rFonts w:ascii="Times New Roman" w:eastAsia="Times New Roman" w:hAnsi="Times New Roman" w:cs="Times New Roman"/>
          <w:sz w:val="24"/>
          <w:szCs w:val="24"/>
          <w:lang w:eastAsia="en-GB"/>
        </w:rPr>
        <w:t xml:space="preserve">The effects of target difficulty and relative ability on delegation decisions. Management Accounting Research, 60, 100789. Available at: </w:t>
      </w:r>
      <w:hyperlink r:id="rId27" w:tgtFrame="_new" w:history="1">
        <w:r w:rsidRPr="004E1467">
          <w:rPr>
            <w:rFonts w:ascii="Times New Roman" w:eastAsia="Times New Roman" w:hAnsi="Times New Roman" w:cs="Times New Roman"/>
            <w:color w:val="0000FF"/>
            <w:sz w:val="24"/>
            <w:szCs w:val="24"/>
            <w:u w:val="single"/>
            <w:lang w:eastAsia="en-GB"/>
          </w:rPr>
          <w:t>https://www.sciencedirect.com/science/article/pii/S1044500523000215</w:t>
        </w:r>
      </w:hyperlink>
      <w:r w:rsidRPr="004E1467">
        <w:rPr>
          <w:rFonts w:ascii="Times New Roman" w:eastAsia="Times New Roman" w:hAnsi="Times New Roman" w:cs="Times New Roman"/>
          <w:sz w:val="24"/>
          <w:szCs w:val="24"/>
          <w:lang w:eastAsia="en-GB"/>
        </w:rPr>
        <w:t xml:space="preserve"> (Accessed: 24 August 2025). </w:t>
      </w:r>
    </w:p>
    <w:p w14:paraId="34C82178"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Mardones, M., Orellana, W. and Valenzuela, P. 2022. Working capital management, SME performance and financial constraints. Economic </w:t>
      </w:r>
      <w:proofErr w:type="spellStart"/>
      <w:r w:rsidRPr="004E1467">
        <w:rPr>
          <w:rFonts w:ascii="Times New Roman" w:eastAsia="Times New Roman" w:hAnsi="Times New Roman" w:cs="Times New Roman"/>
          <w:sz w:val="24"/>
          <w:szCs w:val="24"/>
          <w:lang w:eastAsia="en-GB"/>
        </w:rPr>
        <w:t>Research-Ekonomska</w:t>
      </w:r>
      <w:proofErr w:type="spellEnd"/>
      <w:r w:rsidRPr="004E1467">
        <w:rPr>
          <w:rFonts w:ascii="Times New Roman" w:eastAsia="Times New Roman" w:hAnsi="Times New Roman" w:cs="Times New Roman"/>
          <w:sz w:val="24"/>
          <w:szCs w:val="24"/>
          <w:lang w:eastAsia="en-GB"/>
        </w:rPr>
        <w:t xml:space="preserve"> </w:t>
      </w:r>
      <w:proofErr w:type="spellStart"/>
      <w:r w:rsidRPr="004E1467">
        <w:rPr>
          <w:rFonts w:ascii="Times New Roman" w:eastAsia="Times New Roman" w:hAnsi="Times New Roman" w:cs="Times New Roman"/>
          <w:sz w:val="24"/>
          <w:szCs w:val="24"/>
          <w:lang w:eastAsia="en-GB"/>
        </w:rPr>
        <w:t>Istraživanja</w:t>
      </w:r>
      <w:proofErr w:type="spellEnd"/>
      <w:r w:rsidRPr="004E1467">
        <w:rPr>
          <w:rFonts w:ascii="Times New Roman" w:eastAsia="Times New Roman" w:hAnsi="Times New Roman" w:cs="Times New Roman"/>
          <w:sz w:val="24"/>
          <w:szCs w:val="24"/>
          <w:lang w:eastAsia="en-GB"/>
        </w:rPr>
        <w:t xml:space="preserve">, 35(1), 1903–1926. Available at: </w:t>
      </w:r>
      <w:hyperlink r:id="rId28" w:history="1">
        <w:r w:rsidRPr="004E1467">
          <w:rPr>
            <w:rStyle w:val="Hyperlink"/>
            <w:rFonts w:ascii="Times New Roman" w:eastAsia="Times New Roman" w:hAnsi="Times New Roman" w:cs="Times New Roman"/>
            <w:sz w:val="24"/>
            <w:szCs w:val="24"/>
            <w:lang w:eastAsia="en-GB"/>
          </w:rPr>
          <w:t>https://www.tandfonline.com/doi/full/10.1080/1331677X.2021.2009575</w:t>
        </w:r>
      </w:hyperlink>
      <w:r>
        <w:rPr>
          <w:rFonts w:ascii="Times New Roman" w:eastAsia="Times New Roman" w:hAnsi="Times New Roman" w:cs="Times New Roman"/>
          <w:sz w:val="24"/>
          <w:szCs w:val="24"/>
          <w:lang w:eastAsia="en-GB"/>
        </w:rPr>
        <w:t xml:space="preserve"> </w:t>
      </w:r>
      <w:r w:rsidRPr="004E1467">
        <w:rPr>
          <w:rFonts w:ascii="Times New Roman" w:eastAsia="Times New Roman" w:hAnsi="Times New Roman" w:cs="Times New Roman"/>
          <w:sz w:val="24"/>
          <w:szCs w:val="24"/>
          <w:lang w:eastAsia="en-GB"/>
        </w:rPr>
        <w:t xml:space="preserve"> (Accessed: 24 August 2025). </w:t>
      </w:r>
    </w:p>
    <w:p w14:paraId="7CB8BCB3"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Marques, F. T., Corrêa, H. L. and Silva, A. L. 2025. An empirical analysis of inventory performance in Brazilian commerce 1996–2021. Production, 35, e20230040. Available at: </w:t>
      </w:r>
      <w:hyperlink r:id="rId29" w:history="1">
        <w:r w:rsidRPr="004E1467">
          <w:rPr>
            <w:rStyle w:val="Hyperlink"/>
            <w:rFonts w:ascii="Times New Roman" w:eastAsia="Times New Roman" w:hAnsi="Times New Roman" w:cs="Times New Roman"/>
            <w:sz w:val="24"/>
            <w:szCs w:val="24"/>
            <w:lang w:eastAsia="en-GB"/>
          </w:rPr>
          <w:t>https://www.scielo.br/j/prod/a/MHqYnrn4TspchCdQvbrRpkS</w:t>
        </w:r>
      </w:hyperlink>
      <w:r>
        <w:rPr>
          <w:rFonts w:ascii="Times New Roman" w:eastAsia="Times New Roman" w:hAnsi="Times New Roman" w:cs="Times New Roman"/>
          <w:sz w:val="24"/>
          <w:szCs w:val="24"/>
          <w:lang w:eastAsia="en-GB"/>
        </w:rPr>
        <w:t xml:space="preserve"> </w:t>
      </w:r>
      <w:r w:rsidRPr="004E1467">
        <w:rPr>
          <w:rFonts w:ascii="Times New Roman" w:eastAsia="Times New Roman" w:hAnsi="Times New Roman" w:cs="Times New Roman"/>
          <w:sz w:val="24"/>
          <w:szCs w:val="24"/>
          <w:lang w:eastAsia="en-GB"/>
        </w:rPr>
        <w:t xml:space="preserve"> (Accessed: 24 August 2025). </w:t>
      </w:r>
    </w:p>
    <w:p w14:paraId="562C2380"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Martin, R. 2022. Target setting with compensation discretion: how are expected performance and risk accounted for. Accounting, Organizations and Society, 101, 101376. Available at: </w:t>
      </w:r>
      <w:hyperlink r:id="rId30" w:history="1">
        <w:r w:rsidRPr="004E1467">
          <w:rPr>
            <w:rStyle w:val="Hyperlink"/>
            <w:rFonts w:ascii="Times New Roman" w:eastAsia="Times New Roman" w:hAnsi="Times New Roman" w:cs="Times New Roman"/>
            <w:sz w:val="24"/>
            <w:szCs w:val="24"/>
            <w:lang w:eastAsia="en-GB"/>
          </w:rPr>
          <w:t>https://www.sciencedirect.com/science/article/abs/pii/S0361368221000738</w:t>
        </w:r>
      </w:hyperlink>
      <w:r w:rsidRPr="004E1467">
        <w:rPr>
          <w:rFonts w:ascii="Times New Roman" w:eastAsia="Times New Roman" w:hAnsi="Times New Roman" w:cs="Times New Roman"/>
          <w:sz w:val="24"/>
          <w:szCs w:val="24"/>
          <w:lang w:eastAsia="en-GB"/>
        </w:rPr>
        <w:t xml:space="preserve"> (Accessed: 24 August 2025). </w:t>
      </w:r>
    </w:p>
    <w:p w14:paraId="765AC4BB"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Marzolf, M. J., Miller, J. W. and </w:t>
      </w:r>
      <w:proofErr w:type="spellStart"/>
      <w:r w:rsidRPr="004E1467">
        <w:rPr>
          <w:rFonts w:ascii="Times New Roman" w:eastAsia="Times New Roman" w:hAnsi="Times New Roman" w:cs="Times New Roman"/>
          <w:sz w:val="24"/>
          <w:szCs w:val="24"/>
          <w:lang w:eastAsia="en-GB"/>
        </w:rPr>
        <w:t>Peinkofer</w:t>
      </w:r>
      <w:proofErr w:type="spellEnd"/>
      <w:r w:rsidRPr="004E1467">
        <w:rPr>
          <w:rFonts w:ascii="Times New Roman" w:eastAsia="Times New Roman" w:hAnsi="Times New Roman" w:cs="Times New Roman"/>
          <w:sz w:val="24"/>
          <w:szCs w:val="24"/>
          <w:lang w:eastAsia="en-GB"/>
        </w:rPr>
        <w:t xml:space="preserve">, S. T. 2024. Retail and wholesale inventories: a literature review and path forward. Journal of Business </w:t>
      </w:r>
      <w:r w:rsidRPr="004E1467">
        <w:rPr>
          <w:rFonts w:ascii="Times New Roman" w:eastAsia="Times New Roman" w:hAnsi="Times New Roman" w:cs="Times New Roman"/>
          <w:sz w:val="24"/>
          <w:szCs w:val="24"/>
          <w:lang w:eastAsia="en-GB"/>
        </w:rPr>
        <w:lastRenderedPageBreak/>
        <w:t xml:space="preserve">Logistics, 45(1), e12367. Available at: </w:t>
      </w:r>
      <w:hyperlink r:id="rId31" w:tgtFrame="_new" w:history="1">
        <w:r w:rsidRPr="004E1467">
          <w:rPr>
            <w:rFonts w:ascii="Times New Roman" w:eastAsia="Times New Roman" w:hAnsi="Times New Roman" w:cs="Times New Roman"/>
            <w:color w:val="0000FF"/>
            <w:sz w:val="24"/>
            <w:szCs w:val="24"/>
            <w:u w:val="single"/>
            <w:lang w:eastAsia="en-GB"/>
          </w:rPr>
          <w:t>https://onlinelibrary.wiley.com/doi/full/10.1111/jbl.12367</w:t>
        </w:r>
      </w:hyperlink>
      <w:r w:rsidRPr="004E1467">
        <w:rPr>
          <w:rFonts w:ascii="Times New Roman" w:eastAsia="Times New Roman" w:hAnsi="Times New Roman" w:cs="Times New Roman"/>
          <w:sz w:val="24"/>
          <w:szCs w:val="24"/>
          <w:lang w:eastAsia="en-GB"/>
        </w:rPr>
        <w:t xml:space="preserve"> (Accessed: 24 August 2025). </w:t>
      </w:r>
    </w:p>
    <w:p w14:paraId="133A34F8"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Marzolf, M. J., Miller, J. W. and </w:t>
      </w:r>
      <w:proofErr w:type="spellStart"/>
      <w:r w:rsidRPr="004E1467">
        <w:rPr>
          <w:rFonts w:ascii="Times New Roman" w:eastAsia="Times New Roman" w:hAnsi="Times New Roman" w:cs="Times New Roman"/>
          <w:sz w:val="24"/>
          <w:szCs w:val="24"/>
          <w:lang w:eastAsia="en-GB"/>
        </w:rPr>
        <w:t>Peinkofer</w:t>
      </w:r>
      <w:proofErr w:type="spellEnd"/>
      <w:r w:rsidRPr="004E1467">
        <w:rPr>
          <w:rFonts w:ascii="Times New Roman" w:eastAsia="Times New Roman" w:hAnsi="Times New Roman" w:cs="Times New Roman"/>
          <w:sz w:val="24"/>
          <w:szCs w:val="24"/>
          <w:lang w:eastAsia="en-GB"/>
        </w:rPr>
        <w:t xml:space="preserve">, S. T. 2025. Reshaping global trade finance and supply chains: the role of digital SCF platforms. Journal of Business Logistics, advance online. Available at: </w:t>
      </w:r>
      <w:hyperlink r:id="rId32" w:tgtFrame="_new" w:history="1">
        <w:r w:rsidRPr="004E1467">
          <w:rPr>
            <w:rFonts w:ascii="Times New Roman" w:eastAsia="Times New Roman" w:hAnsi="Times New Roman" w:cs="Times New Roman"/>
            <w:color w:val="0000FF"/>
            <w:sz w:val="24"/>
            <w:szCs w:val="24"/>
            <w:u w:val="single"/>
            <w:lang w:eastAsia="en-GB"/>
          </w:rPr>
          <w:t>https://onlinelibrary.wiley.com/doi/10.1111/jbl.70022</w:t>
        </w:r>
      </w:hyperlink>
      <w:r w:rsidRPr="004E1467">
        <w:rPr>
          <w:rFonts w:ascii="Times New Roman" w:eastAsia="Times New Roman" w:hAnsi="Times New Roman" w:cs="Times New Roman"/>
          <w:sz w:val="24"/>
          <w:szCs w:val="24"/>
          <w:lang w:eastAsia="en-GB"/>
        </w:rPr>
        <w:t xml:space="preserve"> (Accessed: 24 August 2025). </w:t>
      </w:r>
    </w:p>
    <w:p w14:paraId="3B0ECB76"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Matějka, M., Merchant, K. A. and O’Grady, W. 2021. An empirical investigation of Beyond Budgeting practices. Journal of Management Accounting Research, 33(2), 167–189. Available at: </w:t>
      </w:r>
      <w:hyperlink r:id="rId33" w:tgtFrame="_new" w:history="1">
        <w:r w:rsidRPr="004E1467">
          <w:rPr>
            <w:rFonts w:ascii="Times New Roman" w:eastAsia="Times New Roman" w:hAnsi="Times New Roman" w:cs="Times New Roman"/>
            <w:color w:val="0000FF"/>
            <w:sz w:val="24"/>
            <w:szCs w:val="24"/>
            <w:u w:val="single"/>
            <w:lang w:eastAsia="en-GB"/>
          </w:rPr>
          <w:t>https://publications.aaahq.org/jmar/article/33/2/167/490/An-Empirical-Investigation-of-Beyond-Budgeting</w:t>
        </w:r>
      </w:hyperlink>
      <w:r w:rsidRPr="004E1467">
        <w:rPr>
          <w:rFonts w:ascii="Times New Roman" w:eastAsia="Times New Roman" w:hAnsi="Times New Roman" w:cs="Times New Roman"/>
          <w:sz w:val="24"/>
          <w:szCs w:val="24"/>
          <w:lang w:eastAsia="en-GB"/>
        </w:rPr>
        <w:t xml:space="preserve"> (Accessed: 24 August 2025). </w:t>
      </w:r>
    </w:p>
    <w:p w14:paraId="41A03EA4"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proofErr w:type="spellStart"/>
      <w:r w:rsidRPr="004E1467">
        <w:rPr>
          <w:rFonts w:ascii="Times New Roman" w:eastAsia="Times New Roman" w:hAnsi="Times New Roman" w:cs="Times New Roman"/>
          <w:sz w:val="24"/>
          <w:szCs w:val="24"/>
          <w:lang w:val="nl-NL" w:eastAsia="en-GB"/>
        </w:rPr>
        <w:t>Mucci</w:t>
      </w:r>
      <w:proofErr w:type="spellEnd"/>
      <w:r w:rsidRPr="004E1467">
        <w:rPr>
          <w:rFonts w:ascii="Times New Roman" w:eastAsia="Times New Roman" w:hAnsi="Times New Roman" w:cs="Times New Roman"/>
          <w:sz w:val="24"/>
          <w:szCs w:val="24"/>
          <w:lang w:val="nl-NL" w:eastAsia="en-GB"/>
        </w:rPr>
        <w:t xml:space="preserve">, D. M., de Lima, G. A. and Beuren, I. M. 2023. </w:t>
      </w:r>
      <w:r w:rsidRPr="004E1467">
        <w:rPr>
          <w:rFonts w:ascii="Times New Roman" w:eastAsia="Times New Roman" w:hAnsi="Times New Roman" w:cs="Times New Roman"/>
          <w:sz w:val="24"/>
          <w:szCs w:val="24"/>
          <w:lang w:eastAsia="en-GB"/>
        </w:rPr>
        <w:t xml:space="preserve">Performance evaluation and forecasting functions of the budget and its perceived value by managers. Advances in Scientific and Applied Accounting, 16(2), 1–24. Available at: </w:t>
      </w:r>
      <w:hyperlink r:id="rId34" w:tgtFrame="_new" w:history="1">
        <w:r w:rsidRPr="004E1467">
          <w:rPr>
            <w:rFonts w:ascii="Times New Roman" w:eastAsia="Times New Roman" w:hAnsi="Times New Roman" w:cs="Times New Roman"/>
            <w:color w:val="0000FF"/>
            <w:sz w:val="24"/>
            <w:szCs w:val="24"/>
            <w:u w:val="single"/>
            <w:lang w:eastAsia="en-GB"/>
          </w:rPr>
          <w:t>https://asaa.anpcont.org.br/asaa/article/view/1047</w:t>
        </w:r>
      </w:hyperlink>
      <w:r w:rsidRPr="004E1467">
        <w:rPr>
          <w:rFonts w:ascii="Times New Roman" w:eastAsia="Times New Roman" w:hAnsi="Times New Roman" w:cs="Times New Roman"/>
          <w:sz w:val="24"/>
          <w:szCs w:val="24"/>
          <w:lang w:eastAsia="en-GB"/>
        </w:rPr>
        <w:t xml:space="preserve"> (Accessed: 24 August 2025). </w:t>
      </w:r>
    </w:p>
    <w:p w14:paraId="3B8FEC13"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proofErr w:type="spellStart"/>
      <w:r w:rsidRPr="004E1467">
        <w:rPr>
          <w:rFonts w:ascii="Times New Roman" w:eastAsia="Times New Roman" w:hAnsi="Times New Roman" w:cs="Times New Roman"/>
          <w:sz w:val="24"/>
          <w:szCs w:val="24"/>
          <w:lang w:eastAsia="en-GB"/>
        </w:rPr>
        <w:t>Peinkofer</w:t>
      </w:r>
      <w:proofErr w:type="spellEnd"/>
      <w:r w:rsidRPr="004E1467">
        <w:rPr>
          <w:rFonts w:ascii="Times New Roman" w:eastAsia="Times New Roman" w:hAnsi="Times New Roman" w:cs="Times New Roman"/>
          <w:sz w:val="24"/>
          <w:szCs w:val="24"/>
          <w:lang w:eastAsia="en-GB"/>
        </w:rPr>
        <w:t xml:space="preserve">, S. T., Miller, J. W. and Marzolf, M. J. 2024. Towards a value-in-use view of retail stockout costs. International Journal of Physical Distribution &amp; Logistics Management, 54(6), 559–583. Available at: </w:t>
      </w:r>
      <w:hyperlink r:id="rId35" w:history="1">
        <w:r w:rsidRPr="004E1467">
          <w:rPr>
            <w:rStyle w:val="Hyperlink"/>
            <w:rFonts w:ascii="Times New Roman" w:eastAsia="Times New Roman" w:hAnsi="Times New Roman" w:cs="Times New Roman"/>
            <w:sz w:val="24"/>
            <w:szCs w:val="24"/>
            <w:lang w:eastAsia="en-GB"/>
          </w:rPr>
          <w:t>https://www.emerald.com/insight/content/doi/10.1108/ijpdlm-03-2024-0133/full/pdf</w:t>
        </w:r>
      </w:hyperlink>
      <w:r>
        <w:rPr>
          <w:rFonts w:ascii="Times New Roman" w:eastAsia="Times New Roman" w:hAnsi="Times New Roman" w:cs="Times New Roman"/>
          <w:sz w:val="24"/>
          <w:szCs w:val="24"/>
          <w:lang w:eastAsia="en-GB"/>
        </w:rPr>
        <w:t xml:space="preserve"> </w:t>
      </w:r>
      <w:r w:rsidRPr="004E1467">
        <w:rPr>
          <w:rFonts w:ascii="Times New Roman" w:eastAsia="Times New Roman" w:hAnsi="Times New Roman" w:cs="Times New Roman"/>
          <w:sz w:val="24"/>
          <w:szCs w:val="24"/>
          <w:lang w:eastAsia="en-GB"/>
        </w:rPr>
        <w:t xml:space="preserve"> (Accessed: 24 August 2025). </w:t>
      </w:r>
    </w:p>
    <w:p w14:paraId="1B606E38"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proofErr w:type="spellStart"/>
      <w:r w:rsidRPr="004E1467">
        <w:rPr>
          <w:rFonts w:ascii="Times New Roman" w:eastAsia="Times New Roman" w:hAnsi="Times New Roman" w:cs="Times New Roman"/>
          <w:sz w:val="24"/>
          <w:szCs w:val="24"/>
          <w:lang w:eastAsia="en-GB"/>
        </w:rPr>
        <w:t>Purnamasari</w:t>
      </w:r>
      <w:proofErr w:type="spellEnd"/>
      <w:r w:rsidRPr="004E1467">
        <w:rPr>
          <w:rFonts w:ascii="Times New Roman" w:eastAsia="Times New Roman" w:hAnsi="Times New Roman" w:cs="Times New Roman"/>
          <w:sz w:val="24"/>
          <w:szCs w:val="24"/>
          <w:lang w:eastAsia="en-GB"/>
        </w:rPr>
        <w:t xml:space="preserve">, P., Nugroho, A. and Sari, D. 2024. Capital budgeting techniques and financial performance. Cogent Economics &amp; Finance, 12(1), 2404707. Available at: </w:t>
      </w:r>
      <w:hyperlink r:id="rId36" w:tgtFrame="_new" w:history="1">
        <w:r w:rsidRPr="004E1467">
          <w:rPr>
            <w:rFonts w:ascii="Times New Roman" w:eastAsia="Times New Roman" w:hAnsi="Times New Roman" w:cs="Times New Roman"/>
            <w:color w:val="0000FF"/>
            <w:sz w:val="24"/>
            <w:szCs w:val="24"/>
            <w:u w:val="single"/>
            <w:lang w:eastAsia="en-GB"/>
          </w:rPr>
          <w:t>https://www.tandfonline.com/doi/full/10.1080/23322039.2024.2404707</w:t>
        </w:r>
      </w:hyperlink>
      <w:r w:rsidRPr="004E1467">
        <w:rPr>
          <w:rFonts w:ascii="Times New Roman" w:eastAsia="Times New Roman" w:hAnsi="Times New Roman" w:cs="Times New Roman"/>
          <w:sz w:val="24"/>
          <w:szCs w:val="24"/>
          <w:lang w:eastAsia="en-GB"/>
        </w:rPr>
        <w:t xml:space="preserve"> (Accessed: 24 August 2025). </w:t>
      </w:r>
    </w:p>
    <w:p w14:paraId="5D712199"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Sureka, R., Bandyopadhyay, S. and Dikshit, V. 2022. Capital budgeting: a systematic review and future research agenda. Omega, 110, 102628. Available at: </w:t>
      </w:r>
      <w:hyperlink r:id="rId37" w:tgtFrame="_new" w:history="1">
        <w:r w:rsidRPr="004E1467">
          <w:rPr>
            <w:rFonts w:ascii="Times New Roman" w:eastAsia="Times New Roman" w:hAnsi="Times New Roman" w:cs="Times New Roman"/>
            <w:color w:val="0000FF"/>
            <w:sz w:val="24"/>
            <w:szCs w:val="24"/>
            <w:u w:val="single"/>
            <w:lang w:eastAsia="en-GB"/>
          </w:rPr>
          <w:t>https://www.sciencedirect.com/science/article/abs/pii/S0275531921002300</w:t>
        </w:r>
      </w:hyperlink>
      <w:r w:rsidRPr="004E1467">
        <w:rPr>
          <w:rFonts w:ascii="Times New Roman" w:eastAsia="Times New Roman" w:hAnsi="Times New Roman" w:cs="Times New Roman"/>
          <w:sz w:val="24"/>
          <w:szCs w:val="24"/>
          <w:lang w:eastAsia="en-GB"/>
        </w:rPr>
        <w:t xml:space="preserve"> (Accessed: 24 August 2025). </w:t>
      </w:r>
    </w:p>
    <w:p w14:paraId="5822E0D1"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lastRenderedPageBreak/>
        <w:t xml:space="preserve">The Accounting Review Author group 2025. Do managers pursue their budget goals using revenues or expenses. The Accounting Review, 100(3), 251–282. Available at: </w:t>
      </w:r>
      <w:hyperlink r:id="rId38" w:tgtFrame="_new" w:history="1">
        <w:r w:rsidRPr="004E1467">
          <w:rPr>
            <w:rFonts w:ascii="Times New Roman" w:eastAsia="Times New Roman" w:hAnsi="Times New Roman" w:cs="Times New Roman"/>
            <w:color w:val="0000FF"/>
            <w:sz w:val="24"/>
            <w:szCs w:val="24"/>
            <w:u w:val="single"/>
            <w:lang w:eastAsia="en-GB"/>
          </w:rPr>
          <w:t>https://publications.aaahq.org/accounting-review/article/100/3/251/13311/Do-Managers-Pursue-Their-Budget-Goals-Using</w:t>
        </w:r>
      </w:hyperlink>
      <w:r w:rsidRPr="004E1467">
        <w:rPr>
          <w:rFonts w:ascii="Times New Roman" w:eastAsia="Times New Roman" w:hAnsi="Times New Roman" w:cs="Times New Roman"/>
          <w:sz w:val="24"/>
          <w:szCs w:val="24"/>
          <w:lang w:eastAsia="en-GB"/>
        </w:rPr>
        <w:t xml:space="preserve"> (Accessed: 24 August 2025). </w:t>
      </w:r>
    </w:p>
    <w:p w14:paraId="4D17A3E4"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Wetzel, P., Di Somma, V., Moretto, A. and Ronchi, S. 2025. Supply chain financing theory of the trade payables–performance linkage. International Journal of Production Research, advance online. Available at: </w:t>
      </w:r>
      <w:hyperlink r:id="rId39" w:tgtFrame="_new" w:history="1">
        <w:r w:rsidRPr="004E1467">
          <w:rPr>
            <w:rFonts w:ascii="Times New Roman" w:eastAsia="Times New Roman" w:hAnsi="Times New Roman" w:cs="Times New Roman"/>
            <w:color w:val="0000FF"/>
            <w:sz w:val="24"/>
            <w:szCs w:val="24"/>
            <w:u w:val="single"/>
            <w:lang w:eastAsia="en-GB"/>
          </w:rPr>
          <w:t>https://www.tandfonline.com/doi/full/10.1080/00207543.2024.2410465</w:t>
        </w:r>
      </w:hyperlink>
      <w:r w:rsidRPr="004E1467">
        <w:rPr>
          <w:rFonts w:ascii="Times New Roman" w:eastAsia="Times New Roman" w:hAnsi="Times New Roman" w:cs="Times New Roman"/>
          <w:sz w:val="24"/>
          <w:szCs w:val="24"/>
          <w:lang w:eastAsia="en-GB"/>
        </w:rPr>
        <w:t xml:space="preserve"> (Accessed: 24 August 2025). </w:t>
      </w:r>
    </w:p>
    <w:p w14:paraId="1EF7463C" w14:textId="77777777" w:rsidR="004E1467" w:rsidRPr="004E1467" w:rsidRDefault="004E1467" w:rsidP="004E1467">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4E1467">
        <w:rPr>
          <w:rFonts w:ascii="Times New Roman" w:eastAsia="Times New Roman" w:hAnsi="Times New Roman" w:cs="Times New Roman"/>
          <w:sz w:val="24"/>
          <w:szCs w:val="24"/>
          <w:lang w:eastAsia="en-GB"/>
        </w:rPr>
        <w:t xml:space="preserve">Yeboah, A., Asamoah, D. and Agyei, S. 2025. Working capital management and productivity growth: evidence from manufacturing firms. Managerial and Decision Economics, 46(5), 1239–1256. Available at: </w:t>
      </w:r>
      <w:hyperlink r:id="rId40" w:history="1">
        <w:r w:rsidRPr="004E1467">
          <w:rPr>
            <w:rStyle w:val="Hyperlink"/>
            <w:rFonts w:ascii="Times New Roman" w:eastAsia="Times New Roman" w:hAnsi="Times New Roman" w:cs="Times New Roman"/>
            <w:sz w:val="24"/>
            <w:szCs w:val="24"/>
            <w:lang w:eastAsia="en-GB"/>
          </w:rPr>
          <w:t>https://onlinelibrary.wiley.com/doi/10.1002/mde.3903</w:t>
        </w:r>
      </w:hyperlink>
      <w:r>
        <w:rPr>
          <w:rFonts w:ascii="Times New Roman" w:eastAsia="Times New Roman" w:hAnsi="Times New Roman" w:cs="Times New Roman"/>
          <w:sz w:val="24"/>
          <w:szCs w:val="24"/>
          <w:lang w:eastAsia="en-GB"/>
        </w:rPr>
        <w:t xml:space="preserve"> </w:t>
      </w:r>
      <w:r w:rsidRPr="004E1467">
        <w:rPr>
          <w:rFonts w:ascii="Times New Roman" w:eastAsia="Times New Roman" w:hAnsi="Times New Roman" w:cs="Times New Roman"/>
          <w:sz w:val="24"/>
          <w:szCs w:val="24"/>
          <w:lang w:eastAsia="en-GB"/>
        </w:rPr>
        <w:t xml:space="preserve"> (Accessed: 24 August 2025). </w:t>
      </w:r>
    </w:p>
    <w:p w14:paraId="4A557BBC" w14:textId="77777777" w:rsidR="00083D27" w:rsidRPr="00C313A6" w:rsidRDefault="00083D27" w:rsidP="00223537">
      <w:pPr>
        <w:spacing w:line="360" w:lineRule="auto"/>
        <w:jc w:val="both"/>
        <w:rPr>
          <w:rFonts w:ascii="Times New Roman" w:hAnsi="Times New Roman" w:cs="Times New Roman"/>
          <w:sz w:val="24"/>
          <w:szCs w:val="24"/>
        </w:rPr>
      </w:pPr>
    </w:p>
    <w:p w14:paraId="4D203904" w14:textId="714E8CA1" w:rsidR="00C8634B" w:rsidRDefault="00C8634B"/>
    <w:sectPr w:rsidR="00C8634B" w:rsidSect="007D1947">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0057D" w14:textId="77777777" w:rsidR="001168F1" w:rsidRDefault="001168F1">
      <w:pPr>
        <w:spacing w:after="0" w:line="240" w:lineRule="auto"/>
      </w:pPr>
      <w:r>
        <w:separator/>
      </w:r>
    </w:p>
  </w:endnote>
  <w:endnote w:type="continuationSeparator" w:id="0">
    <w:p w14:paraId="6D0A2E54" w14:textId="77777777" w:rsidR="001168F1" w:rsidRDefault="001168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Hiragino Maru Gothic Pro W4"/>
    <w:panose1 w:val="020B0609070205080204"/>
    <w:charset w:val="80"/>
    <w:family w:val="modern"/>
    <w:pitch w:val="fixed"/>
    <w:sig w:usb0="00000000"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4E0755" w14:textId="77777777" w:rsidR="00457B1D" w:rsidRDefault="00457B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C70354" w14:textId="77777777" w:rsidR="00457B1D" w:rsidRDefault="00457B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15D88" w14:textId="77777777" w:rsidR="00457B1D" w:rsidRDefault="00457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55CC6A" w14:textId="77777777" w:rsidR="001168F1" w:rsidRDefault="001168F1">
      <w:r>
        <w:separator/>
      </w:r>
    </w:p>
  </w:footnote>
  <w:footnote w:type="continuationSeparator" w:id="0">
    <w:p w14:paraId="6B186F43" w14:textId="77777777" w:rsidR="001168F1" w:rsidRDefault="001168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132481" w14:textId="77777777" w:rsidR="00457B1D" w:rsidRDefault="00457B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4905769"/>
      <w:docPartObj>
        <w:docPartGallery w:val="Page Numbers (Top of Page)"/>
        <w:docPartUnique/>
      </w:docPartObj>
    </w:sdtPr>
    <w:sdtEndPr>
      <w:rPr>
        <w:noProof/>
      </w:rPr>
    </w:sdtEndPr>
    <w:sdtContent>
      <w:p w14:paraId="4AC1DA3F" w14:textId="0FD43051" w:rsidR="003A7883" w:rsidRDefault="003A788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19CF01D" w14:textId="77777777" w:rsidR="003A7883" w:rsidRDefault="003A78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8238382"/>
      <w:docPartObj>
        <w:docPartGallery w:val="Page Numbers (Top of Page)"/>
        <w:docPartUnique/>
      </w:docPartObj>
    </w:sdtPr>
    <w:sdtEndPr>
      <w:rPr>
        <w:color w:val="7F7F7F" w:themeColor="background1" w:themeShade="7F"/>
        <w:spacing w:val="60"/>
      </w:rPr>
    </w:sdtEndPr>
    <w:sdtContent>
      <w:p w14:paraId="64B99B89" w14:textId="77777777" w:rsidR="00C960AE" w:rsidRDefault="00C960A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90D639" w14:textId="77777777" w:rsidR="00C8634B" w:rsidRDefault="00C863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776874D4"/>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00A991"/>
    <w:multiLevelType w:val="multilevel"/>
    <w:tmpl w:val="1568BC6E"/>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2" w15:restartNumberingAfterBreak="0">
    <w:nsid w:val="00A99411"/>
    <w:multiLevelType w:val="multilevel"/>
    <w:tmpl w:val="7AB03B60"/>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3" w15:restartNumberingAfterBreak="0">
    <w:nsid w:val="5ADF750D"/>
    <w:multiLevelType w:val="multilevel"/>
    <w:tmpl w:val="6DD03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51E7987"/>
    <w:multiLevelType w:val="hybridMultilevel"/>
    <w:tmpl w:val="FC90A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1441024678">
    <w:abstractNumId w:val="5"/>
  </w:num>
  <w:num w:numId="2" w16cid:durableId="939872221">
    <w:abstractNumId w:val="0"/>
  </w:num>
  <w:num w:numId="3" w16cid:durableId="1295603703">
    <w:abstractNumId w:val="1"/>
  </w:num>
  <w:num w:numId="4" w16cid:durableId="88417844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034958517">
    <w:abstractNumId w:val="1"/>
  </w:num>
  <w:num w:numId="6" w16cid:durableId="130030726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0771528">
    <w:abstractNumId w:val="1"/>
  </w:num>
  <w:num w:numId="8" w16cid:durableId="1146706291">
    <w:abstractNumId w:val="1"/>
  </w:num>
  <w:num w:numId="9" w16cid:durableId="1959798515">
    <w:abstractNumId w:val="4"/>
  </w:num>
  <w:num w:numId="10" w16cid:durableId="17957110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embedSystemFonts/>
  <w:proofState w:spelling="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D27"/>
    <w:rsid w:val="0000765C"/>
    <w:rsid w:val="00032AF6"/>
    <w:rsid w:val="00083D27"/>
    <w:rsid w:val="000A1A20"/>
    <w:rsid w:val="000D15B0"/>
    <w:rsid w:val="000F2BAD"/>
    <w:rsid w:val="0010389A"/>
    <w:rsid w:val="00112753"/>
    <w:rsid w:val="001168F1"/>
    <w:rsid w:val="00116BA9"/>
    <w:rsid w:val="001927BC"/>
    <w:rsid w:val="001B0F49"/>
    <w:rsid w:val="001C37DA"/>
    <w:rsid w:val="00223537"/>
    <w:rsid w:val="00292414"/>
    <w:rsid w:val="002C4AAA"/>
    <w:rsid w:val="0034775A"/>
    <w:rsid w:val="00385514"/>
    <w:rsid w:val="00394C10"/>
    <w:rsid w:val="003A7883"/>
    <w:rsid w:val="003E0340"/>
    <w:rsid w:val="00457B1D"/>
    <w:rsid w:val="00487D18"/>
    <w:rsid w:val="004968A3"/>
    <w:rsid w:val="004C0389"/>
    <w:rsid w:val="004C549D"/>
    <w:rsid w:val="004E1467"/>
    <w:rsid w:val="00541A97"/>
    <w:rsid w:val="00567424"/>
    <w:rsid w:val="00597606"/>
    <w:rsid w:val="006175D1"/>
    <w:rsid w:val="00632BF7"/>
    <w:rsid w:val="00633986"/>
    <w:rsid w:val="006B65C3"/>
    <w:rsid w:val="006D3A2F"/>
    <w:rsid w:val="007002CB"/>
    <w:rsid w:val="007D5123"/>
    <w:rsid w:val="00857BE0"/>
    <w:rsid w:val="00883293"/>
    <w:rsid w:val="00922510"/>
    <w:rsid w:val="00965817"/>
    <w:rsid w:val="00AA1C23"/>
    <w:rsid w:val="00AD701E"/>
    <w:rsid w:val="00B216BB"/>
    <w:rsid w:val="00B3782A"/>
    <w:rsid w:val="00B874C9"/>
    <w:rsid w:val="00B936F1"/>
    <w:rsid w:val="00B956E0"/>
    <w:rsid w:val="00BA54F0"/>
    <w:rsid w:val="00BF03B9"/>
    <w:rsid w:val="00C2370E"/>
    <w:rsid w:val="00C313A6"/>
    <w:rsid w:val="00C8634B"/>
    <w:rsid w:val="00C960AE"/>
    <w:rsid w:val="00C972D1"/>
    <w:rsid w:val="00CE5EBF"/>
    <w:rsid w:val="00E21C0E"/>
    <w:rsid w:val="00E34F2B"/>
    <w:rsid w:val="00E945E8"/>
    <w:rsid w:val="00F359D5"/>
    <w:rsid w:val="00F5243F"/>
    <w:rsid w:val="00F71595"/>
    <w:rsid w:val="00FC636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2B4E3"/>
  <w15:docId w15:val="{0F547644-87FC-421B-80AD-D895D955A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styleId="Header">
    <w:name w:val="header"/>
    <w:basedOn w:val="Normal"/>
    <w:link w:val="HeaderChar"/>
    <w:uiPriority w:val="99"/>
    <w:unhideWhenUsed/>
    <w:rsid w:val="00E867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781"/>
  </w:style>
  <w:style w:type="paragraph" w:styleId="Footer">
    <w:name w:val="footer"/>
    <w:basedOn w:val="Normal"/>
    <w:link w:val="FooterChar"/>
    <w:uiPriority w:val="99"/>
    <w:unhideWhenUsed/>
    <w:rsid w:val="00E867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781"/>
  </w:style>
  <w:style w:type="paragraph" w:customStyle="1" w:styleId="SourceCode">
    <w:name w:val="Source Code"/>
    <w:basedOn w:val="Normal"/>
    <w:pPr>
      <w:wordWrap w:val="0"/>
    </w:pPr>
  </w:style>
  <w:style w:type="character" w:customStyle="1" w:styleId="KeywordTok">
    <w:name w:val="KeywordTok"/>
    <w:rPr>
      <w:b/>
      <w:color w:val="007020"/>
    </w:rPr>
  </w:style>
  <w:style w:type="character" w:customStyle="1" w:styleId="DataTypeTok">
    <w:name w:val="DataTypeTok"/>
    <w:rPr>
      <w:color w:val="902000"/>
    </w:rPr>
  </w:style>
  <w:style w:type="character" w:customStyle="1" w:styleId="DecValTok">
    <w:name w:val="DecValTok"/>
    <w:rPr>
      <w:color w:val="40A070"/>
    </w:rPr>
  </w:style>
  <w:style w:type="character" w:customStyle="1" w:styleId="BaseNTok">
    <w:name w:val="BaseNTok"/>
    <w:rPr>
      <w:color w:val="40A070"/>
    </w:rPr>
  </w:style>
  <w:style w:type="character" w:customStyle="1" w:styleId="FloatTok">
    <w:name w:val="FloatTok"/>
    <w:rPr>
      <w:color w:val="40A070"/>
    </w:rPr>
  </w:style>
  <w:style w:type="character" w:customStyle="1" w:styleId="ConstantTok">
    <w:name w:val="ConstantTok"/>
    <w:rPr>
      <w:color w:val="880000"/>
    </w:rPr>
  </w:style>
  <w:style w:type="character" w:customStyle="1" w:styleId="CharTok">
    <w:name w:val="CharTok"/>
    <w:rPr>
      <w:color w:val="4070A0"/>
    </w:rPr>
  </w:style>
  <w:style w:type="character" w:customStyle="1" w:styleId="SpecialCharTok">
    <w:name w:val="SpecialCharTok"/>
    <w:rPr>
      <w:color w:val="4070A0"/>
    </w:rPr>
  </w:style>
  <w:style w:type="character" w:customStyle="1" w:styleId="StringTok">
    <w:name w:val="StringTok"/>
    <w:rPr>
      <w:color w:val="4070A0"/>
    </w:rPr>
  </w:style>
  <w:style w:type="character" w:customStyle="1" w:styleId="VerbatimStringTok">
    <w:name w:val="VerbatimStringTok"/>
    <w:rPr>
      <w:color w:val="4070A0"/>
    </w:rPr>
  </w:style>
  <w:style w:type="character" w:customStyle="1" w:styleId="SpecialStringTok">
    <w:name w:val="SpecialStringTok"/>
    <w:rPr>
      <w:color w:val="BB6688"/>
    </w:rPr>
  </w:style>
  <w:style w:type="character" w:customStyle="1" w:styleId="ImportTok">
    <w:name w:val="ImportTok"/>
    <w:rPr>
      <w:b/>
      <w:color w:val="008000"/>
    </w:rPr>
  </w:style>
  <w:style w:type="character" w:customStyle="1" w:styleId="CommentTok">
    <w:name w:val="CommentTok"/>
    <w:rPr>
      <w:i/>
      <w:color w:val="60A0B0"/>
    </w:rPr>
  </w:style>
  <w:style w:type="character" w:customStyle="1" w:styleId="DocumentationTok">
    <w:name w:val="DocumentationTok"/>
    <w:rPr>
      <w:i/>
      <w:color w:val="BA2121"/>
    </w:rPr>
  </w:style>
  <w:style w:type="character" w:customStyle="1" w:styleId="AnnotationTok">
    <w:name w:val="AnnotationTok"/>
    <w:rPr>
      <w:b/>
      <w:i/>
      <w:color w:val="60A0B0"/>
    </w:rPr>
  </w:style>
  <w:style w:type="character" w:customStyle="1" w:styleId="CommentVarTok">
    <w:name w:val="CommentVarTok"/>
    <w:rPr>
      <w:b/>
      <w:i/>
      <w:color w:val="60A0B0"/>
    </w:rPr>
  </w:style>
  <w:style w:type="character" w:customStyle="1" w:styleId="OtherTok">
    <w:name w:val="OtherTok"/>
    <w:rPr>
      <w:color w:val="007020"/>
    </w:rPr>
  </w:style>
  <w:style w:type="character" w:customStyle="1" w:styleId="FunctionTok">
    <w:name w:val="FunctionTok"/>
    <w:rPr>
      <w:color w:val="06287E"/>
    </w:rPr>
  </w:style>
  <w:style w:type="character" w:customStyle="1" w:styleId="VariableTok">
    <w:name w:val="VariableTok"/>
    <w:rPr>
      <w:color w:val="19177C"/>
    </w:rPr>
  </w:style>
  <w:style w:type="character" w:customStyle="1" w:styleId="ControlFlowTok">
    <w:name w:val="ControlFlowTok"/>
    <w:rPr>
      <w:b/>
      <w:color w:val="007020"/>
    </w:rPr>
  </w:style>
  <w:style w:type="character" w:customStyle="1" w:styleId="OperatorTok">
    <w:name w:val="OperatorTok"/>
    <w:rPr>
      <w:color w:val="666666"/>
    </w:rPr>
  </w:style>
  <w:style w:type="character" w:customStyle="1" w:styleId="BuiltInTok">
    <w:name w:val="BuiltInTok"/>
    <w:rPr>
      <w:color w:val="008000"/>
    </w:rPr>
  </w:style>
  <w:style w:type="character" w:customStyle="1" w:styleId="ExtensionTok">
    <w:name w:val="ExtensionTok"/>
  </w:style>
  <w:style w:type="character" w:customStyle="1" w:styleId="PreprocessorTok">
    <w:name w:val="PreprocessorTok"/>
    <w:rPr>
      <w:color w:val="BC7A00"/>
    </w:rPr>
  </w:style>
  <w:style w:type="character" w:customStyle="1" w:styleId="AttributeTok">
    <w:name w:val="AttributeTok"/>
    <w:rPr>
      <w:color w:val="7D9029"/>
    </w:rPr>
  </w:style>
  <w:style w:type="character" w:customStyle="1" w:styleId="RegionMarkerTok">
    <w:name w:val="RegionMarkerTok"/>
  </w:style>
  <w:style w:type="character" w:customStyle="1" w:styleId="InformationTok">
    <w:name w:val="InformationTok"/>
    <w:rPr>
      <w:b/>
      <w:i/>
      <w:color w:val="60A0B0"/>
    </w:rPr>
  </w:style>
  <w:style w:type="character" w:customStyle="1" w:styleId="WarningTok">
    <w:name w:val="WarningTok"/>
    <w:rPr>
      <w:b/>
      <w:i/>
      <w:color w:val="60A0B0"/>
    </w:rPr>
  </w:style>
  <w:style w:type="character" w:customStyle="1" w:styleId="AlertTok">
    <w:name w:val="AlertTok"/>
    <w:rPr>
      <w:b/>
      <w:color w:val="FF0000"/>
    </w:rPr>
  </w:style>
  <w:style w:type="character" w:customStyle="1" w:styleId="ErrorTok">
    <w:name w:val="ErrorTok"/>
    <w:rPr>
      <w:b/>
      <w:color w:val="FF0000"/>
    </w:rPr>
  </w:style>
  <w:style w:type="character" w:customStyle="1" w:styleId="NormalTok">
    <w:name w:val="NormalTok"/>
  </w:style>
  <w:style w:type="paragraph" w:styleId="Caption">
    <w:name w:val="caption"/>
    <w:basedOn w:val="Normal"/>
    <w:next w:val="Normal"/>
    <w:uiPriority w:val="35"/>
    <w:unhideWhenUsed/>
    <w:qFormat/>
    <w:rsid w:val="00AD701E"/>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4E14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361368218303234" TargetMode="External"/><Relationship Id="rId18" Type="http://schemas.openxmlformats.org/officeDocument/2006/relationships/hyperlink" Target="https://publications.aaahq.org/jmar/article/31/1/85/856/The-Effects-of-Reciprocity-and-Self-Awareness-on" TargetMode="External"/><Relationship Id="rId26" Type="http://schemas.openxmlformats.org/officeDocument/2006/relationships/hyperlink" Target="https://www.emerald.com/jaoc/article/19/6/91/200973/Budgeting-changes-and-success-abandonment-reform" TargetMode="External"/><Relationship Id="rId39" Type="http://schemas.openxmlformats.org/officeDocument/2006/relationships/hyperlink" Target="https://www.tandfonline.com/doi/full/10.1080/00207543.2024.2410465" TargetMode="External"/><Relationship Id="rId21" Type="http://schemas.openxmlformats.org/officeDocument/2006/relationships/hyperlink" Target="https://www.sciencedirect.com/science/article/pii/S0890838925000265" TargetMode="External"/><Relationship Id="rId34" Type="http://schemas.openxmlformats.org/officeDocument/2006/relationships/hyperlink" Target="https://asaa.anpcont.org.br/asaa/article/view/1047"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tandfonline.com/doi/10.1080/09638180.2024.2362681" TargetMode="External"/><Relationship Id="rId29" Type="http://schemas.openxmlformats.org/officeDocument/2006/relationships/hyperlink" Target="https://www.scielo.br/j/prod/a/MHqYnrn4TspchCdQvbrRpk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article/pii/S0890838925000010" TargetMode="External"/><Relationship Id="rId24" Type="http://schemas.openxmlformats.org/officeDocument/2006/relationships/hyperlink" Target="https://www.sciencedirect.com/science/article/pii/S0165176524005846" TargetMode="External"/><Relationship Id="rId32" Type="http://schemas.openxmlformats.org/officeDocument/2006/relationships/hyperlink" Target="https://onlinelibrary.wiley.com/doi/10.1111/jbl.70022" TargetMode="External"/><Relationship Id="rId37" Type="http://schemas.openxmlformats.org/officeDocument/2006/relationships/hyperlink" Target="https://www.sciencedirect.com/science/article/abs/pii/S0275531921002300" TargetMode="External"/><Relationship Id="rId40" Type="http://schemas.openxmlformats.org/officeDocument/2006/relationships/hyperlink" Target="https://onlinelibrary.wiley.com/doi/10.1002/mde.3903" TargetMode="External"/><Relationship Id="rId45"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hyperlink" Target="https://www.sciencedirect.com/science/article/pii/S0148296319305508" TargetMode="External"/><Relationship Id="rId23" Type="http://schemas.openxmlformats.org/officeDocument/2006/relationships/hyperlink" Target="https://pmc.ncbi.nlm.nih.gov/articles/PMC10682572" TargetMode="External"/><Relationship Id="rId28" Type="http://schemas.openxmlformats.org/officeDocument/2006/relationships/hyperlink" Target="https://www.tandfonline.com/doi/full/10.1080/1331677X.2021.2009575" TargetMode="External"/><Relationship Id="rId36" Type="http://schemas.openxmlformats.org/officeDocument/2006/relationships/hyperlink" Target="https://www.tandfonline.com/doi/full/10.1080/23322039.2024.2404707" TargetMode="External"/><Relationship Id="rId10" Type="http://schemas.openxmlformats.org/officeDocument/2006/relationships/image" Target="media/image2.png"/><Relationship Id="rId19" Type="http://schemas.openxmlformats.org/officeDocument/2006/relationships/hyperlink" Target="https://www.sciencedirect.com/science/article/abs/pii/S1478409223000225" TargetMode="External"/><Relationship Id="rId31" Type="http://schemas.openxmlformats.org/officeDocument/2006/relationships/hyperlink" Target="https://onlinelibrary.wiley.com/doi/full/10.1111/jbl.12367" TargetMode="External"/><Relationship Id="rId44"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andfonline.com/doi/full/10.1080/17449359.2024.2371333" TargetMode="External"/><Relationship Id="rId22" Type="http://schemas.openxmlformats.org/officeDocument/2006/relationships/hyperlink" Target="https://www.emerald.com/insight/content/doi/10.1108/medar-03-2022-1613/full/html" TargetMode="External"/><Relationship Id="rId27" Type="http://schemas.openxmlformats.org/officeDocument/2006/relationships/hyperlink" Target="https://www.sciencedirect.com/science/article/pii/S1044500523000215" TargetMode="External"/><Relationship Id="rId30" Type="http://schemas.openxmlformats.org/officeDocument/2006/relationships/hyperlink" Target="https://www.sciencedirect.com/science/article/abs/pii/S0361368221000738" TargetMode="External"/><Relationship Id="rId35" Type="http://schemas.openxmlformats.org/officeDocument/2006/relationships/hyperlink" Target="https://www.emerald.com/insight/content/doi/10.1108/ijpdlm-03-2024-0133/full/pdf"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tandfonline.com/doi/abs/10.1080/09638180.2021.1972325" TargetMode="External"/><Relationship Id="rId17" Type="http://schemas.openxmlformats.org/officeDocument/2006/relationships/hyperlink" Target="https://www.sciencedirect.com/science/article/abs/pii/S0304405X24000023" TargetMode="External"/><Relationship Id="rId25" Type="http://schemas.openxmlformats.org/officeDocument/2006/relationships/hyperlink" Target="https://www.tandfonline.com/doi/10.1080/09638180.2019.1577150" TargetMode="External"/><Relationship Id="rId33" Type="http://schemas.openxmlformats.org/officeDocument/2006/relationships/hyperlink" Target="https://publications.aaahq.org/jmar/article/33/2/167/490/An-Empirical-Investigation-of-Beyond-Budgeting" TargetMode="External"/><Relationship Id="rId38" Type="http://schemas.openxmlformats.org/officeDocument/2006/relationships/hyperlink" Target="https://publications.aaahq.org/accounting-review/article/100/3/251/13311/Do-Managers-Pursue-Their-Budget-Goals-Using" TargetMode="External"/><Relationship Id="rId46" Type="http://schemas.openxmlformats.org/officeDocument/2006/relationships/footer" Target="footer3.xml"/><Relationship Id="rId20" Type="http://schemas.openxmlformats.org/officeDocument/2006/relationships/hyperlink" Target="https://ideas.repec.org/a/eee/aosoci/v72y2019icp74-84.html"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2025-08-24T00:00:00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15A464-15A3-4B70-9730-95D9F75B9B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20</Pages>
  <Words>5939</Words>
  <Characters>33854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 Blue Thread Ltd </dc:title>
  <dc:creator>Kevin tomko</dc:creator>
  <cp:keywords/>
  <cp:lastModifiedBy>Kevin Tomko</cp:lastModifiedBy>
  <cp:revision>103</cp:revision>
  <dcterms:created xsi:type="dcterms:W3CDTF">2025-08-24T11:53:00Z</dcterms:created>
  <dcterms:modified xsi:type="dcterms:W3CDTF">2025-08-25T21:55:00Z</dcterms:modified>
</cp:coreProperties>
</file>