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BEC213" w14:textId="023C641A" w:rsidR="0084571C" w:rsidRDefault="00995214" w:rsidP="008457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References:</w:t>
      </w:r>
    </w:p>
    <w:p w14:paraId="607F7F64" w14:textId="77777777" w:rsidR="005267B8" w:rsidRDefault="005267B8" w:rsidP="008457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Baker, C. (2008). </w:t>
      </w:r>
      <w:r>
        <w:rPr>
          <w:rFonts w:ascii="Arial" w:hAnsi="Arial" w:cs="Arial"/>
          <w:i/>
          <w:iCs/>
          <w:sz w:val="24"/>
          <w:szCs w:val="24"/>
        </w:rPr>
        <w:t>Foundations of Bilingual Education and Bilingualism.</w:t>
      </w:r>
      <w:r>
        <w:rPr>
          <w:rFonts w:ascii="Arial" w:hAnsi="Arial" w:cs="Arial"/>
          <w:sz w:val="24"/>
          <w:szCs w:val="24"/>
        </w:rPr>
        <w:t xml:space="preserve"> 4</w:t>
      </w:r>
      <w:r w:rsidRPr="0099521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edn. Clevedon: Multilingual Matters Ltd.</w:t>
      </w:r>
    </w:p>
    <w:p w14:paraId="1647083B" w14:textId="77777777" w:rsidR="005267B8" w:rsidRDefault="005267B8" w:rsidP="008457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Bialystok, E. (2017). ‘The Bilingual Adaptation: How Minds Accommodate Experience’, </w:t>
      </w:r>
      <w:r>
        <w:rPr>
          <w:rFonts w:ascii="Arial" w:hAnsi="Arial" w:cs="Arial"/>
          <w:i/>
          <w:iCs/>
          <w:sz w:val="24"/>
          <w:szCs w:val="24"/>
        </w:rPr>
        <w:t xml:space="preserve">Psychological Bulletin, </w:t>
      </w:r>
      <w:r>
        <w:rPr>
          <w:rFonts w:ascii="Arial" w:hAnsi="Arial" w:cs="Arial"/>
          <w:sz w:val="24"/>
          <w:szCs w:val="24"/>
        </w:rPr>
        <w:t>143 (3), pp. 233-262.</w:t>
      </w:r>
    </w:p>
    <w:p w14:paraId="3E137E4D" w14:textId="77777777" w:rsidR="005267B8" w:rsidRDefault="005267B8" w:rsidP="00EB5B5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 xml:space="preserve">Cognitive Benefits of Bilingualism </w:t>
      </w:r>
      <w:r>
        <w:rPr>
          <w:rFonts w:ascii="Arial" w:hAnsi="Arial" w:cs="Arial"/>
          <w:sz w:val="24"/>
          <w:szCs w:val="24"/>
        </w:rPr>
        <w:t xml:space="preserve">(2016) [Facebook] 1 December. Available at: </w:t>
      </w:r>
      <w:hyperlink r:id="rId6" w:history="1">
        <w:r w:rsidRPr="009B7903">
          <w:rPr>
            <w:rStyle w:val="Hyperlink"/>
            <w:rFonts w:ascii="Arial" w:hAnsi="Arial" w:cs="Arial"/>
            <w:sz w:val="24"/>
            <w:szCs w:val="24"/>
          </w:rPr>
          <w:t>https://www.facebook.com/cognitivebenefitsof</w:t>
        </w:r>
      </w:hyperlink>
      <w:r>
        <w:rPr>
          <w:rFonts w:ascii="Arial" w:hAnsi="Arial" w:cs="Arial"/>
          <w:sz w:val="24"/>
          <w:szCs w:val="24"/>
        </w:rPr>
        <w:t xml:space="preserve"> bilingualism (Accessed 1st April 2020).</w:t>
      </w:r>
    </w:p>
    <w:p w14:paraId="0CE112AA" w14:textId="77777777" w:rsidR="005267B8" w:rsidRDefault="005267B8" w:rsidP="00EB5B5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Cymraeg 2050: A Million Welsh Speakers. Available at: </w:t>
      </w:r>
      <w:hyperlink r:id="rId7" w:history="1">
        <w:r w:rsidRPr="0001224A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https://gov.wales/sites/default/files/publications/2019-03/cymraeg-2050-a-million-welsh-speakers-action-plan-2019-20.pdf</w:t>
        </w:r>
      </w:hyperlink>
      <w:r>
        <w:rPr>
          <w:rFonts w:ascii="Arial" w:hAnsi="Arial" w:cs="Arial"/>
          <w:sz w:val="24"/>
          <w:szCs w:val="24"/>
        </w:rPr>
        <w:t xml:space="preserve"> (Accessed 2nd April 2020).</w:t>
      </w:r>
    </w:p>
    <w:p w14:paraId="55AF20F8" w14:textId="39AF834D" w:rsidR="005267B8" w:rsidRDefault="005267B8" w:rsidP="008457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Garcia, O. and Baker, C. (2007). </w:t>
      </w:r>
      <w:r>
        <w:rPr>
          <w:rFonts w:ascii="Arial" w:hAnsi="Arial" w:cs="Arial"/>
          <w:i/>
          <w:iCs/>
          <w:sz w:val="24"/>
          <w:szCs w:val="24"/>
        </w:rPr>
        <w:t xml:space="preserve">Bilingual Education. </w:t>
      </w:r>
      <w:r>
        <w:rPr>
          <w:rFonts w:ascii="Arial" w:hAnsi="Arial" w:cs="Arial"/>
          <w:sz w:val="24"/>
          <w:szCs w:val="24"/>
        </w:rPr>
        <w:t>Clevedon: Multilingual Matters Ltd.</w:t>
      </w:r>
    </w:p>
    <w:p w14:paraId="3A90BE02" w14:textId="77777777" w:rsidR="005267B8" w:rsidRDefault="005267B8" w:rsidP="008457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Lindon, J and Brodie, K. (2016). </w:t>
      </w:r>
      <w:r>
        <w:rPr>
          <w:rFonts w:ascii="Arial" w:hAnsi="Arial" w:cs="Arial"/>
          <w:i/>
          <w:iCs/>
          <w:sz w:val="24"/>
          <w:szCs w:val="24"/>
        </w:rPr>
        <w:t xml:space="preserve">Understanding Child Development 0 – 8 Years. </w:t>
      </w:r>
      <w:r>
        <w:rPr>
          <w:rFonts w:ascii="Arial" w:hAnsi="Arial" w:cs="Arial"/>
          <w:sz w:val="24"/>
          <w:szCs w:val="24"/>
        </w:rPr>
        <w:t>4</w:t>
      </w:r>
      <w:r w:rsidRPr="0099521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edn. London: Hodder Education.</w:t>
      </w:r>
    </w:p>
    <w:p w14:paraId="5DD62C7D" w14:textId="77777777" w:rsidR="005267B8" w:rsidRDefault="005267B8" w:rsidP="008457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McLeod, S. et al. (2015). ‘Multilingualism and speech-language competence in early childhood: Impact on academic and social-emotional outcomes at school’, </w:t>
      </w:r>
      <w:r>
        <w:rPr>
          <w:rFonts w:ascii="Arial" w:hAnsi="Arial" w:cs="Arial"/>
          <w:i/>
          <w:iCs/>
          <w:sz w:val="24"/>
          <w:szCs w:val="24"/>
        </w:rPr>
        <w:t xml:space="preserve">Early Childhood Research Quarterly, </w:t>
      </w:r>
      <w:r>
        <w:rPr>
          <w:rFonts w:ascii="Arial" w:hAnsi="Arial" w:cs="Arial"/>
          <w:sz w:val="24"/>
          <w:szCs w:val="24"/>
        </w:rPr>
        <w:t>34, pp. 53-66.</w:t>
      </w:r>
    </w:p>
    <w:p w14:paraId="7C75A879" w14:textId="77777777" w:rsidR="005267B8" w:rsidRDefault="005267B8" w:rsidP="008457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Siraj-Blatchford, I. and Clarke, P. (2001). </w:t>
      </w:r>
      <w:r>
        <w:rPr>
          <w:rFonts w:ascii="Arial" w:hAnsi="Arial" w:cs="Arial"/>
          <w:i/>
          <w:iCs/>
          <w:sz w:val="24"/>
          <w:szCs w:val="24"/>
        </w:rPr>
        <w:t>Supporting Identity, Diversity and Language in the Early Years.</w:t>
      </w:r>
      <w:r>
        <w:rPr>
          <w:rFonts w:ascii="Arial" w:hAnsi="Arial" w:cs="Arial"/>
          <w:sz w:val="24"/>
          <w:szCs w:val="24"/>
        </w:rPr>
        <w:t xml:space="preserve"> Buckingham: Open University Press.</w:t>
      </w:r>
    </w:p>
    <w:p w14:paraId="5AD43A40" w14:textId="2CE5B33F" w:rsidR="005267B8" w:rsidRDefault="005267B8" w:rsidP="005267B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Guardian. (2011). </w:t>
      </w:r>
      <w:r>
        <w:rPr>
          <w:rFonts w:ascii="Arial" w:hAnsi="Arial" w:cs="Arial"/>
          <w:i/>
          <w:iCs/>
          <w:sz w:val="24"/>
          <w:szCs w:val="24"/>
        </w:rPr>
        <w:t xml:space="preserve">Bilingual Brains are More Healthy. </w:t>
      </w:r>
      <w:r>
        <w:rPr>
          <w:rFonts w:ascii="Arial" w:hAnsi="Arial" w:cs="Arial"/>
          <w:sz w:val="24"/>
          <w:szCs w:val="24"/>
        </w:rPr>
        <w:t xml:space="preserve"> Available at:</w:t>
      </w:r>
      <w:r w:rsidRPr="005267B8">
        <w:t xml:space="preserve"> </w:t>
      </w:r>
      <w:hyperlink r:id="rId8" w:history="1">
        <w:r w:rsidRPr="009B7903">
          <w:rPr>
            <w:rStyle w:val="Hyperlink"/>
            <w:rFonts w:ascii="Arial" w:hAnsi="Arial" w:cs="Arial"/>
            <w:sz w:val="24"/>
            <w:szCs w:val="24"/>
          </w:rPr>
          <w:t>https://www.theguardian.com/technology/2011/jun/12/ellen-bialystok-bilingual-brains-more-healthy</w:t>
        </w:r>
      </w:hyperlink>
      <w:r>
        <w:rPr>
          <w:rFonts w:ascii="Arial" w:hAnsi="Arial" w:cs="Arial"/>
          <w:sz w:val="24"/>
          <w:szCs w:val="24"/>
        </w:rPr>
        <w:t xml:space="preserve">  (Accessed 29</w:t>
      </w:r>
      <w:r w:rsidRPr="001F1B1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2020).</w:t>
      </w:r>
    </w:p>
    <w:p w14:paraId="0264123C" w14:textId="77777777" w:rsidR="005267B8" w:rsidRDefault="005267B8" w:rsidP="00EB5B5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Welsh Government (2018). </w:t>
      </w:r>
      <w:r>
        <w:rPr>
          <w:rFonts w:ascii="Arial" w:hAnsi="Arial" w:cs="Arial"/>
          <w:i/>
          <w:iCs/>
          <w:sz w:val="24"/>
          <w:szCs w:val="24"/>
        </w:rPr>
        <w:t>The Additional Learning Needs and Educational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>Tribunal (Wales) Act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>
          <w:rPr>
            <w:rStyle w:val="Hyperlink"/>
            <w:rFonts w:ascii="Arial" w:hAnsi="Arial" w:cs="Arial"/>
            <w:sz w:val="24"/>
            <w:szCs w:val="24"/>
          </w:rPr>
          <w:t>https://gov.wales/additional-learning-needs-education-tribunal-wales-act</w:t>
        </w:r>
      </w:hyperlink>
      <w:r>
        <w:rPr>
          <w:rFonts w:ascii="Arial" w:hAnsi="Arial" w:cs="Arial"/>
          <w:sz w:val="24"/>
          <w:szCs w:val="24"/>
        </w:rPr>
        <w:t xml:space="preserve"> (Accessed 29th March 2020.)</w:t>
      </w:r>
    </w:p>
    <w:p w14:paraId="541C30B5" w14:textId="77777777" w:rsidR="005267B8" w:rsidRDefault="005267B8" w:rsidP="00EB5B5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Cs/>
          <w:iCs/>
          <w:sz w:val="24"/>
          <w:szCs w:val="24"/>
        </w:rPr>
        <w:t>The Welsh Government (2018).</w:t>
      </w:r>
      <w:r>
        <w:rPr>
          <w:rFonts w:ascii="Arial" w:hAnsi="Arial" w:cs="Arial"/>
          <w:b/>
          <w:i/>
          <w:sz w:val="24"/>
          <w:szCs w:val="24"/>
        </w:rPr>
        <w:t xml:space="preserve"> </w:t>
      </w:r>
      <w:r>
        <w:rPr>
          <w:rFonts w:ascii="Arial" w:hAnsi="Arial" w:cs="Arial"/>
          <w:bCs/>
          <w:i/>
          <w:sz w:val="24"/>
          <w:szCs w:val="24"/>
        </w:rPr>
        <w:t xml:space="preserve">The Foundation Phase Curriculum. </w:t>
      </w:r>
      <w:r>
        <w:rPr>
          <w:rFonts w:ascii="Arial" w:hAnsi="Arial" w:cs="Arial"/>
          <w:bCs/>
          <w:iCs/>
          <w:sz w:val="24"/>
          <w:szCs w:val="24"/>
        </w:rPr>
        <w:t>Available at:</w:t>
      </w:r>
      <w:r>
        <w:rPr>
          <w:rFonts w:ascii="Arial" w:hAnsi="Arial" w:cs="Arial"/>
          <w:sz w:val="24"/>
          <w:szCs w:val="24"/>
        </w:rPr>
        <w:t xml:space="preserve"> </w:t>
      </w:r>
      <w:hyperlink r:id="rId10" w:history="1">
        <w:r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https://gov.wales/sites/default/files/publications/2018-02/foundation-phase-framework-revised2015.pdf</w:t>
        </w:r>
      </w:hyperlink>
      <w:r>
        <w:rPr>
          <w:rFonts w:ascii="Arial" w:hAnsi="Arial" w:cs="Arial"/>
          <w:sz w:val="24"/>
          <w:szCs w:val="24"/>
        </w:rPr>
        <w:t xml:space="preserve"> (Accessed 29th March 2020).</w:t>
      </w:r>
    </w:p>
    <w:p w14:paraId="59D240DB" w14:textId="77777777" w:rsidR="002F7E16" w:rsidRDefault="002F7E16" w:rsidP="00EB5B53">
      <w:pPr>
        <w:spacing w:line="360" w:lineRule="auto"/>
        <w:rPr>
          <w:rFonts w:ascii="Arial" w:hAnsi="Arial" w:cs="Arial"/>
          <w:sz w:val="24"/>
          <w:szCs w:val="24"/>
        </w:rPr>
      </w:pPr>
    </w:p>
    <w:p w14:paraId="2372F89D" w14:textId="77777777" w:rsidR="00EB5B53" w:rsidRPr="00EB5B53" w:rsidRDefault="00EB5B53" w:rsidP="00EB5B53">
      <w:pPr>
        <w:spacing w:line="360" w:lineRule="auto"/>
        <w:rPr>
          <w:rFonts w:ascii="Arial" w:hAnsi="Arial" w:cs="Arial"/>
          <w:sz w:val="24"/>
          <w:szCs w:val="24"/>
        </w:rPr>
      </w:pPr>
    </w:p>
    <w:p w14:paraId="328259C3" w14:textId="26BA2884" w:rsidR="001F1B1A" w:rsidRPr="00E14013" w:rsidRDefault="001F1B1A" w:rsidP="0084571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357D51" w14:textId="77777777" w:rsidR="00A963D2" w:rsidRPr="00A963D2" w:rsidRDefault="00A963D2" w:rsidP="0084571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A963D2" w:rsidRPr="00A963D2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367E6B0" w14:textId="77777777" w:rsidR="001F6236" w:rsidRDefault="001F6236" w:rsidP="0084571C">
      <w:pPr>
        <w:spacing w:after="0" w:line="240" w:lineRule="auto"/>
      </w:pPr>
      <w:r>
        <w:separator/>
      </w:r>
    </w:p>
  </w:endnote>
  <w:endnote w:type="continuationSeparator" w:id="0">
    <w:p w14:paraId="60CA0DF2" w14:textId="77777777" w:rsidR="001F6236" w:rsidRDefault="001F6236" w:rsidP="008457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69067860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84C20E1" w14:textId="3EF56A0A" w:rsidR="0084571C" w:rsidRDefault="0084571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95AD5A3" w14:textId="77777777" w:rsidR="0084571C" w:rsidRDefault="0084571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F352F8A" w14:textId="77777777" w:rsidR="001F6236" w:rsidRDefault="001F6236" w:rsidP="0084571C">
      <w:pPr>
        <w:spacing w:after="0" w:line="240" w:lineRule="auto"/>
      </w:pPr>
      <w:r>
        <w:separator/>
      </w:r>
    </w:p>
  </w:footnote>
  <w:footnote w:type="continuationSeparator" w:id="0">
    <w:p w14:paraId="2F75BDFA" w14:textId="77777777" w:rsidR="001F6236" w:rsidRDefault="001F6236" w:rsidP="0084571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DC4B2BB" w14:textId="791FD0CE" w:rsidR="0084571C" w:rsidRDefault="00995214">
    <w:pPr>
      <w:pStyle w:val="Header"/>
    </w:pPr>
    <w:r>
      <w:t>EAEE4006</w:t>
    </w:r>
    <w:r>
      <w:ptab w:relativeTo="margin" w:alignment="center" w:leader="none"/>
    </w:r>
    <w:r>
      <w:t>1908096</w:t>
    </w:r>
    <w:r>
      <w:ptab w:relativeTo="margin" w:alignment="right" w:leader="none"/>
    </w:r>
    <w:sdt>
      <w:sdtPr>
        <w:id w:val="968859952"/>
        <w:placeholder>
          <w:docPart w:val="CDED9E3A489C4222948AFD2E9BBBB0DF"/>
        </w:placeholder>
        <w:temporary/>
        <w:showingPlcHdr/>
        <w15:appearance w15:val="hidden"/>
      </w:sdtPr>
      <w:sdtEndPr/>
      <w:sdtContent>
        <w:r>
          <w:t>[Type here]</w:t>
        </w:r>
      </w:sdtContent>
    </w:sdt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571C"/>
    <w:rsid w:val="00171B51"/>
    <w:rsid w:val="001D4426"/>
    <w:rsid w:val="001F1B1A"/>
    <w:rsid w:val="001F6236"/>
    <w:rsid w:val="00253E38"/>
    <w:rsid w:val="002F7E16"/>
    <w:rsid w:val="00393763"/>
    <w:rsid w:val="003D6B5A"/>
    <w:rsid w:val="00431B8F"/>
    <w:rsid w:val="004A756C"/>
    <w:rsid w:val="005267B8"/>
    <w:rsid w:val="005765E2"/>
    <w:rsid w:val="0084571C"/>
    <w:rsid w:val="00980098"/>
    <w:rsid w:val="00995214"/>
    <w:rsid w:val="00A963D2"/>
    <w:rsid w:val="00AD328F"/>
    <w:rsid w:val="00C802A9"/>
    <w:rsid w:val="00CD3E62"/>
    <w:rsid w:val="00D07724"/>
    <w:rsid w:val="00E03987"/>
    <w:rsid w:val="00E14013"/>
    <w:rsid w:val="00EB5B53"/>
    <w:rsid w:val="00F804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9329EF"/>
  <w15:chartTrackingRefBased/>
  <w15:docId w15:val="{29256698-91BB-44D5-9111-4F662CBB75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457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571C"/>
  </w:style>
  <w:style w:type="paragraph" w:styleId="Footer">
    <w:name w:val="footer"/>
    <w:basedOn w:val="Normal"/>
    <w:link w:val="FooterChar"/>
    <w:uiPriority w:val="99"/>
    <w:unhideWhenUsed/>
    <w:rsid w:val="008457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571C"/>
  </w:style>
  <w:style w:type="character" w:styleId="Hyperlink">
    <w:name w:val="Hyperlink"/>
    <w:basedOn w:val="DefaultParagraphFont"/>
    <w:uiPriority w:val="99"/>
    <w:unhideWhenUsed/>
    <w:rsid w:val="001F1B1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1B1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6434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technology/2011/jun/12/ellen-bialystok-bilingual-brains-more-healthy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gov.wales/sites/default/files/publications/2019-03/cymraeg-2050-a-million-welsh-speakers-action-plan-2019-20.pdf" TargetMode="External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facebook.com/cognitivebenefitsof" TargetMode="External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gov.wales/sites/default/files/publications/2018-02/foundation-phase-framework-revised2015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gov.wales/additional-learning-needs-education-tribunal-wales-act" TargetMode="Externa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CDED9E3A489C4222948AFD2E9BBBB0D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BD3AB5D-A79C-486F-9A67-6D497CFC1908}"/>
      </w:docPartPr>
      <w:docPartBody>
        <w:p w:rsidR="00C96A53" w:rsidRDefault="00EE35EB" w:rsidP="00EE35EB">
          <w:pPr>
            <w:pStyle w:val="CDED9E3A489C4222948AFD2E9BBBB0DF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7097"/>
    <w:rsid w:val="00165931"/>
    <w:rsid w:val="00245B31"/>
    <w:rsid w:val="00381A97"/>
    <w:rsid w:val="005574DE"/>
    <w:rsid w:val="00835573"/>
    <w:rsid w:val="00852549"/>
    <w:rsid w:val="00B3252D"/>
    <w:rsid w:val="00BF6FD0"/>
    <w:rsid w:val="00C96A53"/>
    <w:rsid w:val="00EE35EB"/>
    <w:rsid w:val="00F570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BA6389BE0C24A619EEC0A85413F334D">
    <w:name w:val="6BA6389BE0C24A619EEC0A85413F334D"/>
    <w:rsid w:val="00F57097"/>
  </w:style>
  <w:style w:type="paragraph" w:customStyle="1" w:styleId="399F5714955242AA9B4FBFBA8EA95ADE">
    <w:name w:val="399F5714955242AA9B4FBFBA8EA95ADE"/>
    <w:rsid w:val="00EE35EB"/>
  </w:style>
  <w:style w:type="paragraph" w:customStyle="1" w:styleId="CDED9E3A489C4222948AFD2E9BBBB0DF">
    <w:name w:val="CDED9E3A489C4222948AFD2E9BBBB0DF"/>
    <w:rsid w:val="00EE35E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112</TotalTime>
  <Pages>1</Pages>
  <Words>345</Words>
  <Characters>1969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james</dc:creator>
  <cp:keywords/>
  <dc:description/>
  <cp:lastModifiedBy>lisa james</cp:lastModifiedBy>
  <cp:revision>16</cp:revision>
  <dcterms:created xsi:type="dcterms:W3CDTF">2020-04-01T13:50:00Z</dcterms:created>
  <dcterms:modified xsi:type="dcterms:W3CDTF">2020-04-03T13:01:00Z</dcterms:modified>
</cp:coreProperties>
</file>