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998FB" w14:textId="77777777" w:rsidR="00181FCE" w:rsidRPr="00181FCE" w:rsidRDefault="00181FCE" w:rsidP="00181FCE">
      <w:pPr>
        <w:spacing w:after="160" w:line="360" w:lineRule="auto"/>
        <w:jc w:val="both"/>
        <w:rPr>
          <w:rFonts w:ascii="Arial" w:eastAsia="Arial" w:hAnsi="Arial" w:cs="Arial"/>
          <w:b/>
          <w:sz w:val="44"/>
          <w:szCs w:val="44"/>
          <w:lang w:eastAsia="en-US"/>
        </w:rPr>
      </w:pPr>
    </w:p>
    <w:p w14:paraId="4D3E8F41" w14:textId="77777777" w:rsidR="00181FCE" w:rsidRPr="00181FCE" w:rsidRDefault="00181FCE" w:rsidP="00181FCE">
      <w:pPr>
        <w:spacing w:after="160" w:line="360" w:lineRule="auto"/>
        <w:jc w:val="both"/>
        <w:rPr>
          <w:rFonts w:ascii="Arial" w:eastAsia="Arial" w:hAnsi="Arial" w:cs="Arial"/>
          <w:b/>
          <w:sz w:val="44"/>
          <w:szCs w:val="44"/>
          <w:lang w:eastAsia="en-US"/>
        </w:rPr>
      </w:pPr>
      <w:r w:rsidRPr="00181FCE">
        <w:rPr>
          <w:rFonts w:ascii="Arial" w:eastAsia="Arial" w:hAnsi="Arial" w:cs="Arial"/>
          <w:b/>
          <w:sz w:val="44"/>
          <w:szCs w:val="44"/>
          <w:lang w:eastAsia="en-US"/>
        </w:rPr>
        <w:t>STUDENT NAME: RIFNA BEGUM</w:t>
      </w:r>
    </w:p>
    <w:p w14:paraId="740A81AF" w14:textId="77777777" w:rsidR="00181FCE" w:rsidRPr="00181FCE" w:rsidRDefault="00181FCE" w:rsidP="00181FCE">
      <w:pPr>
        <w:spacing w:after="160" w:line="360" w:lineRule="auto"/>
        <w:jc w:val="both"/>
        <w:rPr>
          <w:rFonts w:ascii="Arial" w:eastAsia="Arial" w:hAnsi="Arial" w:cs="Arial"/>
          <w:b/>
          <w:sz w:val="44"/>
          <w:szCs w:val="44"/>
          <w:lang w:eastAsia="en-US"/>
        </w:rPr>
      </w:pPr>
      <w:r w:rsidRPr="00181FCE">
        <w:rPr>
          <w:rFonts w:ascii="Arial" w:eastAsia="Arial" w:hAnsi="Arial" w:cs="Arial"/>
          <w:b/>
          <w:sz w:val="44"/>
          <w:szCs w:val="44"/>
          <w:lang w:eastAsia="en-US"/>
        </w:rPr>
        <w:t>STUDENT ID: 1713342</w:t>
      </w:r>
    </w:p>
    <w:p w14:paraId="521E04F1" w14:textId="77777777" w:rsidR="00181FCE" w:rsidRPr="00181FCE" w:rsidRDefault="00181FCE" w:rsidP="00181FCE">
      <w:pPr>
        <w:spacing w:after="160" w:line="360" w:lineRule="auto"/>
        <w:jc w:val="both"/>
        <w:rPr>
          <w:rFonts w:ascii="Arial" w:eastAsia="Arial" w:hAnsi="Arial" w:cs="Arial"/>
          <w:b/>
          <w:sz w:val="44"/>
          <w:szCs w:val="44"/>
          <w:lang w:eastAsia="en-US"/>
        </w:rPr>
      </w:pPr>
      <w:r w:rsidRPr="00181FCE">
        <w:rPr>
          <w:rFonts w:ascii="Arial" w:eastAsia="Arial" w:hAnsi="Arial" w:cs="Arial"/>
          <w:b/>
          <w:sz w:val="44"/>
          <w:szCs w:val="44"/>
          <w:lang w:eastAsia="en-US"/>
        </w:rPr>
        <w:t>LECTURERS NAME: Dr BESTY JOSE</w:t>
      </w:r>
    </w:p>
    <w:p w14:paraId="64B080D1" w14:textId="77777777" w:rsidR="00181FCE" w:rsidRPr="00181FCE" w:rsidRDefault="00181FCE" w:rsidP="00181FCE">
      <w:pPr>
        <w:spacing w:after="160" w:line="360" w:lineRule="auto"/>
        <w:jc w:val="both"/>
        <w:rPr>
          <w:rFonts w:ascii="Arial" w:eastAsia="Arial" w:hAnsi="Arial" w:cs="Arial"/>
          <w:b/>
          <w:sz w:val="40"/>
          <w:szCs w:val="40"/>
          <w:lang w:eastAsia="en-US"/>
        </w:rPr>
      </w:pPr>
      <w:r w:rsidRPr="00181FCE">
        <w:rPr>
          <w:rFonts w:ascii="Arial" w:eastAsia="Arial" w:hAnsi="Arial" w:cs="Arial"/>
          <w:b/>
          <w:sz w:val="40"/>
          <w:szCs w:val="40"/>
          <w:lang w:eastAsia="en-US"/>
        </w:rPr>
        <w:t>MODULE NAME AND CODE:</w:t>
      </w:r>
    </w:p>
    <w:p w14:paraId="624AC803" w14:textId="77777777" w:rsidR="00181FCE" w:rsidRPr="00181FCE" w:rsidRDefault="00181FCE" w:rsidP="00181FCE">
      <w:pPr>
        <w:spacing w:after="160" w:line="360" w:lineRule="auto"/>
        <w:jc w:val="both"/>
        <w:rPr>
          <w:rFonts w:ascii="Arial" w:eastAsia="Arial" w:hAnsi="Arial" w:cs="Arial"/>
          <w:b/>
          <w:sz w:val="40"/>
          <w:szCs w:val="40"/>
          <w:lang w:eastAsia="en-US"/>
        </w:rPr>
      </w:pPr>
      <w:r w:rsidRPr="00181FCE">
        <w:rPr>
          <w:rFonts w:ascii="Arial" w:eastAsia="Arial" w:hAnsi="Arial" w:cs="Arial"/>
          <w:b/>
          <w:sz w:val="40"/>
          <w:szCs w:val="40"/>
          <w:lang w:eastAsia="en-US"/>
        </w:rPr>
        <w:t xml:space="preserve">HEALTH, WELL-BEING AND SUSTAINABLE DEVELOPMENT </w:t>
      </w:r>
    </w:p>
    <w:p w14:paraId="69E7FF1E" w14:textId="77777777" w:rsidR="00181FCE" w:rsidRPr="00181FCE" w:rsidRDefault="00181FCE" w:rsidP="00181FCE">
      <w:pPr>
        <w:spacing w:after="160" w:line="360" w:lineRule="auto"/>
        <w:jc w:val="both"/>
        <w:rPr>
          <w:rFonts w:ascii="Arial" w:eastAsia="Arial" w:hAnsi="Arial" w:cs="Arial"/>
          <w:b/>
          <w:sz w:val="40"/>
          <w:szCs w:val="40"/>
          <w:lang w:eastAsia="en-US"/>
        </w:rPr>
      </w:pPr>
      <w:r w:rsidRPr="00181FCE">
        <w:rPr>
          <w:rFonts w:ascii="Arial" w:eastAsia="Arial" w:hAnsi="Arial" w:cs="Arial"/>
          <w:b/>
          <w:sz w:val="40"/>
          <w:szCs w:val="40"/>
          <w:lang w:eastAsia="en-US"/>
        </w:rPr>
        <w:t>BMHP6021</w:t>
      </w:r>
    </w:p>
    <w:p w14:paraId="04330E8C"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35C1D2DF"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67C38FD3"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5471712F"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1F10089E"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4527687E"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13E09479"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29ACB29C"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614CDD8A"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5CDBF34A"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7D1136E5"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1873E74E"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CONTENTS PAGE</w:t>
      </w:r>
    </w:p>
    <w:p w14:paraId="317D5568"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304247DB"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79CB6490"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0ADDD782"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7BA15EFB"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78C5AB55"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524AC84D"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19F30585"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1B27871A"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5676A45F"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208CA5A2"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4EBAF884"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75DCB06C"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2E692296"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12609801"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1EB42B18"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00E5EB33"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0F7CAED7"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3D4C2122"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2C9FEF14"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0EA3ACA2"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38227893"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1D78824F"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332BE18C"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EXECUTIVE SUMMARY</w:t>
      </w:r>
    </w:p>
    <w:p w14:paraId="35789153"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lastRenderedPageBreak/>
        <w:t>The first 3 of the United Nation’s 17 SDGs involve No Poverty, Zero Hunger and achieving Good Health and Well-being for the UK people. Hunger and poverty were previously not perceived to be problems in the UK, but research shows that a significant section of the UK population is facing these problems. Moreover, there are numerous deaths in the UK each year resulting from air pollution, obesity, malnutrition, and other challenges that affect health and well-being. The UK has launched several programs to address these issues, including the Kickstart programme, the Healthy Start Scheme, the National Child Measurement Programme (NCMP), Change4Life, and more. Though the Covid-19 pandemic has introduced many biological and socioeconomic hurdles, the UK will achieve the SDGs by 2030 if it prioritises them and enhances the strategies it has instituted towards achieving its targets (United Nations, 2018).</w:t>
      </w:r>
    </w:p>
    <w:p w14:paraId="6D6BF258"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613D07F6"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INTRODUCTION</w:t>
      </w:r>
    </w:p>
    <w:p w14:paraId="7D675B14" w14:textId="77777777" w:rsidR="00181FCE" w:rsidRPr="00181FCE" w:rsidRDefault="00181FCE" w:rsidP="00181FCE">
      <w:pPr>
        <w:spacing w:line="360" w:lineRule="auto"/>
        <w:jc w:val="both"/>
        <w:rPr>
          <w:rFonts w:ascii="Arial" w:eastAsia="Arial" w:hAnsi="Arial" w:cs="Arial"/>
          <w:sz w:val="24"/>
          <w:szCs w:val="24"/>
          <w:lang w:eastAsia="en-US"/>
        </w:rPr>
      </w:pPr>
      <w:r w:rsidRPr="00181FCE">
        <w:rPr>
          <w:rFonts w:ascii="Arial" w:eastAsia="Arial" w:hAnsi="Arial" w:cs="Arial"/>
          <w:sz w:val="24"/>
          <w:szCs w:val="24"/>
          <w:lang w:eastAsia="en-US"/>
        </w:rPr>
        <w:t xml:space="preserve">This report’s purpose is to critically analyse the UK’s effort to achieve the first three of the United Nation’s 17 Sustainable Development Goals (SDGs). SDGs are a call to action for all countries to work towards improving the well-being of people and the environment. The United Nation aims to eliminate poverty, hunger, infectious diseases, and socioeconomic inequalities, and improve health, climate, and the well-being of people all over the world. This report will give a brief overview of the first three SDGs and discuss the programs that the UK has created to realise them. It will also outline the challenges faced in implementing the goals and give recommendations to attain the targets. </w:t>
      </w:r>
    </w:p>
    <w:p w14:paraId="011E11FE" w14:textId="77777777" w:rsidR="00181FCE" w:rsidRPr="00181FCE" w:rsidRDefault="00181FCE" w:rsidP="00181FCE">
      <w:pPr>
        <w:spacing w:line="360" w:lineRule="auto"/>
        <w:jc w:val="both"/>
        <w:rPr>
          <w:rFonts w:ascii="Arial" w:eastAsia="Arial" w:hAnsi="Arial" w:cs="Arial"/>
          <w:lang w:eastAsia="en-US"/>
        </w:rPr>
      </w:pPr>
    </w:p>
    <w:p w14:paraId="79A4FD55" w14:textId="77777777" w:rsidR="00181FCE" w:rsidRPr="00181FCE" w:rsidRDefault="00181FCE" w:rsidP="00181FCE">
      <w:pPr>
        <w:spacing w:line="360" w:lineRule="auto"/>
        <w:jc w:val="both"/>
        <w:rPr>
          <w:rFonts w:ascii="Arial" w:eastAsia="Arial" w:hAnsi="Arial" w:cs="Arial"/>
          <w:lang w:eastAsia="en-US"/>
        </w:rPr>
      </w:pPr>
      <w:r w:rsidRPr="00181FCE">
        <w:rPr>
          <w:rFonts w:ascii="Arial" w:eastAsia="Arial" w:hAnsi="Arial" w:cs="Arial"/>
          <w:noProof/>
          <w:lang w:eastAsia="en-US"/>
        </w:rPr>
        <w:lastRenderedPageBreak/>
        <w:drawing>
          <wp:inline distT="0" distB="0" distL="0" distR="0" wp14:anchorId="10897F1D" wp14:editId="05DE2EDD">
            <wp:extent cx="5731510" cy="35337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5731510" cy="3533775"/>
                    </a:xfrm>
                    <a:prstGeom prst="rect">
                      <a:avLst/>
                    </a:prstGeom>
                  </pic:spPr>
                </pic:pic>
              </a:graphicData>
            </a:graphic>
          </wp:inline>
        </w:drawing>
      </w:r>
    </w:p>
    <w:p w14:paraId="4997B1B2" w14:textId="77777777" w:rsidR="00181FCE" w:rsidRPr="00181FCE" w:rsidRDefault="00181FCE" w:rsidP="00181FCE">
      <w:pPr>
        <w:spacing w:after="160" w:line="360" w:lineRule="auto"/>
        <w:jc w:val="center"/>
        <w:rPr>
          <w:rFonts w:ascii="Arial" w:eastAsia="Arial" w:hAnsi="Arial" w:cs="Arial"/>
          <w:bCs/>
          <w:sz w:val="24"/>
          <w:szCs w:val="24"/>
          <w:lang w:eastAsia="en-US"/>
        </w:rPr>
      </w:pPr>
      <w:r w:rsidRPr="00181FCE">
        <w:rPr>
          <w:rFonts w:ascii="Arial" w:eastAsia="Arial" w:hAnsi="Arial" w:cs="Arial"/>
          <w:bCs/>
          <w:sz w:val="24"/>
          <w:szCs w:val="24"/>
          <w:lang w:eastAsia="en-US"/>
        </w:rPr>
        <w:t>(United Nations, 2015)</w:t>
      </w:r>
    </w:p>
    <w:p w14:paraId="5B88DCCB" w14:textId="77777777" w:rsidR="00181FCE" w:rsidRPr="00181FCE" w:rsidRDefault="00181FCE" w:rsidP="00181FCE">
      <w:pPr>
        <w:spacing w:after="160" w:line="360" w:lineRule="auto"/>
        <w:jc w:val="center"/>
        <w:rPr>
          <w:rFonts w:ascii="Arial" w:eastAsia="Arial" w:hAnsi="Arial" w:cs="Arial"/>
          <w:bCs/>
          <w:sz w:val="24"/>
          <w:szCs w:val="24"/>
          <w:lang w:eastAsia="en-US"/>
        </w:rPr>
      </w:pPr>
    </w:p>
    <w:p w14:paraId="2C8B3D80"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SDG 1 – NO POVERTY </w:t>
      </w:r>
    </w:p>
    <w:p w14:paraId="74C32499" w14:textId="77777777" w:rsidR="00181FCE" w:rsidRPr="00181FCE" w:rsidRDefault="00181FCE" w:rsidP="00181FCE">
      <w:pPr>
        <w:spacing w:after="160" w:line="360" w:lineRule="auto"/>
        <w:jc w:val="both"/>
        <w:rPr>
          <w:rFonts w:ascii="Arial" w:eastAsia="Arial" w:hAnsi="Arial" w:cs="Arial"/>
          <w:sz w:val="24"/>
          <w:szCs w:val="24"/>
          <w:lang w:eastAsia="en-US"/>
        </w:rPr>
      </w:pPr>
      <w:r w:rsidRPr="00181FCE">
        <w:rPr>
          <w:rFonts w:ascii="Arial" w:eastAsia="Arial" w:hAnsi="Arial" w:cs="Arial"/>
          <w:sz w:val="24"/>
          <w:szCs w:val="24"/>
          <w:lang w:eastAsia="en-US"/>
        </w:rPr>
        <w:t xml:space="preserve">SDG 1 focuses on eradicating poverty worldwide in all its forms by 2030. Poverty refers to the inability to meet essential needs such as food, water, clothing, and basic healthcare (Sutter et al., 2022). As per the world bank, the international poverty threshold was 1.90 USD (£1.60) by September 2022, and anyone living on less than that by 2022 was considered to be experiencing extreme poverty (World Bank Group, 2022). A plethora of factors contribute to poverty in the world. These include lack of jobs or well-paying jobs, lack of or poor access to education, social injustice, lack of government support, disease outbreaks like those of Covid-19 and Ebola, warfare, like the Russia-Ukraine conflict, and more (Brady, 2019). </w:t>
      </w:r>
    </w:p>
    <w:p w14:paraId="7D5FFE42" w14:textId="77777777" w:rsidR="00181FCE" w:rsidRPr="00181FCE" w:rsidRDefault="00181FCE" w:rsidP="00181FCE">
      <w:pPr>
        <w:spacing w:after="160" w:line="360" w:lineRule="auto"/>
        <w:jc w:val="both"/>
        <w:rPr>
          <w:rFonts w:ascii="Arial" w:eastAsia="Arial" w:hAnsi="Arial" w:cs="Arial"/>
          <w:sz w:val="24"/>
          <w:szCs w:val="24"/>
          <w:lang w:eastAsia="en-US"/>
        </w:rPr>
      </w:pPr>
      <w:r w:rsidRPr="00181FCE">
        <w:rPr>
          <w:rFonts w:ascii="Arial" w:eastAsia="Arial" w:hAnsi="Arial" w:cs="Arial"/>
          <w:sz w:val="24"/>
          <w:szCs w:val="24"/>
          <w:lang w:eastAsia="en-US"/>
        </w:rPr>
        <w:t>In 1990, 36 percent of the world’s population was living in extreme poverty, but by 2021, that figure had dropped to 9.2 percent, meaning the world had made huge strides in eliminating poverty (Peer, 2021). While much of the effort being made to eliminate poverty in the world is being directed to third-world countries, it must be noted that there is also poverty in developed countries including the UK (</w:t>
      </w:r>
      <w:proofErr w:type="spellStart"/>
      <w:r w:rsidRPr="00181FCE">
        <w:rPr>
          <w:rFonts w:ascii="Arial" w:eastAsia="Arial" w:hAnsi="Arial" w:cs="Arial"/>
          <w:sz w:val="24"/>
          <w:szCs w:val="24"/>
          <w:lang w:eastAsia="en-US"/>
        </w:rPr>
        <w:t>Ivinson</w:t>
      </w:r>
      <w:proofErr w:type="spellEnd"/>
      <w:r w:rsidRPr="00181FCE">
        <w:rPr>
          <w:rFonts w:ascii="Arial" w:eastAsia="Arial" w:hAnsi="Arial" w:cs="Arial"/>
          <w:sz w:val="24"/>
          <w:szCs w:val="24"/>
          <w:lang w:eastAsia="en-US"/>
        </w:rPr>
        <w:t xml:space="preserve"> &amp; Thompson, 2020). It is a great endeavour to help third-world countries in the fight </w:t>
      </w:r>
      <w:r w:rsidRPr="00181FCE">
        <w:rPr>
          <w:rFonts w:ascii="Arial" w:eastAsia="Arial" w:hAnsi="Arial" w:cs="Arial"/>
          <w:sz w:val="24"/>
          <w:szCs w:val="24"/>
          <w:lang w:eastAsia="en-US"/>
        </w:rPr>
        <w:lastRenderedPageBreak/>
        <w:t xml:space="preserve">against poverty, but if the world is to achieve success in vanquishing poverty, all regions, including developed nations, must be addressed. </w:t>
      </w:r>
      <w:proofErr w:type="spellStart"/>
      <w:r w:rsidRPr="00181FCE">
        <w:rPr>
          <w:rFonts w:ascii="Arial" w:eastAsia="Arial" w:hAnsi="Arial" w:cs="Arial"/>
          <w:sz w:val="24"/>
          <w:szCs w:val="24"/>
          <w:lang w:eastAsia="en-US"/>
        </w:rPr>
        <w:t>Ivinson</w:t>
      </w:r>
      <w:proofErr w:type="spellEnd"/>
      <w:r w:rsidRPr="00181FCE">
        <w:rPr>
          <w:rFonts w:ascii="Arial" w:eastAsia="Arial" w:hAnsi="Arial" w:cs="Arial"/>
          <w:sz w:val="24"/>
          <w:szCs w:val="24"/>
          <w:lang w:eastAsia="en-US"/>
        </w:rPr>
        <w:t xml:space="preserve"> and Thompson (2020) posit that poverty in the UK is mainly caused by inequality in the distribution of resources. For the year ending 2021, UK’s average disposable income was £31,400, and according to the UK government, any family whose income was below 60 percent of that figure was in poverty (</w:t>
      </w:r>
      <w:proofErr w:type="spellStart"/>
      <w:r w:rsidRPr="00181FCE">
        <w:rPr>
          <w:rFonts w:ascii="Arial" w:eastAsia="Arial" w:hAnsi="Arial" w:cs="Arial"/>
          <w:sz w:val="24"/>
          <w:szCs w:val="24"/>
          <w:lang w:eastAsia="en-US"/>
        </w:rPr>
        <w:t>Croal</w:t>
      </w:r>
      <w:proofErr w:type="spellEnd"/>
      <w:r w:rsidRPr="00181FCE">
        <w:rPr>
          <w:rFonts w:ascii="Arial" w:eastAsia="Arial" w:hAnsi="Arial" w:cs="Arial"/>
          <w:sz w:val="24"/>
          <w:szCs w:val="24"/>
          <w:lang w:eastAsia="en-US"/>
        </w:rPr>
        <w:t xml:space="preserve">, 2022). Considering the government’s stand, 14.5 million people in the UK were living in poverty in the UK between 2020 and 2021. Apart from inequality in the distribution of resources, the Covid-19 pandemic is another significant driver of poverty in the UK. Covid-19 led to the loss of jobs, reduced productivity in factories and offices, reduced mobility, and other factors that, in turn, resulted in rising poverty levels (Francis-Devine et al, 2021). </w:t>
      </w:r>
    </w:p>
    <w:p w14:paraId="66AA33C5"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Kickstart programme </w:t>
      </w:r>
    </w:p>
    <w:p w14:paraId="2A90E7E8" w14:textId="77777777" w:rsidR="00181FCE" w:rsidRPr="00181FCE" w:rsidRDefault="00181FCE" w:rsidP="00181FCE">
      <w:pPr>
        <w:spacing w:after="160" w:line="360" w:lineRule="auto"/>
        <w:jc w:val="both"/>
        <w:rPr>
          <w:rFonts w:ascii="Arial" w:eastAsia="Arial" w:hAnsi="Arial" w:cs="Arial"/>
          <w:sz w:val="24"/>
          <w:szCs w:val="24"/>
          <w:lang w:eastAsia="en-US"/>
        </w:rPr>
      </w:pPr>
      <w:r w:rsidRPr="00181FCE">
        <w:rPr>
          <w:rFonts w:ascii="Arial" w:eastAsia="Arial" w:hAnsi="Arial" w:cs="Arial"/>
          <w:sz w:val="24"/>
          <w:szCs w:val="24"/>
          <w:lang w:eastAsia="en-US"/>
        </w:rPr>
        <w:t>Considering the recession created by the Covid-19 pandemic, the UK government has taken extra steps to eradicate poverty. That includes creating the Kickstart programme, which involves delivering funding to employers who offer new jobs to people in the 16 to 24 age group (Pensions, 2022a). The government invested 1.9 billion pounds into the programme. Employers looking to benefit from the funds needed to offer each employee at least 25 hours of work weekly for six months and pay them the minimum wage in the UK (</w:t>
      </w:r>
      <w:proofErr w:type="spellStart"/>
      <w:r w:rsidRPr="00181FCE">
        <w:rPr>
          <w:rFonts w:ascii="Arial" w:eastAsia="Arial" w:hAnsi="Arial" w:cs="Arial"/>
          <w:sz w:val="24"/>
          <w:szCs w:val="24"/>
          <w:lang w:eastAsia="en-US"/>
        </w:rPr>
        <w:t>Prideaux</w:t>
      </w:r>
      <w:proofErr w:type="spellEnd"/>
      <w:r w:rsidRPr="00181FCE">
        <w:rPr>
          <w:rFonts w:ascii="Arial" w:eastAsia="Arial" w:hAnsi="Arial" w:cs="Arial"/>
          <w:sz w:val="24"/>
          <w:szCs w:val="24"/>
          <w:lang w:eastAsia="en-US"/>
        </w:rPr>
        <w:t xml:space="preserve"> et al., 2020). The Kickstart programme is a better alternative to the Furlough Scheme because it lets employers retain employees and recover from the negative impacts of the pandemic (</w:t>
      </w:r>
      <w:proofErr w:type="spellStart"/>
      <w:r w:rsidRPr="00181FCE">
        <w:rPr>
          <w:rFonts w:ascii="Arial" w:eastAsia="Arial" w:hAnsi="Arial" w:cs="Arial"/>
          <w:sz w:val="24"/>
          <w:szCs w:val="24"/>
          <w:lang w:eastAsia="en-US"/>
        </w:rPr>
        <w:t>Sunak</w:t>
      </w:r>
      <w:proofErr w:type="spellEnd"/>
      <w:r w:rsidRPr="00181FCE">
        <w:rPr>
          <w:rFonts w:ascii="Arial" w:eastAsia="Arial" w:hAnsi="Arial" w:cs="Arial"/>
          <w:sz w:val="24"/>
          <w:szCs w:val="24"/>
          <w:lang w:eastAsia="en-US"/>
        </w:rPr>
        <w:t xml:space="preserve">, 2020). In turn, employers who subscribe to the programme need to boost the employability of their youthful workers by helping them build their CVs and apply for a permanent job after six months (Pensions, 2022b). The programme has been tremendously helpful to young people in the UK, who particularly suffered through the pandemic after losing jobs or job opportunities (UK Parliament, 2022). </w:t>
      </w:r>
      <w:bookmarkStart w:id="0" w:name="_gjdgxs" w:colFirst="0" w:colLast="0"/>
      <w:bookmarkEnd w:id="0"/>
    </w:p>
    <w:p w14:paraId="141D72DF" w14:textId="77777777" w:rsidR="00181FCE" w:rsidRPr="00181FCE" w:rsidRDefault="00181FCE" w:rsidP="00181FCE">
      <w:pPr>
        <w:spacing w:after="160" w:line="360" w:lineRule="auto"/>
        <w:jc w:val="both"/>
        <w:rPr>
          <w:rFonts w:ascii="Arial" w:eastAsia="Arial" w:hAnsi="Arial" w:cs="Arial"/>
          <w:sz w:val="24"/>
          <w:szCs w:val="24"/>
          <w:lang w:eastAsia="en-US"/>
        </w:rPr>
      </w:pPr>
    </w:p>
    <w:p w14:paraId="48CC8258"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most notable advantage of the kickstart programme is that it lets employers get extra employees for little to no cost. That is because the money that the government provides will cover the recruits’ salaries. Another benefit is that employers are not required to employ the recruits on a full-time basis after 6 months. The government gives them the liberty to make that decision. Again, the programme gives employers </w:t>
      </w:r>
      <w:r w:rsidRPr="00181FCE">
        <w:rPr>
          <w:rFonts w:ascii="Arial" w:eastAsia="Arial" w:hAnsi="Arial" w:cs="Arial"/>
          <w:bCs/>
          <w:sz w:val="24"/>
          <w:szCs w:val="24"/>
          <w:lang w:eastAsia="en-US"/>
        </w:rPr>
        <w:lastRenderedPageBreak/>
        <w:t>a chance to support their local communities by providing new employment opportunities (GOV.UK, 2020).</w:t>
      </w:r>
    </w:p>
    <w:p w14:paraId="68B13FAF"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The first downside is that employers must provide at least 30 placements to qualify for the programme (</w:t>
      </w:r>
      <w:r w:rsidRPr="00181FCE">
        <w:rPr>
          <w:rFonts w:ascii="Arial" w:eastAsia="Arial" w:hAnsi="Arial" w:cs="Arial"/>
          <w:sz w:val="24"/>
          <w:szCs w:val="24"/>
          <w:lang w:eastAsia="en-US"/>
        </w:rPr>
        <w:t>Wilson &amp; Barton, 2018)</w:t>
      </w:r>
      <w:r w:rsidRPr="00181FCE">
        <w:rPr>
          <w:rFonts w:ascii="Arial" w:eastAsia="Arial" w:hAnsi="Arial" w:cs="Arial"/>
          <w:bCs/>
          <w:sz w:val="24"/>
          <w:szCs w:val="24"/>
          <w:lang w:eastAsia="en-US"/>
        </w:rPr>
        <w:t>. It must be noted that small enterprises cannot accommodate so many recruits. Secondly, considering the qualifying age group is 16 to 24 years, most of the recruits may need training before starting the job. Thus, employers will need to consider how they will train and support their new workers.</w:t>
      </w:r>
    </w:p>
    <w:p w14:paraId="72E514FB" w14:textId="77777777" w:rsidR="00181FCE" w:rsidRPr="00181FCE" w:rsidRDefault="00181FCE" w:rsidP="00181FCE">
      <w:pPr>
        <w:spacing w:after="160" w:line="360" w:lineRule="auto"/>
        <w:jc w:val="both"/>
        <w:rPr>
          <w:rFonts w:ascii="Arial" w:eastAsia="Arial" w:hAnsi="Arial" w:cs="Arial"/>
          <w:sz w:val="24"/>
          <w:szCs w:val="24"/>
          <w:lang w:eastAsia="en-US"/>
        </w:rPr>
      </w:pPr>
      <w:r w:rsidRPr="00181FCE">
        <w:rPr>
          <w:rFonts w:ascii="Arial" w:eastAsia="Arial" w:hAnsi="Arial" w:cs="Arial"/>
          <w:bCs/>
          <w:sz w:val="24"/>
          <w:szCs w:val="24"/>
          <w:lang w:eastAsia="en-US"/>
        </w:rPr>
        <w:t>The kickstart programme strategies come with both pros and cons. There is no doubt that the tight requirements put on employers looking to join the kickstart programme will keep many small enterprises from joining the programme. However, employers can collaborate, for instance, to employ the minimum number of workers needed, and then share the workers and the funding. Furthermore, the programme will reduce unemployment and help businesses get workers at little to no cost (Department for Work and Pensions, 2021) .</w:t>
      </w:r>
    </w:p>
    <w:p w14:paraId="5962DD6A"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Rough Sleeping Strategy (RSS) </w:t>
      </w:r>
    </w:p>
    <w:p w14:paraId="40D50BA4"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Fitzpatrick et al. (2019) define rough sleeping as sleeping in unfavourable conditions that are not designed for shelter, such as on the streets or in an empty building. Rough sleeping and homelessness are indicators of extreme poverty. According to Fitzpatrick et al. (2019), there are several factors that can result in a person going through rough sleeping, including substance abuse, family breakdown, mental illness, and financial difficulties. Rough sleeping comes with various risks for a person’s physical and mental wellbeing. </w:t>
      </w:r>
      <w:proofErr w:type="spellStart"/>
      <w:r w:rsidRPr="00181FCE">
        <w:rPr>
          <w:rFonts w:ascii="Arial" w:eastAsia="Arial" w:hAnsi="Arial" w:cs="Arial"/>
          <w:bCs/>
          <w:sz w:val="24"/>
          <w:szCs w:val="24"/>
          <w:lang w:eastAsia="en-US"/>
        </w:rPr>
        <w:t>Bretherton</w:t>
      </w:r>
      <w:proofErr w:type="spellEnd"/>
      <w:r w:rsidRPr="00181FCE">
        <w:rPr>
          <w:rFonts w:ascii="Arial" w:eastAsia="Arial" w:hAnsi="Arial" w:cs="Arial"/>
          <w:bCs/>
          <w:sz w:val="24"/>
          <w:szCs w:val="24"/>
          <w:lang w:eastAsia="en-US"/>
        </w:rPr>
        <w:t xml:space="preserve"> and </w:t>
      </w:r>
      <w:proofErr w:type="spellStart"/>
      <w:r w:rsidRPr="00181FCE">
        <w:rPr>
          <w:rFonts w:ascii="Arial" w:eastAsia="Arial" w:hAnsi="Arial" w:cs="Arial"/>
          <w:bCs/>
          <w:sz w:val="24"/>
          <w:szCs w:val="24"/>
          <w:lang w:eastAsia="en-US"/>
        </w:rPr>
        <w:t>Pleace</w:t>
      </w:r>
      <w:proofErr w:type="spellEnd"/>
      <w:r w:rsidRPr="00181FCE">
        <w:rPr>
          <w:rFonts w:ascii="Arial" w:eastAsia="Arial" w:hAnsi="Arial" w:cs="Arial"/>
          <w:bCs/>
          <w:sz w:val="24"/>
          <w:szCs w:val="24"/>
          <w:lang w:eastAsia="en-US"/>
        </w:rPr>
        <w:t xml:space="preserve"> (2018) posit that rough sleepers are almost 20 times likelier to face violence. In a bid to reduce rough sleeping in the UK, the government created a new legislation, dubbed The Homelessness Reduction Act 2017 (</w:t>
      </w:r>
      <w:proofErr w:type="spellStart"/>
      <w:r w:rsidRPr="00181FCE">
        <w:rPr>
          <w:rFonts w:ascii="Arial" w:eastAsia="Arial" w:hAnsi="Arial" w:cs="Arial"/>
          <w:bCs/>
          <w:sz w:val="24"/>
          <w:szCs w:val="24"/>
          <w:lang w:eastAsia="en-US"/>
        </w:rPr>
        <w:t>Paudyal</w:t>
      </w:r>
      <w:proofErr w:type="spellEnd"/>
      <w:r w:rsidRPr="00181FCE">
        <w:rPr>
          <w:rFonts w:ascii="Arial" w:eastAsia="Arial" w:hAnsi="Arial" w:cs="Arial"/>
          <w:bCs/>
          <w:sz w:val="24"/>
          <w:szCs w:val="24"/>
          <w:lang w:eastAsia="en-US"/>
        </w:rPr>
        <w:t xml:space="preserve"> and Saunders, 2018). The purpose of this law is to ensure that all rough sleepers and people that are vulnerable to this situation are provided with shelter. </w:t>
      </w:r>
    </w:p>
    <w:p w14:paraId="482C6E24"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As per </w:t>
      </w:r>
      <w:r w:rsidRPr="00181FCE">
        <w:rPr>
          <w:rFonts w:ascii="Arial" w:eastAsia="Arial" w:hAnsi="Arial" w:cs="Arial"/>
          <w:sz w:val="24"/>
          <w:szCs w:val="24"/>
          <w:lang w:eastAsia="en-US"/>
        </w:rPr>
        <w:t>Wilson and Barton (2018)</w:t>
      </w:r>
      <w:r w:rsidRPr="00181FCE">
        <w:rPr>
          <w:rFonts w:ascii="Arial" w:eastAsia="Arial" w:hAnsi="Arial" w:cs="Arial"/>
          <w:bCs/>
          <w:sz w:val="24"/>
          <w:szCs w:val="24"/>
          <w:lang w:eastAsia="en-US"/>
        </w:rPr>
        <w:t xml:space="preserve">, the government also invested 100 million pounds in a programme called the Rough Sleeping Strategy (RSS), which aimed to reduce rough sleeping by half by the end of 2022 and end it by 2027. The programme comprises three steps, namely preventing, intervening, and recovering. Preventing entails working with local authorities and private stakeholders to give everyone shelter </w:t>
      </w:r>
      <w:r w:rsidRPr="00181FCE">
        <w:rPr>
          <w:rFonts w:ascii="Arial" w:eastAsia="Arial" w:hAnsi="Arial" w:cs="Arial"/>
          <w:bCs/>
          <w:sz w:val="24"/>
          <w:szCs w:val="24"/>
          <w:lang w:eastAsia="en-US"/>
        </w:rPr>
        <w:lastRenderedPageBreak/>
        <w:t>(</w:t>
      </w:r>
      <w:r w:rsidRPr="00181FCE">
        <w:rPr>
          <w:rFonts w:ascii="Arial" w:eastAsia="Arial" w:hAnsi="Arial" w:cs="Arial"/>
          <w:sz w:val="24"/>
          <w:szCs w:val="24"/>
          <w:lang w:eastAsia="en-US"/>
        </w:rPr>
        <w:t>Wilson &amp; Barton, 2018</w:t>
      </w:r>
      <w:r w:rsidRPr="00181FCE">
        <w:rPr>
          <w:rFonts w:ascii="Arial" w:eastAsia="Arial" w:hAnsi="Arial" w:cs="Arial"/>
          <w:bCs/>
          <w:sz w:val="24"/>
          <w:szCs w:val="24"/>
          <w:lang w:eastAsia="en-US"/>
        </w:rPr>
        <w:t xml:space="preserve">). Furthermore, it involves working with landlords and landladies to ensure they are charging affordable rent. </w:t>
      </w:r>
    </w:p>
    <w:p w14:paraId="6B8A3391"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first advantage of the rough sleeping strategy is that it gets people off the streets and into sustainable shelters. Second, it helps current and former rough sleepers to rebuild their lives, which is not easy to do without support. Third, the strategy prevents people from getting into rough sleeping and helps prevent former rough sleepers from reverting to the practice (Murray, 2021).  </w:t>
      </w:r>
    </w:p>
    <w:p w14:paraId="2FE92F5F"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rough sleeping strategy also comes with a range of disadvantages. The primary drawback is that it creates a new cost for the public as rough sleepers will need to be provided with healthcare services, training, food, and other essential items and services besides shelter (Lewis, 2021). </w:t>
      </w:r>
    </w:p>
    <w:p w14:paraId="1FCB265B"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rough sleeping strategies come with both pros and cons.. The rough sleeping strategy will also help make the UK a better place by providing sustainable living spaces to homeless people. Regarding the cost, the government can seek help from private firms and individuals and </w:t>
      </w:r>
      <w:proofErr w:type="spellStart"/>
      <w:r w:rsidRPr="00181FCE">
        <w:rPr>
          <w:rFonts w:ascii="Arial" w:eastAsia="Arial" w:hAnsi="Arial" w:cs="Arial"/>
          <w:bCs/>
          <w:sz w:val="24"/>
          <w:szCs w:val="24"/>
          <w:lang w:eastAsia="en-US"/>
        </w:rPr>
        <w:t>mobilize</w:t>
      </w:r>
      <w:proofErr w:type="spellEnd"/>
      <w:r w:rsidRPr="00181FCE">
        <w:rPr>
          <w:rFonts w:ascii="Arial" w:eastAsia="Arial" w:hAnsi="Arial" w:cs="Arial"/>
          <w:bCs/>
          <w:sz w:val="24"/>
          <w:szCs w:val="24"/>
          <w:lang w:eastAsia="en-US"/>
        </w:rPr>
        <w:t xml:space="preserve"> funds to help cater for the new costs associated with taking care of the previously homeless people. </w:t>
      </w:r>
    </w:p>
    <w:p w14:paraId="4F8B388A"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
          <w:sz w:val="24"/>
          <w:szCs w:val="24"/>
          <w:lang w:eastAsia="en-US"/>
        </w:rPr>
        <w:t xml:space="preserve">Progress made in implementing the goal </w:t>
      </w:r>
    </w:p>
    <w:p w14:paraId="2B04EAEA"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By February 2021, there was a 43 percent reduction in rough sleeping levels (White et al., 2022a), which signified the high effectiveness of the government’s RSS. Private </w:t>
      </w:r>
      <w:proofErr w:type="spellStart"/>
      <w:r w:rsidRPr="00181FCE">
        <w:rPr>
          <w:rFonts w:ascii="Arial" w:eastAsia="Arial" w:hAnsi="Arial" w:cs="Arial"/>
          <w:bCs/>
          <w:sz w:val="24"/>
          <w:szCs w:val="24"/>
          <w:lang w:eastAsia="en-US"/>
        </w:rPr>
        <w:t>organizations</w:t>
      </w:r>
      <w:proofErr w:type="spellEnd"/>
      <w:r w:rsidRPr="00181FCE">
        <w:rPr>
          <w:rFonts w:ascii="Arial" w:eastAsia="Arial" w:hAnsi="Arial" w:cs="Arial"/>
          <w:bCs/>
          <w:sz w:val="24"/>
          <w:szCs w:val="24"/>
          <w:lang w:eastAsia="en-US"/>
        </w:rPr>
        <w:t xml:space="preserve"> volunteered to help and raised 6.4 million pounds by early 2022 that would go into providing accommodation and essential services to rough sleepers (White et al., 2022b). Reports showed that by March 2022, 163,000 young people had secured jobs (White at al., 2022c), meaning that a significant population of the UK’s youthful generation was able to earn money and contribute to growing the economy. The kickstart programme gave young people an opportunity to work, develop their workplace confidence, and grow skills and experience. </w:t>
      </w:r>
    </w:p>
    <w:p w14:paraId="76B4D23F"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Impact of this goal on the health &amp; well-being on people</w:t>
      </w:r>
    </w:p>
    <w:p w14:paraId="11F2A06B"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Poverty makes it difficult for people to meet fundamental needs, such as food, clean water, and primary healthcare. In this way, poverty makes people prone to ill health, thus preventing them from living happily and productively. SDG 1 underscores the importance of health and well-being by addressing poverty, one of the most significant </w:t>
      </w:r>
      <w:r w:rsidRPr="00181FCE">
        <w:rPr>
          <w:rFonts w:ascii="Arial" w:eastAsia="Arial" w:hAnsi="Arial" w:cs="Arial"/>
          <w:bCs/>
          <w:sz w:val="24"/>
          <w:szCs w:val="24"/>
          <w:lang w:eastAsia="en-US"/>
        </w:rPr>
        <w:lastRenderedPageBreak/>
        <w:t>obstacles to good health (</w:t>
      </w:r>
      <w:proofErr w:type="spellStart"/>
      <w:r w:rsidRPr="00181FCE">
        <w:rPr>
          <w:rFonts w:ascii="Arial" w:eastAsia="Arial" w:hAnsi="Arial" w:cs="Arial"/>
          <w:iCs/>
          <w:sz w:val="24"/>
          <w:szCs w:val="24"/>
          <w:lang w:eastAsia="en-US"/>
        </w:rPr>
        <w:t>Ionescu</w:t>
      </w:r>
      <w:proofErr w:type="spellEnd"/>
      <w:r w:rsidRPr="00181FCE">
        <w:rPr>
          <w:rFonts w:ascii="Arial" w:eastAsia="Arial" w:hAnsi="Arial" w:cs="Arial"/>
          <w:iCs/>
          <w:sz w:val="24"/>
          <w:szCs w:val="24"/>
          <w:lang w:eastAsia="en-US"/>
        </w:rPr>
        <w:t xml:space="preserve"> et al., 2020)</w:t>
      </w:r>
      <w:r w:rsidRPr="00181FCE">
        <w:rPr>
          <w:rFonts w:ascii="Arial" w:eastAsia="Arial" w:hAnsi="Arial" w:cs="Arial"/>
          <w:bCs/>
          <w:sz w:val="24"/>
          <w:szCs w:val="24"/>
          <w:lang w:eastAsia="en-US"/>
        </w:rPr>
        <w:t xml:space="preserve">. In the UK, the government is leaving no one behind in the quest to end poverty, and this is gradually improving health and well-being. </w:t>
      </w:r>
    </w:p>
    <w:p w14:paraId="2400E125"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Challenges </w:t>
      </w:r>
    </w:p>
    <w:p w14:paraId="50CA0BBA"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Covid-19 posed a great challenge for SDG1. The pandemic halted businesses and drove 1.7 million people into unemployment (Su et al., 2022a), which is one of the predictors of extreme poverty. In 2020 and 2021, numerous people left their jobs due to the pandemic outcomes like health problems and lockdowns, and as many as 1.7 million people became unemployed (Su et al., 2022b). It was an uphill task for the government, even with its kickstart programme, to help such a huge number of people get back to work. Many of the newly unemployed people had to rely on government support and benefits, which strained government funds and made it harder to end poverty (Office for National Statistics, 2022). </w:t>
      </w:r>
    </w:p>
    <w:p w14:paraId="7230BCC1"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Recommendation </w:t>
      </w:r>
    </w:p>
    <w:p w14:paraId="52C61E51"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To achieve SDG 1, the UK needs to remove or ease barriers for people looking to join its programmes such as Kickstart and RSS. For instance, with Kickstart, employers had to employ at least 30 young people. This was impractical for small businesses that could not accommodate so many recruits. By lowering the minimum number of recruits needed, the government could make the programme accessible to more business owners and help more young people find employment (Equality and Human Rights Commission, 2021). With RSS, one of the goals is to prevent people from becoming homeless in the first place. Therefore, the government should work with property owners to find a solution to the high rent prices and make homes more affordable. Also, the government and the private sector should build cheaper and sustainable living spaces and sell them at lower rates or give them for free to vulnerable populations (Partridge, 2021). </w:t>
      </w:r>
    </w:p>
    <w:p w14:paraId="1585D9FA"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4B080969" w14:textId="77777777" w:rsidR="00181FCE" w:rsidRPr="00181FCE" w:rsidRDefault="00181FCE" w:rsidP="00181FCE">
      <w:pPr>
        <w:spacing w:after="160" w:line="360" w:lineRule="auto"/>
        <w:jc w:val="both"/>
        <w:rPr>
          <w:rFonts w:ascii="Arial" w:eastAsia="Arial" w:hAnsi="Arial" w:cs="Arial"/>
          <w:b/>
          <w:bCs/>
          <w:sz w:val="24"/>
          <w:szCs w:val="24"/>
          <w:lang w:eastAsia="en-US"/>
        </w:rPr>
      </w:pPr>
      <w:r w:rsidRPr="00181FCE">
        <w:rPr>
          <w:rFonts w:ascii="Arial" w:eastAsia="Arial" w:hAnsi="Arial" w:cs="Arial"/>
          <w:b/>
          <w:bCs/>
          <w:sz w:val="24"/>
          <w:szCs w:val="24"/>
          <w:lang w:eastAsia="en-US"/>
        </w:rPr>
        <w:t>SDG 2- ZERO HUNGER</w:t>
      </w:r>
    </w:p>
    <w:p w14:paraId="0E5DE6D3"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The second sustainable development goal is to end hunger and realise sustainable food production by the year 2030 (</w:t>
      </w:r>
      <w:r w:rsidRPr="00181FCE">
        <w:rPr>
          <w:rFonts w:ascii="Arial" w:eastAsia="Arial" w:hAnsi="Arial" w:cs="Arial"/>
          <w:bCs/>
          <w:sz w:val="24"/>
          <w:szCs w:val="24"/>
          <w:lang w:val="en-US" w:eastAsia="en-US"/>
        </w:rPr>
        <w:t xml:space="preserve">GOV.UK., </w:t>
      </w:r>
      <w:proofErr w:type="spellStart"/>
      <w:r w:rsidRPr="00181FCE">
        <w:rPr>
          <w:rFonts w:ascii="Arial" w:eastAsia="Arial" w:hAnsi="Arial" w:cs="Arial"/>
          <w:bCs/>
          <w:sz w:val="24"/>
          <w:szCs w:val="24"/>
          <w:lang w:val="en-US" w:eastAsia="en-US"/>
        </w:rPr>
        <w:t>nd</w:t>
      </w:r>
      <w:proofErr w:type="spellEnd"/>
      <w:r w:rsidRPr="00181FCE">
        <w:rPr>
          <w:rFonts w:ascii="Arial" w:eastAsia="Arial" w:hAnsi="Arial" w:cs="Arial"/>
          <w:bCs/>
          <w:sz w:val="24"/>
          <w:szCs w:val="24"/>
          <w:lang w:val="en-US" w:eastAsia="en-US"/>
        </w:rPr>
        <w:t xml:space="preserve">). This goal also involves creating food security and improving nutrition in all populations. The process of achieving this goal </w:t>
      </w:r>
      <w:r w:rsidRPr="00181FCE">
        <w:rPr>
          <w:rFonts w:ascii="Arial" w:eastAsia="Arial" w:hAnsi="Arial" w:cs="Arial"/>
          <w:bCs/>
          <w:sz w:val="24"/>
          <w:szCs w:val="24"/>
          <w:lang w:val="en-US" w:eastAsia="en-US"/>
        </w:rPr>
        <w:lastRenderedPageBreak/>
        <w:t>was advancing well in the 2010s, but when Covid-19 struck, it pushed millions of people into hunger and pushed the dream of achieving a hunger-free world further. In 2020, about 800 million people worldwide suffered from hunger while 2 billion more faced food insecurity. Food insecurity refers to a situation where one does not have adequate access to affordable and nutritious food (</w:t>
      </w:r>
      <w:r w:rsidRPr="00181FCE">
        <w:rPr>
          <w:rFonts w:ascii="Arial" w:eastAsia="Arial" w:hAnsi="Arial" w:cs="Arial"/>
          <w:bCs/>
          <w:sz w:val="24"/>
          <w:szCs w:val="24"/>
          <w:lang w:eastAsia="en-US"/>
        </w:rPr>
        <w:t xml:space="preserve">Niles et al., 2020). United Nations. (n.d.) reveals that in 2021, almost 11 percent of households in the UK faced food insecurity, which was a rise of 8 percent in food insecurity from 2020. This scenario, too, was attributed to the devastating impacts of the pandemic on the economy and food production. Apart from insufficient food production, food wastage is a major factor to consider in the fight against food insecurity in the UK (The Food Foundation, 2021). Tonini et al. (2018) report that around 3.6 million tonnes of food were wasted in 2022, which represented about 7 percent of the total food produce. Aside from hunger, obesity and overweight are other types of malnutrition that affect the UK. </w:t>
      </w:r>
      <w:proofErr w:type="spellStart"/>
      <w:r w:rsidRPr="00181FCE">
        <w:rPr>
          <w:rFonts w:ascii="Arial" w:eastAsia="Arial" w:hAnsi="Arial" w:cs="Arial"/>
          <w:bCs/>
          <w:sz w:val="24"/>
          <w:szCs w:val="24"/>
          <w:lang w:eastAsia="en-US"/>
        </w:rPr>
        <w:t>Conolly</w:t>
      </w:r>
      <w:proofErr w:type="spellEnd"/>
      <w:r w:rsidRPr="00181FCE">
        <w:rPr>
          <w:rFonts w:ascii="Arial" w:eastAsia="Arial" w:hAnsi="Arial" w:cs="Arial"/>
          <w:bCs/>
          <w:sz w:val="24"/>
          <w:szCs w:val="24"/>
          <w:lang w:eastAsia="en-US"/>
        </w:rPr>
        <w:t xml:space="preserve"> et al. (2019) found that 28 percent of adults were obese in 2019, a situation that got worse in 2020 due to the effects of Covid-19, such as reduced physical activity because of the lockdowns. </w:t>
      </w:r>
    </w:p>
    <w:p w14:paraId="436CF2C9"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Overweight and obesity in children is a great health challenge in the UK. The problem is so severe that 1 in 5 children in England suffers from obesity (</w:t>
      </w:r>
      <w:proofErr w:type="spellStart"/>
      <w:r w:rsidRPr="00181FCE">
        <w:rPr>
          <w:rFonts w:ascii="Arial" w:eastAsia="Arial" w:hAnsi="Arial" w:cs="Arial"/>
          <w:sz w:val="24"/>
          <w:szCs w:val="24"/>
          <w:lang w:eastAsia="en-US"/>
        </w:rPr>
        <w:t>Conolly</w:t>
      </w:r>
      <w:proofErr w:type="spellEnd"/>
      <w:r w:rsidRPr="00181FCE">
        <w:rPr>
          <w:rFonts w:ascii="Arial" w:eastAsia="Arial" w:hAnsi="Arial" w:cs="Arial"/>
          <w:sz w:val="24"/>
          <w:szCs w:val="24"/>
          <w:lang w:eastAsia="en-US"/>
        </w:rPr>
        <w:t xml:space="preserve"> et al., 2019)</w:t>
      </w:r>
      <w:r w:rsidRPr="00181FCE">
        <w:rPr>
          <w:rFonts w:ascii="Arial" w:eastAsia="Arial" w:hAnsi="Arial" w:cs="Arial"/>
          <w:bCs/>
          <w:sz w:val="24"/>
          <w:szCs w:val="24"/>
          <w:lang w:eastAsia="en-US"/>
        </w:rPr>
        <w:t>, which is a detrimental condition that predisposes humans to various dangerous illnesses such as heart disease, high blood pressure, diabetes, and mental illnesses relating to body image (</w:t>
      </w:r>
      <w:proofErr w:type="spellStart"/>
      <w:r w:rsidRPr="00181FCE">
        <w:rPr>
          <w:rFonts w:ascii="Arial" w:eastAsia="Arial" w:hAnsi="Arial" w:cs="Arial"/>
          <w:sz w:val="24"/>
          <w:szCs w:val="24"/>
          <w:lang w:eastAsia="en-US"/>
        </w:rPr>
        <w:t>Chooi</w:t>
      </w:r>
      <w:proofErr w:type="spellEnd"/>
      <w:r w:rsidRPr="00181FCE">
        <w:rPr>
          <w:rFonts w:ascii="Arial" w:eastAsia="Arial" w:hAnsi="Arial" w:cs="Arial"/>
          <w:sz w:val="24"/>
          <w:szCs w:val="24"/>
          <w:lang w:eastAsia="en-US"/>
        </w:rPr>
        <w:t xml:space="preserve"> et al., 2019a)</w:t>
      </w:r>
      <w:r w:rsidRPr="00181FCE">
        <w:rPr>
          <w:rFonts w:ascii="Arial" w:eastAsia="Arial" w:hAnsi="Arial" w:cs="Arial"/>
          <w:bCs/>
          <w:sz w:val="24"/>
          <w:szCs w:val="24"/>
          <w:lang w:eastAsia="en-US"/>
        </w:rPr>
        <w:t>. Reports suggest that obesity in children in the UK mostly affects low-income families and families facing food insecurity since they opt for cheaper food that is highly processed and high in calories (</w:t>
      </w:r>
      <w:proofErr w:type="spellStart"/>
      <w:r w:rsidRPr="00181FCE">
        <w:rPr>
          <w:rFonts w:ascii="Arial" w:eastAsia="Arial" w:hAnsi="Arial" w:cs="Arial"/>
          <w:bCs/>
          <w:sz w:val="24"/>
          <w:szCs w:val="24"/>
          <w:lang w:eastAsia="en-US"/>
        </w:rPr>
        <w:t>Chooi</w:t>
      </w:r>
      <w:proofErr w:type="spellEnd"/>
      <w:r w:rsidRPr="00181FCE">
        <w:rPr>
          <w:rFonts w:ascii="Arial" w:eastAsia="Arial" w:hAnsi="Arial" w:cs="Arial"/>
          <w:bCs/>
          <w:sz w:val="24"/>
          <w:szCs w:val="24"/>
          <w:lang w:eastAsia="en-US"/>
        </w:rPr>
        <w:t xml:space="preserve"> et al., 2019b). </w:t>
      </w:r>
    </w:p>
    <w:p w14:paraId="45AAE375"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The Healthy Start Scheme</w:t>
      </w:r>
    </w:p>
    <w:p w14:paraId="47E4E28F"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Healthy Start Scheme is a government programme that aims to make sure pregnant women and nursing mothers have adequate access to nutritious food. Under the programme, women who are pregnant or have kids under 4 years of age and are low-income earners qualify to get various benefits including money, vitamins, food vouchers, and advice on healthy eating (Healthy start scheme, 2022a). Those who qualify to get into the scheme are provided with a prepaid card, which they can use to buy infant formula, fruits, vegetables, cow’s milk, and other nutritious food. The </w:t>
      </w:r>
      <w:r w:rsidRPr="00181FCE">
        <w:rPr>
          <w:rFonts w:ascii="Arial" w:eastAsia="Arial" w:hAnsi="Arial" w:cs="Arial"/>
          <w:bCs/>
          <w:sz w:val="24"/>
          <w:szCs w:val="24"/>
          <w:lang w:eastAsia="en-US"/>
        </w:rPr>
        <w:lastRenderedPageBreak/>
        <w:t xml:space="preserve">scheme has been impactful, as it is helping families in the UK navigate the tough times brought about by the pandemic. In Northern Ireland alone, the programme supports almost 14,000 families (Healthy start scheme, 2022b). Even though the Healthy Start Scheme is impacting families positively, it is not without challenges. One of the greatest challenges is a lack of awareness. Reports say that in 2018 alone, vouchers worth almost 30 million pounds went unclaimed (Healthy start scheme, 2022c). The problem of lack of awareness is mostly affecting ethnic minorities. To fix the situation, the government has charged nurses, midwives, paediatricians, and other healthcare professionals who interact with pregnant women and mothers with the task of creating awareness by telling their patients about the scheme (Sustain, 2019). </w:t>
      </w:r>
    </w:p>
    <w:p w14:paraId="32D466BC"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Pregnant women are a vulnerable group because they might be unwell and unable to work. Especially when they do not get support from their families, they risk being unable to meet basic needs such as food. The most obvious benefit of the healthy start scheme is that it provides pregnant women and mothers with a nutritional safety net. For low-income earners, the scheme is a lifesaver as it helps them access essential items like food, baby formula, and milk. Another advantage of the programme is that it acknowledges the most vulnerable population – those who are below 18 years old. For this population, one qualifies to enter the programme whether or not they are receiving any other benefits. Another benefit of the programme is that besides the vouchers, one receives cash assistance as well. The cash payments range from 4.25 pounds to 8.50 pounds depending on the age of the pregnancy or the child (</w:t>
      </w:r>
      <w:proofErr w:type="spellStart"/>
      <w:r w:rsidRPr="00181FCE">
        <w:rPr>
          <w:rFonts w:ascii="Arial" w:eastAsia="Arial" w:hAnsi="Arial" w:cs="Arial"/>
          <w:bCs/>
          <w:sz w:val="24"/>
          <w:szCs w:val="24"/>
          <w:lang w:eastAsia="en-US"/>
        </w:rPr>
        <w:t>Mcfadden,et</w:t>
      </w:r>
      <w:proofErr w:type="spellEnd"/>
      <w:r w:rsidRPr="00181FCE">
        <w:rPr>
          <w:rFonts w:ascii="Arial" w:eastAsia="Arial" w:hAnsi="Arial" w:cs="Arial"/>
          <w:bCs/>
          <w:sz w:val="24"/>
          <w:szCs w:val="24"/>
          <w:lang w:eastAsia="en-US"/>
        </w:rPr>
        <w:t xml:space="preserve"> al, 2014) .</w:t>
      </w:r>
    </w:p>
    <w:p w14:paraId="19760B86"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60A4C342"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With the Healthy Start Scheme, the only negative aspect relates to the eligibility criteria. For one to be eligible to receive benefits, they must be either under 18 years old or receiving certain benefits. The specified benefits include child tax credit, universal credit, pension credit, income support, jobseeker’s allowance, or employment and support allowance. If one is not under 18 years old or receiving the said benefits, they do not qualify to join the Healthy Start Scheme</w:t>
      </w:r>
    </w:p>
    <w:p w14:paraId="2BE3A1EE"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56C7F0F7"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There is undoubtedly a challenge about eligibility, but the Healthy Start Scheme benefits the public significantly. The scheme is a lifesaver for low-income earners as </w:t>
      </w:r>
      <w:r w:rsidRPr="00181FCE">
        <w:rPr>
          <w:rFonts w:ascii="Arial" w:eastAsia="Arial" w:hAnsi="Arial" w:cs="Arial"/>
          <w:bCs/>
          <w:sz w:val="24"/>
          <w:szCs w:val="24"/>
          <w:lang w:eastAsia="en-US"/>
        </w:rPr>
        <w:lastRenderedPageBreak/>
        <w:t>it helps them access essential items like food, baby formula, and milk. Moreover, the programme acknowledges the most vulnerable population – those below 18. For this population, one qualifies to enter the programme whether or not they receive any other benefits.</w:t>
      </w:r>
    </w:p>
    <w:p w14:paraId="4F7414D6"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The National Child Measurement Programme (NCMP)</w:t>
      </w:r>
    </w:p>
    <w:p w14:paraId="33503F2B"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NCMP was introduced in 2006 to help tackle the problem of child overweight and obesity in the UK by Public Health England (PHE). To attain its objectives, the programme </w:t>
      </w:r>
      <w:proofErr w:type="spellStart"/>
      <w:r w:rsidRPr="00181FCE">
        <w:rPr>
          <w:rFonts w:ascii="Arial" w:eastAsia="Arial" w:hAnsi="Arial" w:cs="Arial"/>
          <w:bCs/>
          <w:sz w:val="24"/>
          <w:szCs w:val="24"/>
          <w:lang w:eastAsia="en-US"/>
        </w:rPr>
        <w:t>utilized</w:t>
      </w:r>
      <w:proofErr w:type="spellEnd"/>
      <w:r w:rsidRPr="00181FCE">
        <w:rPr>
          <w:rFonts w:ascii="Arial" w:eastAsia="Arial" w:hAnsi="Arial" w:cs="Arial"/>
          <w:bCs/>
          <w:sz w:val="24"/>
          <w:szCs w:val="24"/>
          <w:lang w:eastAsia="en-US"/>
        </w:rPr>
        <w:t xml:space="preserve"> NHS digital to collect the body mass index (BMI) data of children (Public Health England, 2021). The government uses the data collected as a means to keep an eye on the overweight and obesity trends in UK children so that appropriate action can be taken. One of the ways that the government achieves the NCMP’s vision of reducing obesity and overweight in UK children is by giving local authorities the duty to spearhead the programme in schools. After obtaining the consent of parents, local authorities take school children’s BMI data (</w:t>
      </w:r>
      <w:bookmarkStart w:id="1" w:name="_Hlk120531398"/>
      <w:proofErr w:type="spellStart"/>
      <w:r w:rsidRPr="00181FCE">
        <w:rPr>
          <w:rFonts w:ascii="Arial" w:eastAsia="Arial" w:hAnsi="Arial" w:cs="Arial"/>
          <w:bCs/>
          <w:sz w:val="24"/>
          <w:szCs w:val="24"/>
          <w:lang w:eastAsia="en-US"/>
        </w:rPr>
        <w:t>Čadek</w:t>
      </w:r>
      <w:proofErr w:type="spellEnd"/>
      <w:r w:rsidRPr="00181FCE">
        <w:rPr>
          <w:rFonts w:ascii="Arial" w:eastAsia="Arial" w:hAnsi="Arial" w:cs="Arial"/>
          <w:bCs/>
          <w:sz w:val="24"/>
          <w:szCs w:val="24"/>
          <w:lang w:eastAsia="en-US"/>
        </w:rPr>
        <w:t xml:space="preserve"> et al., 2021a)</w:t>
      </w:r>
      <w:bookmarkEnd w:id="1"/>
      <w:r w:rsidRPr="00181FCE">
        <w:rPr>
          <w:rFonts w:ascii="Arial" w:eastAsia="Arial" w:hAnsi="Arial" w:cs="Arial"/>
          <w:bCs/>
          <w:sz w:val="24"/>
          <w:szCs w:val="24"/>
          <w:lang w:eastAsia="en-US"/>
        </w:rPr>
        <w:t xml:space="preserve">. The great thing about this programme is that it is implemented at the school level, making it possible to help as many kids as possible. Moreover, seeking parents’ consent beforehand makes it transparent. </w:t>
      </w:r>
      <w:proofErr w:type="spellStart"/>
      <w:r w:rsidRPr="00181FCE">
        <w:rPr>
          <w:rFonts w:ascii="Arial" w:eastAsia="Arial" w:hAnsi="Arial" w:cs="Arial"/>
          <w:bCs/>
          <w:sz w:val="24"/>
          <w:szCs w:val="24"/>
          <w:lang w:eastAsia="en-US"/>
        </w:rPr>
        <w:t>Chooi</w:t>
      </w:r>
      <w:proofErr w:type="spellEnd"/>
      <w:r w:rsidRPr="00181FCE">
        <w:rPr>
          <w:rFonts w:ascii="Arial" w:eastAsia="Arial" w:hAnsi="Arial" w:cs="Arial"/>
          <w:bCs/>
          <w:sz w:val="24"/>
          <w:szCs w:val="24"/>
          <w:lang w:eastAsia="en-US"/>
        </w:rPr>
        <w:t xml:space="preserve"> et al. (2019) say that if a child’s BMI is above 24.9, that is a sign that the child is overweight or obese. </w:t>
      </w:r>
    </w:p>
    <w:p w14:paraId="28941DE7"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The NHS, through the NCMP, is creating a positive impact because it appropriately advises parents whose children are overweight or obese and educates them on creating better lifestyles for their children. Based on reports from a 2021 study, over half of the parents whose children were involved in the NCMP changed their children’s diet and lifestyle to make sure they ate healthier and exercised (</w:t>
      </w:r>
      <w:proofErr w:type="spellStart"/>
      <w:r w:rsidRPr="00181FCE">
        <w:rPr>
          <w:rFonts w:ascii="Arial" w:eastAsia="Arial" w:hAnsi="Arial" w:cs="Arial"/>
          <w:bCs/>
          <w:sz w:val="24"/>
          <w:szCs w:val="24"/>
          <w:lang w:eastAsia="en-US"/>
        </w:rPr>
        <w:t>Čadek</w:t>
      </w:r>
      <w:proofErr w:type="spellEnd"/>
      <w:r w:rsidRPr="00181FCE">
        <w:rPr>
          <w:rFonts w:ascii="Arial" w:eastAsia="Arial" w:hAnsi="Arial" w:cs="Arial"/>
          <w:bCs/>
          <w:sz w:val="24"/>
          <w:szCs w:val="24"/>
          <w:lang w:eastAsia="en-US"/>
        </w:rPr>
        <w:t xml:space="preserve"> et al., 2021b). The NCMP also boosts awareness of children’s weight problems. </w:t>
      </w:r>
    </w:p>
    <w:p w14:paraId="554BF31E"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NCMP also has various drawbacks. The first disadvantage is that when schools close, the programme halts. This was particularly evident during the pandemic when schools were closed for prolonged periods. Another significant drawback is that the programme majorly centres on parents are the determinants of children’s lifestyles. It fails to adequately </w:t>
      </w:r>
      <w:proofErr w:type="spellStart"/>
      <w:r w:rsidRPr="00181FCE">
        <w:rPr>
          <w:rFonts w:ascii="Arial" w:eastAsia="Arial" w:hAnsi="Arial" w:cs="Arial"/>
          <w:bCs/>
          <w:sz w:val="24"/>
          <w:szCs w:val="24"/>
          <w:lang w:eastAsia="en-US"/>
        </w:rPr>
        <w:t>recognize</w:t>
      </w:r>
      <w:proofErr w:type="spellEnd"/>
      <w:r w:rsidRPr="00181FCE">
        <w:rPr>
          <w:rFonts w:ascii="Arial" w:eastAsia="Arial" w:hAnsi="Arial" w:cs="Arial"/>
          <w:bCs/>
          <w:sz w:val="24"/>
          <w:szCs w:val="24"/>
          <w:lang w:eastAsia="en-US"/>
        </w:rPr>
        <w:t xml:space="preserve"> other factors such as school environments (</w:t>
      </w:r>
      <w:proofErr w:type="spellStart"/>
      <w:r w:rsidRPr="00181FCE">
        <w:rPr>
          <w:rFonts w:ascii="Arial" w:eastAsia="Arial" w:hAnsi="Arial" w:cs="Arial"/>
          <w:bCs/>
          <w:sz w:val="24"/>
          <w:szCs w:val="24"/>
          <w:lang w:eastAsia="en-US"/>
        </w:rPr>
        <w:t>Kovacs</w:t>
      </w:r>
      <w:proofErr w:type="spellEnd"/>
      <w:r w:rsidRPr="00181FCE">
        <w:rPr>
          <w:rFonts w:ascii="Arial" w:eastAsia="Arial" w:hAnsi="Arial" w:cs="Arial"/>
          <w:bCs/>
          <w:sz w:val="24"/>
          <w:szCs w:val="24"/>
          <w:lang w:eastAsia="en-US"/>
        </w:rPr>
        <w:t xml:space="preserve"> et al, 2018). </w:t>
      </w:r>
    </w:p>
    <w:p w14:paraId="5DBABBAF"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Even though the NCMP is only implemented in schools, it plays a crucial role in addressing obesity in children and boosting their overall health. Reports say that </w:t>
      </w:r>
      <w:r w:rsidRPr="00181FCE">
        <w:rPr>
          <w:rFonts w:ascii="Arial" w:eastAsia="Arial" w:hAnsi="Arial" w:cs="Arial"/>
          <w:bCs/>
          <w:sz w:val="24"/>
          <w:szCs w:val="24"/>
          <w:lang w:eastAsia="en-US"/>
        </w:rPr>
        <w:lastRenderedPageBreak/>
        <w:t>parents interacting with the programme have made positive changes in their children’s meals and lifestyles (</w:t>
      </w:r>
      <w:proofErr w:type="spellStart"/>
      <w:r w:rsidRPr="00181FCE">
        <w:rPr>
          <w:rFonts w:ascii="Arial" w:eastAsia="Arial" w:hAnsi="Arial" w:cs="Arial"/>
          <w:bCs/>
          <w:sz w:val="24"/>
          <w:szCs w:val="24"/>
          <w:lang w:eastAsia="en-US"/>
        </w:rPr>
        <w:t>Bann</w:t>
      </w:r>
      <w:proofErr w:type="spellEnd"/>
      <w:r w:rsidRPr="00181FCE">
        <w:rPr>
          <w:rFonts w:ascii="Arial" w:eastAsia="Arial" w:hAnsi="Arial" w:cs="Arial"/>
          <w:bCs/>
          <w:sz w:val="24"/>
          <w:szCs w:val="24"/>
          <w:lang w:eastAsia="en-US"/>
        </w:rPr>
        <w:t xml:space="preserve"> et al, 2018). If the programme goes beyond school boundaries and finds its way into other social settings, the impact will be even more pronounced. </w:t>
      </w:r>
    </w:p>
    <w:p w14:paraId="5FBF1718"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Progress made in implementing the goal </w:t>
      </w:r>
    </w:p>
    <w:p w14:paraId="40E5CA7C"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One of the ways that hunger develops is from the loss of genetic diversity in plants, seeds, and domestic animals. The UK had targeted maintaining this genetic diversity by having banks to preserve seeds, livestock genes, and plants. It achieved this goal in 2020, a vital step in making the UK food-secure (O'Donnell &amp; </w:t>
      </w:r>
      <w:proofErr w:type="spellStart"/>
      <w:r w:rsidRPr="00181FCE">
        <w:rPr>
          <w:rFonts w:ascii="Arial" w:eastAsia="Arial" w:hAnsi="Arial" w:cs="Arial"/>
          <w:bCs/>
          <w:sz w:val="24"/>
          <w:szCs w:val="24"/>
          <w:lang w:eastAsia="en-US"/>
        </w:rPr>
        <w:t>Sharrock</w:t>
      </w:r>
      <w:proofErr w:type="spellEnd"/>
      <w:r w:rsidRPr="00181FCE">
        <w:rPr>
          <w:rFonts w:ascii="Arial" w:eastAsia="Arial" w:hAnsi="Arial" w:cs="Arial"/>
          <w:bCs/>
          <w:sz w:val="24"/>
          <w:szCs w:val="24"/>
          <w:lang w:eastAsia="en-US"/>
        </w:rPr>
        <w:t xml:space="preserve">, 2018). The UK government has also boosted its investment in agricultural research and extension services such as food banks. </w:t>
      </w:r>
      <w:proofErr w:type="spellStart"/>
      <w:r w:rsidRPr="00181FCE">
        <w:rPr>
          <w:rFonts w:ascii="Arial" w:eastAsia="Arial" w:hAnsi="Arial" w:cs="Arial"/>
          <w:bCs/>
          <w:sz w:val="24"/>
          <w:szCs w:val="24"/>
          <w:lang w:eastAsia="en-US"/>
        </w:rPr>
        <w:t>Loopstra</w:t>
      </w:r>
      <w:proofErr w:type="spellEnd"/>
      <w:r w:rsidRPr="00181FCE">
        <w:rPr>
          <w:rFonts w:ascii="Arial" w:eastAsia="Arial" w:hAnsi="Arial" w:cs="Arial"/>
          <w:bCs/>
          <w:sz w:val="24"/>
          <w:szCs w:val="24"/>
          <w:lang w:eastAsia="en-US"/>
        </w:rPr>
        <w:t xml:space="preserve"> et al. (2018) reveal that in 2018, there was an increase of about 10 per cent in the rate of usage of UK’s food banks. The increasing use of food banks is a step in the right direction, as the stored food can be donated to people facing hunger, especially in the post-pandemic era.</w:t>
      </w:r>
    </w:p>
    <w:p w14:paraId="4A95DDEC"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Impact of this goal on the health &amp; well-being on people</w:t>
      </w:r>
    </w:p>
    <w:p w14:paraId="726F8FA2"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Hunger and malnutrition remain great obstacles to health and well-being. Additionally, they are barriers to sustainable development. Therefore, there is a need to end hunger and improve nutrition. Greener (2018) postulates that the UK, one of the world’s developed nations, was not adequately perceived to be facing issues with hunger and malnutrition, so the second SDG came to reveal the reality and get the government and the public more concerned. The zero-hunger goal has had a massively positive impact in the UK as it has created awareness of hunger and malnutrition in the land. The combined efforts of the government and the private sector are improving people’s health and well-being by easing access to adequate and healthy food. </w:t>
      </w:r>
    </w:p>
    <w:p w14:paraId="3CE61F15"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63432B63"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22E46F1A"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Challenges </w:t>
      </w:r>
    </w:p>
    <w:p w14:paraId="3086EEC5"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two biggest challenges to the </w:t>
      </w:r>
      <w:proofErr w:type="spellStart"/>
      <w:r w:rsidRPr="00181FCE">
        <w:rPr>
          <w:rFonts w:ascii="Arial" w:eastAsia="Arial" w:hAnsi="Arial" w:cs="Arial"/>
          <w:bCs/>
          <w:sz w:val="24"/>
          <w:szCs w:val="24"/>
          <w:lang w:eastAsia="en-US"/>
        </w:rPr>
        <w:t>realization</w:t>
      </w:r>
      <w:proofErr w:type="spellEnd"/>
      <w:r w:rsidRPr="00181FCE">
        <w:rPr>
          <w:rFonts w:ascii="Arial" w:eastAsia="Arial" w:hAnsi="Arial" w:cs="Arial"/>
          <w:bCs/>
          <w:sz w:val="24"/>
          <w:szCs w:val="24"/>
          <w:lang w:eastAsia="en-US"/>
        </w:rPr>
        <w:t xml:space="preserve"> of SDG 2 are the pandemic and the tough economic times that have prevailed since 2020. People largely remained indoors during the pandemic and had little to no time to get fresh and healthy food (Lucas et </w:t>
      </w:r>
      <w:r w:rsidRPr="00181FCE">
        <w:rPr>
          <w:rFonts w:ascii="Arial" w:eastAsia="Arial" w:hAnsi="Arial" w:cs="Arial"/>
          <w:bCs/>
          <w:sz w:val="24"/>
          <w:szCs w:val="24"/>
          <w:lang w:eastAsia="en-US"/>
        </w:rPr>
        <w:lastRenderedPageBreak/>
        <w:t>al, 2013).  A lot of people resorted to eating processed foods that were high in calories and unhealthy, making them susceptible to malnutrition, overweight, and obesity. The struggling economy has left numerous people without a job or an income, making them food insecure (</w:t>
      </w:r>
      <w:proofErr w:type="spellStart"/>
      <w:r w:rsidRPr="00181FCE">
        <w:rPr>
          <w:rFonts w:ascii="Arial" w:eastAsia="Arial" w:hAnsi="Arial" w:cs="Arial"/>
          <w:bCs/>
          <w:sz w:val="24"/>
          <w:szCs w:val="24"/>
          <w:lang w:eastAsia="en-US"/>
        </w:rPr>
        <w:t>Nayak</w:t>
      </w:r>
      <w:proofErr w:type="spellEnd"/>
      <w:r w:rsidRPr="00181FCE">
        <w:rPr>
          <w:rFonts w:ascii="Arial" w:eastAsia="Arial" w:hAnsi="Arial" w:cs="Arial"/>
          <w:bCs/>
          <w:sz w:val="24"/>
          <w:szCs w:val="24"/>
          <w:lang w:eastAsia="en-US"/>
        </w:rPr>
        <w:t xml:space="preserve">, 2010a). </w:t>
      </w:r>
    </w:p>
    <w:p w14:paraId="4382C97E"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Recommendations </w:t>
      </w:r>
    </w:p>
    <w:p w14:paraId="0B78BD05"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The ideal way to achieve SDG 2 is to boost agricultural production by investing more in the sector. Apart from that, the government could consider appointing a ministry that is specifically charged with food security. The ministry will collect data on hunger, food insecurity, and malnutrition, and create and implement corrective measures. It will also track progress to make sure that food security is achieved and that people are free from hunger, malnutrition, and food insecurity. To make the healthy start scheme more practical, the government could inject more funds into the scheme and ease the eligibility factors so that more people qualify. The NCMP could be extended to cover other social settings like churches and individual families so that even when schools are closed, the programme does not stop (</w:t>
      </w:r>
      <w:proofErr w:type="spellStart"/>
      <w:r w:rsidRPr="00181FCE">
        <w:rPr>
          <w:rFonts w:ascii="Arial" w:eastAsia="Arial" w:hAnsi="Arial" w:cs="Arial"/>
          <w:bCs/>
          <w:sz w:val="24"/>
          <w:szCs w:val="24"/>
          <w:lang w:eastAsia="en-US"/>
        </w:rPr>
        <w:t>Nayak</w:t>
      </w:r>
      <w:proofErr w:type="spellEnd"/>
      <w:r w:rsidRPr="00181FCE">
        <w:rPr>
          <w:rFonts w:ascii="Arial" w:eastAsia="Arial" w:hAnsi="Arial" w:cs="Arial"/>
          <w:bCs/>
          <w:sz w:val="24"/>
          <w:szCs w:val="24"/>
          <w:lang w:eastAsia="en-US"/>
        </w:rPr>
        <w:t xml:space="preserve">, 2010b). </w:t>
      </w:r>
    </w:p>
    <w:p w14:paraId="31F81EEA"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16C6D665"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SDG 3 – GOOD HEALTH AND WELL-BEING   </w:t>
      </w:r>
    </w:p>
    <w:p w14:paraId="651B9CEF"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third SDG involves promoting health and well-being for everyone. SDG 3 incorporates different targets ranging from reducing maternal mortality to achieving universal health coverage to eliminate diseases, boost longevity, and maintain good physical and mental health for all people by 2030. The agenda rests on the premise that good health is not only a desirable outcome but also a factor vital to the 2030 agenda of sustainable development. In a bid to improve well-being for everyone, the United Nations targets to address social and economic inequalities, climate crisis, and infectious diseases such as Covid-19 and HIV/AIDS (United Nations, 2021). </w:t>
      </w:r>
    </w:p>
    <w:p w14:paraId="6F605829"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In the UK, obesity is one of the significant issues that need to be addressed regarding SDG 3. As per recent statistics, obesity is widespread in the UK, whereby more than 60% of people aged 16 years and above are either obese or overweight (Health Survey for England 2019 (NS). This is a severe scenario as excess weight is associated with detrimental illnesses like heart problems, hypertension, diabetes, and </w:t>
      </w:r>
      <w:r w:rsidRPr="00181FCE">
        <w:rPr>
          <w:rFonts w:ascii="Arial" w:eastAsia="Arial" w:hAnsi="Arial" w:cs="Arial"/>
          <w:bCs/>
          <w:sz w:val="24"/>
          <w:szCs w:val="24"/>
          <w:lang w:eastAsia="en-US"/>
        </w:rPr>
        <w:lastRenderedPageBreak/>
        <w:t xml:space="preserve">kidney diseases. The UK government aims to promote health and well-being by reducing obesity and encouraging people to adopt healthy lifestyle changes. </w:t>
      </w:r>
    </w:p>
    <w:p w14:paraId="5E2306D7"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Another factor that the UK seeks to address in relation to SDG 3 is the rising level of pollutants in the environment. According to Barnes et al. (2019), air pollutants such as carbon monoxide and rising carbon dioxide levels are risky to the environment and public health. Emissions from cars and factories pollute the air and expose people and animals to various conditions affecting the respiratory, cardiovascular, and other body systems. The problem of air pollution in the UK is such a serious matter that Royal College linked it to 40,000 early deaths (Roberts, 2016). </w:t>
      </w:r>
    </w:p>
    <w:p w14:paraId="00CA6051"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Change4Life programme </w:t>
      </w:r>
    </w:p>
    <w:p w14:paraId="6EDDC0B7"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This programme was created in 2009 to help people change behaviours that could result in unhealthy weight gain. Instead of being another weight-loss programme, Change4Life was made as a prevention program to help people avoid obesity by educating them on unhealthy and healthy eating and living. The idea was quite simple – encourage people to eat well and be more active. The program gets its message heard efficiently through social media, brands, healthcare providers, and local authorities (The Marketing Society, 2021). Change4Life campaigners educate families on the need for and strategies for eating healthy and exercising, and in that way, they contribute to improved public health (Mahdi et al., 2019). </w:t>
      </w:r>
    </w:p>
    <w:p w14:paraId="4C371CA6"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7952EE88"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Change4Life constructed a positive social movement that attracted a large percentage of the UK population. The campaign was about making behaviour changes to stop habits that could lead to unhealthy weight gain while promoting practices that could help one maintain a healthy weight. Change4Life influenced parents to think more carefully about their children’s health and make positive adjustments to their meals and exercise routines. The programme successfully created a coalition between local governments, schools, business </w:t>
      </w:r>
      <w:proofErr w:type="spellStart"/>
      <w:r w:rsidRPr="00181FCE">
        <w:rPr>
          <w:rFonts w:ascii="Arial" w:eastAsia="Arial" w:hAnsi="Arial" w:cs="Arial"/>
          <w:bCs/>
          <w:sz w:val="24"/>
          <w:szCs w:val="24"/>
          <w:lang w:eastAsia="en-US"/>
        </w:rPr>
        <w:t>organizations</w:t>
      </w:r>
      <w:proofErr w:type="spellEnd"/>
      <w:r w:rsidRPr="00181FCE">
        <w:rPr>
          <w:rFonts w:ascii="Arial" w:eastAsia="Arial" w:hAnsi="Arial" w:cs="Arial"/>
          <w:bCs/>
          <w:sz w:val="24"/>
          <w:szCs w:val="24"/>
          <w:lang w:eastAsia="en-US"/>
        </w:rPr>
        <w:t xml:space="preserve">, and families to encourage both adults and children to eat and live healthier (Goodman et al., 2021). </w:t>
      </w:r>
    </w:p>
    <w:p w14:paraId="7D95DCA0"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793DE4D3"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public has criticised the programme for its campaign of preventing obesity and avoiding fatty foods, perceiving the campaign as fat-shaming. Also, Change4Life fails </w:t>
      </w:r>
      <w:r w:rsidRPr="00181FCE">
        <w:rPr>
          <w:rFonts w:ascii="Arial" w:eastAsia="Arial" w:hAnsi="Arial" w:cs="Arial"/>
          <w:bCs/>
          <w:sz w:val="24"/>
          <w:szCs w:val="24"/>
          <w:lang w:eastAsia="en-US"/>
        </w:rPr>
        <w:lastRenderedPageBreak/>
        <w:t>to consider that some overweight or obese people are that way from being unable to afford healthy food. Low-income earners, especially in urban settings, may have to rely on highly-processed cheap food with high calories, and this food makes them obese (</w:t>
      </w:r>
      <w:proofErr w:type="spellStart"/>
      <w:r w:rsidRPr="00181FCE">
        <w:rPr>
          <w:rFonts w:ascii="Arial" w:eastAsia="Arial" w:hAnsi="Arial" w:cs="Arial"/>
          <w:bCs/>
          <w:sz w:val="24"/>
          <w:szCs w:val="24"/>
          <w:lang w:eastAsia="en-US"/>
        </w:rPr>
        <w:t>Mulderring</w:t>
      </w:r>
      <w:proofErr w:type="spellEnd"/>
      <w:r w:rsidRPr="00181FCE">
        <w:rPr>
          <w:rFonts w:ascii="Arial" w:eastAsia="Arial" w:hAnsi="Arial" w:cs="Arial"/>
          <w:bCs/>
          <w:sz w:val="24"/>
          <w:szCs w:val="24"/>
          <w:lang w:eastAsia="en-US"/>
        </w:rPr>
        <w:t xml:space="preserve">, 2018). </w:t>
      </w:r>
    </w:p>
    <w:p w14:paraId="568078D9"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19A902F6"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People watching the Change4Life adverts may feel unhealthy and helpless and develop low self-worth (Mahdi et al., 2019). But Change4Life has had immensely positive impacts, helping people think about their health and improve their lifestyles. </w:t>
      </w:r>
    </w:p>
    <w:p w14:paraId="03E360F3"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Clean Air Zones (CAZs)</w:t>
      </w:r>
    </w:p>
    <w:p w14:paraId="450B0BFD"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Recognising the significant risk that pollution poses to the environment and public health, the UK government launched the Clean Air Zones (CAZs) programme (</w:t>
      </w:r>
      <w:proofErr w:type="spellStart"/>
      <w:r w:rsidRPr="00181FCE">
        <w:rPr>
          <w:rFonts w:ascii="Arial" w:eastAsia="Arial" w:hAnsi="Arial" w:cs="Arial"/>
          <w:bCs/>
          <w:sz w:val="24"/>
          <w:szCs w:val="24"/>
          <w:lang w:eastAsia="en-US"/>
        </w:rPr>
        <w:t>Maltby</w:t>
      </w:r>
      <w:proofErr w:type="spellEnd"/>
      <w:r w:rsidRPr="00181FCE">
        <w:rPr>
          <w:rFonts w:ascii="Arial" w:eastAsia="Arial" w:hAnsi="Arial" w:cs="Arial"/>
          <w:bCs/>
          <w:sz w:val="24"/>
          <w:szCs w:val="24"/>
          <w:lang w:eastAsia="en-US"/>
        </w:rPr>
        <w:t xml:space="preserve">, 2022). This programme involves creating certain zones where emissions must be </w:t>
      </w:r>
      <w:proofErr w:type="spellStart"/>
      <w:r w:rsidRPr="00181FCE">
        <w:rPr>
          <w:rFonts w:ascii="Arial" w:eastAsia="Arial" w:hAnsi="Arial" w:cs="Arial"/>
          <w:bCs/>
          <w:sz w:val="24"/>
          <w:szCs w:val="24"/>
          <w:lang w:eastAsia="en-US"/>
        </w:rPr>
        <w:t>minimized</w:t>
      </w:r>
      <w:proofErr w:type="spellEnd"/>
      <w:r w:rsidRPr="00181FCE">
        <w:rPr>
          <w:rFonts w:ascii="Arial" w:eastAsia="Arial" w:hAnsi="Arial" w:cs="Arial"/>
          <w:bCs/>
          <w:sz w:val="24"/>
          <w:szCs w:val="24"/>
          <w:lang w:eastAsia="en-US"/>
        </w:rPr>
        <w:t xml:space="preserve"> or eradicated. It tasks local authorities with tracking and managing environmental pollution and CAZs. Cities in the UK have charging and non-charging CAZs where there is control of traffic and other processes that emit pollutants into the air. The goal is to make the UK achieve zero emissions from all vehicles by 2040 (Hill et al., 2019). </w:t>
      </w:r>
    </w:p>
    <w:p w14:paraId="53D7CE36" w14:textId="77777777" w:rsidR="00181FCE" w:rsidRPr="00181FCE" w:rsidRDefault="00181FCE" w:rsidP="00181FCE">
      <w:pPr>
        <w:spacing w:after="160" w:line="360" w:lineRule="auto"/>
        <w:jc w:val="both"/>
        <w:rPr>
          <w:rFonts w:ascii="Arial" w:eastAsia="Arial" w:hAnsi="Arial" w:cs="Arial"/>
          <w:b/>
          <w:sz w:val="24"/>
          <w:szCs w:val="24"/>
          <w:lang w:eastAsia="en-US"/>
        </w:rPr>
      </w:pPr>
    </w:p>
    <w:p w14:paraId="190EDDA3"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SDG 3 has had a considerably positive impact on the UK. In London, for instance, there was a reduction in nitrogen emissions by 35 per cent by 2022 (Mayor of London, 2021). In Birmingham, reports indicated a decrease in nitrogen emissions by 13 per cent within the first year of the city implementing CAZs (Williams et al., 2022a). Moreover, by 2022, almost 90 per cent of passenger vehicles in the city had complied with the CAZ requirements (Williams et al., 2022b). CAZs are playing a positive role in achieving zero emissions and the dream of clean air in the UK. </w:t>
      </w:r>
    </w:p>
    <w:p w14:paraId="6A597EE5"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 </w:t>
      </w:r>
    </w:p>
    <w:p w14:paraId="0665F861"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Low-income earners find it difficult to afford electric vehicles, which are exorbitantly priced. Yet, the CAZ programme expects that by 2035, everyone will be able to get rid of their diesel and petrol vehicles and get electric vehicles (</w:t>
      </w:r>
      <w:proofErr w:type="spellStart"/>
      <w:r w:rsidRPr="00181FCE">
        <w:rPr>
          <w:rFonts w:ascii="Arial" w:eastAsia="Arial" w:hAnsi="Arial" w:cs="Arial"/>
          <w:bCs/>
          <w:sz w:val="24"/>
          <w:szCs w:val="24"/>
          <w:lang w:eastAsia="en-US"/>
        </w:rPr>
        <w:t>Slowik</w:t>
      </w:r>
      <w:proofErr w:type="spellEnd"/>
      <w:r w:rsidRPr="00181FCE">
        <w:rPr>
          <w:rFonts w:ascii="Arial" w:eastAsia="Arial" w:hAnsi="Arial" w:cs="Arial"/>
          <w:bCs/>
          <w:sz w:val="24"/>
          <w:szCs w:val="24"/>
          <w:lang w:eastAsia="en-US"/>
        </w:rPr>
        <w:t xml:space="preserve"> et al., 2022). Another drawback is that the public needs to be sufficiently educated about the CAZ </w:t>
      </w:r>
      <w:r w:rsidRPr="00181FCE">
        <w:rPr>
          <w:rFonts w:ascii="Arial" w:eastAsia="Arial" w:hAnsi="Arial" w:cs="Arial"/>
          <w:bCs/>
          <w:sz w:val="24"/>
          <w:szCs w:val="24"/>
          <w:lang w:eastAsia="en-US"/>
        </w:rPr>
        <w:lastRenderedPageBreak/>
        <w:t xml:space="preserve">programme or the pollution-free methods of transport they can use. Another consideration is that the government still needs to outline how it plans to dispose of diesel and petrol cars (BBC News, 2020). </w:t>
      </w:r>
    </w:p>
    <w:p w14:paraId="10F644E8"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52BE3D70"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only negative aspect of the CAZ programme is that electric vehicles are expensive. The program has also brought significant changes to the UK, making the environment cleaner and safer for everyone. </w:t>
      </w:r>
    </w:p>
    <w:p w14:paraId="6747E4A0"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Progress made in implementing the goal</w:t>
      </w:r>
    </w:p>
    <w:p w14:paraId="4C1AC064"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Change4Life has achieved great popularity in England. Day et al. (2022) report that of the people who participated in their research on parents’ perception of the programme, more than two-thirds had heard about it before participating in the study. Furthermore, most respondents agreed that the programme addressed a vital issue appropriately. 200 UK </w:t>
      </w:r>
      <w:proofErr w:type="spellStart"/>
      <w:r w:rsidRPr="00181FCE">
        <w:rPr>
          <w:rFonts w:ascii="Arial" w:eastAsia="Arial" w:hAnsi="Arial" w:cs="Arial"/>
          <w:bCs/>
          <w:sz w:val="24"/>
          <w:szCs w:val="24"/>
          <w:lang w:eastAsia="en-US"/>
        </w:rPr>
        <w:t>organizations</w:t>
      </w:r>
      <w:proofErr w:type="spellEnd"/>
      <w:r w:rsidRPr="00181FCE">
        <w:rPr>
          <w:rFonts w:ascii="Arial" w:eastAsia="Arial" w:hAnsi="Arial" w:cs="Arial"/>
          <w:bCs/>
          <w:sz w:val="24"/>
          <w:szCs w:val="24"/>
          <w:lang w:eastAsia="en-US"/>
        </w:rPr>
        <w:t xml:space="preserve"> supported the campaign to show support, helping send the message of healthy living to wider audiences (Day et al., 2022). </w:t>
      </w:r>
    </w:p>
    <w:p w14:paraId="3953963E"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Kendall (2022) reveals that by 2022, there were four clean air zones in the UK, where vehicles deemed to have a high emission capability had to pay to drive through. The cities were London, Bath, Glasgow, and Birmingham. More cities were adopting the CAZs strategy, including Newcastle, Sheffield, Manchester, and Aberdeen. </w:t>
      </w:r>
    </w:p>
    <w:p w14:paraId="56B7A12A"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5DAE9D86"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0EDE12A5"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787E0C2B" w14:textId="77777777" w:rsidR="00181FCE" w:rsidRPr="00181FCE" w:rsidRDefault="00181FCE" w:rsidP="00181FCE">
      <w:pPr>
        <w:spacing w:after="160" w:line="360" w:lineRule="auto"/>
        <w:jc w:val="both"/>
        <w:rPr>
          <w:rFonts w:ascii="Arial" w:eastAsia="Arial" w:hAnsi="Arial" w:cs="Arial"/>
          <w:bCs/>
          <w:sz w:val="24"/>
          <w:szCs w:val="24"/>
          <w:lang w:eastAsia="en-US"/>
        </w:rPr>
      </w:pPr>
    </w:p>
    <w:p w14:paraId="16A5D1B9"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Impact of this goal on health and well-being on people</w:t>
      </w:r>
    </w:p>
    <w:p w14:paraId="726B62AC"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 xml:space="preserve">The Change4Life programme has had a massive impact in the UK. It is estimated that within its first year of launching, it created awareness of healthy living in about 400,000 families, or 90 per cent of its target families, and made more than 1 million mothers, or 80 per cent of the involved mothers, become more aware of the long-term health of their children (Mahdi et al., 2019). </w:t>
      </w:r>
    </w:p>
    <w:p w14:paraId="1CB550BB"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Challenges </w:t>
      </w:r>
    </w:p>
    <w:p w14:paraId="72E6CD4E"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lastRenderedPageBreak/>
        <w:t xml:space="preserve">Covid-19 is the main challenge in achieving SDG 3. </w:t>
      </w:r>
      <w:proofErr w:type="spellStart"/>
      <w:r w:rsidRPr="00181FCE">
        <w:rPr>
          <w:rFonts w:ascii="Arial" w:eastAsia="Arial" w:hAnsi="Arial" w:cs="Arial"/>
          <w:bCs/>
          <w:sz w:val="24"/>
          <w:szCs w:val="24"/>
          <w:lang w:eastAsia="en-US"/>
        </w:rPr>
        <w:t>Blundell</w:t>
      </w:r>
      <w:proofErr w:type="spellEnd"/>
      <w:r w:rsidRPr="00181FCE">
        <w:rPr>
          <w:rFonts w:ascii="Arial" w:eastAsia="Arial" w:hAnsi="Arial" w:cs="Arial"/>
          <w:bCs/>
          <w:sz w:val="24"/>
          <w:szCs w:val="24"/>
          <w:lang w:eastAsia="en-US"/>
        </w:rPr>
        <w:t xml:space="preserve"> et al. (2021) posit that once the pandemic came, people’s incomes diminished, damaging their well-being. Moreover, with their low incomes, people were unable to afford healthy food, which put their health at risk (</w:t>
      </w:r>
      <w:proofErr w:type="spellStart"/>
      <w:r w:rsidRPr="00181FCE">
        <w:rPr>
          <w:rFonts w:ascii="Arial" w:eastAsia="Arial" w:hAnsi="Arial" w:cs="Arial"/>
          <w:bCs/>
          <w:sz w:val="24"/>
          <w:szCs w:val="24"/>
          <w:lang w:eastAsia="en-US"/>
        </w:rPr>
        <w:t>Dey-Chowdhury</w:t>
      </w:r>
      <w:proofErr w:type="spellEnd"/>
      <w:r w:rsidRPr="00181FCE">
        <w:rPr>
          <w:rFonts w:ascii="Arial" w:eastAsia="Arial" w:hAnsi="Arial" w:cs="Arial"/>
          <w:bCs/>
          <w:sz w:val="24"/>
          <w:szCs w:val="24"/>
          <w:lang w:eastAsia="en-US"/>
        </w:rPr>
        <w:t xml:space="preserve">, 2021). </w:t>
      </w:r>
    </w:p>
    <w:p w14:paraId="1B5F0C18"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Recommendations </w:t>
      </w:r>
    </w:p>
    <w:p w14:paraId="285FB7C8" w14:textId="77777777" w:rsidR="00181FCE" w:rsidRPr="00181FCE" w:rsidRDefault="00181FCE" w:rsidP="00181FCE">
      <w:pPr>
        <w:spacing w:after="160" w:line="360" w:lineRule="auto"/>
        <w:jc w:val="both"/>
        <w:rPr>
          <w:rFonts w:ascii="Arial" w:eastAsia="Arial" w:hAnsi="Arial" w:cs="Arial"/>
          <w:bCs/>
          <w:sz w:val="24"/>
          <w:szCs w:val="24"/>
          <w:lang w:eastAsia="en-US"/>
        </w:rPr>
      </w:pPr>
      <w:r w:rsidRPr="00181FCE">
        <w:rPr>
          <w:rFonts w:ascii="Arial" w:eastAsia="Arial" w:hAnsi="Arial" w:cs="Arial"/>
          <w:bCs/>
          <w:sz w:val="24"/>
          <w:szCs w:val="24"/>
          <w:lang w:eastAsia="en-US"/>
        </w:rPr>
        <w:t>SDG 3 is about boosting health and well-being. Food is one of the main factors that determine people’s health, and thus, the first thing the government can do to fast-track SDG 3’s vision is to make healthy food affordable, especially to low-income earners (Fleetwood, 2020). Regarding the CAZ programme, the primary consideration is the high price of electric cars. Therefore, the government should work on bringing the price down and making electric vehicles affordable. Furthermore, it should institute measures to create awareness of the benefits of the CAZ programme (</w:t>
      </w:r>
      <w:proofErr w:type="spellStart"/>
      <w:r w:rsidRPr="00181FCE">
        <w:rPr>
          <w:rFonts w:ascii="Arial" w:eastAsia="Arial" w:hAnsi="Arial" w:cs="Arial"/>
          <w:bCs/>
          <w:sz w:val="24"/>
          <w:szCs w:val="24"/>
          <w:lang w:eastAsia="en-US"/>
        </w:rPr>
        <w:t>Borrowman</w:t>
      </w:r>
      <w:proofErr w:type="spellEnd"/>
      <w:r w:rsidRPr="00181FCE">
        <w:rPr>
          <w:rFonts w:ascii="Arial" w:eastAsia="Arial" w:hAnsi="Arial" w:cs="Arial"/>
          <w:bCs/>
          <w:sz w:val="24"/>
          <w:szCs w:val="24"/>
          <w:lang w:eastAsia="en-US"/>
        </w:rPr>
        <w:t xml:space="preserve">, 2021). </w:t>
      </w:r>
    </w:p>
    <w:p w14:paraId="7B1A3CEF"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
          <w:sz w:val="24"/>
          <w:szCs w:val="24"/>
          <w:lang w:eastAsia="en-US"/>
        </w:rPr>
        <w:t xml:space="preserve">CONCLUSION </w:t>
      </w:r>
    </w:p>
    <w:p w14:paraId="38A08F64" w14:textId="77777777" w:rsidR="00181FCE" w:rsidRPr="00181FCE" w:rsidRDefault="00181FCE" w:rsidP="00181FCE">
      <w:pPr>
        <w:spacing w:after="160" w:line="360" w:lineRule="auto"/>
        <w:jc w:val="both"/>
        <w:rPr>
          <w:rFonts w:ascii="Arial" w:eastAsia="Arial" w:hAnsi="Arial" w:cs="Arial"/>
          <w:b/>
          <w:sz w:val="24"/>
          <w:szCs w:val="24"/>
          <w:lang w:eastAsia="en-US"/>
        </w:rPr>
      </w:pPr>
      <w:r w:rsidRPr="00181FCE">
        <w:rPr>
          <w:rFonts w:ascii="Arial" w:eastAsia="Arial" w:hAnsi="Arial" w:cs="Arial"/>
          <w:bCs/>
          <w:sz w:val="24"/>
          <w:szCs w:val="24"/>
          <w:lang w:eastAsia="en-US"/>
        </w:rPr>
        <w:t>With a myriad of programs from Kickstart to Change4Life, the UK has instituted excellent measures to end hunger, poverty, inequality, environmental pollution, and other undesirable situations and attain good health and well-being for its people. Moreover, up to 2020, the UK was on a smooth path towards achieving the SDGs. However, when the Covid-19 pandemic hit, it brought a setback, making it difficult to achieve the targets by 2030. But with good planning and cooperation between the government, the public, and private organisation’s, the UK can remove the pandemic’s impediments and reach the SDGs. Realising this vision will also require the government to make achieving the SDGs a priority.</w:t>
      </w:r>
    </w:p>
    <w:p w14:paraId="02A9BED5" w14:textId="77777777" w:rsidR="00181FCE" w:rsidRPr="00181FCE" w:rsidRDefault="00181FCE" w:rsidP="00181FCE">
      <w:pPr>
        <w:spacing w:after="160" w:line="360" w:lineRule="auto"/>
        <w:jc w:val="both"/>
        <w:rPr>
          <w:rFonts w:ascii="Arial" w:eastAsia="Arial" w:hAnsi="Arial" w:cs="Arial"/>
          <w:b/>
          <w:lang w:eastAsia="en-US"/>
        </w:rPr>
      </w:pPr>
    </w:p>
    <w:p w14:paraId="450A9A24" w14:textId="77777777" w:rsidR="00181FCE" w:rsidRPr="00181FCE" w:rsidRDefault="00181FCE" w:rsidP="00181FCE">
      <w:pPr>
        <w:spacing w:after="160" w:line="360" w:lineRule="auto"/>
        <w:jc w:val="both"/>
        <w:rPr>
          <w:rFonts w:ascii="Arial" w:eastAsia="Arial" w:hAnsi="Arial" w:cs="Arial"/>
          <w:b/>
          <w:lang w:eastAsia="en-US"/>
        </w:rPr>
      </w:pPr>
    </w:p>
    <w:p w14:paraId="42C829BA" w14:textId="77777777" w:rsidR="00181FCE" w:rsidRPr="00181FCE" w:rsidRDefault="00181FCE" w:rsidP="00181FCE">
      <w:pPr>
        <w:spacing w:after="160" w:line="360" w:lineRule="auto"/>
        <w:jc w:val="both"/>
        <w:rPr>
          <w:rFonts w:ascii="Arial" w:eastAsia="Arial" w:hAnsi="Arial" w:cs="Arial"/>
          <w:b/>
          <w:lang w:eastAsia="en-US"/>
        </w:rPr>
      </w:pPr>
    </w:p>
    <w:p w14:paraId="13F59C77" w14:textId="77777777" w:rsidR="00181FCE" w:rsidRPr="00181FCE" w:rsidRDefault="00181FCE" w:rsidP="00181FCE">
      <w:pPr>
        <w:spacing w:after="160" w:line="360" w:lineRule="auto"/>
        <w:jc w:val="both"/>
        <w:rPr>
          <w:rFonts w:ascii="Arial" w:eastAsia="Arial" w:hAnsi="Arial" w:cs="Arial"/>
          <w:b/>
          <w:lang w:eastAsia="en-US"/>
        </w:rPr>
      </w:pPr>
    </w:p>
    <w:p w14:paraId="5080372E" w14:textId="77777777" w:rsidR="00181FCE" w:rsidRPr="00181FCE" w:rsidRDefault="00181FCE" w:rsidP="00181FCE">
      <w:pPr>
        <w:spacing w:after="160" w:line="360" w:lineRule="auto"/>
        <w:jc w:val="both"/>
        <w:rPr>
          <w:rFonts w:ascii="Arial" w:eastAsia="Arial" w:hAnsi="Arial" w:cs="Arial"/>
          <w:b/>
          <w:lang w:eastAsia="en-US"/>
        </w:rPr>
      </w:pPr>
    </w:p>
    <w:p w14:paraId="61D1B128" w14:textId="77777777" w:rsidR="00181FCE" w:rsidRPr="00181FCE" w:rsidRDefault="00181FCE" w:rsidP="00181FCE">
      <w:pPr>
        <w:spacing w:after="160" w:line="360" w:lineRule="auto"/>
        <w:jc w:val="both"/>
        <w:rPr>
          <w:rFonts w:ascii="Arial" w:eastAsia="Arial" w:hAnsi="Arial" w:cs="Arial"/>
          <w:b/>
          <w:lang w:eastAsia="en-US"/>
        </w:rPr>
      </w:pPr>
    </w:p>
    <w:p w14:paraId="44863661" w14:textId="77777777" w:rsidR="00181FCE" w:rsidRPr="00181FCE" w:rsidRDefault="00181FCE" w:rsidP="00181FCE">
      <w:pPr>
        <w:spacing w:after="160" w:line="360" w:lineRule="auto"/>
        <w:jc w:val="both"/>
        <w:rPr>
          <w:rFonts w:ascii="Arial" w:eastAsia="Arial" w:hAnsi="Arial" w:cs="Arial"/>
          <w:b/>
          <w:lang w:eastAsia="en-US"/>
        </w:rPr>
      </w:pPr>
    </w:p>
    <w:p w14:paraId="6BE101D3" w14:textId="77777777" w:rsidR="00181FCE" w:rsidRPr="00181FCE" w:rsidRDefault="00181FCE" w:rsidP="00181FCE">
      <w:pPr>
        <w:spacing w:after="160" w:line="360" w:lineRule="auto"/>
        <w:jc w:val="both"/>
        <w:rPr>
          <w:rFonts w:ascii="Arial" w:eastAsia="Arial" w:hAnsi="Arial" w:cs="Arial"/>
          <w:b/>
          <w:bCs/>
          <w:sz w:val="24"/>
          <w:szCs w:val="24"/>
          <w:lang w:eastAsia="en-US"/>
        </w:rPr>
      </w:pPr>
      <w:bookmarkStart w:id="2" w:name="_30j0zll" w:colFirst="0" w:colLast="0"/>
      <w:bookmarkEnd w:id="2"/>
      <w:r w:rsidRPr="00181FCE">
        <w:rPr>
          <w:rFonts w:ascii="Arial" w:eastAsia="Arial" w:hAnsi="Arial" w:cs="Arial"/>
          <w:b/>
          <w:bCs/>
          <w:sz w:val="24"/>
          <w:szCs w:val="24"/>
          <w:lang w:eastAsia="en-US"/>
        </w:rPr>
        <w:lastRenderedPageBreak/>
        <w:t xml:space="preserve">References </w:t>
      </w:r>
    </w:p>
    <w:p w14:paraId="320FECA5" w14:textId="77777777" w:rsidR="00181FCE" w:rsidRPr="00181FCE" w:rsidRDefault="00181FCE" w:rsidP="00181FCE">
      <w:pPr>
        <w:spacing w:after="160" w:line="360" w:lineRule="auto"/>
        <w:rPr>
          <w:rFonts w:ascii="Arial" w:eastAsia="Arial" w:hAnsi="Arial" w:cs="Arial"/>
          <w:sz w:val="24"/>
          <w:szCs w:val="24"/>
          <w:lang w:eastAsia="en-US"/>
        </w:rPr>
      </w:pPr>
      <w:r w:rsidRPr="00181FCE">
        <w:rPr>
          <w:rFonts w:ascii="Arial" w:eastAsia="Arial" w:hAnsi="Arial" w:cs="Arial"/>
          <w:sz w:val="24"/>
          <w:szCs w:val="24"/>
          <w:lang w:eastAsia="en-US"/>
        </w:rPr>
        <w:t xml:space="preserve">BBC News (2020) ‘How Will the Petrol and Diesel Ban Work? </w:t>
      </w:r>
      <w:r w:rsidRPr="00181FCE">
        <w:rPr>
          <w:rFonts w:ascii="Arial" w:eastAsia="Arial" w:hAnsi="Arial" w:cs="Arial"/>
          <w:i/>
          <w:sz w:val="24"/>
          <w:szCs w:val="24"/>
          <w:lang w:eastAsia="en-US"/>
        </w:rPr>
        <w:t>BBC News,</w:t>
      </w:r>
      <w:r w:rsidRPr="00181FCE">
        <w:rPr>
          <w:rFonts w:ascii="Arial" w:eastAsia="Arial" w:hAnsi="Arial" w:cs="Arial"/>
          <w:sz w:val="24"/>
          <w:szCs w:val="24"/>
          <w:lang w:eastAsia="en-US"/>
        </w:rPr>
        <w:t xml:space="preserve"> 4 Feb. Available at: </w:t>
      </w:r>
      <w:hyperlink r:id="rId5">
        <w:r w:rsidRPr="00181FCE">
          <w:rPr>
            <w:rFonts w:ascii="Arial" w:eastAsia="Arial" w:hAnsi="Arial" w:cs="Arial"/>
            <w:color w:val="0000FF"/>
            <w:sz w:val="24"/>
            <w:szCs w:val="24"/>
            <w:u w:val="single"/>
            <w:lang w:eastAsia="en-US"/>
          </w:rPr>
          <w:t>https://www.bbc.co.uk/news/uk-40726868</w:t>
        </w:r>
      </w:hyperlink>
      <w:r w:rsidRPr="00181FCE">
        <w:rPr>
          <w:rFonts w:ascii="Arial" w:eastAsia="Arial" w:hAnsi="Arial" w:cs="Arial"/>
          <w:sz w:val="24"/>
          <w:szCs w:val="24"/>
          <w:lang w:eastAsia="en-US"/>
        </w:rPr>
        <w:t xml:space="preserve"> (Accessed: 30 November 2022).</w:t>
      </w:r>
    </w:p>
    <w:p w14:paraId="27F64C7C" w14:textId="77777777" w:rsidR="00181FCE" w:rsidRPr="00181FCE" w:rsidRDefault="00181FCE" w:rsidP="00181FCE">
      <w:pPr>
        <w:spacing w:after="160" w:line="360" w:lineRule="auto"/>
        <w:rPr>
          <w:rFonts w:ascii="Arial" w:eastAsia="Arial" w:hAnsi="Arial" w:cs="Arial"/>
          <w:sz w:val="24"/>
          <w:szCs w:val="24"/>
          <w:lang w:eastAsia="en-US"/>
        </w:rPr>
      </w:pPr>
    </w:p>
    <w:p w14:paraId="2EE10305" w14:textId="77777777" w:rsidR="00181FCE" w:rsidRPr="00181FCE" w:rsidRDefault="00181FCE" w:rsidP="00181FCE">
      <w:pPr>
        <w:spacing w:after="160" w:line="360" w:lineRule="auto"/>
        <w:rPr>
          <w:rFonts w:ascii="Arial" w:eastAsia="Arial" w:hAnsi="Arial" w:cs="Arial"/>
          <w:sz w:val="24"/>
          <w:szCs w:val="24"/>
        </w:rPr>
      </w:pPr>
      <w:proofErr w:type="spellStart"/>
      <w:r w:rsidRPr="00181FCE">
        <w:rPr>
          <w:rFonts w:ascii="Arial" w:eastAsia="Arial" w:hAnsi="Arial" w:cs="Arial"/>
          <w:sz w:val="24"/>
          <w:szCs w:val="24"/>
        </w:rPr>
        <w:t>Borrowman</w:t>
      </w:r>
      <w:proofErr w:type="spellEnd"/>
      <w:r w:rsidRPr="00181FCE">
        <w:rPr>
          <w:rFonts w:ascii="Arial" w:eastAsia="Arial" w:hAnsi="Arial" w:cs="Arial"/>
          <w:sz w:val="24"/>
          <w:szCs w:val="24"/>
        </w:rPr>
        <w:t xml:space="preserve">, P. (2021) </w:t>
      </w:r>
      <w:r w:rsidRPr="00181FCE">
        <w:rPr>
          <w:rFonts w:ascii="Arial" w:eastAsia="Arial" w:hAnsi="Arial" w:cs="Arial"/>
          <w:i/>
          <w:sz w:val="24"/>
          <w:szCs w:val="24"/>
        </w:rPr>
        <w:t>The Case for Clean Air Zones.</w:t>
      </w:r>
      <w:r w:rsidRPr="00181FCE">
        <w:rPr>
          <w:rFonts w:ascii="Arial" w:eastAsia="Arial" w:hAnsi="Arial" w:cs="Arial"/>
          <w:sz w:val="24"/>
          <w:szCs w:val="24"/>
        </w:rPr>
        <w:t xml:space="preserve"> Available at: </w:t>
      </w:r>
      <w:hyperlink r:id="rId6">
        <w:r w:rsidRPr="00181FCE">
          <w:rPr>
            <w:rFonts w:ascii="Arial" w:eastAsia="Arial" w:hAnsi="Arial" w:cs="Arial"/>
            <w:color w:val="0000FF"/>
            <w:sz w:val="24"/>
            <w:szCs w:val="24"/>
            <w:u w:val="single"/>
          </w:rPr>
          <w:t>https://green-alliance.org.uk/wp-content/uploads/2021/11/The_case_for_clean_air_zones.pdf</w:t>
        </w:r>
      </w:hyperlink>
      <w:r w:rsidRPr="00181FCE">
        <w:rPr>
          <w:rFonts w:ascii="Arial" w:eastAsia="Arial" w:hAnsi="Arial" w:cs="Arial"/>
          <w:sz w:val="24"/>
          <w:szCs w:val="24"/>
        </w:rPr>
        <w:t xml:space="preserve">. (Accessed: 30 November 2022). </w:t>
      </w:r>
    </w:p>
    <w:p w14:paraId="093DA5B8" w14:textId="77777777" w:rsidR="00181FCE" w:rsidRPr="00181FCE" w:rsidRDefault="00181FCE" w:rsidP="00181FCE">
      <w:pPr>
        <w:spacing w:after="160" w:line="360" w:lineRule="auto"/>
        <w:jc w:val="both"/>
        <w:rPr>
          <w:rFonts w:ascii="Arial" w:eastAsia="Arial" w:hAnsi="Arial" w:cs="Arial"/>
          <w:sz w:val="24"/>
          <w:szCs w:val="24"/>
        </w:rPr>
      </w:pPr>
    </w:p>
    <w:p w14:paraId="1D0B4196" w14:textId="77777777" w:rsidR="00181FCE" w:rsidRPr="00181FCE" w:rsidRDefault="00181FCE" w:rsidP="00181FCE">
      <w:pPr>
        <w:spacing w:after="160" w:line="360" w:lineRule="auto"/>
        <w:ind w:left="720" w:hanging="720"/>
        <w:rPr>
          <w:rFonts w:ascii="Arial" w:eastAsia="Arial" w:hAnsi="Arial" w:cs="Arial"/>
          <w:sz w:val="24"/>
          <w:szCs w:val="24"/>
          <w:lang w:eastAsia="en-US"/>
        </w:rPr>
      </w:pPr>
      <w:r w:rsidRPr="00181FCE">
        <w:rPr>
          <w:rFonts w:ascii="Arial" w:eastAsia="Arial" w:hAnsi="Arial" w:cs="Arial"/>
          <w:sz w:val="24"/>
          <w:szCs w:val="24"/>
          <w:lang w:eastAsia="en-US"/>
        </w:rPr>
        <w:t>Brady, D. (2019) Theories of the Causes of Poverty. </w:t>
      </w:r>
      <w:r w:rsidRPr="00181FCE">
        <w:rPr>
          <w:rFonts w:ascii="Arial" w:eastAsia="Arial" w:hAnsi="Arial" w:cs="Arial"/>
          <w:i/>
          <w:sz w:val="24"/>
          <w:szCs w:val="24"/>
          <w:lang w:eastAsia="en-US"/>
        </w:rPr>
        <w:t>Annual Review of Sociology</w:t>
      </w:r>
      <w:r w:rsidRPr="00181FCE">
        <w:rPr>
          <w:rFonts w:ascii="Arial" w:eastAsia="Arial" w:hAnsi="Arial" w:cs="Arial"/>
          <w:sz w:val="24"/>
          <w:szCs w:val="24"/>
          <w:lang w:eastAsia="en-US"/>
        </w:rPr>
        <w:t>, </w:t>
      </w:r>
      <w:r w:rsidRPr="00181FCE">
        <w:rPr>
          <w:rFonts w:ascii="Arial" w:eastAsia="Arial" w:hAnsi="Arial" w:cs="Arial"/>
          <w:iCs/>
          <w:sz w:val="24"/>
          <w:szCs w:val="24"/>
          <w:lang w:eastAsia="en-US"/>
        </w:rPr>
        <w:t>45</w:t>
      </w:r>
      <w:r w:rsidRPr="00181FCE">
        <w:rPr>
          <w:rFonts w:ascii="Arial" w:eastAsia="Arial" w:hAnsi="Arial" w:cs="Arial"/>
          <w:sz w:val="24"/>
          <w:szCs w:val="24"/>
          <w:lang w:eastAsia="en-US"/>
        </w:rPr>
        <w:t>, pp.155-175.</w:t>
      </w:r>
    </w:p>
    <w:p w14:paraId="53DFE4BE" w14:textId="77777777" w:rsidR="00181FCE" w:rsidRPr="00181FCE" w:rsidRDefault="00181FCE" w:rsidP="00181FCE">
      <w:pPr>
        <w:spacing w:after="160" w:line="360" w:lineRule="auto"/>
        <w:ind w:left="720" w:hanging="720"/>
        <w:rPr>
          <w:rFonts w:ascii="Arial" w:eastAsia="Arial" w:hAnsi="Arial" w:cs="Arial"/>
          <w:sz w:val="24"/>
          <w:szCs w:val="24"/>
          <w:lang w:eastAsia="en-US"/>
        </w:rPr>
      </w:pPr>
    </w:p>
    <w:p w14:paraId="4F573147" w14:textId="77777777" w:rsidR="00181FCE" w:rsidRPr="00181FCE" w:rsidRDefault="00181FCE" w:rsidP="00181FCE">
      <w:pPr>
        <w:spacing w:after="160" w:line="360" w:lineRule="auto"/>
        <w:ind w:left="720" w:hanging="720"/>
        <w:jc w:val="both"/>
        <w:rPr>
          <w:rFonts w:ascii="Arial" w:eastAsia="Arial" w:hAnsi="Arial" w:cs="Arial"/>
          <w:sz w:val="24"/>
          <w:szCs w:val="24"/>
          <w:lang w:eastAsia="en-US"/>
        </w:rPr>
      </w:pPr>
      <w:bookmarkStart w:id="3" w:name="_Hlk120530291"/>
      <w:proofErr w:type="spellStart"/>
      <w:r w:rsidRPr="00181FCE">
        <w:rPr>
          <w:rFonts w:ascii="Arial" w:eastAsia="Arial" w:hAnsi="Arial" w:cs="Arial"/>
          <w:sz w:val="24"/>
          <w:szCs w:val="24"/>
          <w:lang w:eastAsia="en-US"/>
        </w:rPr>
        <w:t>Bretherton</w:t>
      </w:r>
      <w:proofErr w:type="spellEnd"/>
      <w:r w:rsidRPr="00181FCE">
        <w:rPr>
          <w:rFonts w:ascii="Arial" w:eastAsia="Arial" w:hAnsi="Arial" w:cs="Arial"/>
          <w:sz w:val="24"/>
          <w:szCs w:val="24"/>
          <w:lang w:eastAsia="en-US"/>
        </w:rPr>
        <w:t xml:space="preserve">, J., &amp; </w:t>
      </w:r>
      <w:proofErr w:type="spellStart"/>
      <w:r w:rsidRPr="00181FCE">
        <w:rPr>
          <w:rFonts w:ascii="Arial" w:eastAsia="Arial" w:hAnsi="Arial" w:cs="Arial"/>
          <w:sz w:val="24"/>
          <w:szCs w:val="24"/>
          <w:lang w:eastAsia="en-US"/>
        </w:rPr>
        <w:t>Pleace</w:t>
      </w:r>
      <w:proofErr w:type="spellEnd"/>
      <w:r w:rsidRPr="00181FCE">
        <w:rPr>
          <w:rFonts w:ascii="Arial" w:eastAsia="Arial" w:hAnsi="Arial" w:cs="Arial"/>
          <w:sz w:val="24"/>
          <w:szCs w:val="24"/>
          <w:lang w:eastAsia="en-US"/>
        </w:rPr>
        <w:t>, N. (2018)</w:t>
      </w:r>
      <w:bookmarkEnd w:id="3"/>
      <w:r w:rsidRPr="00181FCE">
        <w:rPr>
          <w:rFonts w:ascii="Arial" w:eastAsia="Arial" w:hAnsi="Arial" w:cs="Arial"/>
          <w:sz w:val="24"/>
          <w:szCs w:val="24"/>
          <w:lang w:eastAsia="en-US"/>
        </w:rPr>
        <w:t xml:space="preserve"> Women and rough sleeping: A critical review of current research and methodology.</w:t>
      </w:r>
    </w:p>
    <w:p w14:paraId="5F0A4BFB" w14:textId="77777777" w:rsidR="00181FCE" w:rsidRPr="00181FCE" w:rsidRDefault="00181FCE" w:rsidP="00181FCE">
      <w:pPr>
        <w:spacing w:after="160" w:line="360" w:lineRule="auto"/>
        <w:ind w:left="720" w:hanging="720"/>
        <w:rPr>
          <w:rFonts w:ascii="Arial" w:eastAsia="Arial" w:hAnsi="Arial" w:cs="Arial"/>
          <w:sz w:val="24"/>
          <w:szCs w:val="24"/>
          <w:lang w:eastAsia="en-US"/>
        </w:rPr>
      </w:pPr>
    </w:p>
    <w:p w14:paraId="2911B832" w14:textId="77777777" w:rsidR="00181FCE" w:rsidRPr="00181FCE" w:rsidRDefault="00181FCE" w:rsidP="00181FCE">
      <w:pPr>
        <w:spacing w:after="160" w:line="360" w:lineRule="auto"/>
        <w:ind w:left="720" w:hanging="720"/>
        <w:jc w:val="both"/>
        <w:rPr>
          <w:rFonts w:ascii="Arial" w:eastAsia="Arial" w:hAnsi="Arial" w:cs="Arial"/>
          <w:color w:val="0563C1" w:themeColor="hyperlink"/>
          <w:sz w:val="24"/>
          <w:szCs w:val="24"/>
          <w:u w:val="single"/>
          <w:lang w:eastAsia="en-US"/>
        </w:rPr>
      </w:pPr>
      <w:bookmarkStart w:id="4" w:name="_Hlk120521205"/>
      <w:proofErr w:type="spellStart"/>
      <w:r w:rsidRPr="00181FCE">
        <w:rPr>
          <w:rFonts w:ascii="Arial" w:eastAsia="Arial" w:hAnsi="Arial" w:cs="Arial"/>
          <w:sz w:val="24"/>
          <w:szCs w:val="24"/>
          <w:lang w:eastAsia="en-US"/>
        </w:rPr>
        <w:t>Čadek</w:t>
      </w:r>
      <w:bookmarkEnd w:id="4"/>
      <w:proofErr w:type="spellEnd"/>
      <w:r w:rsidRPr="00181FCE">
        <w:rPr>
          <w:rFonts w:ascii="Arial" w:eastAsia="Arial" w:hAnsi="Arial" w:cs="Arial"/>
          <w:sz w:val="24"/>
          <w:szCs w:val="24"/>
          <w:lang w:eastAsia="en-US"/>
        </w:rPr>
        <w:t>, M., Flint, S. W., &amp; Tench, R. (2021) Delivery of the National Child Measurement Programme in England. </w:t>
      </w:r>
      <w:r w:rsidRPr="00181FCE">
        <w:rPr>
          <w:rFonts w:ascii="Arial" w:eastAsia="Arial" w:hAnsi="Arial" w:cs="Arial"/>
          <w:i/>
          <w:iCs/>
          <w:sz w:val="24"/>
          <w:szCs w:val="24"/>
          <w:lang w:eastAsia="en-US"/>
        </w:rPr>
        <w:t>Public health nutrition</w:t>
      </w:r>
      <w:r w:rsidRPr="00181FCE">
        <w:rPr>
          <w:rFonts w:ascii="Arial" w:eastAsia="Arial" w:hAnsi="Arial" w:cs="Arial"/>
          <w:sz w:val="24"/>
          <w:szCs w:val="24"/>
          <w:lang w:eastAsia="en-US"/>
        </w:rPr>
        <w:t xml:space="preserve">, 24(6), pp.1177–1184. </w:t>
      </w:r>
      <w:hyperlink r:id="rId7" w:history="1">
        <w:r w:rsidRPr="00181FCE">
          <w:rPr>
            <w:rFonts w:ascii="Arial" w:eastAsia="Arial" w:hAnsi="Arial" w:cs="Arial"/>
            <w:color w:val="0563C1" w:themeColor="hyperlink"/>
            <w:sz w:val="24"/>
            <w:szCs w:val="24"/>
            <w:u w:val="single"/>
            <w:lang w:eastAsia="en-US"/>
          </w:rPr>
          <w:t>https://doi.org/10.1017/S1368980020004991</w:t>
        </w:r>
      </w:hyperlink>
    </w:p>
    <w:p w14:paraId="27D4321A" w14:textId="77777777" w:rsidR="00181FCE" w:rsidRPr="00181FCE" w:rsidRDefault="00181FCE" w:rsidP="00181FCE">
      <w:pPr>
        <w:spacing w:after="160" w:line="360" w:lineRule="auto"/>
        <w:ind w:left="720" w:hanging="720"/>
        <w:jc w:val="both"/>
        <w:rPr>
          <w:rFonts w:ascii="Arial" w:eastAsia="Arial" w:hAnsi="Arial" w:cs="Arial"/>
          <w:sz w:val="24"/>
          <w:szCs w:val="24"/>
          <w:lang w:eastAsia="en-US"/>
        </w:rPr>
      </w:pPr>
    </w:p>
    <w:p w14:paraId="1292E46B" w14:textId="77777777" w:rsidR="00181FCE" w:rsidRPr="00181FCE" w:rsidRDefault="00181FCE" w:rsidP="00181FCE">
      <w:pPr>
        <w:spacing w:after="160" w:line="360" w:lineRule="auto"/>
        <w:ind w:left="720" w:hanging="720"/>
        <w:rPr>
          <w:rFonts w:ascii="Arial" w:eastAsia="Arial" w:hAnsi="Arial" w:cs="Arial"/>
          <w:sz w:val="24"/>
          <w:szCs w:val="24"/>
          <w:lang w:eastAsia="en-US"/>
        </w:rPr>
      </w:pPr>
      <w:bookmarkStart w:id="5" w:name="_Hlk120521734"/>
      <w:proofErr w:type="spellStart"/>
      <w:r w:rsidRPr="00181FCE">
        <w:rPr>
          <w:rFonts w:ascii="Arial" w:eastAsia="Arial" w:hAnsi="Arial" w:cs="Arial"/>
          <w:sz w:val="24"/>
          <w:szCs w:val="24"/>
          <w:lang w:eastAsia="en-US"/>
        </w:rPr>
        <w:t>Chooi</w:t>
      </w:r>
      <w:bookmarkEnd w:id="5"/>
      <w:proofErr w:type="spellEnd"/>
      <w:r w:rsidRPr="00181FCE">
        <w:rPr>
          <w:rFonts w:ascii="Arial" w:eastAsia="Arial" w:hAnsi="Arial" w:cs="Arial"/>
          <w:sz w:val="24"/>
          <w:szCs w:val="24"/>
          <w:lang w:eastAsia="en-US"/>
        </w:rPr>
        <w:t xml:space="preserve">, Y. C., Ding, C., &amp; </w:t>
      </w:r>
      <w:proofErr w:type="spellStart"/>
      <w:r w:rsidRPr="00181FCE">
        <w:rPr>
          <w:rFonts w:ascii="Arial" w:eastAsia="Arial" w:hAnsi="Arial" w:cs="Arial"/>
          <w:sz w:val="24"/>
          <w:szCs w:val="24"/>
          <w:lang w:eastAsia="en-US"/>
        </w:rPr>
        <w:t>Magkos</w:t>
      </w:r>
      <w:proofErr w:type="spellEnd"/>
      <w:r w:rsidRPr="00181FCE">
        <w:rPr>
          <w:rFonts w:ascii="Arial" w:eastAsia="Arial" w:hAnsi="Arial" w:cs="Arial"/>
          <w:sz w:val="24"/>
          <w:szCs w:val="24"/>
          <w:lang w:eastAsia="en-US"/>
        </w:rPr>
        <w:t>, F. (2019) The epidemiology of obesity. </w:t>
      </w:r>
      <w:r w:rsidRPr="00181FCE">
        <w:rPr>
          <w:rFonts w:ascii="Arial" w:eastAsia="Arial" w:hAnsi="Arial" w:cs="Arial"/>
          <w:i/>
          <w:iCs/>
          <w:sz w:val="24"/>
          <w:szCs w:val="24"/>
          <w:lang w:eastAsia="en-US"/>
        </w:rPr>
        <w:t>Metabolism</w:t>
      </w:r>
      <w:r w:rsidRPr="00181FCE">
        <w:rPr>
          <w:rFonts w:ascii="Arial" w:eastAsia="Arial" w:hAnsi="Arial" w:cs="Arial"/>
          <w:sz w:val="24"/>
          <w:szCs w:val="24"/>
          <w:lang w:eastAsia="en-US"/>
        </w:rPr>
        <w:t>, 92, pp.6-10.</w:t>
      </w:r>
    </w:p>
    <w:p w14:paraId="28518F99" w14:textId="77777777" w:rsidR="00181FCE" w:rsidRPr="00181FCE" w:rsidRDefault="00181FCE" w:rsidP="00181FCE">
      <w:pPr>
        <w:spacing w:after="160" w:line="360" w:lineRule="auto"/>
        <w:ind w:left="720" w:hanging="720"/>
        <w:rPr>
          <w:rFonts w:ascii="Arial" w:eastAsia="Arial" w:hAnsi="Arial" w:cs="Arial"/>
          <w:sz w:val="24"/>
          <w:szCs w:val="24"/>
          <w:lang w:eastAsia="en-US"/>
        </w:rPr>
      </w:pPr>
    </w:p>
    <w:p w14:paraId="5BFEB94C" w14:textId="77777777" w:rsidR="00181FCE" w:rsidRPr="00181FCE" w:rsidRDefault="00181FCE" w:rsidP="00181FCE">
      <w:pPr>
        <w:spacing w:after="160" w:line="360" w:lineRule="auto"/>
        <w:ind w:left="720" w:hanging="720"/>
        <w:rPr>
          <w:rFonts w:ascii="Arial" w:eastAsia="Arial" w:hAnsi="Arial" w:cs="Arial"/>
          <w:sz w:val="24"/>
          <w:szCs w:val="24"/>
          <w:lang w:eastAsia="en-US"/>
        </w:rPr>
      </w:pPr>
      <w:bookmarkStart w:id="6" w:name="_Hlk120268443"/>
      <w:proofErr w:type="spellStart"/>
      <w:r w:rsidRPr="00181FCE">
        <w:rPr>
          <w:rFonts w:ascii="Arial" w:eastAsia="Arial" w:hAnsi="Arial" w:cs="Arial"/>
          <w:sz w:val="24"/>
          <w:szCs w:val="24"/>
          <w:lang w:eastAsia="en-US"/>
        </w:rPr>
        <w:t>Conolly</w:t>
      </w:r>
      <w:bookmarkEnd w:id="6"/>
      <w:proofErr w:type="spellEnd"/>
      <w:r w:rsidRPr="00181FCE">
        <w:rPr>
          <w:rFonts w:ascii="Arial" w:eastAsia="Arial" w:hAnsi="Arial" w:cs="Arial"/>
          <w:sz w:val="24"/>
          <w:szCs w:val="24"/>
          <w:lang w:eastAsia="en-US"/>
        </w:rPr>
        <w:t xml:space="preserve">, A., Craig, S., &amp; </w:t>
      </w:r>
      <w:proofErr w:type="spellStart"/>
      <w:r w:rsidRPr="00181FCE">
        <w:rPr>
          <w:rFonts w:ascii="Arial" w:eastAsia="Arial" w:hAnsi="Arial" w:cs="Arial"/>
          <w:sz w:val="24"/>
          <w:szCs w:val="24"/>
          <w:lang w:eastAsia="en-US"/>
        </w:rPr>
        <w:t>Gebert</w:t>
      </w:r>
      <w:proofErr w:type="spellEnd"/>
      <w:r w:rsidRPr="00181FCE">
        <w:rPr>
          <w:rFonts w:ascii="Arial" w:eastAsia="Arial" w:hAnsi="Arial" w:cs="Arial"/>
          <w:sz w:val="24"/>
          <w:szCs w:val="24"/>
          <w:lang w:eastAsia="en-US"/>
        </w:rPr>
        <w:t>, S. (2019) Health Survey for England 2018 overweight and obesity in adults and children. </w:t>
      </w:r>
      <w:r w:rsidRPr="00181FCE">
        <w:rPr>
          <w:rFonts w:ascii="Arial" w:eastAsia="Arial" w:hAnsi="Arial" w:cs="Arial"/>
          <w:i/>
          <w:iCs/>
          <w:sz w:val="24"/>
          <w:szCs w:val="24"/>
          <w:lang w:eastAsia="en-US"/>
        </w:rPr>
        <w:t>London: Health and Social Care Information Centre</w:t>
      </w:r>
      <w:r w:rsidRPr="00181FCE">
        <w:rPr>
          <w:rFonts w:ascii="Arial" w:eastAsia="Arial" w:hAnsi="Arial" w:cs="Arial"/>
          <w:sz w:val="24"/>
          <w:szCs w:val="24"/>
          <w:lang w:eastAsia="en-US"/>
        </w:rPr>
        <w:t>.</w:t>
      </w:r>
    </w:p>
    <w:p w14:paraId="561774D8" w14:textId="77777777" w:rsidR="00181FCE" w:rsidRPr="00181FCE" w:rsidRDefault="00181FCE" w:rsidP="00181FCE">
      <w:pPr>
        <w:spacing w:after="160" w:line="360" w:lineRule="auto"/>
        <w:rPr>
          <w:rFonts w:ascii="Arial" w:eastAsia="Arial" w:hAnsi="Arial" w:cs="Arial"/>
          <w:sz w:val="24"/>
          <w:szCs w:val="24"/>
          <w:lang w:eastAsia="en-US"/>
        </w:rPr>
      </w:pPr>
    </w:p>
    <w:p w14:paraId="5CEA734F" w14:textId="77777777" w:rsidR="00181FCE" w:rsidRPr="00181FCE" w:rsidRDefault="00181FCE" w:rsidP="00181FCE">
      <w:pPr>
        <w:spacing w:after="120" w:line="480" w:lineRule="auto"/>
        <w:ind w:left="720" w:hanging="720"/>
        <w:rPr>
          <w:rFonts w:ascii="Arial" w:eastAsia="Arial" w:hAnsi="Arial" w:cs="Arial"/>
          <w:sz w:val="24"/>
          <w:szCs w:val="24"/>
          <w:lang w:eastAsia="en-US"/>
        </w:rPr>
      </w:pPr>
      <w:proofErr w:type="spellStart"/>
      <w:r w:rsidRPr="00181FCE">
        <w:rPr>
          <w:rFonts w:ascii="Arial" w:eastAsia="Arial" w:hAnsi="Arial" w:cs="Arial"/>
          <w:sz w:val="24"/>
          <w:szCs w:val="24"/>
          <w:lang w:eastAsia="en-US"/>
        </w:rPr>
        <w:lastRenderedPageBreak/>
        <w:t>Croal</w:t>
      </w:r>
      <w:proofErr w:type="spellEnd"/>
      <w:r w:rsidRPr="00181FCE">
        <w:rPr>
          <w:rFonts w:ascii="Arial" w:eastAsia="Arial" w:hAnsi="Arial" w:cs="Arial"/>
          <w:sz w:val="24"/>
          <w:szCs w:val="24"/>
          <w:lang w:eastAsia="en-US"/>
        </w:rPr>
        <w:t xml:space="preserve">, P. (2022, March 27) </w:t>
      </w:r>
      <w:r w:rsidRPr="00181FCE">
        <w:rPr>
          <w:rFonts w:ascii="Arial" w:eastAsia="Arial" w:hAnsi="Arial" w:cs="Arial"/>
          <w:i/>
          <w:sz w:val="24"/>
          <w:szCs w:val="24"/>
          <w:lang w:eastAsia="en-US"/>
        </w:rPr>
        <w:t>Average household income, UK: Financial year ending 2021</w:t>
      </w:r>
      <w:r w:rsidRPr="00181FCE">
        <w:rPr>
          <w:rFonts w:ascii="Arial" w:eastAsia="Arial" w:hAnsi="Arial" w:cs="Arial"/>
          <w:sz w:val="24"/>
          <w:szCs w:val="24"/>
          <w:lang w:eastAsia="en-US"/>
        </w:rPr>
        <w:t xml:space="preserve">. Average household income, UK - Office for National Statistics. Retrieved November 20, 2022, from </w:t>
      </w:r>
      <w:hyperlink r:id="rId8" w:anchor=":~:text=Median%20household%20disposable%20income%20in,(ONS)%20Household%20Finances%20Survey" w:history="1">
        <w:r w:rsidRPr="00181FCE">
          <w:rPr>
            <w:rFonts w:ascii="Arial" w:eastAsia="Arial" w:hAnsi="Arial" w:cs="Arial"/>
            <w:color w:val="0563C1" w:themeColor="hyperlink"/>
            <w:sz w:val="24"/>
            <w:szCs w:val="24"/>
            <w:u w:val="single"/>
            <w:lang w:eastAsia="en-US"/>
          </w:rPr>
          <w:t>https://www.ons.gov.uk/peoplepopulationandcommunity/personalandhouseholdfinances/incomeandwealth/bulletins/householddisposableincomeandinequality/financialyearending2021#:~:text=Median%20household%20disposable%20income%20in,(ONS)%20Household%20Finances%20Survey</w:t>
        </w:r>
      </w:hyperlink>
      <w:r w:rsidRPr="00181FCE">
        <w:rPr>
          <w:rFonts w:ascii="Arial" w:eastAsia="Arial" w:hAnsi="Arial" w:cs="Arial"/>
          <w:sz w:val="24"/>
          <w:szCs w:val="24"/>
          <w:lang w:eastAsia="en-US"/>
        </w:rPr>
        <w:t xml:space="preserve">. </w:t>
      </w:r>
    </w:p>
    <w:p w14:paraId="29568CAB" w14:textId="77777777" w:rsidR="00181FCE" w:rsidRPr="00181FCE" w:rsidRDefault="00181FCE" w:rsidP="00181FCE">
      <w:pPr>
        <w:spacing w:after="120" w:line="480" w:lineRule="auto"/>
        <w:ind w:left="720" w:hanging="720"/>
        <w:rPr>
          <w:rFonts w:ascii="Arial" w:eastAsia="Arial" w:hAnsi="Arial" w:cs="Arial"/>
          <w:sz w:val="24"/>
          <w:szCs w:val="24"/>
          <w:lang w:eastAsia="en-US"/>
        </w:rPr>
      </w:pPr>
      <w:proofErr w:type="spellStart"/>
      <w:r w:rsidRPr="00181FCE">
        <w:rPr>
          <w:rFonts w:ascii="Arial" w:eastAsia="Arial" w:hAnsi="Arial" w:cs="Arial"/>
          <w:color w:val="000000"/>
          <w:sz w:val="24"/>
          <w:szCs w:val="24"/>
          <w:lang w:eastAsia="en-US"/>
        </w:rPr>
        <w:t>Dey-Chowdhury</w:t>
      </w:r>
      <w:proofErr w:type="spellEnd"/>
      <w:r w:rsidRPr="00181FCE">
        <w:rPr>
          <w:rFonts w:ascii="Arial" w:eastAsia="Arial" w:hAnsi="Arial" w:cs="Arial"/>
          <w:color w:val="000000"/>
          <w:sz w:val="24"/>
          <w:szCs w:val="24"/>
          <w:lang w:eastAsia="en-US"/>
        </w:rPr>
        <w:t xml:space="preserve">, S. (2021) </w:t>
      </w:r>
      <w:r w:rsidRPr="00181FCE">
        <w:rPr>
          <w:rFonts w:ascii="Arial" w:eastAsia="Arial" w:hAnsi="Arial" w:cs="Arial"/>
          <w:i/>
          <w:color w:val="000000"/>
          <w:sz w:val="24"/>
          <w:szCs w:val="24"/>
          <w:lang w:eastAsia="en-US"/>
        </w:rPr>
        <w:t>Coronavirus and the Impact on UK households and businesses - Office for National Statistics</w:t>
      </w:r>
      <w:r w:rsidRPr="00181FCE">
        <w:rPr>
          <w:rFonts w:ascii="Arial" w:eastAsia="Arial" w:hAnsi="Arial" w:cs="Arial"/>
          <w:color w:val="000000"/>
          <w:sz w:val="24"/>
          <w:szCs w:val="24"/>
          <w:lang w:eastAsia="en-US"/>
        </w:rPr>
        <w:t xml:space="preserve">. Available at: </w:t>
      </w:r>
      <w:hyperlink r:id="rId9">
        <w:r w:rsidRPr="00181FCE">
          <w:rPr>
            <w:rFonts w:ascii="Arial" w:eastAsia="Arial" w:hAnsi="Arial" w:cs="Arial"/>
            <w:color w:val="0000FF"/>
            <w:sz w:val="24"/>
            <w:szCs w:val="24"/>
            <w:u w:val="single"/>
            <w:lang w:eastAsia="en-US"/>
          </w:rPr>
          <w:t>https://www.ons.gov.uk/economy/nationalaccounts/uksectoraccounts/articles/coronavirusandtheimpactonukhouseholdsandbusinesses/2020</w:t>
        </w:r>
      </w:hyperlink>
      <w:r w:rsidRPr="00181FCE">
        <w:rPr>
          <w:rFonts w:ascii="Arial" w:eastAsia="Arial" w:hAnsi="Arial" w:cs="Arial"/>
          <w:color w:val="000000"/>
          <w:sz w:val="24"/>
          <w:szCs w:val="24"/>
          <w:lang w:eastAsia="en-US"/>
        </w:rPr>
        <w:t>. (Accessed: 22 November 2022).</w:t>
      </w:r>
    </w:p>
    <w:p w14:paraId="785F5655" w14:textId="77777777" w:rsidR="00181FCE" w:rsidRPr="00181FCE" w:rsidRDefault="00181FCE" w:rsidP="00181FCE">
      <w:pPr>
        <w:spacing w:after="120" w:line="480" w:lineRule="auto"/>
        <w:ind w:left="720" w:hanging="720"/>
        <w:rPr>
          <w:rFonts w:ascii="Arial" w:eastAsia="Arial" w:hAnsi="Arial" w:cs="Arial"/>
          <w:color w:val="000000"/>
          <w:sz w:val="24"/>
          <w:szCs w:val="24"/>
          <w:lang w:eastAsia="en-US"/>
        </w:rPr>
      </w:pPr>
      <w:r w:rsidRPr="00181FCE">
        <w:rPr>
          <w:rFonts w:ascii="Arial" w:eastAsia="Arial" w:hAnsi="Arial" w:cs="Arial"/>
          <w:color w:val="000000"/>
          <w:sz w:val="24"/>
          <w:szCs w:val="24"/>
          <w:lang w:eastAsia="en-US"/>
        </w:rPr>
        <w:t xml:space="preserve">Department for Work and Pensions (2021) </w:t>
      </w:r>
      <w:r w:rsidRPr="00181FCE">
        <w:rPr>
          <w:rFonts w:ascii="Arial" w:eastAsia="Arial" w:hAnsi="Arial" w:cs="Arial"/>
          <w:i/>
          <w:color w:val="000000"/>
          <w:sz w:val="24"/>
          <w:szCs w:val="24"/>
          <w:lang w:eastAsia="en-US"/>
        </w:rPr>
        <w:t xml:space="preserve">Equality Analysis for the Kickstart Scheme. </w:t>
      </w:r>
      <w:r w:rsidRPr="00181FCE">
        <w:rPr>
          <w:rFonts w:ascii="Arial" w:eastAsia="Arial" w:hAnsi="Arial" w:cs="Arial"/>
          <w:color w:val="000000"/>
          <w:sz w:val="24"/>
          <w:szCs w:val="24"/>
          <w:lang w:eastAsia="en-US"/>
        </w:rPr>
        <w:t xml:space="preserve">Available at: </w:t>
      </w:r>
      <w:hyperlink r:id="rId10">
        <w:r w:rsidRPr="00181FCE">
          <w:rPr>
            <w:rFonts w:ascii="Arial" w:eastAsia="Arial" w:hAnsi="Arial" w:cs="Arial"/>
            <w:color w:val="0000FF"/>
            <w:sz w:val="24"/>
            <w:szCs w:val="24"/>
            <w:u w:val="single"/>
            <w:lang w:eastAsia="en-US"/>
          </w:rPr>
          <w:t>https://assets.publishing.service.gov.uk/government/uploads/system/uploads/attachment_data/file/999342/equality-analysis-for-the-kickstart-scheme.pdf</w:t>
        </w:r>
      </w:hyperlink>
      <w:r w:rsidRPr="00181FCE">
        <w:rPr>
          <w:rFonts w:ascii="Arial" w:eastAsia="Arial" w:hAnsi="Arial" w:cs="Arial"/>
          <w:color w:val="000000"/>
          <w:sz w:val="24"/>
          <w:szCs w:val="24"/>
          <w:lang w:eastAsia="en-US"/>
        </w:rPr>
        <w:t xml:space="preserve"> (Accessed: 23 November 2022).</w:t>
      </w:r>
    </w:p>
    <w:p w14:paraId="7C7FEF64" w14:textId="77777777" w:rsidR="00181FCE" w:rsidRPr="00181FCE" w:rsidRDefault="00181FCE" w:rsidP="00181FCE">
      <w:pPr>
        <w:spacing w:after="120" w:line="480" w:lineRule="auto"/>
        <w:ind w:left="720" w:hanging="720"/>
        <w:rPr>
          <w:rFonts w:ascii="Arial" w:eastAsia="Arial" w:hAnsi="Arial" w:cs="Arial"/>
          <w:color w:val="000000"/>
          <w:sz w:val="24"/>
          <w:szCs w:val="24"/>
          <w:lang w:eastAsia="en-US"/>
        </w:rPr>
      </w:pPr>
    </w:p>
    <w:p w14:paraId="530FBA8D" w14:textId="77777777" w:rsidR="00181FCE" w:rsidRPr="00181FCE" w:rsidRDefault="00181FCE" w:rsidP="00181FCE">
      <w:pPr>
        <w:spacing w:after="160" w:line="360" w:lineRule="auto"/>
        <w:rPr>
          <w:rFonts w:ascii="Arial" w:eastAsia="Arial" w:hAnsi="Arial" w:cs="Arial"/>
          <w:sz w:val="24"/>
          <w:szCs w:val="24"/>
        </w:rPr>
      </w:pPr>
      <w:r w:rsidRPr="00181FCE">
        <w:rPr>
          <w:rFonts w:ascii="Arial" w:eastAsia="Arial" w:hAnsi="Arial" w:cs="Arial"/>
          <w:sz w:val="24"/>
          <w:szCs w:val="24"/>
        </w:rPr>
        <w:t xml:space="preserve">Equality and Human Rights Commission (2021) </w:t>
      </w:r>
      <w:r w:rsidRPr="00181FCE">
        <w:rPr>
          <w:rFonts w:ascii="Arial" w:eastAsia="Arial" w:hAnsi="Arial" w:cs="Arial"/>
          <w:i/>
          <w:sz w:val="24"/>
          <w:szCs w:val="24"/>
        </w:rPr>
        <w:t>Shaping future support: the health and disability green paper</w:t>
      </w:r>
      <w:r w:rsidRPr="00181FCE">
        <w:rPr>
          <w:rFonts w:ascii="Arial" w:eastAsia="Arial" w:hAnsi="Arial" w:cs="Arial"/>
          <w:sz w:val="24"/>
          <w:szCs w:val="24"/>
        </w:rPr>
        <w:t xml:space="preserve">. . Manchester: Department Work and Pensions. Available at: </w:t>
      </w:r>
      <w:hyperlink r:id="rId11">
        <w:r w:rsidRPr="00181FCE">
          <w:rPr>
            <w:rFonts w:ascii="Arial" w:eastAsia="Arial" w:hAnsi="Arial" w:cs="Arial"/>
            <w:color w:val="0000FF"/>
            <w:sz w:val="24"/>
            <w:szCs w:val="24"/>
            <w:u w:val="single"/>
          </w:rPr>
          <w:t>https://view.officeapps.live.com/op/view.aspx?src=https%3A%2F%2Fwww.equalityhumanrights.com%2Fsites%2Fdefault%2Ffiles%2Fconsultation-response-dwp-health-and-disability-green-paper.docx&amp;wdOrigin=BROWSELINK</w:t>
        </w:r>
      </w:hyperlink>
      <w:r w:rsidRPr="00181FCE">
        <w:rPr>
          <w:rFonts w:ascii="Arial" w:eastAsia="Arial" w:hAnsi="Arial" w:cs="Arial"/>
          <w:sz w:val="24"/>
          <w:szCs w:val="24"/>
        </w:rPr>
        <w:t xml:space="preserve"> (Accessed: 27 November 2022).</w:t>
      </w:r>
    </w:p>
    <w:p w14:paraId="1D748A5E"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1AECF525" w14:textId="77777777" w:rsidR="00181FCE" w:rsidRPr="00181FCE" w:rsidRDefault="00181FCE" w:rsidP="00181FCE">
      <w:pPr>
        <w:spacing w:after="120" w:line="480" w:lineRule="auto"/>
        <w:ind w:left="720" w:hanging="720"/>
        <w:rPr>
          <w:rFonts w:ascii="Arial" w:eastAsia="Arial" w:hAnsi="Arial" w:cs="Arial"/>
          <w:sz w:val="24"/>
          <w:szCs w:val="24"/>
          <w:lang w:eastAsia="en-US"/>
        </w:rPr>
      </w:pPr>
      <w:r w:rsidRPr="00181FCE">
        <w:rPr>
          <w:rFonts w:ascii="Arial" w:eastAsia="Arial" w:hAnsi="Arial" w:cs="Arial"/>
          <w:sz w:val="24"/>
          <w:szCs w:val="24"/>
          <w:lang w:eastAsia="en-US"/>
        </w:rPr>
        <w:lastRenderedPageBreak/>
        <w:t>Fitzpatrick, S., Mackie, P., &amp; Wood, J. (2019) Homelessness prevention in the UK: policy briefing.</w:t>
      </w:r>
    </w:p>
    <w:p w14:paraId="0F853A60"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051D359E"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r w:rsidRPr="00181FCE">
        <w:rPr>
          <w:rFonts w:ascii="Arial" w:eastAsia="Arial" w:hAnsi="Arial" w:cs="Arial"/>
          <w:color w:val="000000"/>
          <w:sz w:val="24"/>
          <w:szCs w:val="24"/>
        </w:rPr>
        <w:t xml:space="preserve">Francis-Devine, B. McGuinness, F. and Booth, L. (2021) </w:t>
      </w:r>
      <w:r w:rsidRPr="00181FCE">
        <w:rPr>
          <w:rFonts w:ascii="Arial" w:eastAsia="Arial" w:hAnsi="Arial" w:cs="Arial"/>
          <w:i/>
          <w:color w:val="000000"/>
          <w:sz w:val="24"/>
          <w:szCs w:val="24"/>
        </w:rPr>
        <w:t>Poverty in the UK: statistics</w:t>
      </w:r>
      <w:r w:rsidRPr="00181FCE">
        <w:rPr>
          <w:rFonts w:ascii="Arial" w:eastAsia="Arial" w:hAnsi="Arial" w:cs="Arial"/>
          <w:color w:val="000000"/>
          <w:sz w:val="24"/>
          <w:szCs w:val="24"/>
        </w:rPr>
        <w:t xml:space="preserve">. Available at: </w:t>
      </w:r>
      <w:hyperlink r:id="rId12">
        <w:r w:rsidRPr="00181FCE">
          <w:rPr>
            <w:rFonts w:ascii="Arial" w:eastAsia="Arial" w:hAnsi="Arial" w:cs="Arial"/>
            <w:color w:val="0000FF"/>
            <w:sz w:val="24"/>
            <w:szCs w:val="24"/>
            <w:u w:val="single"/>
          </w:rPr>
          <w:t>https://commonslibrary.parliament.uk/research-briefings/sn07096/</w:t>
        </w:r>
      </w:hyperlink>
      <w:r w:rsidRPr="00181FCE">
        <w:rPr>
          <w:rFonts w:ascii="Arial" w:eastAsia="Arial" w:hAnsi="Arial" w:cs="Arial"/>
          <w:color w:val="000000"/>
          <w:sz w:val="24"/>
          <w:szCs w:val="24"/>
        </w:rPr>
        <w:t xml:space="preserve">. (Accessed: 15 November 2022). </w:t>
      </w:r>
    </w:p>
    <w:p w14:paraId="4C9E9F7A"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7C58E42F"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sz w:val="24"/>
          <w:szCs w:val="24"/>
          <w:lang w:eastAsia="en-US"/>
        </w:rPr>
      </w:pPr>
      <w:r w:rsidRPr="00181FCE">
        <w:rPr>
          <w:rFonts w:ascii="Arial" w:eastAsia="Arial" w:hAnsi="Arial" w:cs="Arial"/>
          <w:sz w:val="24"/>
          <w:szCs w:val="24"/>
          <w:lang w:eastAsia="en-US"/>
        </w:rPr>
        <w:t xml:space="preserve">GOV.UK (2020) </w:t>
      </w:r>
      <w:r w:rsidRPr="00181FCE">
        <w:rPr>
          <w:rFonts w:ascii="Arial" w:eastAsia="Arial" w:hAnsi="Arial" w:cs="Arial"/>
          <w:i/>
          <w:sz w:val="24"/>
          <w:szCs w:val="24"/>
          <w:lang w:eastAsia="en-US"/>
        </w:rPr>
        <w:t xml:space="preserve">More Than 19000 Jobs Created By Kickstart Scheme So Far. </w:t>
      </w:r>
      <w:r w:rsidRPr="00181FCE">
        <w:rPr>
          <w:rFonts w:ascii="Arial" w:eastAsia="Arial" w:hAnsi="Arial" w:cs="Arial"/>
          <w:sz w:val="24"/>
          <w:szCs w:val="24"/>
          <w:lang w:eastAsia="en-US"/>
        </w:rPr>
        <w:t xml:space="preserve">Available at: </w:t>
      </w:r>
      <w:hyperlink r:id="rId13">
        <w:r w:rsidRPr="00181FCE">
          <w:rPr>
            <w:rFonts w:ascii="Arial" w:eastAsia="Arial" w:hAnsi="Arial" w:cs="Arial"/>
            <w:color w:val="0000FF"/>
            <w:sz w:val="24"/>
            <w:szCs w:val="24"/>
            <w:u w:val="single"/>
            <w:lang w:eastAsia="en-US"/>
          </w:rPr>
          <w:t>https://www.gov.uk/government/news/more-than-19000-jobs-created-by-kickstart-scheme-so-far</w:t>
        </w:r>
      </w:hyperlink>
      <w:r w:rsidRPr="00181FCE">
        <w:rPr>
          <w:rFonts w:ascii="Arial" w:eastAsia="Arial" w:hAnsi="Arial" w:cs="Arial"/>
          <w:sz w:val="24"/>
          <w:szCs w:val="24"/>
          <w:lang w:eastAsia="en-US"/>
        </w:rPr>
        <w:t xml:space="preserve"> (Accessed: 22 September 2022).</w:t>
      </w:r>
    </w:p>
    <w:p w14:paraId="7936C93F"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45D35E90" w14:textId="77777777" w:rsidR="00181FCE" w:rsidRPr="00181FCE" w:rsidRDefault="00181FCE" w:rsidP="00181FCE">
      <w:pPr>
        <w:spacing w:after="120" w:line="480" w:lineRule="auto"/>
        <w:ind w:left="720" w:hanging="720"/>
        <w:rPr>
          <w:rFonts w:ascii="Arial" w:eastAsia="Arial" w:hAnsi="Arial" w:cs="Arial"/>
          <w:sz w:val="24"/>
          <w:szCs w:val="24"/>
          <w:lang w:val="en-US" w:eastAsia="en-US"/>
        </w:rPr>
      </w:pPr>
      <w:r w:rsidRPr="00181FCE">
        <w:rPr>
          <w:rFonts w:ascii="Arial" w:eastAsia="Arial" w:hAnsi="Arial" w:cs="Arial"/>
          <w:i/>
          <w:iCs/>
          <w:sz w:val="24"/>
          <w:szCs w:val="24"/>
          <w:lang w:val="en-US" w:eastAsia="en-US"/>
        </w:rPr>
        <w:t>Healthy start scheme</w:t>
      </w:r>
      <w:r w:rsidRPr="00181FCE">
        <w:rPr>
          <w:rFonts w:ascii="Arial" w:eastAsia="Arial" w:hAnsi="Arial" w:cs="Arial"/>
          <w:sz w:val="24"/>
          <w:szCs w:val="24"/>
          <w:lang w:val="en-US" w:eastAsia="en-US"/>
        </w:rPr>
        <w:t xml:space="preserve">. Health. (2022, March 1) Retrieved November 25, 2022, from </w:t>
      </w:r>
      <w:hyperlink r:id="rId14" w:anchor=":~:text=Healthy%20Start%20is%20a%20UK,are%20in%20receipt%20of%20benefits" w:history="1">
        <w:r w:rsidRPr="00181FCE">
          <w:rPr>
            <w:rFonts w:ascii="Arial" w:eastAsia="Arial" w:hAnsi="Arial" w:cs="Arial"/>
            <w:color w:val="0563C1" w:themeColor="hyperlink"/>
            <w:sz w:val="24"/>
            <w:szCs w:val="24"/>
            <w:u w:val="single"/>
            <w:lang w:val="en-US" w:eastAsia="en-US"/>
          </w:rPr>
          <w:t>https://www.health-ni.gov.uk/articles/healthy-start-scheme#:~:text=Healthy%20Start%20is%20a%20UK,are%20in%20receipt%20of%20benefits</w:t>
        </w:r>
      </w:hyperlink>
      <w:r w:rsidRPr="00181FCE">
        <w:rPr>
          <w:rFonts w:ascii="Arial" w:eastAsia="Arial" w:hAnsi="Arial" w:cs="Arial"/>
          <w:sz w:val="24"/>
          <w:szCs w:val="24"/>
          <w:lang w:val="en-US" w:eastAsia="en-US"/>
        </w:rPr>
        <w:t xml:space="preserve">. </w:t>
      </w:r>
    </w:p>
    <w:p w14:paraId="58DF8AB6" w14:textId="77777777" w:rsidR="00181FCE" w:rsidRPr="00181FCE" w:rsidRDefault="00181FCE" w:rsidP="00181FCE">
      <w:pPr>
        <w:spacing w:after="120" w:line="480" w:lineRule="auto"/>
        <w:ind w:left="720" w:hanging="720"/>
        <w:rPr>
          <w:rFonts w:ascii="Arial" w:eastAsia="Arial" w:hAnsi="Arial" w:cs="Arial"/>
          <w:sz w:val="24"/>
          <w:szCs w:val="24"/>
          <w:lang w:val="en-US" w:eastAsia="en-US"/>
        </w:rPr>
      </w:pPr>
    </w:p>
    <w:p w14:paraId="12D93E23" w14:textId="77777777" w:rsidR="00181FCE" w:rsidRPr="00181FCE" w:rsidRDefault="00181FCE" w:rsidP="00181FCE">
      <w:pPr>
        <w:spacing w:after="120" w:line="480" w:lineRule="auto"/>
        <w:ind w:left="720" w:hanging="720"/>
        <w:rPr>
          <w:rFonts w:ascii="Arial" w:eastAsia="Arial" w:hAnsi="Arial" w:cs="Arial"/>
          <w:sz w:val="24"/>
          <w:szCs w:val="24"/>
          <w:lang w:val="en-US" w:eastAsia="en-US"/>
        </w:rPr>
      </w:pPr>
      <w:r w:rsidRPr="00181FCE">
        <w:rPr>
          <w:rFonts w:ascii="Arial" w:eastAsia="Arial" w:hAnsi="Arial" w:cs="Arial"/>
          <w:i/>
          <w:iCs/>
          <w:sz w:val="24"/>
          <w:szCs w:val="24"/>
          <w:lang w:val="en-US" w:eastAsia="en-US"/>
        </w:rPr>
        <w:t>Implementing the sustainable development goals</w:t>
      </w:r>
      <w:r w:rsidRPr="00181FCE">
        <w:rPr>
          <w:rFonts w:ascii="Arial" w:eastAsia="Arial" w:hAnsi="Arial" w:cs="Arial"/>
          <w:sz w:val="24"/>
          <w:szCs w:val="24"/>
          <w:lang w:val="en-US" w:eastAsia="en-US"/>
        </w:rPr>
        <w:t xml:space="preserve">. </w:t>
      </w:r>
      <w:bookmarkStart w:id="7" w:name="_Hlk120265568"/>
      <w:r w:rsidRPr="00181FCE">
        <w:rPr>
          <w:rFonts w:ascii="Arial" w:eastAsia="Arial" w:hAnsi="Arial" w:cs="Arial"/>
          <w:sz w:val="24"/>
          <w:szCs w:val="24"/>
          <w:lang w:val="en-US" w:eastAsia="en-US"/>
        </w:rPr>
        <w:t>GOV.UK. (n.d.)</w:t>
      </w:r>
      <w:bookmarkEnd w:id="7"/>
      <w:r w:rsidRPr="00181FCE">
        <w:rPr>
          <w:rFonts w:ascii="Arial" w:eastAsia="Arial" w:hAnsi="Arial" w:cs="Arial"/>
          <w:sz w:val="24"/>
          <w:szCs w:val="24"/>
          <w:lang w:val="en-US" w:eastAsia="en-US"/>
        </w:rPr>
        <w:t xml:space="preserve"> Retrieved November 25, 2022, from </w:t>
      </w:r>
      <w:hyperlink r:id="rId15" w:history="1">
        <w:r w:rsidRPr="00181FCE">
          <w:rPr>
            <w:rFonts w:ascii="Arial" w:eastAsia="Arial" w:hAnsi="Arial" w:cs="Arial"/>
            <w:color w:val="0563C1" w:themeColor="hyperlink"/>
            <w:sz w:val="24"/>
            <w:szCs w:val="24"/>
            <w:u w:val="single"/>
            <w:lang w:val="en-US" w:eastAsia="en-US"/>
          </w:rPr>
          <w:t>https://www.gov.uk/government/publications/implementing-the-sustainable-development-goals/implementing-the-sustainable-development-goals--2</w:t>
        </w:r>
      </w:hyperlink>
    </w:p>
    <w:p w14:paraId="33318C46" w14:textId="77777777" w:rsidR="00181FCE" w:rsidRPr="00181FCE" w:rsidRDefault="00181FCE" w:rsidP="00181FCE">
      <w:pPr>
        <w:spacing w:after="120" w:line="480" w:lineRule="auto"/>
        <w:ind w:left="720" w:hanging="720"/>
        <w:rPr>
          <w:rFonts w:ascii="Arial" w:eastAsia="Arial" w:hAnsi="Arial" w:cs="Arial"/>
          <w:sz w:val="24"/>
          <w:szCs w:val="24"/>
          <w:lang w:val="en-US" w:eastAsia="en-US"/>
        </w:rPr>
      </w:pPr>
      <w:r w:rsidRPr="00181FCE">
        <w:rPr>
          <w:rFonts w:ascii="Arial" w:eastAsia="Arial" w:hAnsi="Arial" w:cs="Arial"/>
          <w:sz w:val="24"/>
          <w:szCs w:val="24"/>
          <w:lang w:val="en-US" w:eastAsia="en-US"/>
        </w:rPr>
        <w:t xml:space="preserve"> </w:t>
      </w:r>
    </w:p>
    <w:p w14:paraId="0EDF1ED1" w14:textId="77777777" w:rsidR="00181FCE" w:rsidRPr="00181FCE" w:rsidRDefault="00181FCE" w:rsidP="00181FCE">
      <w:pPr>
        <w:spacing w:after="120" w:line="480" w:lineRule="auto"/>
        <w:ind w:left="720" w:hanging="720"/>
        <w:rPr>
          <w:rFonts w:ascii="Arial" w:eastAsia="Arial" w:hAnsi="Arial" w:cs="Arial"/>
          <w:sz w:val="24"/>
          <w:szCs w:val="24"/>
          <w:lang w:eastAsia="en-US"/>
        </w:rPr>
      </w:pPr>
      <w:bookmarkStart w:id="8" w:name="_1fob9te" w:colFirst="0" w:colLast="0"/>
      <w:bookmarkEnd w:id="8"/>
      <w:proofErr w:type="spellStart"/>
      <w:r w:rsidRPr="00181FCE">
        <w:rPr>
          <w:rFonts w:ascii="Arial" w:eastAsia="Arial" w:hAnsi="Arial" w:cs="Arial"/>
          <w:sz w:val="24"/>
          <w:szCs w:val="24"/>
          <w:lang w:eastAsia="en-US"/>
        </w:rPr>
        <w:t>Ivinson</w:t>
      </w:r>
      <w:proofErr w:type="spellEnd"/>
      <w:r w:rsidRPr="00181FCE">
        <w:rPr>
          <w:rFonts w:ascii="Arial" w:eastAsia="Arial" w:hAnsi="Arial" w:cs="Arial"/>
          <w:sz w:val="24"/>
          <w:szCs w:val="24"/>
          <w:lang w:eastAsia="en-US"/>
        </w:rPr>
        <w:t>, G., &amp; Thompson, I. (2020) Policy, Education and Poverty across the UK. In </w:t>
      </w:r>
      <w:r w:rsidRPr="00181FCE">
        <w:rPr>
          <w:rFonts w:ascii="Arial" w:eastAsia="Arial" w:hAnsi="Arial" w:cs="Arial"/>
          <w:i/>
          <w:sz w:val="24"/>
          <w:szCs w:val="24"/>
          <w:lang w:eastAsia="en-US"/>
        </w:rPr>
        <w:t>Poverty in Education Across the UK.</w:t>
      </w:r>
      <w:r w:rsidRPr="00181FCE">
        <w:rPr>
          <w:rFonts w:ascii="Arial" w:eastAsia="Arial" w:hAnsi="Arial" w:cs="Arial"/>
          <w:sz w:val="24"/>
          <w:szCs w:val="24"/>
          <w:lang w:eastAsia="en-US"/>
        </w:rPr>
        <w:t> pp.11-36. Bristol University Press.</w:t>
      </w:r>
    </w:p>
    <w:p w14:paraId="20ADF30C"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4C51D2E6"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r w:rsidRPr="00181FCE">
        <w:rPr>
          <w:rFonts w:ascii="Arial" w:eastAsia="Arial" w:hAnsi="Arial" w:cs="Arial"/>
          <w:color w:val="000000"/>
          <w:sz w:val="24"/>
          <w:szCs w:val="24"/>
        </w:rPr>
        <w:lastRenderedPageBreak/>
        <w:t xml:space="preserve">Lewis, C. (2021) </w:t>
      </w:r>
      <w:r w:rsidRPr="00181FCE">
        <w:rPr>
          <w:rFonts w:ascii="Arial" w:eastAsia="Arial" w:hAnsi="Arial" w:cs="Arial"/>
          <w:i/>
          <w:color w:val="000000"/>
          <w:sz w:val="24"/>
          <w:szCs w:val="24"/>
        </w:rPr>
        <w:t>Index of Private Housing Rental Prices, UK - Office for National Statistics</w:t>
      </w:r>
      <w:r w:rsidRPr="00181FCE">
        <w:rPr>
          <w:rFonts w:ascii="Arial" w:eastAsia="Arial" w:hAnsi="Arial" w:cs="Arial"/>
          <w:color w:val="000000"/>
          <w:sz w:val="24"/>
          <w:szCs w:val="24"/>
        </w:rPr>
        <w:t xml:space="preserve">. www.ons.gov.uk. Available at: </w:t>
      </w:r>
      <w:hyperlink r:id="rId16">
        <w:r w:rsidRPr="00181FCE">
          <w:rPr>
            <w:rFonts w:ascii="Arial" w:eastAsia="Arial" w:hAnsi="Arial" w:cs="Arial"/>
            <w:color w:val="0000FF"/>
            <w:sz w:val="24"/>
            <w:szCs w:val="24"/>
            <w:u w:val="single"/>
          </w:rPr>
          <w:t>https://www.ons.gov.uk/economy/inflationandpriceindices/bulletins/indexofprivatehousingrentalprices/august2021</w:t>
        </w:r>
      </w:hyperlink>
      <w:r w:rsidRPr="00181FCE">
        <w:rPr>
          <w:rFonts w:ascii="Arial" w:eastAsia="Arial" w:hAnsi="Arial" w:cs="Arial"/>
          <w:color w:val="000000"/>
          <w:sz w:val="24"/>
          <w:szCs w:val="24"/>
        </w:rPr>
        <w:t xml:space="preserve">. (Accessed: 23 September 2022). </w:t>
      </w:r>
    </w:p>
    <w:p w14:paraId="7A149C97"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03C8414C" w14:textId="77777777" w:rsidR="00181FCE" w:rsidRPr="00181FCE" w:rsidRDefault="00181FCE" w:rsidP="00181FCE">
      <w:pPr>
        <w:spacing w:after="160" w:line="360" w:lineRule="auto"/>
        <w:rPr>
          <w:rFonts w:ascii="Arial" w:eastAsia="Arial" w:hAnsi="Arial" w:cs="Arial"/>
          <w:sz w:val="24"/>
          <w:szCs w:val="24"/>
        </w:rPr>
      </w:pPr>
      <w:r w:rsidRPr="00181FCE">
        <w:rPr>
          <w:rFonts w:ascii="Arial" w:eastAsia="Arial" w:hAnsi="Arial" w:cs="Arial"/>
          <w:sz w:val="24"/>
          <w:szCs w:val="24"/>
        </w:rPr>
        <w:t xml:space="preserve">Lucas, P. </w:t>
      </w:r>
      <w:proofErr w:type="spellStart"/>
      <w:r w:rsidRPr="00181FCE">
        <w:rPr>
          <w:rFonts w:ascii="Arial" w:eastAsia="Arial" w:hAnsi="Arial" w:cs="Arial"/>
          <w:sz w:val="24"/>
          <w:szCs w:val="24"/>
        </w:rPr>
        <w:t>Jessiman</w:t>
      </w:r>
      <w:proofErr w:type="spellEnd"/>
      <w:r w:rsidRPr="00181FCE">
        <w:rPr>
          <w:rFonts w:ascii="Arial" w:eastAsia="Arial" w:hAnsi="Arial" w:cs="Arial"/>
          <w:sz w:val="24"/>
          <w:szCs w:val="24"/>
        </w:rPr>
        <w:t xml:space="preserve">, T. Cameron, A. Wiggins, M. et al. (2013) </w:t>
      </w:r>
      <w:r w:rsidRPr="00181FCE">
        <w:rPr>
          <w:rFonts w:ascii="Arial" w:eastAsia="Arial" w:hAnsi="Arial" w:cs="Arial"/>
          <w:i/>
          <w:sz w:val="24"/>
          <w:szCs w:val="24"/>
        </w:rPr>
        <w:t>Healthy Start Vouchers Study: The Views and Experiences of Parents, Professionals and Small Retailers in England</w:t>
      </w:r>
      <w:r w:rsidRPr="00181FCE">
        <w:rPr>
          <w:rFonts w:ascii="Arial" w:eastAsia="Arial" w:hAnsi="Arial" w:cs="Arial"/>
          <w:sz w:val="24"/>
          <w:szCs w:val="24"/>
        </w:rPr>
        <w:t xml:space="preserve">. London: University of Bristol. Available at: </w:t>
      </w:r>
      <w:hyperlink r:id="rId17">
        <w:r w:rsidRPr="00181FCE">
          <w:rPr>
            <w:rFonts w:ascii="Arial" w:eastAsia="Arial" w:hAnsi="Arial" w:cs="Arial"/>
            <w:color w:val="0000FF"/>
            <w:sz w:val="24"/>
            <w:szCs w:val="24"/>
            <w:u w:val="single"/>
          </w:rPr>
          <w:t>https://www.bristol.ac.uk/media-library/sites/sps/migrated/documents/executivesummary1.pdf</w:t>
        </w:r>
      </w:hyperlink>
      <w:r w:rsidRPr="00181FCE">
        <w:rPr>
          <w:rFonts w:ascii="Arial" w:eastAsia="Arial" w:hAnsi="Arial" w:cs="Arial"/>
          <w:sz w:val="24"/>
          <w:szCs w:val="24"/>
        </w:rPr>
        <w:t xml:space="preserve"> (Accessed 16 November 2022).</w:t>
      </w:r>
    </w:p>
    <w:p w14:paraId="347DBE93" w14:textId="77777777" w:rsidR="00181FCE" w:rsidRPr="00181FCE" w:rsidRDefault="00181FCE" w:rsidP="00181FCE">
      <w:pPr>
        <w:spacing w:after="160" w:line="360" w:lineRule="auto"/>
        <w:rPr>
          <w:rFonts w:ascii="Arial" w:eastAsia="Arial" w:hAnsi="Arial" w:cs="Arial"/>
          <w:sz w:val="24"/>
          <w:szCs w:val="24"/>
        </w:rPr>
      </w:pPr>
    </w:p>
    <w:p w14:paraId="5704EF8F" w14:textId="77777777" w:rsidR="00181FCE" w:rsidRPr="00181FCE" w:rsidRDefault="00181FCE" w:rsidP="00181FCE">
      <w:pPr>
        <w:spacing w:after="160" w:line="360" w:lineRule="auto"/>
        <w:rPr>
          <w:rFonts w:ascii="Arial" w:eastAsia="Arial" w:hAnsi="Arial" w:cs="Arial"/>
          <w:sz w:val="24"/>
          <w:szCs w:val="24"/>
        </w:rPr>
      </w:pPr>
      <w:r w:rsidRPr="00181FCE">
        <w:rPr>
          <w:rFonts w:ascii="Arial" w:eastAsia="Arial" w:hAnsi="Arial" w:cs="Arial"/>
          <w:sz w:val="24"/>
          <w:szCs w:val="24"/>
        </w:rPr>
        <w:t xml:space="preserve">Mayor of London (2021) </w:t>
      </w:r>
      <w:r w:rsidRPr="00181FCE">
        <w:rPr>
          <w:rFonts w:ascii="Arial" w:eastAsia="Arial" w:hAnsi="Arial" w:cs="Arial"/>
          <w:i/>
          <w:sz w:val="24"/>
          <w:szCs w:val="24"/>
        </w:rPr>
        <w:t>Central London Ultra Low Emission Zone – 2020 Report</w:t>
      </w:r>
      <w:r w:rsidRPr="00181FCE">
        <w:rPr>
          <w:rFonts w:ascii="Arial" w:eastAsia="Arial" w:hAnsi="Arial" w:cs="Arial"/>
          <w:sz w:val="24"/>
          <w:szCs w:val="24"/>
        </w:rPr>
        <w:t xml:space="preserve">. London: Greater London Authority. Available at: </w:t>
      </w:r>
      <w:hyperlink r:id="rId18">
        <w:r w:rsidRPr="00181FCE">
          <w:rPr>
            <w:rFonts w:ascii="Arial" w:eastAsia="Arial" w:hAnsi="Arial" w:cs="Arial"/>
            <w:color w:val="0000FF"/>
            <w:sz w:val="24"/>
            <w:szCs w:val="24"/>
            <w:u w:val="single"/>
          </w:rPr>
          <w:t>https://www.london.gov.uk/sites/default/files/ulez_evaluation_report_2020-v8_finalfinal.pdf</w:t>
        </w:r>
      </w:hyperlink>
      <w:r w:rsidRPr="00181FCE">
        <w:rPr>
          <w:rFonts w:ascii="Arial" w:eastAsia="Arial" w:hAnsi="Arial" w:cs="Arial"/>
          <w:sz w:val="24"/>
          <w:szCs w:val="24"/>
        </w:rPr>
        <w:t>. (Accessed: 29 November 2022).</w:t>
      </w:r>
    </w:p>
    <w:p w14:paraId="736718D6"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5530CC6B" w14:textId="77777777" w:rsidR="00181FCE" w:rsidRPr="00181FCE" w:rsidRDefault="00181FCE" w:rsidP="00181FCE">
      <w:pPr>
        <w:spacing w:after="160" w:line="360" w:lineRule="auto"/>
        <w:rPr>
          <w:rFonts w:ascii="Arial" w:eastAsia="Arial" w:hAnsi="Arial" w:cs="Arial"/>
          <w:sz w:val="24"/>
          <w:szCs w:val="24"/>
        </w:rPr>
      </w:pPr>
      <w:r w:rsidRPr="00181FCE">
        <w:rPr>
          <w:rFonts w:ascii="Arial" w:eastAsia="Arial" w:hAnsi="Arial" w:cs="Arial"/>
          <w:sz w:val="24"/>
          <w:szCs w:val="24"/>
        </w:rPr>
        <w:t xml:space="preserve">McFadden, A. Green, J.M. Williams, V. </w:t>
      </w:r>
      <w:proofErr w:type="spellStart"/>
      <w:r w:rsidRPr="00181FCE">
        <w:rPr>
          <w:rFonts w:ascii="Arial" w:eastAsia="Arial" w:hAnsi="Arial" w:cs="Arial"/>
          <w:sz w:val="24"/>
          <w:szCs w:val="24"/>
        </w:rPr>
        <w:t>McLeish</w:t>
      </w:r>
      <w:proofErr w:type="spellEnd"/>
      <w:r w:rsidRPr="00181FCE">
        <w:rPr>
          <w:rFonts w:ascii="Arial" w:eastAsia="Arial" w:hAnsi="Arial" w:cs="Arial"/>
          <w:sz w:val="24"/>
          <w:szCs w:val="24"/>
        </w:rPr>
        <w:t xml:space="preserve">, J. et al. (2014) ‘Can food vouchers improve nutrition and reduce health inequalities in low-income mothers and young children: a multi-method evaluation of the experiences of beneficiaries and practitioners of the Healthy Start programme in England’, </w:t>
      </w:r>
      <w:r w:rsidRPr="00181FCE">
        <w:rPr>
          <w:rFonts w:ascii="Arial" w:eastAsia="Arial" w:hAnsi="Arial" w:cs="Arial"/>
          <w:i/>
          <w:sz w:val="24"/>
          <w:szCs w:val="24"/>
        </w:rPr>
        <w:t>BMC Public Health</w:t>
      </w:r>
      <w:r w:rsidRPr="00181FCE">
        <w:rPr>
          <w:rFonts w:ascii="Arial" w:eastAsia="Arial" w:hAnsi="Arial" w:cs="Arial"/>
          <w:sz w:val="24"/>
          <w:szCs w:val="24"/>
        </w:rPr>
        <w:t xml:space="preserve">, 14(1). Available at: </w:t>
      </w:r>
      <w:hyperlink r:id="rId19">
        <w:r w:rsidRPr="00181FCE">
          <w:rPr>
            <w:rFonts w:ascii="Arial" w:eastAsia="Arial" w:hAnsi="Arial" w:cs="Arial"/>
            <w:color w:val="0000FF"/>
            <w:sz w:val="24"/>
            <w:szCs w:val="24"/>
            <w:u w:val="single"/>
          </w:rPr>
          <w:t>https://bmcpublichealth.biomedcentral.com/articles/10.1186/1471-2458-14-148</w:t>
        </w:r>
      </w:hyperlink>
      <w:r w:rsidRPr="00181FCE">
        <w:rPr>
          <w:rFonts w:ascii="Arial" w:eastAsia="Arial" w:hAnsi="Arial" w:cs="Arial"/>
          <w:sz w:val="24"/>
          <w:szCs w:val="24"/>
        </w:rPr>
        <w:t xml:space="preserve"> (Accessed: 14 November 2022).</w:t>
      </w:r>
    </w:p>
    <w:p w14:paraId="4C1EF651" w14:textId="77777777" w:rsidR="00181FCE" w:rsidRPr="00181FCE" w:rsidRDefault="00181FCE" w:rsidP="00181FCE">
      <w:pPr>
        <w:spacing w:after="160" w:line="360" w:lineRule="auto"/>
        <w:rPr>
          <w:rFonts w:ascii="Arial" w:eastAsia="Arial" w:hAnsi="Arial" w:cs="Arial"/>
          <w:sz w:val="24"/>
          <w:szCs w:val="24"/>
        </w:rPr>
      </w:pPr>
    </w:p>
    <w:p w14:paraId="5ADC6C46" w14:textId="77777777" w:rsidR="00181FCE" w:rsidRPr="00181FCE" w:rsidRDefault="00181FCE" w:rsidP="00181FCE">
      <w:pPr>
        <w:spacing w:after="160" w:line="360" w:lineRule="auto"/>
        <w:rPr>
          <w:rFonts w:ascii="Arial" w:eastAsia="Arial" w:hAnsi="Arial" w:cs="Arial"/>
          <w:sz w:val="24"/>
          <w:szCs w:val="24"/>
        </w:rPr>
      </w:pPr>
      <w:proofErr w:type="spellStart"/>
      <w:r w:rsidRPr="00181FCE">
        <w:rPr>
          <w:rFonts w:ascii="Arial" w:eastAsia="Arial" w:hAnsi="Arial" w:cs="Arial"/>
          <w:sz w:val="24"/>
          <w:szCs w:val="24"/>
        </w:rPr>
        <w:t>Mulderrig</w:t>
      </w:r>
      <w:proofErr w:type="spellEnd"/>
      <w:r w:rsidRPr="00181FCE">
        <w:rPr>
          <w:rFonts w:ascii="Arial" w:eastAsia="Arial" w:hAnsi="Arial" w:cs="Arial"/>
          <w:sz w:val="24"/>
          <w:szCs w:val="24"/>
        </w:rPr>
        <w:t xml:space="preserve">, J. (2018) ‘Fat-shaming: Change4Life’s Anti-Obesity Nudge Campaign Glosses Over Social Inequalities, </w:t>
      </w:r>
      <w:r w:rsidRPr="00181FCE">
        <w:rPr>
          <w:rFonts w:ascii="Arial" w:eastAsia="Arial" w:hAnsi="Arial" w:cs="Arial"/>
          <w:i/>
          <w:sz w:val="24"/>
          <w:szCs w:val="24"/>
        </w:rPr>
        <w:t>Democratic Audit</w:t>
      </w:r>
      <w:r w:rsidRPr="00181FCE">
        <w:rPr>
          <w:rFonts w:ascii="Arial" w:eastAsia="Arial" w:hAnsi="Arial" w:cs="Arial"/>
          <w:sz w:val="24"/>
          <w:szCs w:val="24"/>
        </w:rPr>
        <w:t xml:space="preserve">. Available at: </w:t>
      </w:r>
      <w:hyperlink r:id="rId20">
        <w:r w:rsidRPr="00181FCE">
          <w:rPr>
            <w:rFonts w:ascii="Arial" w:eastAsia="Arial" w:hAnsi="Arial" w:cs="Arial"/>
            <w:color w:val="0000FF"/>
            <w:sz w:val="24"/>
            <w:szCs w:val="24"/>
            <w:u w:val="single"/>
          </w:rPr>
          <w:t>https://www.democraticaudit.com/2016/12/16/fat-shaming-change4lifes-anti-obesity-nudge-campaign-glosses-over-social-inequalities/</w:t>
        </w:r>
      </w:hyperlink>
      <w:r w:rsidRPr="00181FCE">
        <w:rPr>
          <w:rFonts w:ascii="Arial" w:eastAsia="Arial" w:hAnsi="Arial" w:cs="Arial"/>
          <w:sz w:val="24"/>
          <w:szCs w:val="24"/>
        </w:rPr>
        <w:t xml:space="preserve">. (Accessed: 27 November 2022). </w:t>
      </w:r>
    </w:p>
    <w:p w14:paraId="55329404"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10654E73"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r w:rsidRPr="00181FCE">
        <w:rPr>
          <w:rFonts w:ascii="Arial" w:eastAsia="Arial" w:hAnsi="Arial" w:cs="Arial"/>
          <w:color w:val="000000"/>
          <w:sz w:val="24"/>
          <w:szCs w:val="24"/>
        </w:rPr>
        <w:lastRenderedPageBreak/>
        <w:t xml:space="preserve">Murray, J. (2021) </w:t>
      </w:r>
      <w:r w:rsidRPr="00181FCE">
        <w:rPr>
          <w:rFonts w:ascii="Arial" w:eastAsia="Arial" w:hAnsi="Arial" w:cs="Arial"/>
          <w:i/>
          <w:color w:val="000000"/>
          <w:sz w:val="24"/>
          <w:szCs w:val="24"/>
        </w:rPr>
        <w:t>Rough sleeper numbers down 37% in England during Covid pandemic</w:t>
      </w:r>
      <w:r w:rsidRPr="00181FCE">
        <w:rPr>
          <w:rFonts w:ascii="Arial" w:eastAsia="Arial" w:hAnsi="Arial" w:cs="Arial"/>
          <w:color w:val="000000"/>
          <w:sz w:val="24"/>
          <w:szCs w:val="24"/>
        </w:rPr>
        <w:t xml:space="preserve">. The Guardian. Available at: </w:t>
      </w:r>
      <w:hyperlink r:id="rId21">
        <w:r w:rsidRPr="00181FCE">
          <w:rPr>
            <w:rFonts w:ascii="Arial" w:eastAsia="Arial" w:hAnsi="Arial" w:cs="Arial"/>
            <w:color w:val="0000FF"/>
            <w:sz w:val="24"/>
            <w:szCs w:val="24"/>
            <w:u w:val="single"/>
          </w:rPr>
          <w:t>https://www.theguardian.com/society/2021/feb/25/rough-sleepers-england-covid-pandemic-homelessness</w:t>
        </w:r>
      </w:hyperlink>
      <w:r w:rsidRPr="00181FCE">
        <w:rPr>
          <w:rFonts w:ascii="Arial" w:eastAsia="Arial" w:hAnsi="Arial" w:cs="Arial"/>
          <w:color w:val="000000"/>
          <w:sz w:val="24"/>
          <w:szCs w:val="24"/>
        </w:rPr>
        <w:t>. (Accessed: 13 November 2022).</w:t>
      </w:r>
    </w:p>
    <w:p w14:paraId="197F41F5"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421225FA"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sz w:val="24"/>
          <w:szCs w:val="24"/>
          <w:lang w:eastAsia="en-US"/>
        </w:rPr>
      </w:pPr>
      <w:proofErr w:type="spellStart"/>
      <w:r w:rsidRPr="00181FCE">
        <w:rPr>
          <w:rFonts w:ascii="Arial" w:eastAsia="Arial" w:hAnsi="Arial" w:cs="Arial"/>
          <w:sz w:val="24"/>
          <w:szCs w:val="24"/>
          <w:lang w:eastAsia="en-US"/>
        </w:rPr>
        <w:t>Nayak</w:t>
      </w:r>
      <w:proofErr w:type="spellEnd"/>
      <w:r w:rsidRPr="00181FCE">
        <w:rPr>
          <w:rFonts w:ascii="Arial" w:eastAsia="Arial" w:hAnsi="Arial" w:cs="Arial"/>
          <w:sz w:val="24"/>
          <w:szCs w:val="24"/>
          <w:lang w:eastAsia="en-US"/>
        </w:rPr>
        <w:t xml:space="preserve">, B.K. (2010) ‘Understanding the relevance of sample size calculation’, </w:t>
      </w:r>
      <w:r w:rsidRPr="00181FCE">
        <w:rPr>
          <w:rFonts w:ascii="Arial" w:eastAsia="Arial" w:hAnsi="Arial" w:cs="Arial"/>
          <w:i/>
          <w:sz w:val="24"/>
          <w:szCs w:val="24"/>
          <w:lang w:eastAsia="en-US"/>
        </w:rPr>
        <w:t>Indian Journal of Ophthalmology</w:t>
      </w:r>
      <w:r w:rsidRPr="00181FCE">
        <w:rPr>
          <w:rFonts w:ascii="Arial" w:eastAsia="Arial" w:hAnsi="Arial" w:cs="Arial"/>
          <w:sz w:val="24"/>
          <w:szCs w:val="24"/>
          <w:lang w:eastAsia="en-US"/>
        </w:rPr>
        <w:t xml:space="preserve">, 58(6), p.469. Available at: </w:t>
      </w:r>
      <w:hyperlink r:id="rId22">
        <w:r w:rsidRPr="00181FCE">
          <w:rPr>
            <w:rFonts w:ascii="Arial" w:eastAsia="Arial" w:hAnsi="Arial" w:cs="Arial"/>
            <w:color w:val="0000FF"/>
            <w:sz w:val="24"/>
            <w:szCs w:val="24"/>
            <w:u w:val="single"/>
            <w:lang w:eastAsia="en-US"/>
          </w:rPr>
          <w:t>https://www.ncbi.nlm.nih.gov/pmc/articles/PMC2993974/.(Accessed</w:t>
        </w:r>
      </w:hyperlink>
      <w:r w:rsidRPr="00181FCE">
        <w:rPr>
          <w:rFonts w:ascii="Arial" w:eastAsia="Arial" w:hAnsi="Arial" w:cs="Arial"/>
          <w:sz w:val="24"/>
          <w:szCs w:val="24"/>
          <w:lang w:eastAsia="en-US"/>
        </w:rPr>
        <w:t>: 20 November 2022).</w:t>
      </w:r>
    </w:p>
    <w:p w14:paraId="4D47B6B8"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533994F2" w14:textId="77777777" w:rsidR="00181FCE" w:rsidRPr="00181FCE" w:rsidRDefault="00181FCE" w:rsidP="00181FCE">
      <w:pPr>
        <w:spacing w:after="120" w:line="480" w:lineRule="auto"/>
        <w:ind w:left="720" w:hanging="720"/>
        <w:rPr>
          <w:rFonts w:ascii="Arial" w:eastAsia="Arial" w:hAnsi="Arial" w:cs="Arial"/>
          <w:sz w:val="24"/>
          <w:szCs w:val="24"/>
          <w:lang w:eastAsia="en-US"/>
        </w:rPr>
      </w:pPr>
      <w:bookmarkStart w:id="9" w:name="_Hlk120267444"/>
      <w:r w:rsidRPr="00181FCE">
        <w:rPr>
          <w:rFonts w:ascii="Arial" w:eastAsia="Arial" w:hAnsi="Arial" w:cs="Arial"/>
          <w:sz w:val="24"/>
          <w:szCs w:val="24"/>
          <w:lang w:eastAsia="en-US"/>
        </w:rPr>
        <w:t>Niles</w:t>
      </w:r>
      <w:bookmarkEnd w:id="9"/>
      <w:r w:rsidRPr="00181FCE">
        <w:rPr>
          <w:rFonts w:ascii="Arial" w:eastAsia="Arial" w:hAnsi="Arial" w:cs="Arial"/>
          <w:sz w:val="24"/>
          <w:szCs w:val="24"/>
          <w:lang w:eastAsia="en-US"/>
        </w:rPr>
        <w:t xml:space="preserve">, M. T., </w:t>
      </w:r>
      <w:proofErr w:type="spellStart"/>
      <w:r w:rsidRPr="00181FCE">
        <w:rPr>
          <w:rFonts w:ascii="Arial" w:eastAsia="Arial" w:hAnsi="Arial" w:cs="Arial"/>
          <w:sz w:val="24"/>
          <w:szCs w:val="24"/>
          <w:lang w:eastAsia="en-US"/>
        </w:rPr>
        <w:t>Bertmann</w:t>
      </w:r>
      <w:proofErr w:type="spellEnd"/>
      <w:r w:rsidRPr="00181FCE">
        <w:rPr>
          <w:rFonts w:ascii="Arial" w:eastAsia="Arial" w:hAnsi="Arial" w:cs="Arial"/>
          <w:sz w:val="24"/>
          <w:szCs w:val="24"/>
          <w:lang w:eastAsia="en-US"/>
        </w:rPr>
        <w:t xml:space="preserve">, F., </w:t>
      </w:r>
      <w:proofErr w:type="spellStart"/>
      <w:r w:rsidRPr="00181FCE">
        <w:rPr>
          <w:rFonts w:ascii="Arial" w:eastAsia="Arial" w:hAnsi="Arial" w:cs="Arial"/>
          <w:sz w:val="24"/>
          <w:szCs w:val="24"/>
          <w:lang w:eastAsia="en-US"/>
        </w:rPr>
        <w:t>Belarmino</w:t>
      </w:r>
      <w:proofErr w:type="spellEnd"/>
      <w:r w:rsidRPr="00181FCE">
        <w:rPr>
          <w:rFonts w:ascii="Arial" w:eastAsia="Arial" w:hAnsi="Arial" w:cs="Arial"/>
          <w:sz w:val="24"/>
          <w:szCs w:val="24"/>
          <w:lang w:eastAsia="en-US"/>
        </w:rPr>
        <w:t xml:space="preserve">, E. H., Wentworth, T., </w:t>
      </w:r>
      <w:proofErr w:type="spellStart"/>
      <w:r w:rsidRPr="00181FCE">
        <w:rPr>
          <w:rFonts w:ascii="Arial" w:eastAsia="Arial" w:hAnsi="Arial" w:cs="Arial"/>
          <w:sz w:val="24"/>
          <w:szCs w:val="24"/>
          <w:lang w:eastAsia="en-US"/>
        </w:rPr>
        <w:t>Biehl</w:t>
      </w:r>
      <w:proofErr w:type="spellEnd"/>
      <w:r w:rsidRPr="00181FCE">
        <w:rPr>
          <w:rFonts w:ascii="Arial" w:eastAsia="Arial" w:hAnsi="Arial" w:cs="Arial"/>
          <w:sz w:val="24"/>
          <w:szCs w:val="24"/>
          <w:lang w:eastAsia="en-US"/>
        </w:rPr>
        <w:t>, E., &amp; Neff, R. (2020) The early food insecurity impacts of COVID-19. </w:t>
      </w:r>
      <w:r w:rsidRPr="00181FCE">
        <w:rPr>
          <w:rFonts w:ascii="Arial" w:eastAsia="Arial" w:hAnsi="Arial" w:cs="Arial"/>
          <w:i/>
          <w:iCs/>
          <w:sz w:val="24"/>
          <w:szCs w:val="24"/>
          <w:lang w:eastAsia="en-US"/>
        </w:rPr>
        <w:t>Nutrients</w:t>
      </w:r>
      <w:r w:rsidRPr="00181FCE">
        <w:rPr>
          <w:rFonts w:ascii="Arial" w:eastAsia="Arial" w:hAnsi="Arial" w:cs="Arial"/>
          <w:sz w:val="24"/>
          <w:szCs w:val="24"/>
          <w:lang w:eastAsia="en-US"/>
        </w:rPr>
        <w:t>, 12(7), p.2096.</w:t>
      </w:r>
    </w:p>
    <w:p w14:paraId="6313FB87"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10A54E4D"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bookmarkStart w:id="10" w:name="_Hlk120530366"/>
      <w:r w:rsidRPr="00181FCE">
        <w:rPr>
          <w:rFonts w:ascii="Arial" w:eastAsia="Arial" w:hAnsi="Arial" w:cs="Arial"/>
          <w:color w:val="000000"/>
          <w:sz w:val="24"/>
          <w:szCs w:val="24"/>
        </w:rPr>
        <w:t xml:space="preserve">Office for National Statistics (2022) </w:t>
      </w:r>
      <w:r w:rsidRPr="00181FCE">
        <w:rPr>
          <w:rFonts w:ascii="Arial" w:eastAsia="Arial" w:hAnsi="Arial" w:cs="Arial"/>
          <w:i/>
          <w:color w:val="000000"/>
          <w:sz w:val="24"/>
          <w:szCs w:val="24"/>
        </w:rPr>
        <w:t>Unemployment - Office for National Statistics</w:t>
      </w:r>
      <w:r w:rsidRPr="00181FCE">
        <w:rPr>
          <w:rFonts w:ascii="Arial" w:eastAsia="Arial" w:hAnsi="Arial" w:cs="Arial"/>
          <w:color w:val="000000"/>
          <w:sz w:val="24"/>
          <w:szCs w:val="24"/>
        </w:rPr>
        <w:t xml:space="preserve">. [online] www.ons.gov.uk. Available at: </w:t>
      </w:r>
      <w:hyperlink r:id="rId23" w:anchor="timeseries">
        <w:r w:rsidRPr="00181FCE">
          <w:rPr>
            <w:rFonts w:ascii="Arial" w:eastAsia="Arial" w:hAnsi="Arial" w:cs="Arial"/>
            <w:color w:val="0000FF"/>
            <w:sz w:val="24"/>
            <w:szCs w:val="24"/>
            <w:u w:val="single"/>
          </w:rPr>
          <w:t>https://www.ons.gov.uk/employmentandlabourmarket/peoplenotinwork/unemployment#timeseries</w:t>
        </w:r>
      </w:hyperlink>
      <w:r w:rsidRPr="00181FCE">
        <w:rPr>
          <w:rFonts w:ascii="Arial" w:eastAsia="Arial" w:hAnsi="Arial" w:cs="Arial"/>
          <w:color w:val="000000"/>
          <w:sz w:val="24"/>
          <w:szCs w:val="24"/>
        </w:rPr>
        <w:t xml:space="preserve">. (Accessed: 29 November 2022). </w:t>
      </w:r>
    </w:p>
    <w:p w14:paraId="30B994CC"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5A8E321F" w14:textId="77777777" w:rsidR="00181FCE" w:rsidRPr="00181FCE" w:rsidRDefault="00181FCE" w:rsidP="00181FCE">
      <w:pPr>
        <w:spacing w:after="160" w:line="360" w:lineRule="auto"/>
        <w:rPr>
          <w:rFonts w:ascii="Arial" w:eastAsia="Arial" w:hAnsi="Arial" w:cs="Arial"/>
          <w:sz w:val="24"/>
          <w:szCs w:val="24"/>
        </w:rPr>
      </w:pPr>
      <w:r w:rsidRPr="00181FCE">
        <w:rPr>
          <w:rFonts w:ascii="Arial" w:eastAsia="Arial" w:hAnsi="Arial" w:cs="Arial"/>
          <w:sz w:val="24"/>
          <w:szCs w:val="24"/>
        </w:rPr>
        <w:t xml:space="preserve">Partridge, J. (2022) Soaring UK demand for rented homes pushes cost to near £1,000. </w:t>
      </w:r>
      <w:r w:rsidRPr="00181FCE">
        <w:rPr>
          <w:rFonts w:ascii="Arial" w:eastAsia="Arial" w:hAnsi="Arial" w:cs="Arial"/>
          <w:i/>
          <w:sz w:val="24"/>
          <w:szCs w:val="24"/>
        </w:rPr>
        <w:t>the Guardian</w:t>
      </w:r>
      <w:r w:rsidRPr="00181FCE">
        <w:rPr>
          <w:rFonts w:ascii="Arial" w:eastAsia="Arial" w:hAnsi="Arial" w:cs="Arial"/>
          <w:sz w:val="24"/>
          <w:szCs w:val="24"/>
        </w:rPr>
        <w:t xml:space="preserve">. [online] 9 Feb. Available at: </w:t>
      </w:r>
      <w:hyperlink r:id="rId24">
        <w:r w:rsidRPr="00181FCE">
          <w:rPr>
            <w:rFonts w:ascii="Arial" w:eastAsia="Arial" w:hAnsi="Arial" w:cs="Arial"/>
            <w:color w:val="0000FF"/>
            <w:sz w:val="24"/>
            <w:szCs w:val="24"/>
            <w:u w:val="single"/>
          </w:rPr>
          <w:t>https://www.theguardian.com/business/2022/feb/09/soaring-uk-demand-for-rented-homes-pushes-cost-to-near-1000</w:t>
        </w:r>
      </w:hyperlink>
      <w:r w:rsidRPr="00181FCE">
        <w:rPr>
          <w:rFonts w:ascii="Arial" w:eastAsia="Arial" w:hAnsi="Arial" w:cs="Arial"/>
          <w:sz w:val="24"/>
          <w:szCs w:val="24"/>
        </w:rPr>
        <w:t>. (Accessed: 27 November 2022).</w:t>
      </w:r>
    </w:p>
    <w:p w14:paraId="1C25AB34"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6C25987E" w14:textId="77777777" w:rsidR="00181FCE" w:rsidRPr="00181FCE" w:rsidRDefault="00181FCE" w:rsidP="00181FCE">
      <w:pPr>
        <w:spacing w:after="120" w:line="360" w:lineRule="auto"/>
        <w:ind w:left="720" w:hanging="720"/>
        <w:rPr>
          <w:rFonts w:ascii="Arial" w:eastAsia="Arial" w:hAnsi="Arial" w:cs="Arial"/>
          <w:sz w:val="24"/>
          <w:szCs w:val="24"/>
          <w:lang w:eastAsia="en-US"/>
        </w:rPr>
      </w:pPr>
      <w:proofErr w:type="spellStart"/>
      <w:r w:rsidRPr="00181FCE">
        <w:rPr>
          <w:rFonts w:ascii="Arial" w:eastAsia="Arial" w:hAnsi="Arial" w:cs="Arial"/>
          <w:sz w:val="24"/>
          <w:szCs w:val="24"/>
          <w:lang w:eastAsia="en-US"/>
        </w:rPr>
        <w:t>Paudyal</w:t>
      </w:r>
      <w:proofErr w:type="spellEnd"/>
      <w:r w:rsidRPr="00181FCE">
        <w:rPr>
          <w:rFonts w:ascii="Arial" w:eastAsia="Arial" w:hAnsi="Arial" w:cs="Arial"/>
          <w:sz w:val="24"/>
          <w:szCs w:val="24"/>
          <w:lang w:eastAsia="en-US"/>
        </w:rPr>
        <w:t>, V., &amp; Saunders, K. (2018)</w:t>
      </w:r>
      <w:bookmarkEnd w:id="10"/>
      <w:r w:rsidRPr="00181FCE">
        <w:rPr>
          <w:rFonts w:ascii="Arial" w:eastAsia="Arial" w:hAnsi="Arial" w:cs="Arial"/>
          <w:sz w:val="24"/>
          <w:szCs w:val="24"/>
          <w:lang w:eastAsia="en-US"/>
        </w:rPr>
        <w:t xml:space="preserve"> Homeless reduction act in England: impact on health services. </w:t>
      </w:r>
      <w:r w:rsidRPr="00181FCE">
        <w:rPr>
          <w:rFonts w:ascii="Arial" w:eastAsia="Arial" w:hAnsi="Arial" w:cs="Arial"/>
          <w:i/>
          <w:iCs/>
          <w:sz w:val="24"/>
          <w:szCs w:val="24"/>
          <w:lang w:eastAsia="en-US"/>
        </w:rPr>
        <w:t>The Lancet</w:t>
      </w:r>
      <w:r w:rsidRPr="00181FCE">
        <w:rPr>
          <w:rFonts w:ascii="Arial" w:eastAsia="Arial" w:hAnsi="Arial" w:cs="Arial"/>
          <w:sz w:val="24"/>
          <w:szCs w:val="24"/>
          <w:lang w:eastAsia="en-US"/>
        </w:rPr>
        <w:t>, 392(10143), pp.195-197.</w:t>
      </w:r>
    </w:p>
    <w:p w14:paraId="79581939" w14:textId="77777777" w:rsidR="00181FCE" w:rsidRPr="00181FCE" w:rsidRDefault="00181FCE" w:rsidP="00181FCE">
      <w:pPr>
        <w:spacing w:after="120" w:line="360" w:lineRule="auto"/>
        <w:ind w:left="720" w:hanging="720"/>
        <w:rPr>
          <w:rFonts w:ascii="Arial" w:eastAsia="Arial" w:hAnsi="Arial" w:cs="Arial"/>
          <w:sz w:val="24"/>
          <w:szCs w:val="24"/>
          <w:lang w:eastAsia="en-US"/>
        </w:rPr>
      </w:pPr>
    </w:p>
    <w:p w14:paraId="43CC9EDC" w14:textId="77777777" w:rsidR="00181FCE" w:rsidRPr="00181FCE" w:rsidRDefault="00181FCE" w:rsidP="00181FCE">
      <w:pPr>
        <w:spacing w:after="120" w:line="480" w:lineRule="auto"/>
        <w:ind w:left="720" w:hanging="720"/>
        <w:rPr>
          <w:rFonts w:ascii="Arial" w:eastAsia="Arial" w:hAnsi="Arial" w:cs="Arial"/>
          <w:sz w:val="24"/>
          <w:szCs w:val="24"/>
          <w:lang w:eastAsia="en-US"/>
        </w:rPr>
      </w:pPr>
      <w:r w:rsidRPr="00181FCE">
        <w:rPr>
          <w:rFonts w:ascii="Arial" w:eastAsia="Arial" w:hAnsi="Arial" w:cs="Arial"/>
          <w:sz w:val="24"/>
          <w:szCs w:val="24"/>
          <w:lang w:eastAsia="en-US"/>
        </w:rPr>
        <w:lastRenderedPageBreak/>
        <w:t xml:space="preserve">Peer, A. (2021, August 23) </w:t>
      </w:r>
      <w:r w:rsidRPr="00181FCE">
        <w:rPr>
          <w:rFonts w:ascii="Arial" w:eastAsia="Arial" w:hAnsi="Arial" w:cs="Arial"/>
          <w:i/>
          <w:sz w:val="24"/>
          <w:szCs w:val="24"/>
          <w:lang w:eastAsia="en-US"/>
        </w:rPr>
        <w:t>Global poverty: Facts, faqs, and how to help</w:t>
      </w:r>
      <w:r w:rsidRPr="00181FCE">
        <w:rPr>
          <w:rFonts w:ascii="Arial" w:eastAsia="Arial" w:hAnsi="Arial" w:cs="Arial"/>
          <w:sz w:val="24"/>
          <w:szCs w:val="24"/>
          <w:lang w:eastAsia="en-US"/>
        </w:rPr>
        <w:t xml:space="preserve">. World Vision. Retrieved November 20, 2022, from </w:t>
      </w:r>
      <w:hyperlink r:id="rId25" w:anchor=":~:text=By%202030%2C%20an%20estimated%2067,population%2C%20live%20in%20multidimensional%20poverty" w:history="1">
        <w:r w:rsidRPr="00181FCE">
          <w:rPr>
            <w:rFonts w:ascii="Arial" w:eastAsia="Arial" w:hAnsi="Arial" w:cs="Arial"/>
            <w:color w:val="0563C1" w:themeColor="hyperlink"/>
            <w:sz w:val="24"/>
            <w:szCs w:val="24"/>
            <w:u w:val="single"/>
            <w:lang w:eastAsia="en-US"/>
          </w:rPr>
          <w:t>https://www.worldvision.org/sponsorship-news-stories/global-poverty-facts#:~:text=By%202030%2C%20an%20estimated%2067,population%2C%20live%20in%20multidimensional%20poverty</w:t>
        </w:r>
      </w:hyperlink>
      <w:r w:rsidRPr="00181FCE">
        <w:rPr>
          <w:rFonts w:ascii="Arial" w:eastAsia="Arial" w:hAnsi="Arial" w:cs="Arial"/>
          <w:sz w:val="24"/>
          <w:szCs w:val="24"/>
          <w:lang w:eastAsia="en-US"/>
        </w:rPr>
        <w:t xml:space="preserve">. </w:t>
      </w:r>
    </w:p>
    <w:p w14:paraId="1BF74134"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778D3537" w14:textId="77777777" w:rsidR="00181FCE" w:rsidRPr="00181FCE" w:rsidRDefault="00181FCE" w:rsidP="00181FCE">
      <w:pPr>
        <w:spacing w:after="120" w:line="480" w:lineRule="auto"/>
        <w:ind w:left="720" w:hanging="720"/>
        <w:rPr>
          <w:rFonts w:ascii="Arial" w:eastAsia="Arial" w:hAnsi="Arial" w:cs="Arial"/>
          <w:sz w:val="24"/>
          <w:szCs w:val="24"/>
          <w:lang w:eastAsia="en-US"/>
        </w:rPr>
      </w:pPr>
      <w:bookmarkStart w:id="11" w:name="_3znysh7" w:colFirst="0" w:colLast="0"/>
      <w:bookmarkEnd w:id="11"/>
      <w:r w:rsidRPr="00181FCE">
        <w:rPr>
          <w:rFonts w:ascii="Arial" w:eastAsia="Arial" w:hAnsi="Arial" w:cs="Arial"/>
          <w:sz w:val="24"/>
          <w:szCs w:val="24"/>
          <w:lang w:eastAsia="en-US"/>
        </w:rPr>
        <w:t xml:space="preserve">Pensions, D. for W. and. (2022, April 30) </w:t>
      </w:r>
      <w:r w:rsidRPr="00181FCE">
        <w:rPr>
          <w:rFonts w:ascii="Arial" w:eastAsia="Arial" w:hAnsi="Arial" w:cs="Arial"/>
          <w:i/>
          <w:sz w:val="24"/>
          <w:szCs w:val="24"/>
          <w:lang w:eastAsia="en-US"/>
        </w:rPr>
        <w:t>Kickstart scheme</w:t>
      </w:r>
      <w:r w:rsidRPr="00181FCE">
        <w:rPr>
          <w:rFonts w:ascii="Arial" w:eastAsia="Arial" w:hAnsi="Arial" w:cs="Arial"/>
          <w:sz w:val="24"/>
          <w:szCs w:val="24"/>
          <w:lang w:eastAsia="en-US"/>
        </w:rPr>
        <w:t xml:space="preserve">. GOV.UK. Retrieved November 20, 2022, from </w:t>
      </w:r>
      <w:hyperlink r:id="rId26" w:history="1">
        <w:r w:rsidRPr="00181FCE">
          <w:rPr>
            <w:rFonts w:ascii="Arial" w:eastAsia="Arial" w:hAnsi="Arial" w:cs="Arial"/>
            <w:color w:val="0563C1" w:themeColor="hyperlink"/>
            <w:sz w:val="24"/>
            <w:szCs w:val="24"/>
            <w:u w:val="single"/>
            <w:lang w:eastAsia="en-US"/>
          </w:rPr>
          <w:t>https://www.gov.uk/government/collections/kickstart-scheme</w:t>
        </w:r>
      </w:hyperlink>
      <w:r w:rsidRPr="00181FCE">
        <w:rPr>
          <w:rFonts w:ascii="Arial" w:eastAsia="Arial" w:hAnsi="Arial" w:cs="Arial"/>
          <w:sz w:val="24"/>
          <w:szCs w:val="24"/>
          <w:lang w:eastAsia="en-US"/>
        </w:rPr>
        <w:t xml:space="preserve"> </w:t>
      </w:r>
    </w:p>
    <w:p w14:paraId="7F3F6A33"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3EDA2408" w14:textId="77777777" w:rsidR="00181FCE" w:rsidRPr="00181FCE" w:rsidRDefault="00181FCE" w:rsidP="00181FCE">
      <w:pPr>
        <w:spacing w:after="160" w:line="360" w:lineRule="auto"/>
        <w:rPr>
          <w:rFonts w:ascii="Arial" w:eastAsia="Arial" w:hAnsi="Arial" w:cs="Arial"/>
          <w:sz w:val="24"/>
          <w:szCs w:val="24"/>
        </w:rPr>
      </w:pPr>
      <w:r w:rsidRPr="00181FCE">
        <w:rPr>
          <w:rFonts w:ascii="Arial" w:eastAsia="Arial" w:hAnsi="Arial" w:cs="Arial"/>
          <w:sz w:val="24"/>
          <w:szCs w:val="24"/>
        </w:rPr>
        <w:t xml:space="preserve">Public Health England (2021) </w:t>
      </w:r>
      <w:r w:rsidRPr="00181FCE">
        <w:rPr>
          <w:rFonts w:ascii="Arial" w:eastAsia="Arial" w:hAnsi="Arial" w:cs="Arial"/>
          <w:i/>
          <w:sz w:val="24"/>
          <w:szCs w:val="24"/>
        </w:rPr>
        <w:t xml:space="preserve">National Child Measurement Programme Operational guidance 2021. </w:t>
      </w:r>
      <w:r w:rsidRPr="00181FCE">
        <w:rPr>
          <w:rFonts w:ascii="Arial" w:eastAsia="Arial" w:hAnsi="Arial" w:cs="Arial"/>
          <w:sz w:val="24"/>
          <w:szCs w:val="24"/>
        </w:rPr>
        <w:t xml:space="preserve">London: Crown. Available at: </w:t>
      </w:r>
      <w:hyperlink r:id="rId27">
        <w:r w:rsidRPr="00181FCE">
          <w:rPr>
            <w:rFonts w:ascii="Arial" w:eastAsia="Arial" w:hAnsi="Arial" w:cs="Arial"/>
            <w:color w:val="0000FF"/>
            <w:sz w:val="24"/>
            <w:szCs w:val="24"/>
            <w:u w:val="single"/>
          </w:rPr>
          <w:t>https://assets.publishing.service.gov.uk/government/uploads/system/uploads/attachment_data/file/1016653/National_Child_Measurement_Programme_operational_guidance_2021.pdf</w:t>
        </w:r>
      </w:hyperlink>
      <w:r w:rsidRPr="00181FCE">
        <w:rPr>
          <w:rFonts w:ascii="Arial" w:eastAsia="Arial" w:hAnsi="Arial" w:cs="Arial"/>
          <w:sz w:val="24"/>
          <w:szCs w:val="24"/>
        </w:rPr>
        <w:t>. (Accessed: 17 November 2022).</w:t>
      </w:r>
    </w:p>
    <w:p w14:paraId="51A52A56"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48560081" w14:textId="77777777" w:rsidR="00181FCE" w:rsidRPr="00181FCE" w:rsidRDefault="00181FCE" w:rsidP="00181FCE">
      <w:pPr>
        <w:spacing w:after="160" w:line="360" w:lineRule="auto"/>
        <w:rPr>
          <w:rFonts w:ascii="Arial" w:eastAsia="Arial" w:hAnsi="Arial" w:cs="Arial"/>
          <w:sz w:val="24"/>
          <w:szCs w:val="24"/>
        </w:rPr>
      </w:pPr>
      <w:r w:rsidRPr="00181FCE">
        <w:rPr>
          <w:rFonts w:ascii="Arial" w:eastAsia="Arial" w:hAnsi="Arial" w:cs="Arial"/>
          <w:sz w:val="24"/>
          <w:szCs w:val="24"/>
        </w:rPr>
        <w:t xml:space="preserve">Sustain (2019) </w:t>
      </w:r>
      <w:r w:rsidRPr="00181FCE">
        <w:rPr>
          <w:rFonts w:ascii="Arial" w:eastAsia="Arial" w:hAnsi="Arial" w:cs="Arial"/>
          <w:i/>
          <w:sz w:val="24"/>
          <w:szCs w:val="24"/>
        </w:rPr>
        <w:t xml:space="preserve">Thousands of women and children miss out on healthy food scheme in 2018.  </w:t>
      </w:r>
      <w:r w:rsidRPr="00181FCE">
        <w:rPr>
          <w:rFonts w:ascii="Arial" w:eastAsia="Arial" w:hAnsi="Arial" w:cs="Arial"/>
          <w:sz w:val="24"/>
          <w:szCs w:val="24"/>
        </w:rPr>
        <w:t xml:space="preserve">Available at: </w:t>
      </w:r>
      <w:hyperlink r:id="rId28">
        <w:r w:rsidRPr="00181FCE">
          <w:rPr>
            <w:rFonts w:ascii="Arial" w:eastAsia="Arial" w:hAnsi="Arial" w:cs="Arial"/>
            <w:color w:val="0000FF"/>
            <w:sz w:val="24"/>
            <w:szCs w:val="24"/>
            <w:u w:val="single"/>
          </w:rPr>
          <w:t>https://www.sustainweb.org/news/may19_thousands_miss_healthy_start_vouchers/</w:t>
        </w:r>
      </w:hyperlink>
      <w:r w:rsidRPr="00181FCE">
        <w:rPr>
          <w:rFonts w:ascii="Arial" w:eastAsia="Arial" w:hAnsi="Arial" w:cs="Arial"/>
          <w:sz w:val="24"/>
          <w:szCs w:val="24"/>
        </w:rPr>
        <w:t xml:space="preserve"> (Accessed: 16 November 2022).</w:t>
      </w:r>
    </w:p>
    <w:p w14:paraId="265E37D8" w14:textId="77777777" w:rsidR="00181FCE" w:rsidRPr="00181FCE" w:rsidRDefault="00181FCE" w:rsidP="00181FCE">
      <w:pPr>
        <w:spacing w:after="160" w:line="360" w:lineRule="auto"/>
        <w:rPr>
          <w:rFonts w:ascii="Arial" w:eastAsia="Arial" w:hAnsi="Arial" w:cs="Arial"/>
          <w:sz w:val="24"/>
          <w:szCs w:val="24"/>
        </w:rPr>
      </w:pPr>
    </w:p>
    <w:p w14:paraId="0791314A" w14:textId="77777777" w:rsidR="00181FCE" w:rsidRPr="00181FCE" w:rsidRDefault="00181FCE" w:rsidP="00181FCE">
      <w:pPr>
        <w:spacing w:after="120" w:line="480" w:lineRule="auto"/>
        <w:ind w:left="720" w:hanging="720"/>
        <w:rPr>
          <w:rFonts w:ascii="Arial" w:eastAsia="Arial" w:hAnsi="Arial" w:cs="Arial"/>
          <w:sz w:val="24"/>
          <w:szCs w:val="24"/>
          <w:lang w:eastAsia="en-US"/>
        </w:rPr>
      </w:pPr>
      <w:bookmarkStart w:id="12" w:name="_2et92p0" w:colFirst="0" w:colLast="0"/>
      <w:bookmarkEnd w:id="12"/>
      <w:r w:rsidRPr="00181FCE">
        <w:rPr>
          <w:rFonts w:ascii="Arial" w:eastAsia="Arial" w:hAnsi="Arial" w:cs="Arial"/>
          <w:sz w:val="24"/>
          <w:szCs w:val="24"/>
          <w:lang w:eastAsia="en-US"/>
        </w:rPr>
        <w:t xml:space="preserve">Sutter, C., </w:t>
      </w:r>
      <w:proofErr w:type="spellStart"/>
      <w:r w:rsidRPr="00181FCE">
        <w:rPr>
          <w:rFonts w:ascii="Arial" w:eastAsia="Arial" w:hAnsi="Arial" w:cs="Arial"/>
          <w:sz w:val="24"/>
          <w:szCs w:val="24"/>
          <w:lang w:eastAsia="en-US"/>
        </w:rPr>
        <w:t>Bhatt</w:t>
      </w:r>
      <w:proofErr w:type="spellEnd"/>
      <w:r w:rsidRPr="00181FCE">
        <w:rPr>
          <w:rFonts w:ascii="Arial" w:eastAsia="Arial" w:hAnsi="Arial" w:cs="Arial"/>
          <w:sz w:val="24"/>
          <w:szCs w:val="24"/>
          <w:lang w:eastAsia="en-US"/>
        </w:rPr>
        <w:t xml:space="preserve">, B., &amp; </w:t>
      </w:r>
      <w:proofErr w:type="spellStart"/>
      <w:r w:rsidRPr="00181FCE">
        <w:rPr>
          <w:rFonts w:ascii="Arial" w:eastAsia="Arial" w:hAnsi="Arial" w:cs="Arial"/>
          <w:sz w:val="24"/>
          <w:szCs w:val="24"/>
          <w:lang w:eastAsia="en-US"/>
        </w:rPr>
        <w:t>Qureshi</w:t>
      </w:r>
      <w:proofErr w:type="spellEnd"/>
      <w:r w:rsidRPr="00181FCE">
        <w:rPr>
          <w:rFonts w:ascii="Arial" w:eastAsia="Arial" w:hAnsi="Arial" w:cs="Arial"/>
          <w:sz w:val="24"/>
          <w:szCs w:val="24"/>
          <w:lang w:eastAsia="en-US"/>
        </w:rPr>
        <w:t>, I. (2022) What makes resource provision an effective means of poverty alleviation? A resourcing perspective. </w:t>
      </w:r>
      <w:proofErr w:type="spellStart"/>
      <w:r w:rsidRPr="00181FCE">
        <w:rPr>
          <w:rFonts w:ascii="Arial" w:eastAsia="Arial" w:hAnsi="Arial" w:cs="Arial"/>
          <w:i/>
          <w:sz w:val="24"/>
          <w:szCs w:val="24"/>
          <w:lang w:eastAsia="en-US"/>
        </w:rPr>
        <w:t>Organization</w:t>
      </w:r>
      <w:proofErr w:type="spellEnd"/>
      <w:r w:rsidRPr="00181FCE">
        <w:rPr>
          <w:rFonts w:ascii="Arial" w:eastAsia="Arial" w:hAnsi="Arial" w:cs="Arial"/>
          <w:i/>
          <w:sz w:val="24"/>
          <w:szCs w:val="24"/>
          <w:lang w:eastAsia="en-US"/>
        </w:rPr>
        <w:t xml:space="preserve"> Science</w:t>
      </w:r>
      <w:r w:rsidRPr="00181FCE">
        <w:rPr>
          <w:rFonts w:ascii="Arial" w:eastAsia="Arial" w:hAnsi="Arial" w:cs="Arial"/>
          <w:sz w:val="24"/>
          <w:szCs w:val="24"/>
          <w:lang w:eastAsia="en-US"/>
        </w:rPr>
        <w:t>.</w:t>
      </w:r>
    </w:p>
    <w:p w14:paraId="681C92DC"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2B3AFDDB" w14:textId="77777777" w:rsidR="00181FCE" w:rsidRPr="00181FCE" w:rsidRDefault="00181FCE" w:rsidP="00181FCE">
      <w:pPr>
        <w:spacing w:after="120" w:line="480" w:lineRule="auto"/>
        <w:ind w:left="720" w:hanging="720"/>
        <w:rPr>
          <w:rFonts w:ascii="Arial" w:eastAsia="Arial" w:hAnsi="Arial" w:cs="Arial"/>
          <w:sz w:val="24"/>
          <w:szCs w:val="24"/>
          <w:lang w:eastAsia="en-US"/>
        </w:rPr>
      </w:pPr>
      <w:r w:rsidRPr="00181FCE">
        <w:rPr>
          <w:rFonts w:ascii="Arial" w:eastAsia="Arial" w:hAnsi="Arial" w:cs="Arial"/>
          <w:sz w:val="24"/>
          <w:szCs w:val="24"/>
          <w:lang w:eastAsia="en-US"/>
        </w:rPr>
        <w:lastRenderedPageBreak/>
        <w:t xml:space="preserve">The Food Foundation (2021) </w:t>
      </w:r>
      <w:r w:rsidRPr="00181FCE">
        <w:rPr>
          <w:rFonts w:ascii="Arial" w:eastAsia="Arial" w:hAnsi="Arial" w:cs="Arial"/>
          <w:i/>
          <w:sz w:val="24"/>
          <w:szCs w:val="24"/>
          <w:lang w:eastAsia="en-US"/>
        </w:rPr>
        <w:t>Food Insecurity Tracking</w:t>
      </w:r>
      <w:r w:rsidRPr="00181FCE">
        <w:rPr>
          <w:rFonts w:ascii="Arial" w:eastAsia="Arial" w:hAnsi="Arial" w:cs="Arial"/>
          <w:sz w:val="24"/>
          <w:szCs w:val="24"/>
          <w:lang w:eastAsia="en-US"/>
        </w:rPr>
        <w:t xml:space="preserve">. Available at: </w:t>
      </w:r>
      <w:hyperlink r:id="rId29">
        <w:r w:rsidRPr="00181FCE">
          <w:rPr>
            <w:rFonts w:ascii="Arial" w:eastAsia="Arial" w:hAnsi="Arial" w:cs="Arial"/>
            <w:color w:val="0000FF"/>
            <w:sz w:val="24"/>
            <w:szCs w:val="24"/>
            <w:u w:val="single"/>
            <w:lang w:eastAsia="en-US"/>
          </w:rPr>
          <w:t>https://foodfoundation.org.uk/initiatives/food-insecurity-tracking</w:t>
        </w:r>
      </w:hyperlink>
      <w:r w:rsidRPr="00181FCE">
        <w:rPr>
          <w:rFonts w:ascii="Arial" w:eastAsia="Arial" w:hAnsi="Arial" w:cs="Arial"/>
          <w:sz w:val="24"/>
          <w:szCs w:val="24"/>
          <w:lang w:eastAsia="en-US"/>
        </w:rPr>
        <w:t>. (Accessed: 13 November 2022).</w:t>
      </w:r>
    </w:p>
    <w:p w14:paraId="11297EAC" w14:textId="77777777" w:rsidR="00181FCE" w:rsidRPr="00181FCE" w:rsidRDefault="00181FCE" w:rsidP="00181FCE">
      <w:pPr>
        <w:spacing w:after="160" w:line="360" w:lineRule="auto"/>
        <w:rPr>
          <w:rFonts w:ascii="Arial" w:eastAsia="Arial" w:hAnsi="Arial" w:cs="Arial"/>
          <w:sz w:val="24"/>
          <w:szCs w:val="24"/>
        </w:rPr>
      </w:pPr>
      <w:r w:rsidRPr="00181FCE">
        <w:rPr>
          <w:rFonts w:ascii="Arial" w:eastAsia="Arial" w:hAnsi="Arial" w:cs="Arial"/>
          <w:sz w:val="24"/>
          <w:szCs w:val="24"/>
        </w:rPr>
        <w:t xml:space="preserve">The Marketing Society (2021) </w:t>
      </w:r>
      <w:r w:rsidRPr="00181FCE">
        <w:rPr>
          <w:rFonts w:ascii="Arial" w:eastAsia="Arial" w:hAnsi="Arial" w:cs="Arial"/>
          <w:i/>
          <w:sz w:val="24"/>
          <w:szCs w:val="24"/>
        </w:rPr>
        <w:t xml:space="preserve">Recipe for success with Change4Life. </w:t>
      </w:r>
      <w:r w:rsidRPr="00181FCE">
        <w:rPr>
          <w:rFonts w:ascii="Arial" w:eastAsia="Arial" w:hAnsi="Arial" w:cs="Arial"/>
          <w:sz w:val="24"/>
          <w:szCs w:val="24"/>
        </w:rPr>
        <w:t xml:space="preserve">Available at: </w:t>
      </w:r>
      <w:hyperlink r:id="rId30">
        <w:r w:rsidRPr="00181FCE">
          <w:rPr>
            <w:rFonts w:ascii="Arial" w:eastAsia="Arial" w:hAnsi="Arial" w:cs="Arial"/>
            <w:color w:val="0000FF"/>
            <w:sz w:val="24"/>
            <w:szCs w:val="24"/>
            <w:u w:val="single"/>
          </w:rPr>
          <w:t>https://www.marketingsociety.com/the-library/recipe-success-change4life</w:t>
        </w:r>
      </w:hyperlink>
      <w:r w:rsidRPr="00181FCE">
        <w:rPr>
          <w:rFonts w:ascii="Arial" w:eastAsia="Arial" w:hAnsi="Arial" w:cs="Arial"/>
          <w:sz w:val="24"/>
          <w:szCs w:val="24"/>
        </w:rPr>
        <w:t>. (Accessed: 26 November 2022).</w:t>
      </w:r>
    </w:p>
    <w:p w14:paraId="7FED443A" w14:textId="77777777" w:rsidR="00181FCE" w:rsidRPr="00181FCE" w:rsidRDefault="00181FCE" w:rsidP="00181FCE">
      <w:pPr>
        <w:spacing w:after="160" w:line="360" w:lineRule="auto"/>
        <w:rPr>
          <w:rFonts w:ascii="Arial" w:eastAsia="Arial" w:hAnsi="Arial" w:cs="Arial"/>
          <w:sz w:val="24"/>
          <w:szCs w:val="24"/>
        </w:rPr>
      </w:pPr>
    </w:p>
    <w:p w14:paraId="4C5F6AAB" w14:textId="77777777" w:rsidR="00181FCE" w:rsidRPr="00181FCE" w:rsidRDefault="00181FCE" w:rsidP="00181FCE">
      <w:pPr>
        <w:spacing w:after="120" w:line="480" w:lineRule="auto"/>
        <w:ind w:left="720" w:hanging="720"/>
        <w:rPr>
          <w:rFonts w:ascii="Arial" w:eastAsia="Arial" w:hAnsi="Arial" w:cs="Arial"/>
          <w:sz w:val="24"/>
          <w:szCs w:val="24"/>
          <w:lang w:eastAsia="en-US"/>
        </w:rPr>
      </w:pPr>
      <w:bookmarkStart w:id="13" w:name="_Hlk120268002"/>
      <w:r w:rsidRPr="00181FCE">
        <w:rPr>
          <w:rFonts w:ascii="Arial" w:eastAsia="Arial" w:hAnsi="Arial" w:cs="Arial"/>
          <w:sz w:val="24"/>
          <w:szCs w:val="24"/>
          <w:lang w:eastAsia="en-US"/>
        </w:rPr>
        <w:t>Tonini</w:t>
      </w:r>
      <w:bookmarkEnd w:id="13"/>
      <w:r w:rsidRPr="00181FCE">
        <w:rPr>
          <w:rFonts w:ascii="Arial" w:eastAsia="Arial" w:hAnsi="Arial" w:cs="Arial"/>
          <w:sz w:val="24"/>
          <w:szCs w:val="24"/>
          <w:lang w:eastAsia="en-US"/>
        </w:rPr>
        <w:t xml:space="preserve">, D., </w:t>
      </w:r>
      <w:proofErr w:type="spellStart"/>
      <w:r w:rsidRPr="00181FCE">
        <w:rPr>
          <w:rFonts w:ascii="Arial" w:eastAsia="Arial" w:hAnsi="Arial" w:cs="Arial"/>
          <w:sz w:val="24"/>
          <w:szCs w:val="24"/>
          <w:lang w:eastAsia="en-US"/>
        </w:rPr>
        <w:t>Albizzati</w:t>
      </w:r>
      <w:proofErr w:type="spellEnd"/>
      <w:r w:rsidRPr="00181FCE">
        <w:rPr>
          <w:rFonts w:ascii="Arial" w:eastAsia="Arial" w:hAnsi="Arial" w:cs="Arial"/>
          <w:sz w:val="24"/>
          <w:szCs w:val="24"/>
          <w:lang w:eastAsia="en-US"/>
        </w:rPr>
        <w:t xml:space="preserve">, P. F., &amp; </w:t>
      </w:r>
      <w:proofErr w:type="spellStart"/>
      <w:r w:rsidRPr="00181FCE">
        <w:rPr>
          <w:rFonts w:ascii="Arial" w:eastAsia="Arial" w:hAnsi="Arial" w:cs="Arial"/>
          <w:sz w:val="24"/>
          <w:szCs w:val="24"/>
          <w:lang w:eastAsia="en-US"/>
        </w:rPr>
        <w:t>Astrup</w:t>
      </w:r>
      <w:proofErr w:type="spellEnd"/>
      <w:r w:rsidRPr="00181FCE">
        <w:rPr>
          <w:rFonts w:ascii="Arial" w:eastAsia="Arial" w:hAnsi="Arial" w:cs="Arial"/>
          <w:sz w:val="24"/>
          <w:szCs w:val="24"/>
          <w:lang w:eastAsia="en-US"/>
        </w:rPr>
        <w:t>, T. F. (2018) Environmental impacts of food waste: Learnings and challenges from a case study on UK. </w:t>
      </w:r>
      <w:r w:rsidRPr="00181FCE">
        <w:rPr>
          <w:rFonts w:ascii="Arial" w:eastAsia="Arial" w:hAnsi="Arial" w:cs="Arial"/>
          <w:i/>
          <w:iCs/>
          <w:sz w:val="24"/>
          <w:szCs w:val="24"/>
          <w:lang w:eastAsia="en-US"/>
        </w:rPr>
        <w:t>Waste Management</w:t>
      </w:r>
      <w:r w:rsidRPr="00181FCE">
        <w:rPr>
          <w:rFonts w:ascii="Arial" w:eastAsia="Arial" w:hAnsi="Arial" w:cs="Arial"/>
          <w:sz w:val="24"/>
          <w:szCs w:val="24"/>
          <w:lang w:eastAsia="en-US"/>
        </w:rPr>
        <w:t>, 76, pp.744-766.</w:t>
      </w:r>
    </w:p>
    <w:p w14:paraId="038BF6DE"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2B8A66D6"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r w:rsidRPr="00181FCE">
        <w:rPr>
          <w:rFonts w:ascii="Arial" w:eastAsia="Arial" w:hAnsi="Arial" w:cs="Arial"/>
          <w:color w:val="000000"/>
          <w:sz w:val="24"/>
          <w:szCs w:val="24"/>
        </w:rPr>
        <w:t xml:space="preserve">UK Parliament (2022) </w:t>
      </w:r>
      <w:r w:rsidRPr="00181FCE">
        <w:rPr>
          <w:rFonts w:ascii="Arial" w:eastAsia="Arial" w:hAnsi="Arial" w:cs="Arial"/>
          <w:i/>
          <w:color w:val="000000"/>
          <w:sz w:val="24"/>
          <w:szCs w:val="24"/>
        </w:rPr>
        <w:t>DWP Employment Support: Kickstart Scheme</w:t>
      </w:r>
      <w:r w:rsidRPr="00181FCE">
        <w:rPr>
          <w:rFonts w:ascii="Arial" w:eastAsia="Arial" w:hAnsi="Arial" w:cs="Arial"/>
          <w:color w:val="000000"/>
          <w:sz w:val="24"/>
          <w:szCs w:val="24"/>
        </w:rPr>
        <w:t xml:space="preserve">. London: House of Commons. Available at: </w:t>
      </w:r>
      <w:hyperlink r:id="rId31">
        <w:r w:rsidRPr="00181FCE">
          <w:rPr>
            <w:rFonts w:ascii="Arial" w:eastAsia="Arial" w:hAnsi="Arial" w:cs="Arial"/>
            <w:color w:val="0000FF"/>
            <w:sz w:val="24"/>
            <w:szCs w:val="24"/>
            <w:u w:val="single"/>
          </w:rPr>
          <w:t>https://committees.parliament.uk/publications/8955/documents/152476/default/</w:t>
        </w:r>
      </w:hyperlink>
      <w:r w:rsidRPr="00181FCE">
        <w:rPr>
          <w:rFonts w:ascii="Arial" w:eastAsia="Arial" w:hAnsi="Arial" w:cs="Arial"/>
          <w:color w:val="000000"/>
          <w:sz w:val="24"/>
          <w:szCs w:val="24"/>
        </w:rPr>
        <w:t xml:space="preserve"> (Accessed: 20 November 2022).</w:t>
      </w:r>
    </w:p>
    <w:p w14:paraId="7797DE74"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183E099F"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r w:rsidRPr="00181FCE">
        <w:rPr>
          <w:rFonts w:ascii="Arial" w:eastAsia="Arial" w:hAnsi="Arial" w:cs="Arial"/>
          <w:color w:val="000000"/>
          <w:sz w:val="24"/>
          <w:szCs w:val="24"/>
        </w:rPr>
        <w:t xml:space="preserve">United Nations (2015) </w:t>
      </w:r>
      <w:r w:rsidRPr="00181FCE">
        <w:rPr>
          <w:rFonts w:ascii="Arial" w:eastAsia="Arial" w:hAnsi="Arial" w:cs="Arial"/>
          <w:i/>
          <w:color w:val="000000"/>
          <w:sz w:val="24"/>
          <w:szCs w:val="24"/>
        </w:rPr>
        <w:t>The 17 Goals</w:t>
      </w:r>
      <w:r w:rsidRPr="00181FCE">
        <w:rPr>
          <w:rFonts w:ascii="Arial" w:eastAsia="Arial" w:hAnsi="Arial" w:cs="Arial"/>
          <w:color w:val="000000"/>
          <w:sz w:val="24"/>
          <w:szCs w:val="24"/>
        </w:rPr>
        <w:t>. United Nations. Available at: https://sdgs.un.org/goals (Accessed: 20 November 2022).</w:t>
      </w:r>
    </w:p>
    <w:p w14:paraId="1F03C772"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p>
    <w:p w14:paraId="6F071A1B" w14:textId="77777777" w:rsidR="00181FCE" w:rsidRPr="00181FCE" w:rsidRDefault="00181FCE" w:rsidP="00181FCE">
      <w:pPr>
        <w:spacing w:after="120" w:line="480" w:lineRule="auto"/>
        <w:ind w:left="720" w:hanging="720"/>
        <w:rPr>
          <w:rFonts w:ascii="Arial" w:eastAsia="Arial" w:hAnsi="Arial" w:cs="Arial"/>
          <w:sz w:val="24"/>
          <w:szCs w:val="24"/>
          <w:lang w:val="en-US" w:eastAsia="en-US"/>
        </w:rPr>
      </w:pPr>
      <w:bookmarkStart w:id="14" w:name="_Hlk120268947"/>
      <w:r w:rsidRPr="00181FCE">
        <w:rPr>
          <w:rFonts w:ascii="Arial" w:eastAsia="Arial" w:hAnsi="Arial" w:cs="Arial"/>
          <w:sz w:val="24"/>
          <w:szCs w:val="24"/>
          <w:lang w:val="en-US" w:eastAsia="en-US"/>
        </w:rPr>
        <w:t>United Nations. (n.d.).</w:t>
      </w:r>
      <w:bookmarkEnd w:id="14"/>
      <w:r w:rsidRPr="00181FCE">
        <w:rPr>
          <w:rFonts w:ascii="Arial" w:eastAsia="Arial" w:hAnsi="Arial" w:cs="Arial"/>
          <w:sz w:val="24"/>
          <w:szCs w:val="24"/>
          <w:lang w:val="en-US" w:eastAsia="en-US"/>
        </w:rPr>
        <w:t xml:space="preserve"> </w:t>
      </w:r>
      <w:r w:rsidRPr="00181FCE">
        <w:rPr>
          <w:rFonts w:ascii="Arial" w:eastAsia="Arial" w:hAnsi="Arial" w:cs="Arial"/>
          <w:i/>
          <w:iCs/>
          <w:sz w:val="24"/>
          <w:szCs w:val="24"/>
          <w:lang w:val="en-US" w:eastAsia="en-US"/>
        </w:rPr>
        <w:t>Goal 2: Zero Hunger - United Nations Sustainable Development</w:t>
      </w:r>
      <w:r w:rsidRPr="00181FCE">
        <w:rPr>
          <w:rFonts w:ascii="Arial" w:eastAsia="Arial" w:hAnsi="Arial" w:cs="Arial"/>
          <w:sz w:val="24"/>
          <w:szCs w:val="24"/>
          <w:lang w:val="en-US" w:eastAsia="en-US"/>
        </w:rPr>
        <w:t xml:space="preserve">. United Nations. Retrieved November 25, 2022, from </w:t>
      </w:r>
      <w:hyperlink r:id="rId32" w:history="1">
        <w:r w:rsidRPr="00181FCE">
          <w:rPr>
            <w:rFonts w:ascii="Arial" w:eastAsia="Arial" w:hAnsi="Arial" w:cs="Arial"/>
            <w:color w:val="0563C1" w:themeColor="hyperlink"/>
            <w:sz w:val="24"/>
            <w:szCs w:val="24"/>
            <w:u w:val="single"/>
            <w:lang w:val="en-US" w:eastAsia="en-US"/>
          </w:rPr>
          <w:t>https://www.un.org/sustainabledevelopment/hunger/</w:t>
        </w:r>
      </w:hyperlink>
      <w:r w:rsidRPr="00181FCE">
        <w:rPr>
          <w:rFonts w:ascii="Arial" w:eastAsia="Arial" w:hAnsi="Arial" w:cs="Arial"/>
          <w:sz w:val="24"/>
          <w:szCs w:val="24"/>
          <w:lang w:val="en-US" w:eastAsia="en-US"/>
        </w:rPr>
        <w:t xml:space="preserve"> </w:t>
      </w:r>
    </w:p>
    <w:p w14:paraId="7E8178C3" w14:textId="77777777" w:rsidR="00181FCE" w:rsidRPr="00181FCE" w:rsidRDefault="00181FCE" w:rsidP="00181FCE">
      <w:pPr>
        <w:spacing w:after="120" w:line="480" w:lineRule="auto"/>
        <w:ind w:left="720" w:hanging="720"/>
        <w:rPr>
          <w:rFonts w:ascii="Arial" w:eastAsia="Arial" w:hAnsi="Arial" w:cs="Arial"/>
          <w:sz w:val="24"/>
          <w:szCs w:val="24"/>
          <w:lang w:val="en-US" w:eastAsia="en-US"/>
        </w:rPr>
      </w:pPr>
    </w:p>
    <w:p w14:paraId="4802D3E4" w14:textId="77777777" w:rsidR="00181FCE" w:rsidRPr="00181FCE" w:rsidRDefault="00181FCE" w:rsidP="00181FCE">
      <w:pPr>
        <w:spacing w:after="160" w:line="360" w:lineRule="auto"/>
        <w:rPr>
          <w:rFonts w:ascii="Arial" w:eastAsia="Arial" w:hAnsi="Arial" w:cs="Arial"/>
          <w:sz w:val="24"/>
          <w:szCs w:val="24"/>
        </w:rPr>
      </w:pPr>
      <w:r w:rsidRPr="00181FCE">
        <w:rPr>
          <w:rFonts w:ascii="Arial" w:eastAsia="Arial" w:hAnsi="Arial" w:cs="Arial"/>
          <w:sz w:val="24"/>
          <w:szCs w:val="24"/>
        </w:rPr>
        <w:t xml:space="preserve">United Nations (2021) </w:t>
      </w:r>
      <w:r w:rsidRPr="00181FCE">
        <w:rPr>
          <w:rFonts w:ascii="Arial" w:eastAsia="Arial" w:hAnsi="Arial" w:cs="Arial"/>
          <w:i/>
          <w:sz w:val="24"/>
          <w:szCs w:val="24"/>
        </w:rPr>
        <w:t>Goal 3 | Department of Economic and Social Affairs.</w:t>
      </w:r>
      <w:r w:rsidRPr="00181FCE">
        <w:rPr>
          <w:rFonts w:ascii="Arial" w:eastAsia="Arial" w:hAnsi="Arial" w:cs="Arial"/>
          <w:sz w:val="24"/>
          <w:szCs w:val="24"/>
        </w:rPr>
        <w:t xml:space="preserve"> Available at: </w:t>
      </w:r>
      <w:hyperlink r:id="rId33">
        <w:r w:rsidRPr="00181FCE">
          <w:rPr>
            <w:rFonts w:ascii="Arial" w:eastAsia="Arial" w:hAnsi="Arial" w:cs="Arial"/>
            <w:color w:val="0000FF"/>
            <w:sz w:val="24"/>
            <w:szCs w:val="24"/>
            <w:u w:val="single"/>
          </w:rPr>
          <w:t>https://sdgs.un.org/goals/goal3</w:t>
        </w:r>
      </w:hyperlink>
      <w:r w:rsidRPr="00181FCE">
        <w:rPr>
          <w:rFonts w:ascii="Arial" w:eastAsia="Arial" w:hAnsi="Arial" w:cs="Arial"/>
          <w:sz w:val="24"/>
          <w:szCs w:val="24"/>
        </w:rPr>
        <w:t xml:space="preserve">. (Accessed: 27 November 2022). </w:t>
      </w:r>
    </w:p>
    <w:p w14:paraId="2F879FD4" w14:textId="77777777" w:rsidR="00181FCE" w:rsidRPr="00181FCE" w:rsidRDefault="00181FCE" w:rsidP="00181FCE">
      <w:pPr>
        <w:spacing w:after="160" w:line="360" w:lineRule="auto"/>
        <w:rPr>
          <w:rFonts w:ascii="Arial" w:eastAsia="Arial" w:hAnsi="Arial" w:cs="Arial"/>
          <w:sz w:val="24"/>
          <w:szCs w:val="24"/>
        </w:rPr>
      </w:pPr>
    </w:p>
    <w:p w14:paraId="010B653B"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r w:rsidRPr="00181FCE">
        <w:rPr>
          <w:rFonts w:ascii="Arial" w:eastAsia="Arial" w:hAnsi="Arial" w:cs="Arial"/>
          <w:color w:val="000000"/>
          <w:sz w:val="24"/>
          <w:szCs w:val="24"/>
        </w:rPr>
        <w:t xml:space="preserve">United Nations (2018) </w:t>
      </w:r>
      <w:r w:rsidRPr="00181FCE">
        <w:rPr>
          <w:rFonts w:ascii="Arial" w:eastAsia="Arial" w:hAnsi="Arial" w:cs="Arial"/>
          <w:i/>
          <w:color w:val="000000"/>
          <w:sz w:val="24"/>
          <w:szCs w:val="24"/>
        </w:rPr>
        <w:t>The Global Goals</w:t>
      </w:r>
      <w:r w:rsidRPr="00181FCE">
        <w:rPr>
          <w:rFonts w:ascii="Arial" w:eastAsia="Arial" w:hAnsi="Arial" w:cs="Arial"/>
          <w:color w:val="000000"/>
          <w:sz w:val="24"/>
          <w:szCs w:val="24"/>
        </w:rPr>
        <w:t xml:space="preserve">. The Global Goals. Available at: </w:t>
      </w:r>
      <w:hyperlink r:id="rId34">
        <w:r w:rsidRPr="00181FCE">
          <w:rPr>
            <w:rFonts w:ascii="Arial" w:eastAsia="Arial" w:hAnsi="Arial" w:cs="Arial"/>
            <w:color w:val="0000FF"/>
            <w:sz w:val="24"/>
            <w:szCs w:val="24"/>
            <w:u w:val="single"/>
          </w:rPr>
          <w:t>https://www.globalgoals.org/</w:t>
        </w:r>
      </w:hyperlink>
      <w:r w:rsidRPr="00181FCE">
        <w:rPr>
          <w:rFonts w:ascii="Arial" w:eastAsia="Arial" w:hAnsi="Arial" w:cs="Arial"/>
          <w:color w:val="000000"/>
          <w:sz w:val="24"/>
          <w:szCs w:val="24"/>
        </w:rPr>
        <w:t xml:space="preserve">. (Accessed: 27 November 2022). </w:t>
      </w:r>
    </w:p>
    <w:p w14:paraId="2D373A6A" w14:textId="77777777" w:rsidR="00181FCE" w:rsidRPr="00181FCE" w:rsidRDefault="00181FCE" w:rsidP="00181FCE">
      <w:pPr>
        <w:spacing w:after="120" w:line="480" w:lineRule="auto"/>
        <w:ind w:left="720" w:hanging="720"/>
        <w:rPr>
          <w:rFonts w:ascii="Arial" w:eastAsia="Arial" w:hAnsi="Arial" w:cs="Arial"/>
          <w:sz w:val="24"/>
          <w:szCs w:val="24"/>
          <w:lang w:val="en-US" w:eastAsia="en-US"/>
        </w:rPr>
      </w:pPr>
    </w:p>
    <w:p w14:paraId="3AC8ADE8" w14:textId="77777777" w:rsidR="00181FCE" w:rsidRPr="00181FCE" w:rsidRDefault="00181FCE" w:rsidP="00181FCE">
      <w:pPr>
        <w:spacing w:after="120" w:line="480" w:lineRule="auto"/>
        <w:ind w:left="720" w:hanging="720"/>
        <w:rPr>
          <w:rFonts w:ascii="Arial" w:eastAsia="Arial" w:hAnsi="Arial" w:cs="Arial"/>
          <w:sz w:val="24"/>
          <w:szCs w:val="24"/>
          <w:lang w:eastAsia="en-US"/>
        </w:rPr>
      </w:pPr>
      <w:r w:rsidRPr="00181FCE">
        <w:rPr>
          <w:rFonts w:ascii="Arial" w:eastAsia="Arial" w:hAnsi="Arial" w:cs="Arial"/>
          <w:sz w:val="24"/>
          <w:szCs w:val="24"/>
          <w:lang w:eastAsia="en-US"/>
        </w:rPr>
        <w:t xml:space="preserve">White, J., </w:t>
      </w:r>
      <w:proofErr w:type="spellStart"/>
      <w:r w:rsidRPr="00181FCE">
        <w:rPr>
          <w:rFonts w:ascii="Arial" w:eastAsia="Arial" w:hAnsi="Arial" w:cs="Arial"/>
          <w:sz w:val="24"/>
          <w:szCs w:val="24"/>
          <w:lang w:eastAsia="en-US"/>
        </w:rPr>
        <w:t>Fluharty</w:t>
      </w:r>
      <w:proofErr w:type="spellEnd"/>
      <w:r w:rsidRPr="00181FCE">
        <w:rPr>
          <w:rFonts w:ascii="Arial" w:eastAsia="Arial" w:hAnsi="Arial" w:cs="Arial"/>
          <w:sz w:val="24"/>
          <w:szCs w:val="24"/>
          <w:lang w:eastAsia="en-US"/>
        </w:rPr>
        <w:t xml:space="preserve">, M., de </w:t>
      </w:r>
      <w:proofErr w:type="spellStart"/>
      <w:r w:rsidRPr="00181FCE">
        <w:rPr>
          <w:rFonts w:ascii="Arial" w:eastAsia="Arial" w:hAnsi="Arial" w:cs="Arial"/>
          <w:sz w:val="24"/>
          <w:szCs w:val="24"/>
          <w:lang w:eastAsia="en-US"/>
        </w:rPr>
        <w:t>Groot</w:t>
      </w:r>
      <w:proofErr w:type="spellEnd"/>
      <w:r w:rsidRPr="00181FCE">
        <w:rPr>
          <w:rFonts w:ascii="Arial" w:eastAsia="Arial" w:hAnsi="Arial" w:cs="Arial"/>
          <w:sz w:val="24"/>
          <w:szCs w:val="24"/>
          <w:lang w:eastAsia="en-US"/>
        </w:rPr>
        <w:t>, R., Bell, S., &amp; Batty, G. D. (2022) Mortality among rough sleepers, squatters, residents of homeless shelters or hotels and sofa-surfers: a pooled analysis of UK birth cohorts. </w:t>
      </w:r>
      <w:r w:rsidRPr="00181FCE">
        <w:rPr>
          <w:rFonts w:ascii="Arial" w:eastAsia="Arial" w:hAnsi="Arial" w:cs="Arial"/>
          <w:i/>
          <w:iCs/>
          <w:sz w:val="24"/>
          <w:szCs w:val="24"/>
          <w:lang w:eastAsia="en-US"/>
        </w:rPr>
        <w:t>International journal of epidemiology</w:t>
      </w:r>
      <w:r w:rsidRPr="00181FCE">
        <w:rPr>
          <w:rFonts w:ascii="Arial" w:eastAsia="Arial" w:hAnsi="Arial" w:cs="Arial"/>
          <w:sz w:val="24"/>
          <w:szCs w:val="24"/>
          <w:lang w:eastAsia="en-US"/>
        </w:rPr>
        <w:t>, 51(3), pp.839-846.</w:t>
      </w:r>
    </w:p>
    <w:p w14:paraId="3FC46181"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6BDD6747" w14:textId="77777777" w:rsidR="00181FCE" w:rsidRPr="00181FCE" w:rsidRDefault="00181FCE" w:rsidP="00181FCE">
      <w:pPr>
        <w:spacing w:after="120" w:line="480" w:lineRule="auto"/>
        <w:ind w:left="720" w:hanging="720"/>
        <w:rPr>
          <w:rFonts w:ascii="Arial" w:eastAsia="Arial" w:hAnsi="Arial" w:cs="Arial"/>
          <w:sz w:val="24"/>
          <w:szCs w:val="24"/>
          <w:lang w:eastAsia="en-US"/>
        </w:rPr>
      </w:pPr>
      <w:r w:rsidRPr="00181FCE">
        <w:rPr>
          <w:rFonts w:ascii="Arial" w:eastAsia="Arial" w:hAnsi="Arial" w:cs="Arial"/>
          <w:sz w:val="24"/>
          <w:szCs w:val="24"/>
          <w:lang w:eastAsia="en-US"/>
        </w:rPr>
        <w:t>Wilson, W., &amp; Barton, C. (2018) Rough Sleeping (England). </w:t>
      </w:r>
      <w:r w:rsidRPr="00181FCE">
        <w:rPr>
          <w:rFonts w:ascii="Arial" w:eastAsia="Arial" w:hAnsi="Arial" w:cs="Arial"/>
          <w:i/>
          <w:iCs/>
          <w:sz w:val="24"/>
          <w:szCs w:val="24"/>
          <w:lang w:eastAsia="en-US"/>
        </w:rPr>
        <w:t xml:space="preserve">London: House of Commons </w:t>
      </w:r>
      <w:proofErr w:type="spellStart"/>
      <w:r w:rsidRPr="00181FCE">
        <w:rPr>
          <w:rFonts w:ascii="Arial" w:eastAsia="Arial" w:hAnsi="Arial" w:cs="Arial"/>
          <w:i/>
          <w:iCs/>
          <w:sz w:val="24"/>
          <w:szCs w:val="24"/>
          <w:lang w:eastAsia="en-US"/>
        </w:rPr>
        <w:t>Libray</w:t>
      </w:r>
      <w:proofErr w:type="spellEnd"/>
      <w:r w:rsidRPr="00181FCE">
        <w:rPr>
          <w:rFonts w:ascii="Arial" w:eastAsia="Arial" w:hAnsi="Arial" w:cs="Arial"/>
          <w:i/>
          <w:iCs/>
          <w:sz w:val="24"/>
          <w:szCs w:val="24"/>
          <w:lang w:eastAsia="en-US"/>
        </w:rPr>
        <w:t xml:space="preserve"> Briefing Paper </w:t>
      </w:r>
      <w:proofErr w:type="spellStart"/>
      <w:r w:rsidRPr="00181FCE">
        <w:rPr>
          <w:rFonts w:ascii="Arial" w:eastAsia="Arial" w:hAnsi="Arial" w:cs="Arial"/>
          <w:i/>
          <w:iCs/>
          <w:sz w:val="24"/>
          <w:szCs w:val="24"/>
          <w:lang w:eastAsia="en-US"/>
        </w:rPr>
        <w:t>researchbriefings</w:t>
      </w:r>
      <w:proofErr w:type="spellEnd"/>
      <w:r w:rsidRPr="00181FCE">
        <w:rPr>
          <w:rFonts w:ascii="Arial" w:eastAsia="Arial" w:hAnsi="Arial" w:cs="Arial"/>
          <w:i/>
          <w:iCs/>
          <w:sz w:val="24"/>
          <w:szCs w:val="24"/>
          <w:lang w:eastAsia="en-US"/>
        </w:rPr>
        <w:t>. files. parliament. uk/documents/SN02007/SN02007. pdf</w:t>
      </w:r>
      <w:r w:rsidRPr="00181FCE">
        <w:rPr>
          <w:rFonts w:ascii="Arial" w:eastAsia="Arial" w:hAnsi="Arial" w:cs="Arial"/>
          <w:sz w:val="24"/>
          <w:szCs w:val="24"/>
          <w:lang w:eastAsia="en-US"/>
        </w:rPr>
        <w:t>.</w:t>
      </w:r>
    </w:p>
    <w:p w14:paraId="27D011B2" w14:textId="77777777" w:rsidR="00181FCE" w:rsidRPr="00181FCE" w:rsidRDefault="00181FCE" w:rsidP="00181FCE">
      <w:pPr>
        <w:spacing w:after="120" w:line="480" w:lineRule="auto"/>
        <w:ind w:left="720" w:hanging="720"/>
        <w:rPr>
          <w:rFonts w:ascii="Arial" w:eastAsia="Arial" w:hAnsi="Arial" w:cs="Arial"/>
          <w:sz w:val="24"/>
          <w:szCs w:val="24"/>
          <w:lang w:eastAsia="en-US"/>
        </w:rPr>
      </w:pPr>
    </w:p>
    <w:p w14:paraId="744399BA" w14:textId="77777777" w:rsidR="00181FCE" w:rsidRPr="00181FCE" w:rsidRDefault="00181FCE" w:rsidP="00181FCE">
      <w:pPr>
        <w:pBdr>
          <w:top w:val="nil"/>
          <w:left w:val="nil"/>
          <w:bottom w:val="nil"/>
          <w:right w:val="nil"/>
          <w:between w:val="nil"/>
        </w:pBdr>
        <w:spacing w:after="240" w:line="360" w:lineRule="auto"/>
        <w:rPr>
          <w:rFonts w:ascii="Arial" w:eastAsia="Arial" w:hAnsi="Arial" w:cs="Arial"/>
          <w:color w:val="000000"/>
          <w:sz w:val="24"/>
          <w:szCs w:val="24"/>
        </w:rPr>
      </w:pPr>
      <w:r w:rsidRPr="00181FCE">
        <w:rPr>
          <w:rFonts w:ascii="Arial" w:eastAsia="Arial" w:hAnsi="Arial" w:cs="Arial"/>
          <w:color w:val="000000"/>
          <w:sz w:val="24"/>
          <w:szCs w:val="24"/>
        </w:rPr>
        <w:t xml:space="preserve">World Health </w:t>
      </w:r>
      <w:proofErr w:type="spellStart"/>
      <w:r w:rsidRPr="00181FCE">
        <w:rPr>
          <w:rFonts w:ascii="Arial" w:eastAsia="Arial" w:hAnsi="Arial" w:cs="Arial"/>
          <w:color w:val="000000"/>
          <w:sz w:val="24"/>
          <w:szCs w:val="24"/>
        </w:rPr>
        <w:t>Organization</w:t>
      </w:r>
      <w:proofErr w:type="spellEnd"/>
      <w:r w:rsidRPr="00181FCE">
        <w:rPr>
          <w:rFonts w:ascii="Arial" w:eastAsia="Arial" w:hAnsi="Arial" w:cs="Arial"/>
          <w:color w:val="000000"/>
          <w:sz w:val="24"/>
          <w:szCs w:val="24"/>
        </w:rPr>
        <w:t xml:space="preserve"> (2018) </w:t>
      </w:r>
      <w:r w:rsidRPr="00181FCE">
        <w:rPr>
          <w:rFonts w:ascii="Arial" w:eastAsia="Arial" w:hAnsi="Arial" w:cs="Arial"/>
          <w:i/>
          <w:color w:val="000000"/>
          <w:sz w:val="24"/>
          <w:szCs w:val="24"/>
        </w:rPr>
        <w:t>Millennium Development Goals (MDGs)</w:t>
      </w:r>
      <w:r w:rsidRPr="00181FCE">
        <w:rPr>
          <w:rFonts w:ascii="Arial" w:eastAsia="Arial" w:hAnsi="Arial" w:cs="Arial"/>
          <w:color w:val="000000"/>
          <w:sz w:val="24"/>
          <w:szCs w:val="24"/>
        </w:rPr>
        <w:t xml:space="preserve">. Available at: </w:t>
      </w:r>
      <w:hyperlink r:id="rId35">
        <w:r w:rsidRPr="00181FCE">
          <w:rPr>
            <w:rFonts w:ascii="Arial" w:eastAsia="Arial" w:hAnsi="Arial" w:cs="Arial"/>
            <w:color w:val="0000FF"/>
            <w:sz w:val="24"/>
            <w:szCs w:val="24"/>
            <w:u w:val="single"/>
          </w:rPr>
          <w:t>https://www.who.int/news-room/fact-sheets/detail/millennium-development-goals-(mdgs)</w:t>
        </w:r>
      </w:hyperlink>
      <w:r w:rsidRPr="00181FCE">
        <w:rPr>
          <w:rFonts w:ascii="Arial" w:eastAsia="Arial" w:hAnsi="Arial" w:cs="Arial"/>
          <w:color w:val="000000"/>
          <w:sz w:val="24"/>
          <w:szCs w:val="24"/>
        </w:rPr>
        <w:t xml:space="preserve">. (Accessed: 26 November 2022). </w:t>
      </w:r>
    </w:p>
    <w:p w14:paraId="606D5A06" w14:textId="77777777" w:rsidR="00181FCE" w:rsidRPr="00181FCE" w:rsidRDefault="00181FCE" w:rsidP="00181FCE">
      <w:pPr>
        <w:spacing w:after="120" w:line="480" w:lineRule="auto"/>
        <w:rPr>
          <w:rFonts w:ascii="Arial" w:eastAsia="Arial" w:hAnsi="Arial" w:cs="Arial"/>
          <w:sz w:val="24"/>
          <w:szCs w:val="24"/>
          <w:lang w:val="en-US" w:eastAsia="en-US"/>
        </w:rPr>
      </w:pPr>
    </w:p>
    <w:p w14:paraId="5E236FEB" w14:textId="77777777" w:rsidR="00181FCE" w:rsidRPr="00181FCE" w:rsidRDefault="00181FCE" w:rsidP="00181FCE">
      <w:pPr>
        <w:spacing w:after="120" w:line="480" w:lineRule="auto"/>
        <w:ind w:left="720" w:hanging="720"/>
        <w:rPr>
          <w:rFonts w:ascii="Arial" w:eastAsia="Arial" w:hAnsi="Arial" w:cs="Arial"/>
          <w:sz w:val="24"/>
          <w:szCs w:val="24"/>
          <w:lang w:eastAsia="en-US"/>
        </w:rPr>
      </w:pPr>
      <w:r w:rsidRPr="00181FCE">
        <w:rPr>
          <w:rFonts w:ascii="Arial" w:eastAsia="Arial" w:hAnsi="Arial" w:cs="Arial"/>
          <w:sz w:val="24"/>
          <w:szCs w:val="24"/>
          <w:lang w:eastAsia="en-US"/>
        </w:rPr>
        <w:t xml:space="preserve">World Bank Group. (2022, September 16)  </w:t>
      </w:r>
      <w:r w:rsidRPr="00181FCE">
        <w:rPr>
          <w:rFonts w:ascii="Arial" w:eastAsia="Arial" w:hAnsi="Arial" w:cs="Arial"/>
          <w:i/>
          <w:sz w:val="24"/>
          <w:szCs w:val="24"/>
          <w:lang w:eastAsia="en-US"/>
        </w:rPr>
        <w:t>Fact sheet: An adjustment to global poverty lines</w:t>
      </w:r>
      <w:r w:rsidRPr="00181FCE">
        <w:rPr>
          <w:rFonts w:ascii="Arial" w:eastAsia="Arial" w:hAnsi="Arial" w:cs="Arial"/>
          <w:sz w:val="24"/>
          <w:szCs w:val="24"/>
          <w:lang w:eastAsia="en-US"/>
        </w:rPr>
        <w:t xml:space="preserve">. World Bank. Retrieved November 20, 2022, from https://www.worldbank.org/en/news/factsheet/2022/05/02/fact-sheet-an-adjustment-to-global-poverty-lines#:~:text=That's%20why%20in%20September%202022,at%20%242.15%20using%202017%20prices. </w:t>
      </w:r>
    </w:p>
    <w:p w14:paraId="69C3AEBA" w14:textId="77777777" w:rsidR="00181FCE" w:rsidRDefault="00181FCE"/>
    <w:sectPr w:rsidR="00181F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FCE"/>
    <w:rsid w:val="00181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0FB9F6"/>
  <w15:chartTrackingRefBased/>
  <w15:docId w15:val="{A7F4E845-E8DC-FC44-B42B-89ED458A3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1F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more-than-19000-jobs-created-by-kickstart-scheme-so-far" TargetMode="External"/><Relationship Id="rId18" Type="http://schemas.openxmlformats.org/officeDocument/2006/relationships/hyperlink" Target="https://www.london.gov.uk/sites/default/files/ulez_evaluation_report_2020-v8_finalfinal.pdf" TargetMode="External"/><Relationship Id="rId26" Type="http://schemas.openxmlformats.org/officeDocument/2006/relationships/hyperlink" Target="https://www.gov.uk/government/collections/kickstart-scheme" TargetMode="External"/><Relationship Id="rId21" Type="http://schemas.openxmlformats.org/officeDocument/2006/relationships/hyperlink" Target="https://www.theguardian.com/society/2021/feb/25/rough-sleepers-england-covid-pandemic-homelessness" TargetMode="External"/><Relationship Id="rId34" Type="http://schemas.openxmlformats.org/officeDocument/2006/relationships/hyperlink" Target="https://www.globalgoals.org/" TargetMode="External"/><Relationship Id="rId7" Type="http://schemas.openxmlformats.org/officeDocument/2006/relationships/hyperlink" Target="https://doi.org/10.1017/S1368980020004991" TargetMode="External"/><Relationship Id="rId12" Type="http://schemas.openxmlformats.org/officeDocument/2006/relationships/hyperlink" Target="https://commonslibrary.parliament.uk/research-briefings/sn07096/" TargetMode="External"/><Relationship Id="rId17" Type="http://schemas.openxmlformats.org/officeDocument/2006/relationships/hyperlink" Target="https://www.bristol.ac.uk/media-library/sites/sps/migrated/documents/executivesummary1.pdf" TargetMode="External"/><Relationship Id="rId25" Type="http://schemas.openxmlformats.org/officeDocument/2006/relationships/hyperlink" Target="https://www.worldvision.org/sponsorship-news-stories/global-poverty-facts" TargetMode="External"/><Relationship Id="rId33" Type="http://schemas.openxmlformats.org/officeDocument/2006/relationships/hyperlink" Target="https://sdgs.un.org/goals/goal3" TargetMode="External"/><Relationship Id="rId2" Type="http://schemas.openxmlformats.org/officeDocument/2006/relationships/settings" Target="settings.xml"/><Relationship Id="rId16" Type="http://schemas.openxmlformats.org/officeDocument/2006/relationships/hyperlink" Target="https://www.ons.gov.uk/economy/inflationandpriceindices/bulletins/indexofprivatehousingrentalprices/august2021" TargetMode="External"/><Relationship Id="rId20" Type="http://schemas.openxmlformats.org/officeDocument/2006/relationships/hyperlink" Target="https://www.democraticaudit.com/2016/12/16/fat-shaming-change4lifes-anti-obesity-nudge-campaign-glosses-over-social-inequalities/" TargetMode="External"/><Relationship Id="rId29" Type="http://schemas.openxmlformats.org/officeDocument/2006/relationships/hyperlink" Target="https://foodfoundation.org.uk/initiatives/food-insecurity-tracking" TargetMode="External"/><Relationship Id="rId1" Type="http://schemas.openxmlformats.org/officeDocument/2006/relationships/styles" Target="styles.xml"/><Relationship Id="rId6" Type="http://schemas.openxmlformats.org/officeDocument/2006/relationships/hyperlink" Target="https://green-alliance.org.uk/wp-content/uploads/2021/11/The_case_for_clean_air_zones.pdf" TargetMode="External"/><Relationship Id="rId11" Type="http://schemas.openxmlformats.org/officeDocument/2006/relationships/hyperlink" Target="https://view.officeapps.live.com/op/view.aspx?src=https%3A%2F%2Fwww.equalityhumanrights.com%2Fsites%2Fdefault%2Ffiles%2Fconsultation-response-dwp-health-and-disability-green-paper.docx&amp;wdOrigin=BROWSELINK" TargetMode="External"/><Relationship Id="rId24" Type="http://schemas.openxmlformats.org/officeDocument/2006/relationships/hyperlink" Target="https://www.theguardian.com/business/2022/feb/09/soaring-uk-demand-for-rented-homes-pushes-cost-to-near-1000" TargetMode="External"/><Relationship Id="rId32" Type="http://schemas.openxmlformats.org/officeDocument/2006/relationships/hyperlink" Target="https://www.un.org/sustainabledevelopment/hunger/" TargetMode="External"/><Relationship Id="rId37" Type="http://schemas.openxmlformats.org/officeDocument/2006/relationships/theme" Target="theme/theme1.xml"/><Relationship Id="rId5" Type="http://schemas.openxmlformats.org/officeDocument/2006/relationships/hyperlink" Target="https://www.bbc.co.uk/news/uk-40726868" TargetMode="External"/><Relationship Id="rId15" Type="http://schemas.openxmlformats.org/officeDocument/2006/relationships/hyperlink" Target="https://www.gov.uk/government/publications/implementing-the-sustainable-development-goals/implementing-the-sustainable-development-goals--2" TargetMode="External"/><Relationship Id="rId23" Type="http://schemas.openxmlformats.org/officeDocument/2006/relationships/hyperlink" Target="https://www.ons.gov.uk/employmentandlabourmarket/peoplenotinwork/unemployment" TargetMode="External"/><Relationship Id="rId28" Type="http://schemas.openxmlformats.org/officeDocument/2006/relationships/hyperlink" Target="https://www.sustainweb.org/news/may19_thousands_miss_healthy_start_vouchers/" TargetMode="External"/><Relationship Id="rId36" Type="http://schemas.openxmlformats.org/officeDocument/2006/relationships/fontTable" Target="fontTable.xml"/><Relationship Id="rId10" Type="http://schemas.openxmlformats.org/officeDocument/2006/relationships/hyperlink" Target="https://assets.publishing.service.gov.uk/government/uploads/system/uploads/attachment_data/file/999342/equality-analysis-for-the-kickstart-scheme.pdf" TargetMode="External"/><Relationship Id="rId19" Type="http://schemas.openxmlformats.org/officeDocument/2006/relationships/hyperlink" Target="https://bmcpublichealth.biomedcentral.com/articles/10.1186/1471-2458-14-148" TargetMode="External"/><Relationship Id="rId31" Type="http://schemas.openxmlformats.org/officeDocument/2006/relationships/hyperlink" Target="https://committees.parliament.uk/publications/8955/documents/152476/default/" TargetMode="External"/><Relationship Id="rId4" Type="http://schemas.openxmlformats.org/officeDocument/2006/relationships/image" Target="media/image1.png"/><Relationship Id="rId9" Type="http://schemas.openxmlformats.org/officeDocument/2006/relationships/hyperlink" Target="https://www.ons.gov.uk/economy/nationalaccounts/uksectoraccounts/articles/coronavirusandtheimpactonukhouseholdsandbusinesses/2020" TargetMode="External"/><Relationship Id="rId14" Type="http://schemas.openxmlformats.org/officeDocument/2006/relationships/hyperlink" Target="https://www.health-ni.gov.uk/articles/healthy-start-scheme" TargetMode="External"/><Relationship Id="rId22" Type="http://schemas.openxmlformats.org/officeDocument/2006/relationships/hyperlink" Target="https://www.ncbi.nlm.nih.gov/pmc/articles/PMC2993974/.(Accessed" TargetMode="External"/><Relationship Id="rId27" Type="http://schemas.openxmlformats.org/officeDocument/2006/relationships/hyperlink" Target="https://assets.publishing.service.gov.uk/government/uploads/system/uploads/attachment_data/file/1016653/National_Child_Measurement_Programme_operational_guidance_2021.pdf" TargetMode="External"/><Relationship Id="rId30" Type="http://schemas.openxmlformats.org/officeDocument/2006/relationships/hyperlink" Target="https://www.marketingsociety.com/the-library/recipe-success-change4life" TargetMode="External"/><Relationship Id="rId35" Type="http://schemas.openxmlformats.org/officeDocument/2006/relationships/hyperlink" Target="https://www.who.int/news-room/fact-sheets/detail/millennium-development-goals-(mdgs)" TargetMode="External"/><Relationship Id="rId8" Type="http://schemas.openxmlformats.org/officeDocument/2006/relationships/hyperlink" Target="https://www.ons.gov.uk/peoplepopulationandcommunity/personalandhouseholdfinances/incomeandwealth/bulletins/householddisposableincomeandinequality/financialyearending2021"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6788</Words>
  <Characters>38698</Characters>
  <Application>Microsoft Office Word</Application>
  <DocSecurity>0</DocSecurity>
  <Lines>322</Lines>
  <Paragraphs>90</Paragraphs>
  <ScaleCrop>false</ScaleCrop>
  <Company/>
  <LinksUpToDate>false</LinksUpToDate>
  <CharactersWithSpaces>45396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rifna begum</dc:creator>
  <cp:keywords/>
  <dc:description/>
  <cp:lastModifiedBy>rifna begum</cp:lastModifiedBy>
  <cp:revision>2</cp:revision>
  <dcterms:created xsi:type="dcterms:W3CDTF">2022-12-01T21:26:00Z</dcterms:created>
  <dcterms:modified xsi:type="dcterms:W3CDTF">2022-12-01T21:26:00Z</dcterms:modified>
</cp:coreProperties>
</file>