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07C42" w14:textId="77777777" w:rsidR="00F63950" w:rsidRDefault="00F63950" w:rsidP="00F63950">
      <w:pPr>
        <w:spacing w:line="360" w:lineRule="auto"/>
        <w:jc w:val="both"/>
        <w:rPr>
          <w:rFonts w:ascii="Times New Roman" w:hAnsi="Times New Roman" w:cs="Times New Roman"/>
          <w:sz w:val="32"/>
          <w:szCs w:val="32"/>
        </w:rPr>
      </w:pPr>
    </w:p>
    <w:p w14:paraId="5B4A3F4D" w14:textId="4EB4B5AD"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p>
    <w:p w14:paraId="1300CEC9" w14:textId="4F84D01E" w:rsidR="00F63950" w:rsidRDefault="00F63950" w:rsidP="00F63950">
      <w:pPr>
        <w:spacing w:line="360" w:lineRule="auto"/>
        <w:jc w:val="both"/>
        <w:rPr>
          <w:rFonts w:ascii="Times New Roman" w:hAnsi="Times New Roman" w:cs="Times New Roman"/>
          <w:sz w:val="32"/>
          <w:szCs w:val="32"/>
        </w:rPr>
      </w:pPr>
      <w:r>
        <w:t xml:space="preserve"> </w:t>
      </w:r>
      <w:r>
        <w:fldChar w:fldCharType="begin"/>
      </w:r>
      <w:r>
        <w:instrText xml:space="preserve"> INCLUDEPICTURE "/Users/lori/Library/Group Containers/UBF8T346G9.ms/WebArchiveCopyPasteTempFiles/com.microsoft.Word/2Q==" \* MERGEFORMATINET </w:instrText>
      </w:r>
      <w:r>
        <w:fldChar w:fldCharType="separate"/>
      </w:r>
      <w:r>
        <w:rPr>
          <w:noProof/>
        </w:rPr>
        <w:drawing>
          <wp:inline distT="0" distB="0" distL="0" distR="0" wp14:anchorId="3530FD32" wp14:editId="2EB0AC0F">
            <wp:extent cx="4360275" cy="2158700"/>
            <wp:effectExtent l="0" t="0" r="0" b="635"/>
            <wp:docPr id="1436763432" name="Picture 2"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AtjracqqKoCchbIP8Kq5uAE_3"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4525" cy="2309329"/>
                    </a:xfrm>
                    <a:prstGeom prst="rect">
                      <a:avLst/>
                    </a:prstGeom>
                    <a:noFill/>
                    <a:ln>
                      <a:noFill/>
                    </a:ln>
                  </pic:spPr>
                </pic:pic>
              </a:graphicData>
            </a:graphic>
          </wp:inline>
        </w:drawing>
      </w:r>
      <w:r>
        <w:fldChar w:fldCharType="end"/>
      </w:r>
    </w:p>
    <w:p w14:paraId="0C9D0A46" w14:textId="77777777" w:rsidR="00F63950" w:rsidRDefault="00F63950" w:rsidP="00F63950">
      <w:pPr>
        <w:spacing w:line="360" w:lineRule="auto"/>
        <w:jc w:val="both"/>
        <w:rPr>
          <w:rFonts w:ascii="Times New Roman" w:hAnsi="Times New Roman" w:cs="Times New Roman"/>
          <w:sz w:val="32"/>
          <w:szCs w:val="32"/>
        </w:rPr>
      </w:pPr>
    </w:p>
    <w:p w14:paraId="7021E81D" w14:textId="77777777" w:rsidR="00F63950" w:rsidRDefault="00F63950" w:rsidP="00F63950">
      <w:pPr>
        <w:spacing w:line="360" w:lineRule="auto"/>
        <w:jc w:val="both"/>
        <w:rPr>
          <w:rFonts w:ascii="Times New Roman" w:hAnsi="Times New Roman" w:cs="Times New Roman"/>
          <w:sz w:val="32"/>
          <w:szCs w:val="32"/>
        </w:rPr>
      </w:pPr>
    </w:p>
    <w:p w14:paraId="2B48689F" w14:textId="77777777" w:rsidR="00F63950" w:rsidRDefault="00F63950" w:rsidP="00F63950">
      <w:pPr>
        <w:spacing w:line="360" w:lineRule="auto"/>
        <w:jc w:val="both"/>
        <w:rPr>
          <w:rFonts w:ascii="Times New Roman" w:hAnsi="Times New Roman" w:cs="Times New Roman"/>
          <w:sz w:val="32"/>
          <w:szCs w:val="32"/>
        </w:rPr>
      </w:pPr>
    </w:p>
    <w:p w14:paraId="6C0497E3" w14:textId="3758EE25" w:rsidR="00F63950" w:rsidRPr="0051776B" w:rsidRDefault="00F63950" w:rsidP="00F63950">
      <w:pPr>
        <w:spacing w:line="360" w:lineRule="auto"/>
        <w:jc w:val="both"/>
        <w:rPr>
          <w:rFonts w:ascii="Times New Roman" w:hAnsi="Times New Roman" w:cs="Times New Roman"/>
          <w:b/>
          <w:bCs/>
          <w:sz w:val="32"/>
          <w:szCs w:val="32"/>
        </w:rPr>
      </w:pPr>
      <w:r>
        <w:rPr>
          <w:rFonts w:ascii="Times New Roman" w:hAnsi="Times New Roman" w:cs="Times New Roman"/>
          <w:sz w:val="32"/>
          <w:szCs w:val="32"/>
        </w:rPr>
        <w:t xml:space="preserve">      </w:t>
      </w:r>
      <w:r w:rsidRPr="0051776B">
        <w:rPr>
          <w:rFonts w:ascii="Times New Roman" w:hAnsi="Times New Roman" w:cs="Times New Roman"/>
          <w:b/>
          <w:bCs/>
          <w:sz w:val="32"/>
          <w:szCs w:val="32"/>
        </w:rPr>
        <w:t>PRINCIPLES OF HUMAN RESOU</w:t>
      </w:r>
      <w:r w:rsidR="007A527D">
        <w:rPr>
          <w:rFonts w:ascii="Times New Roman" w:hAnsi="Times New Roman" w:cs="Times New Roman"/>
          <w:b/>
          <w:bCs/>
          <w:sz w:val="32"/>
          <w:szCs w:val="32"/>
        </w:rPr>
        <w:t>RC</w:t>
      </w:r>
      <w:r w:rsidRPr="0051776B">
        <w:rPr>
          <w:rFonts w:ascii="Times New Roman" w:hAnsi="Times New Roman" w:cs="Times New Roman"/>
          <w:b/>
          <w:bCs/>
          <w:sz w:val="32"/>
          <w:szCs w:val="32"/>
        </w:rPr>
        <w:t>E MANAGEMENT</w:t>
      </w:r>
    </w:p>
    <w:p w14:paraId="451B27C7" w14:textId="3FB8ABB1" w:rsidR="007A527D"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007A527D">
        <w:rPr>
          <w:rFonts w:ascii="Times New Roman" w:hAnsi="Times New Roman" w:cs="Times New Roman"/>
          <w:sz w:val="32"/>
          <w:szCs w:val="32"/>
        </w:rPr>
        <w:t xml:space="preserve">       Report</w:t>
      </w:r>
    </w:p>
    <w:p w14:paraId="4D6D8865" w14:textId="6610E614" w:rsidR="00F63950" w:rsidRDefault="007A527D"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00F63950">
        <w:rPr>
          <w:rFonts w:ascii="Times New Roman" w:hAnsi="Times New Roman" w:cs="Times New Roman"/>
          <w:sz w:val="32"/>
          <w:szCs w:val="32"/>
        </w:rPr>
        <w:t xml:space="preserve"> Asssessment2</w:t>
      </w:r>
    </w:p>
    <w:p w14:paraId="3B3E3109" w14:textId="77777777" w:rsidR="00F63950" w:rsidRDefault="00F63950" w:rsidP="00F63950">
      <w:pPr>
        <w:spacing w:line="360" w:lineRule="auto"/>
        <w:jc w:val="both"/>
        <w:rPr>
          <w:rFonts w:ascii="Times New Roman" w:hAnsi="Times New Roman" w:cs="Times New Roman"/>
          <w:sz w:val="32"/>
          <w:szCs w:val="32"/>
        </w:rPr>
      </w:pPr>
    </w:p>
    <w:p w14:paraId="094E3285" w14:textId="77777777" w:rsidR="00F63950" w:rsidRDefault="00F63950" w:rsidP="00F63950">
      <w:pPr>
        <w:spacing w:line="360" w:lineRule="auto"/>
        <w:jc w:val="both"/>
        <w:rPr>
          <w:rFonts w:ascii="Times New Roman" w:hAnsi="Times New Roman" w:cs="Times New Roman"/>
          <w:sz w:val="32"/>
          <w:szCs w:val="32"/>
        </w:rPr>
      </w:pPr>
    </w:p>
    <w:p w14:paraId="0C895767" w14:textId="124BF273"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p>
    <w:p w14:paraId="47AC0A0D" w14:textId="77777777" w:rsidR="00F63950" w:rsidRDefault="00F63950" w:rsidP="00F63950">
      <w:pPr>
        <w:spacing w:line="360" w:lineRule="auto"/>
        <w:jc w:val="both"/>
        <w:rPr>
          <w:rFonts w:ascii="Times New Roman" w:hAnsi="Times New Roman" w:cs="Times New Roman"/>
          <w:sz w:val="32"/>
          <w:szCs w:val="32"/>
        </w:rPr>
      </w:pPr>
    </w:p>
    <w:p w14:paraId="56627DFC" w14:textId="77777777" w:rsidR="00F63950" w:rsidRDefault="00F63950" w:rsidP="00F63950">
      <w:pPr>
        <w:spacing w:line="360" w:lineRule="auto"/>
        <w:jc w:val="both"/>
        <w:rPr>
          <w:rFonts w:ascii="Times New Roman" w:hAnsi="Times New Roman" w:cs="Times New Roman"/>
          <w:sz w:val="32"/>
          <w:szCs w:val="32"/>
        </w:rPr>
      </w:pPr>
    </w:p>
    <w:p w14:paraId="4C2D785A" w14:textId="32A1146B"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6"/>
          <w:szCs w:val="36"/>
        </w:rPr>
        <w:t>S</w:t>
      </w:r>
      <w:r w:rsidRPr="00F63950">
        <w:rPr>
          <w:rFonts w:ascii="Times New Roman" w:hAnsi="Times New Roman" w:cs="Times New Roman"/>
          <w:sz w:val="36"/>
          <w:szCs w:val="36"/>
        </w:rPr>
        <w:t>tudent name</w:t>
      </w:r>
      <w:r>
        <w:rPr>
          <w:rFonts w:ascii="Times New Roman" w:hAnsi="Times New Roman" w:cs="Times New Roman"/>
          <w:sz w:val="32"/>
          <w:szCs w:val="32"/>
        </w:rPr>
        <w:t>: Marilena Loredana Mihai</w:t>
      </w:r>
    </w:p>
    <w:p w14:paraId="16F83D31" w14:textId="55E00305"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Student ID.:       2129859</w:t>
      </w:r>
    </w:p>
    <w:p w14:paraId="1EF8E7FF" w14:textId="2066C435"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Module Name: Principles of Human Resource Management</w:t>
      </w:r>
    </w:p>
    <w:p w14:paraId="3676E8BC" w14:textId="129C4B0C"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Module Code: LCBB5012_LON</w:t>
      </w:r>
    </w:p>
    <w:p w14:paraId="6AD9191F" w14:textId="39AFFA62" w:rsidR="00F63950" w:rsidRDefault="00F63950" w:rsidP="00F63950">
      <w:pPr>
        <w:spacing w:line="360" w:lineRule="auto"/>
        <w:jc w:val="both"/>
        <w:rPr>
          <w:rFonts w:ascii="Times New Roman" w:hAnsi="Times New Roman" w:cs="Times New Roman"/>
          <w:sz w:val="32"/>
          <w:szCs w:val="32"/>
        </w:rPr>
      </w:pPr>
      <w:r>
        <w:rPr>
          <w:rFonts w:ascii="Times New Roman" w:hAnsi="Times New Roman" w:cs="Times New Roman"/>
          <w:sz w:val="32"/>
          <w:szCs w:val="32"/>
        </w:rPr>
        <w:t>Lecturer Name:</w:t>
      </w:r>
      <w:r w:rsidR="007A527D">
        <w:rPr>
          <w:rFonts w:ascii="Times New Roman" w:hAnsi="Times New Roman" w:cs="Times New Roman"/>
          <w:sz w:val="32"/>
          <w:szCs w:val="32"/>
        </w:rPr>
        <w:t xml:space="preserve"> Dr Ramases Manalang</w:t>
      </w:r>
    </w:p>
    <w:p w14:paraId="0DD054FB" w14:textId="77777777" w:rsidR="00F63950" w:rsidRDefault="00F63950" w:rsidP="00F63950">
      <w:pPr>
        <w:spacing w:line="360" w:lineRule="auto"/>
        <w:jc w:val="both"/>
        <w:rPr>
          <w:rFonts w:ascii="Times New Roman" w:hAnsi="Times New Roman" w:cs="Times New Roman"/>
          <w:sz w:val="32"/>
          <w:szCs w:val="32"/>
        </w:rPr>
      </w:pPr>
    </w:p>
    <w:p w14:paraId="4872B717" w14:textId="77777777" w:rsidR="00F63950" w:rsidRDefault="00F63950" w:rsidP="00F63950">
      <w:pPr>
        <w:spacing w:line="360" w:lineRule="auto"/>
        <w:jc w:val="both"/>
        <w:rPr>
          <w:rFonts w:ascii="Times New Roman" w:hAnsi="Times New Roman" w:cs="Times New Roman"/>
          <w:sz w:val="32"/>
          <w:szCs w:val="32"/>
        </w:rPr>
      </w:pPr>
    </w:p>
    <w:p w14:paraId="77C7F715" w14:textId="1844B66D" w:rsidR="00F63950" w:rsidRPr="0051776B" w:rsidRDefault="00F63950" w:rsidP="00F63950">
      <w:pPr>
        <w:spacing w:line="360" w:lineRule="auto"/>
        <w:jc w:val="both"/>
        <w:rPr>
          <w:rFonts w:ascii="Times New Roman" w:hAnsi="Times New Roman" w:cs="Times New Roman"/>
          <w:b/>
          <w:bCs/>
          <w:sz w:val="32"/>
          <w:szCs w:val="32"/>
        </w:rPr>
      </w:pPr>
      <w:r w:rsidRPr="0051776B">
        <w:rPr>
          <w:rFonts w:ascii="Times New Roman" w:hAnsi="Times New Roman" w:cs="Times New Roman"/>
          <w:b/>
          <w:bCs/>
          <w:sz w:val="32"/>
          <w:szCs w:val="32"/>
        </w:rPr>
        <w:t>TABLE OF CONTENTS</w:t>
      </w:r>
    </w:p>
    <w:p w14:paraId="7863394B" w14:textId="77777777" w:rsidR="00F63950" w:rsidRDefault="00F63950" w:rsidP="00F63950">
      <w:pPr>
        <w:spacing w:line="360" w:lineRule="auto"/>
        <w:jc w:val="both"/>
        <w:rPr>
          <w:rFonts w:ascii="Times New Roman" w:hAnsi="Times New Roman" w:cs="Times New Roman"/>
          <w:sz w:val="32"/>
          <w:szCs w:val="32"/>
        </w:rPr>
      </w:pPr>
    </w:p>
    <w:p w14:paraId="5939B36E" w14:textId="3FEFFCA2" w:rsidR="00F63950" w:rsidRP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I</w:t>
      </w:r>
      <w:r w:rsidRPr="00F63950">
        <w:rPr>
          <w:rFonts w:ascii="Times New Roman" w:hAnsi="Times New Roman" w:cs="Times New Roman"/>
          <w:sz w:val="32"/>
          <w:szCs w:val="32"/>
        </w:rPr>
        <w:t>ntroduction………………………………………</w:t>
      </w:r>
      <w:r>
        <w:rPr>
          <w:rFonts w:ascii="Times New Roman" w:hAnsi="Times New Roman" w:cs="Times New Roman"/>
          <w:sz w:val="32"/>
          <w:szCs w:val="32"/>
        </w:rPr>
        <w:t>….3</w:t>
      </w:r>
    </w:p>
    <w:p w14:paraId="09951442" w14:textId="34E738D8" w:rsid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Internal and External Environment………………….3</w:t>
      </w:r>
    </w:p>
    <w:p w14:paraId="1E0E9B82" w14:textId="17F639B7" w:rsid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Organisation Application……………………………5</w:t>
      </w:r>
    </w:p>
    <w:p w14:paraId="2C94BD35" w14:textId="1E7EF440" w:rsid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Application of the Model……………………………6</w:t>
      </w:r>
    </w:p>
    <w:p w14:paraId="61A3B657" w14:textId="4372517F" w:rsidR="00F63950" w:rsidRP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Conclusion…………………………………………..9</w:t>
      </w:r>
    </w:p>
    <w:p w14:paraId="225CBA46" w14:textId="7B1D5A17" w:rsidR="00F63950" w:rsidRPr="00F63950" w:rsidRDefault="00F63950" w:rsidP="0051776B">
      <w:pPr>
        <w:pStyle w:val="ListParagraph"/>
        <w:spacing w:line="360" w:lineRule="auto"/>
        <w:jc w:val="both"/>
        <w:rPr>
          <w:rFonts w:ascii="Times New Roman" w:hAnsi="Times New Roman" w:cs="Times New Roman"/>
          <w:sz w:val="32"/>
          <w:szCs w:val="32"/>
        </w:rPr>
      </w:pPr>
      <w:r>
        <w:rPr>
          <w:rFonts w:ascii="Times New Roman" w:hAnsi="Times New Roman" w:cs="Times New Roman"/>
          <w:sz w:val="32"/>
          <w:szCs w:val="32"/>
        </w:rPr>
        <w:t>References…………………………………………..10</w:t>
      </w:r>
    </w:p>
    <w:p w14:paraId="4B2C2567" w14:textId="77777777" w:rsidR="00F63950" w:rsidRDefault="00F63950" w:rsidP="00F63950">
      <w:pPr>
        <w:spacing w:line="360" w:lineRule="auto"/>
        <w:jc w:val="both"/>
        <w:rPr>
          <w:rFonts w:ascii="Times New Roman" w:hAnsi="Times New Roman" w:cs="Times New Roman"/>
          <w:sz w:val="32"/>
          <w:szCs w:val="32"/>
        </w:rPr>
      </w:pPr>
    </w:p>
    <w:p w14:paraId="5F6F64AC" w14:textId="77777777" w:rsidR="00F63950" w:rsidRDefault="00F63950" w:rsidP="00F63950">
      <w:pPr>
        <w:spacing w:line="360" w:lineRule="auto"/>
        <w:jc w:val="both"/>
        <w:rPr>
          <w:rFonts w:ascii="Times New Roman" w:hAnsi="Times New Roman" w:cs="Times New Roman"/>
          <w:sz w:val="32"/>
          <w:szCs w:val="32"/>
        </w:rPr>
      </w:pPr>
    </w:p>
    <w:p w14:paraId="7E27836C" w14:textId="77777777" w:rsidR="00F63950" w:rsidRDefault="00F63950" w:rsidP="00F63950">
      <w:pPr>
        <w:spacing w:line="360" w:lineRule="auto"/>
        <w:jc w:val="both"/>
        <w:rPr>
          <w:rFonts w:ascii="Times New Roman" w:hAnsi="Times New Roman" w:cs="Times New Roman"/>
          <w:sz w:val="32"/>
          <w:szCs w:val="32"/>
        </w:rPr>
      </w:pPr>
    </w:p>
    <w:p w14:paraId="3C102F3C" w14:textId="77777777" w:rsidR="00F63950" w:rsidRDefault="00F63950" w:rsidP="00F63950">
      <w:pPr>
        <w:spacing w:line="360" w:lineRule="auto"/>
        <w:jc w:val="both"/>
        <w:rPr>
          <w:rFonts w:ascii="Times New Roman" w:hAnsi="Times New Roman" w:cs="Times New Roman"/>
          <w:sz w:val="32"/>
          <w:szCs w:val="32"/>
        </w:rPr>
      </w:pPr>
    </w:p>
    <w:p w14:paraId="58EE08D9" w14:textId="77777777" w:rsidR="00F63950" w:rsidRDefault="00F63950" w:rsidP="00F63950">
      <w:pPr>
        <w:spacing w:line="360" w:lineRule="auto"/>
        <w:jc w:val="both"/>
        <w:rPr>
          <w:rFonts w:ascii="Times New Roman" w:hAnsi="Times New Roman" w:cs="Times New Roman"/>
          <w:sz w:val="32"/>
          <w:szCs w:val="32"/>
        </w:rPr>
      </w:pPr>
    </w:p>
    <w:p w14:paraId="3E6D5A21" w14:textId="77777777" w:rsidR="00F63950" w:rsidRDefault="00F63950" w:rsidP="00F63950">
      <w:pPr>
        <w:spacing w:line="360" w:lineRule="auto"/>
        <w:jc w:val="both"/>
        <w:rPr>
          <w:rFonts w:ascii="Times New Roman" w:hAnsi="Times New Roman" w:cs="Times New Roman"/>
          <w:sz w:val="32"/>
          <w:szCs w:val="32"/>
        </w:rPr>
      </w:pPr>
    </w:p>
    <w:p w14:paraId="7A101FD0" w14:textId="77777777" w:rsidR="00F63950" w:rsidRDefault="00F63950" w:rsidP="00F63950">
      <w:pPr>
        <w:spacing w:line="360" w:lineRule="auto"/>
        <w:jc w:val="both"/>
        <w:rPr>
          <w:rFonts w:ascii="Times New Roman" w:hAnsi="Times New Roman" w:cs="Times New Roman"/>
          <w:sz w:val="32"/>
          <w:szCs w:val="32"/>
        </w:rPr>
      </w:pPr>
    </w:p>
    <w:p w14:paraId="67B00089" w14:textId="77777777" w:rsidR="00F63950" w:rsidRDefault="00F63950" w:rsidP="00F63950">
      <w:pPr>
        <w:spacing w:line="360" w:lineRule="auto"/>
        <w:jc w:val="both"/>
        <w:rPr>
          <w:rFonts w:ascii="Times New Roman" w:hAnsi="Times New Roman" w:cs="Times New Roman"/>
          <w:sz w:val="32"/>
          <w:szCs w:val="32"/>
        </w:rPr>
      </w:pPr>
    </w:p>
    <w:p w14:paraId="4804DF5D" w14:textId="77777777" w:rsidR="00F63950" w:rsidRDefault="00F63950" w:rsidP="00F63950">
      <w:pPr>
        <w:spacing w:line="360" w:lineRule="auto"/>
        <w:jc w:val="both"/>
        <w:rPr>
          <w:rFonts w:ascii="Times New Roman" w:hAnsi="Times New Roman" w:cs="Times New Roman"/>
          <w:sz w:val="32"/>
          <w:szCs w:val="32"/>
        </w:rPr>
      </w:pPr>
    </w:p>
    <w:p w14:paraId="73F23EDF" w14:textId="77777777" w:rsidR="00F63950" w:rsidRDefault="00F63950" w:rsidP="00F63950">
      <w:pPr>
        <w:spacing w:line="360" w:lineRule="auto"/>
        <w:jc w:val="both"/>
        <w:rPr>
          <w:rFonts w:ascii="Times New Roman" w:hAnsi="Times New Roman" w:cs="Times New Roman"/>
          <w:sz w:val="32"/>
          <w:szCs w:val="32"/>
        </w:rPr>
      </w:pPr>
    </w:p>
    <w:p w14:paraId="7F5FB8A8" w14:textId="77777777" w:rsidR="00F63950" w:rsidRDefault="00F63950" w:rsidP="00F63950">
      <w:pPr>
        <w:spacing w:line="360" w:lineRule="auto"/>
        <w:jc w:val="both"/>
        <w:rPr>
          <w:rFonts w:ascii="Times New Roman" w:hAnsi="Times New Roman" w:cs="Times New Roman"/>
          <w:sz w:val="32"/>
          <w:szCs w:val="32"/>
        </w:rPr>
      </w:pPr>
    </w:p>
    <w:p w14:paraId="19C6A7C5" w14:textId="77777777" w:rsidR="00F63950" w:rsidRDefault="00F63950" w:rsidP="00F63950">
      <w:pPr>
        <w:spacing w:line="360" w:lineRule="auto"/>
        <w:jc w:val="both"/>
        <w:rPr>
          <w:rFonts w:ascii="Times New Roman" w:hAnsi="Times New Roman" w:cs="Times New Roman"/>
          <w:sz w:val="32"/>
          <w:szCs w:val="32"/>
        </w:rPr>
      </w:pPr>
    </w:p>
    <w:p w14:paraId="3FD40C80" w14:textId="77777777" w:rsidR="00F63950" w:rsidRDefault="00F63950" w:rsidP="00F63950">
      <w:pPr>
        <w:spacing w:line="360" w:lineRule="auto"/>
        <w:jc w:val="both"/>
        <w:rPr>
          <w:rFonts w:ascii="Times New Roman" w:hAnsi="Times New Roman" w:cs="Times New Roman"/>
          <w:sz w:val="32"/>
          <w:szCs w:val="32"/>
        </w:rPr>
      </w:pPr>
    </w:p>
    <w:p w14:paraId="55DBA88D" w14:textId="77777777" w:rsidR="00F63950" w:rsidRDefault="00F63950" w:rsidP="00F63950">
      <w:pPr>
        <w:spacing w:line="360" w:lineRule="auto"/>
        <w:jc w:val="both"/>
        <w:rPr>
          <w:rFonts w:ascii="Times New Roman" w:hAnsi="Times New Roman" w:cs="Times New Roman"/>
          <w:sz w:val="32"/>
          <w:szCs w:val="32"/>
        </w:rPr>
      </w:pPr>
    </w:p>
    <w:p w14:paraId="7F241B80" w14:textId="77777777" w:rsidR="007A527D" w:rsidRDefault="007A527D" w:rsidP="00F63950">
      <w:pPr>
        <w:pStyle w:val="Heading1"/>
        <w:spacing w:line="360" w:lineRule="auto"/>
        <w:jc w:val="both"/>
        <w:rPr>
          <w:rFonts w:ascii="Times New Roman" w:hAnsi="Times New Roman" w:cs="Times New Roman"/>
          <w:b/>
          <w:bCs/>
          <w:sz w:val="32"/>
          <w:szCs w:val="32"/>
        </w:rPr>
      </w:pPr>
      <w:bookmarkStart w:id="0" w:name="_Toc224335583"/>
    </w:p>
    <w:p w14:paraId="67B9693A" w14:textId="5556D48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r w:rsidRPr="007A527D">
        <w:rPr>
          <w:rFonts w:ascii="Times New Roman" w:hAnsi="Times New Roman" w:cs="Times New Roman"/>
          <w:b/>
          <w:bCs/>
          <w:color w:val="000000" w:themeColor="text1"/>
          <w:sz w:val="32"/>
          <w:szCs w:val="32"/>
        </w:rPr>
        <w:t>Introduction</w:t>
      </w:r>
      <w:bookmarkEnd w:id="0"/>
      <w:r w:rsidRPr="007A527D">
        <w:rPr>
          <w:rFonts w:ascii="Times New Roman" w:hAnsi="Times New Roman" w:cs="Times New Roman"/>
          <w:b/>
          <w:bCs/>
          <w:color w:val="000000" w:themeColor="text1"/>
          <w:sz w:val="32"/>
          <w:szCs w:val="32"/>
        </w:rPr>
        <w:t xml:space="preserve"> </w:t>
      </w:r>
    </w:p>
    <w:p w14:paraId="4F06B5FA"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Human resource management is a significant factor in aiding organisational performance and development. The human resource systems match the organisational goals with the capabilities and skills of employees. Such practises enhance organisational productivity, innovation and employee engagement in present organisations. According to research, good human resource practises facilitate the organisational performance and involvement of employees (Mayrhofer, Gooderham and Brewster, 2019). Through employee participation, communication between the management and the workforce is also enhanced between organisational levels (Wood, 2020). The main human resource processes are recruitment, training and development, performance management, and employee relations. Recruitment is aimed at getting qualified employees who are able to facilitate organisational practises. Training and development activities enhance the capacity and knowledge of the employees at the workplace. The performance management systems track employee contributions and promote continuous improvement in the organisation. Practises of employee relations facilitate cooperation and have positive communication between managers and employees (</w:t>
      </w:r>
      <w:proofErr w:type="spellStart"/>
      <w:r w:rsidRPr="00F63950">
        <w:rPr>
          <w:rFonts w:ascii="Times New Roman" w:hAnsi="Times New Roman" w:cs="Times New Roman"/>
        </w:rPr>
        <w:t>Almaaitah</w:t>
      </w:r>
      <w:proofErr w:type="spellEnd"/>
      <w:r w:rsidRPr="00F63950">
        <w:rPr>
          <w:rFonts w:ascii="Times New Roman" w:hAnsi="Times New Roman" w:cs="Times New Roman"/>
        </w:rPr>
        <w:t xml:space="preserve"> et al., 2024). Employee performance and the willingness to change organisational operations are other supports that are facilitated by these human resource practises. As such, the human resource strategies in multinationals are dependent on environmental conditions in the global environment (Edwards et al., 2021).</w:t>
      </w:r>
    </w:p>
    <w:p w14:paraId="4F8024D7" w14:textId="7777777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bookmarkStart w:id="1" w:name="_Toc224335584"/>
      <w:r w:rsidRPr="007A527D">
        <w:rPr>
          <w:rFonts w:ascii="Times New Roman" w:hAnsi="Times New Roman" w:cs="Times New Roman"/>
          <w:b/>
          <w:bCs/>
          <w:color w:val="000000" w:themeColor="text1"/>
          <w:sz w:val="32"/>
          <w:szCs w:val="32"/>
        </w:rPr>
        <w:t>Internal and External Environment</w:t>
      </w:r>
      <w:bookmarkEnd w:id="1"/>
    </w:p>
    <w:p w14:paraId="021230F7" w14:textId="77777777" w:rsidR="00F63950" w:rsidRPr="00F63950" w:rsidRDefault="00F63950" w:rsidP="00F63950">
      <w:pPr>
        <w:spacing w:line="360" w:lineRule="auto"/>
        <w:jc w:val="both"/>
        <w:rPr>
          <w:rFonts w:ascii="Times New Roman" w:hAnsi="Times New Roman" w:cs="Times New Roman"/>
          <w:b/>
          <w:bCs/>
        </w:rPr>
      </w:pPr>
      <w:r w:rsidRPr="00F63950">
        <w:rPr>
          <w:rFonts w:ascii="Times New Roman" w:hAnsi="Times New Roman" w:cs="Times New Roman"/>
          <w:b/>
          <w:bCs/>
        </w:rPr>
        <w:t>Business Environment Model – PESTLE</w:t>
      </w:r>
    </w:p>
    <w:p w14:paraId="0EED1394"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Organisations have operated in environments that are influenced by a number of external social, political and economic forces. Important organisational decisions rely on environmental conditions analysed by the managers. The PESTLE model is one of the most common frameworks used to analyse the environment. The PESTLE model analysis looks at the political, economic, social, technological, legal, and environmental factors. The political factors comprise policies by the government, labour laws, and political stability in the countries. Economic factors include labour level, wage rates, the inflation rate and the level of economic growth. Social factors are the changes in demographics, culture and workforce </w:t>
      </w:r>
      <w:r w:rsidRPr="00F63950">
        <w:rPr>
          <w:rFonts w:ascii="Times New Roman" w:hAnsi="Times New Roman" w:cs="Times New Roman"/>
        </w:rPr>
        <w:lastRenderedPageBreak/>
        <w:t xml:space="preserve">expectations in the societies. The technological factors are the digital innovation, development of automation, and information technology systems. Legal considerations entail the employment laws, the workplace safety regulations, and the policies of employee protection of the employees. </w:t>
      </w:r>
    </w:p>
    <w:p w14:paraId="3814CFD0" w14:textId="77777777" w:rsidR="00F63950" w:rsidRDefault="00F63950" w:rsidP="00F63950">
      <w:pPr>
        <w:spacing w:line="360" w:lineRule="auto"/>
        <w:jc w:val="both"/>
      </w:pPr>
      <w:r w:rsidRPr="002B499D">
        <w:rPr>
          <w:noProof/>
        </w:rPr>
        <w:drawing>
          <wp:inline distT="0" distB="0" distL="0" distR="0" wp14:anchorId="466AFCDD" wp14:editId="11737717">
            <wp:extent cx="4556760" cy="2842260"/>
            <wp:effectExtent l="0" t="0" r="0" b="0"/>
            <wp:docPr id="474274880" name="Picture 1" descr="A diagram of a pestle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74880" name="Picture 1" descr="A diagram of a pestle framework&#10;&#10;AI-generated content may be incorrect."/>
                    <pic:cNvPicPr/>
                  </pic:nvPicPr>
                  <pic:blipFill rotWithShape="1">
                    <a:blip r:embed="rId8"/>
                    <a:srcRect l="4767" t="9246" r="160"/>
                    <a:stretch>
                      <a:fillRect/>
                    </a:stretch>
                  </pic:blipFill>
                  <pic:spPr bwMode="auto">
                    <a:xfrm>
                      <a:off x="0" y="0"/>
                      <a:ext cx="4561604" cy="2845281"/>
                    </a:xfrm>
                    <a:prstGeom prst="rect">
                      <a:avLst/>
                    </a:prstGeom>
                    <a:ln>
                      <a:noFill/>
                    </a:ln>
                    <a:extLst>
                      <a:ext uri="{53640926-AAD7-44D8-BBD7-CCE9431645EC}">
                        <a14:shadowObscured xmlns:a14="http://schemas.microsoft.com/office/drawing/2010/main"/>
                      </a:ext>
                    </a:extLst>
                  </pic:spPr>
                </pic:pic>
              </a:graphicData>
            </a:graphic>
          </wp:inline>
        </w:drawing>
      </w:r>
    </w:p>
    <w:p w14:paraId="1C75C319" w14:textId="77777777" w:rsidR="00F63950" w:rsidRDefault="00F63950" w:rsidP="00F63950">
      <w:pPr>
        <w:spacing w:line="360" w:lineRule="auto"/>
        <w:jc w:val="both"/>
      </w:pPr>
    </w:p>
    <w:p w14:paraId="11752E24" w14:textId="77777777" w:rsidR="00F63950" w:rsidRPr="00F63950" w:rsidRDefault="00F63950" w:rsidP="00F63950">
      <w:pPr>
        <w:spacing w:line="360" w:lineRule="auto"/>
        <w:jc w:val="both"/>
        <w:rPr>
          <w:rFonts w:ascii="Times New Roman" w:hAnsi="Times New Roman" w:cs="Times New Roman"/>
          <w:b/>
          <w:bCs/>
          <w:i/>
          <w:iCs/>
        </w:rPr>
      </w:pPr>
      <w:r w:rsidRPr="00F63950">
        <w:rPr>
          <w:rFonts w:ascii="Times New Roman" w:hAnsi="Times New Roman" w:cs="Times New Roman"/>
          <w:b/>
          <w:bCs/>
          <w:i/>
          <w:iCs/>
        </w:rPr>
        <w:t>Figure 1: PESTLE Framework for Analysing the Organisational Environment</w:t>
      </w:r>
    </w:p>
    <w:p w14:paraId="2C264E90" w14:textId="77777777" w:rsidR="00F63950" w:rsidRDefault="00F63950" w:rsidP="00F63950">
      <w:pPr>
        <w:spacing w:line="360" w:lineRule="auto"/>
        <w:jc w:val="both"/>
        <w:rPr>
          <w:rFonts w:ascii="Times New Roman" w:hAnsi="Times New Roman" w:cs="Times New Roman"/>
          <w:i/>
          <w:iCs/>
        </w:rPr>
      </w:pPr>
      <w:r w:rsidRPr="00F63950">
        <w:rPr>
          <w:rFonts w:ascii="Times New Roman" w:hAnsi="Times New Roman" w:cs="Times New Roman"/>
          <w:b/>
          <w:bCs/>
          <w:i/>
          <w:iCs/>
        </w:rPr>
        <w:t xml:space="preserve">Sources: </w:t>
      </w:r>
      <w:r w:rsidRPr="00F63950">
        <w:rPr>
          <w:rFonts w:ascii="Times New Roman" w:hAnsi="Times New Roman" w:cs="Times New Roman"/>
          <w:i/>
          <w:iCs/>
        </w:rPr>
        <w:t>(Mayrhofer, Gooderham and Brewster, 2019).</w:t>
      </w:r>
    </w:p>
    <w:p w14:paraId="5777CACE" w14:textId="6CCA68E0" w:rsidR="00F63950" w:rsidRPr="00F63950" w:rsidRDefault="00F63950" w:rsidP="00F63950">
      <w:pPr>
        <w:spacing w:line="360" w:lineRule="auto"/>
        <w:jc w:val="both"/>
        <w:rPr>
          <w:rFonts w:ascii="Times New Roman" w:hAnsi="Times New Roman" w:cs="Times New Roman"/>
          <w:b/>
          <w:bCs/>
          <w:i/>
          <w:iCs/>
        </w:rPr>
      </w:pPr>
      <w:r w:rsidRPr="00F63950">
        <w:rPr>
          <w:rFonts w:ascii="Times New Roman" w:hAnsi="Times New Roman" w:cs="Times New Roman"/>
          <w:i/>
          <w:iCs/>
        </w:rPr>
        <w:t xml:space="preserve"> </w:t>
      </w:r>
    </w:p>
    <w:p w14:paraId="29AC35BA" w14:textId="13DB7392" w:rsid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Environmental factors are the concerns of sustainability, as well as the environmental responsibility of organisations. Knowledge of these forces assists organisations in reacting to the uncertainty of the environment in an effective manner</w:t>
      </w:r>
      <w:r w:rsidR="007A527D">
        <w:rPr>
          <w:rFonts w:ascii="Times New Roman" w:hAnsi="Times New Roman" w:cs="Times New Roman"/>
        </w:rPr>
        <w:t xml:space="preserve"> and </w:t>
      </w:r>
      <w:r w:rsidRPr="00F63950">
        <w:rPr>
          <w:rFonts w:ascii="Times New Roman" w:hAnsi="Times New Roman" w:cs="Times New Roman"/>
        </w:rPr>
        <w:t xml:space="preserve">should adjust their workforce policies in world locations (Mayrhofer, Gooderham and Brewster, 2019). </w:t>
      </w:r>
    </w:p>
    <w:p w14:paraId="37105826" w14:textId="77777777" w:rsidR="00F63950" w:rsidRPr="00F63950" w:rsidRDefault="00F63950" w:rsidP="00F63950">
      <w:pPr>
        <w:spacing w:line="360" w:lineRule="auto"/>
        <w:jc w:val="both"/>
        <w:rPr>
          <w:rFonts w:ascii="Times New Roman" w:hAnsi="Times New Roman" w:cs="Times New Roman"/>
        </w:rPr>
      </w:pPr>
    </w:p>
    <w:p w14:paraId="4E95E1D5" w14:textId="77777777" w:rsidR="00F63950" w:rsidRPr="00F63950" w:rsidRDefault="00F63950" w:rsidP="00F63950">
      <w:pPr>
        <w:spacing w:line="360" w:lineRule="auto"/>
        <w:jc w:val="both"/>
        <w:rPr>
          <w:rFonts w:ascii="Times New Roman" w:hAnsi="Times New Roman" w:cs="Times New Roman"/>
          <w:b/>
          <w:bCs/>
        </w:rPr>
      </w:pPr>
      <w:r w:rsidRPr="00F63950">
        <w:rPr>
          <w:rFonts w:ascii="Times New Roman" w:hAnsi="Times New Roman" w:cs="Times New Roman"/>
          <w:b/>
          <w:bCs/>
        </w:rPr>
        <w:t>Usefulness of PESTLE for HRM</w:t>
      </w:r>
    </w:p>
    <w:p w14:paraId="67058A3C" w14:textId="77777777" w:rsid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Human resource management decisions can also be made using the PESTLE framework. HR managers identify the trends in the environment to predict changes in the labour market early. Employment policies and labour law in most nations are determined by political factors. The economic climate determines the wage structures, labour demand and labour opportunities in organisations. Diversity management and workforce expectations through social trends are present in the workplace. Digitalisation of HR systems and training platforms is a technology revealed by technological development that prompts organisations to adopt them. Employee rights, workplace contracts, and safety duties are spelt out by legal frameworks. Going green </w:t>
      </w:r>
      <w:r w:rsidRPr="00F63950">
        <w:rPr>
          <w:rFonts w:ascii="Times New Roman" w:hAnsi="Times New Roman" w:cs="Times New Roman"/>
        </w:rPr>
        <w:lastRenderedPageBreak/>
        <w:t>makes organisations promote sustainability and good conduct in the workplace. Multinational organisations have to strike a balance between workforce expectations in the country and global business strategies. International HR management is thus implemented effectively when it has flexible policies and is environmentally conscious (Chung and Sparrow, 2024).</w:t>
      </w:r>
    </w:p>
    <w:p w14:paraId="27D25149" w14:textId="77777777" w:rsidR="00F63950" w:rsidRPr="00F63950" w:rsidRDefault="00F63950" w:rsidP="00F63950">
      <w:pPr>
        <w:spacing w:line="360" w:lineRule="auto"/>
        <w:jc w:val="both"/>
        <w:rPr>
          <w:rFonts w:ascii="Times New Roman" w:hAnsi="Times New Roman" w:cs="Times New Roman"/>
        </w:rPr>
      </w:pPr>
    </w:p>
    <w:p w14:paraId="5A95022D" w14:textId="77777777" w:rsidR="00F63950" w:rsidRPr="00F63950" w:rsidRDefault="00F63950" w:rsidP="00F63950">
      <w:pPr>
        <w:spacing w:line="360" w:lineRule="auto"/>
        <w:jc w:val="both"/>
        <w:rPr>
          <w:rFonts w:ascii="Times New Roman" w:hAnsi="Times New Roman" w:cs="Times New Roman"/>
          <w:b/>
          <w:bCs/>
        </w:rPr>
      </w:pPr>
      <w:r w:rsidRPr="00F63950">
        <w:rPr>
          <w:rFonts w:ascii="Times New Roman" w:hAnsi="Times New Roman" w:cs="Times New Roman"/>
          <w:b/>
          <w:bCs/>
        </w:rPr>
        <w:t>Limitations of the PESTLE Model</w:t>
      </w:r>
    </w:p>
    <w:p w14:paraId="21816525" w14:textId="77777777" w:rsid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In spite of its utility, the PESTLE model also imposes some limitations on organisations in terms of analysis. The framework is principally concerned with external environmental conditions that have an influence on organisations. Analysis does not give great attention to internal organisational culture and leadership factors. In complex organisational scenarios, the environmental forces can really interact. The model, however, looks into these factors independently as opposed to being looked at. This division can simplify the organisational context and managerial decisions that are complex (Higgins, 2024).</w:t>
      </w:r>
    </w:p>
    <w:p w14:paraId="7153B0FE" w14:textId="77777777" w:rsidR="00F63950" w:rsidRPr="00F63950" w:rsidRDefault="00F63950" w:rsidP="00F63950">
      <w:pPr>
        <w:spacing w:line="360" w:lineRule="auto"/>
        <w:jc w:val="both"/>
        <w:rPr>
          <w:rFonts w:ascii="Times New Roman" w:hAnsi="Times New Roman" w:cs="Times New Roman"/>
        </w:rPr>
      </w:pPr>
    </w:p>
    <w:p w14:paraId="7C120C63" w14:textId="77777777" w:rsidR="00F63950" w:rsidRPr="00F63950" w:rsidRDefault="00F63950" w:rsidP="00F63950">
      <w:pPr>
        <w:spacing w:line="360" w:lineRule="auto"/>
        <w:jc w:val="both"/>
        <w:rPr>
          <w:rFonts w:ascii="Times New Roman" w:hAnsi="Times New Roman" w:cs="Times New Roman"/>
          <w:b/>
          <w:bCs/>
        </w:rPr>
      </w:pPr>
      <w:r w:rsidRPr="00F63950">
        <w:rPr>
          <w:rFonts w:ascii="Times New Roman" w:hAnsi="Times New Roman" w:cs="Times New Roman"/>
          <w:b/>
          <w:bCs/>
        </w:rPr>
        <w:t>Linking Environmental Factors to HR Functions</w:t>
      </w:r>
    </w:p>
    <w:p w14:paraId="5B722AE6"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The environment determines several human resource management practises in organisations. One issue is that political and legal frameworks influence the recruitment policies and employment contracts. The economy has an impact on the level of salaries, workforce demand and stability regarding work. The diversity in management and employee engagement practises in organisations is influenced by the social expectations. The digital HR platforms and ongoing training of the employees need to be implemented as a result of technological advancement. Sustainable Hr practises facilitate the growth of the employee and enhance the long-term organisational results (Martini, Riva and Marafioti, 2023). Cooperation and trust among organisational workplaces are also enhanced by the practise of employee relations (Yadav et al., 2022).</w:t>
      </w:r>
    </w:p>
    <w:p w14:paraId="45E499D6" w14:textId="7777777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bookmarkStart w:id="2" w:name="_Toc224335585"/>
      <w:r w:rsidRPr="007A527D">
        <w:rPr>
          <w:rFonts w:ascii="Times New Roman" w:hAnsi="Times New Roman" w:cs="Times New Roman"/>
          <w:b/>
          <w:bCs/>
          <w:color w:val="000000" w:themeColor="text1"/>
          <w:sz w:val="32"/>
          <w:szCs w:val="32"/>
        </w:rPr>
        <w:t>Organisation Application</w:t>
      </w:r>
      <w:bookmarkEnd w:id="2"/>
    </w:p>
    <w:p w14:paraId="6DEE903D"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Amazon is a multinational technology and retail firm in operation in numerous international markets. The organisation operates on giant operations in North America, Europe and some countries in Asia. Global growth involves effective human resource management to deal with different employees. Good HR systems facilitate coordination of the workforce and efficiency in organisations in any international market. Recruitment practises also lure experienced employees via the internet and systematic employment methods. Through digital systems, </w:t>
      </w:r>
      <w:r w:rsidRPr="00F63950">
        <w:rPr>
          <w:rFonts w:ascii="Times New Roman" w:hAnsi="Times New Roman" w:cs="Times New Roman"/>
        </w:rPr>
        <w:lastRenderedPageBreak/>
        <w:t xml:space="preserve">human resource teams can determine the right candidate all over the world. Development programmes enhance employee competencies as well as organisational strength. Constant learning also helps employees to adapt to the new technological realities (Wesche and Handke, 2023). Performance management systems are used to track the productivity of employees and motivate them to perform better in the organisational functions. Organised and well-structured evaluation techniques will assist in the objective evaluation of employee input and workplace results (de </w:t>
      </w:r>
      <w:proofErr w:type="spellStart"/>
      <w:r w:rsidRPr="00F63950">
        <w:rPr>
          <w:rFonts w:ascii="Times New Roman" w:hAnsi="Times New Roman" w:cs="Times New Roman"/>
        </w:rPr>
        <w:t>Aarujo</w:t>
      </w:r>
      <w:proofErr w:type="spellEnd"/>
      <w:r w:rsidRPr="00F63950">
        <w:rPr>
          <w:rFonts w:ascii="Times New Roman" w:hAnsi="Times New Roman" w:cs="Times New Roman"/>
        </w:rPr>
        <w:t xml:space="preserve"> et al., 2024). Other practises in employee relations also foster communication, cooperation and trust between the managers and the personnel. Healthy relationships at work enhance organisational performance and strengthen the commitment of employees (</w:t>
      </w:r>
      <w:proofErr w:type="spellStart"/>
      <w:r w:rsidRPr="00F63950">
        <w:rPr>
          <w:rFonts w:ascii="Times New Roman" w:hAnsi="Times New Roman" w:cs="Times New Roman"/>
        </w:rPr>
        <w:t>Hazeen</w:t>
      </w:r>
      <w:proofErr w:type="spellEnd"/>
      <w:r w:rsidRPr="00F63950">
        <w:rPr>
          <w:rFonts w:ascii="Times New Roman" w:hAnsi="Times New Roman" w:cs="Times New Roman"/>
        </w:rPr>
        <w:t xml:space="preserve"> Fathima and Umarani, 2022).</w:t>
      </w:r>
    </w:p>
    <w:p w14:paraId="74206AC5" w14:textId="7777777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bookmarkStart w:id="3" w:name="_Toc224335586"/>
      <w:r w:rsidRPr="007A527D">
        <w:rPr>
          <w:rFonts w:ascii="Times New Roman" w:hAnsi="Times New Roman" w:cs="Times New Roman"/>
          <w:b/>
          <w:bCs/>
          <w:color w:val="000000" w:themeColor="text1"/>
          <w:sz w:val="32"/>
          <w:szCs w:val="32"/>
        </w:rPr>
        <w:t>Application of the Model</w:t>
      </w:r>
      <w:bookmarkEnd w:id="3"/>
    </w:p>
    <w:p w14:paraId="1AACF617" w14:textId="77777777" w:rsidR="00F63950" w:rsidRPr="007A527D" w:rsidRDefault="00F63950" w:rsidP="00F63950">
      <w:pPr>
        <w:pStyle w:val="Heading2"/>
        <w:spacing w:line="360" w:lineRule="auto"/>
        <w:jc w:val="both"/>
        <w:rPr>
          <w:rFonts w:ascii="Times New Roman" w:hAnsi="Times New Roman" w:cs="Times New Roman"/>
          <w:b/>
          <w:bCs/>
          <w:color w:val="000000" w:themeColor="text1"/>
          <w:sz w:val="24"/>
          <w:szCs w:val="24"/>
        </w:rPr>
      </w:pPr>
      <w:bookmarkStart w:id="4" w:name="_Toc224335587"/>
      <w:r w:rsidRPr="007A527D">
        <w:rPr>
          <w:rFonts w:ascii="Times New Roman" w:hAnsi="Times New Roman" w:cs="Times New Roman"/>
          <w:b/>
          <w:bCs/>
          <w:color w:val="000000" w:themeColor="text1"/>
          <w:sz w:val="24"/>
          <w:szCs w:val="24"/>
        </w:rPr>
        <w:t>Political and Legal Factors</w:t>
      </w:r>
      <w:bookmarkEnd w:id="4"/>
    </w:p>
    <w:p w14:paraId="786980D5"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The human resource management in multinational organisations is highly affected by political and legal environments. Various countries have labour laws that establish the employment contracts, workplace safety rules, and policies that cover employee protection. This means that the organisational practises should meet the expectations of the national labour legislation by human resource managers. Labour policies set by governments affect the process of recruitment in organisations, workforce contracts and employee rights. Edwards et al. (2021) explain that multinational companies tend to conform to HR practises in support of legal requirements in different markets in international labour markets. Indicatively, the United States labour market offers much flexibility in employment terms to the organisations. Organisations can scale up and down the size of the workforce based on the performance of the company and market demands. On the contrary, the United Kingdom labour system provides greater effectiveness in protecting the rights of employees and workplace norms. Employment contracts themselves tend to have more legal safeguards and a regulated employment environment. India has more complicated labour laws due to local laws and administrative requirements. The multinational organisations should therefore devise country HR policies to ensure compliance and reduce the risk of lawsuits.</w:t>
      </w:r>
    </w:p>
    <w:p w14:paraId="0280593A" w14:textId="77777777" w:rsidR="00F63950" w:rsidRPr="007A527D" w:rsidRDefault="00F63950" w:rsidP="00F63950">
      <w:pPr>
        <w:pStyle w:val="Heading2"/>
        <w:spacing w:line="360" w:lineRule="auto"/>
        <w:jc w:val="both"/>
        <w:rPr>
          <w:rFonts w:ascii="Times New Roman" w:hAnsi="Times New Roman" w:cs="Times New Roman"/>
          <w:b/>
          <w:bCs/>
          <w:color w:val="000000" w:themeColor="text1"/>
          <w:sz w:val="24"/>
          <w:szCs w:val="24"/>
        </w:rPr>
      </w:pPr>
      <w:bookmarkStart w:id="5" w:name="_Toc224335588"/>
      <w:r w:rsidRPr="007A527D">
        <w:rPr>
          <w:rFonts w:ascii="Times New Roman" w:hAnsi="Times New Roman" w:cs="Times New Roman"/>
          <w:b/>
          <w:bCs/>
          <w:color w:val="000000" w:themeColor="text1"/>
          <w:sz w:val="24"/>
          <w:szCs w:val="24"/>
        </w:rPr>
        <w:t>Economic Factors</w:t>
      </w:r>
      <w:bookmarkEnd w:id="5"/>
    </w:p>
    <w:p w14:paraId="10EBC47D"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Attention of human resource management in international organisations is highly dependent on the economic conditions. The supply of labour influences opportunities for recruitment and </w:t>
      </w:r>
      <w:r w:rsidRPr="00F63950">
        <w:rPr>
          <w:rFonts w:ascii="Times New Roman" w:hAnsi="Times New Roman" w:cs="Times New Roman"/>
        </w:rPr>
        <w:lastRenderedPageBreak/>
        <w:t xml:space="preserve">labour availability within the various labour markets. The economic development tends to drive demand for skilled labourers as well as specialised professional jobs. Nonetheless, economic users can slow down employment processes and restrict the number of employees. The degree of wage is also different between developed and emerging economies, which has an impact on the organisational compensation strategies. The human resource managers are therefore forced to come up with pay structures that suit the respective economic environments. The labour dissimilarities also affect the workforce planning and budgeting decisions of organisations. Studies have shown that economic climate tends to influence the expectations of performance and reward systems in organisations (Alqudah, </w:t>
      </w:r>
      <w:proofErr w:type="spellStart"/>
      <w:r w:rsidRPr="00F63950">
        <w:rPr>
          <w:rFonts w:ascii="Times New Roman" w:hAnsi="Times New Roman" w:cs="Times New Roman"/>
        </w:rPr>
        <w:t>Penela</w:t>
      </w:r>
      <w:proofErr w:type="spellEnd"/>
      <w:r w:rsidRPr="00F63950">
        <w:rPr>
          <w:rFonts w:ascii="Times New Roman" w:hAnsi="Times New Roman" w:cs="Times New Roman"/>
        </w:rPr>
        <w:t xml:space="preserve"> and Sanmartin, 2022). Economic pressures thus motivate organisations to be more productive and efficient in the utilisation of the workforce while keeping operational costs in check.</w:t>
      </w:r>
    </w:p>
    <w:p w14:paraId="3FDDAEA7" w14:textId="77777777" w:rsidR="00F63950" w:rsidRPr="007A527D" w:rsidRDefault="00F63950" w:rsidP="00F63950">
      <w:pPr>
        <w:pStyle w:val="Heading2"/>
        <w:spacing w:line="360" w:lineRule="auto"/>
        <w:jc w:val="both"/>
        <w:rPr>
          <w:rFonts w:ascii="Times New Roman" w:hAnsi="Times New Roman" w:cs="Times New Roman"/>
          <w:b/>
          <w:bCs/>
          <w:color w:val="000000" w:themeColor="text1"/>
          <w:sz w:val="24"/>
          <w:szCs w:val="24"/>
        </w:rPr>
      </w:pPr>
      <w:bookmarkStart w:id="6" w:name="_Toc224335589"/>
      <w:r w:rsidRPr="007A527D">
        <w:rPr>
          <w:rFonts w:ascii="Times New Roman" w:hAnsi="Times New Roman" w:cs="Times New Roman"/>
          <w:b/>
          <w:bCs/>
          <w:color w:val="000000" w:themeColor="text1"/>
          <w:sz w:val="24"/>
          <w:szCs w:val="24"/>
        </w:rPr>
        <w:t>Social and Cultural Factors</w:t>
      </w:r>
      <w:bookmarkEnd w:id="6"/>
    </w:p>
    <w:p w14:paraId="368212D6"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Human resource management of multinational organisations is also affected by social and cultural environments. Different cultures have different expectations of the workforce due to social values, traditions and norms of the organisation. In Western culture, individual performance and success in the work environment are a priority. Conversely, other Asian societies place a lot of emphasis on group collaboration and unity in an organisational environment. Such cultural variations touch on the leadership style, pattern of communication, and motivation of the employees. The human resource managers are thus able to adjust the methods of engagement based on the expectations of various cultures in various countries. Diversity management is specifically crucial in multinational workplaces where people of various cultures are recruited. Wood (2020) says that organisational performance and commitment of the workforce are greatly enhanced through participation and involvement of the employees. Equitable human resource policies also enhance organisational trust and employee satisfaction within various organisational teams (</w:t>
      </w:r>
      <w:proofErr w:type="spellStart"/>
      <w:r w:rsidRPr="00F63950">
        <w:rPr>
          <w:rFonts w:ascii="Times New Roman" w:hAnsi="Times New Roman" w:cs="Times New Roman"/>
        </w:rPr>
        <w:t>Hazeen</w:t>
      </w:r>
      <w:proofErr w:type="spellEnd"/>
      <w:r w:rsidRPr="00F63950">
        <w:rPr>
          <w:rFonts w:ascii="Times New Roman" w:hAnsi="Times New Roman" w:cs="Times New Roman"/>
        </w:rPr>
        <w:t xml:space="preserve"> Fathima and Umarani, 2022). Non-discriminatory workplace policies thus contribute to good employee relationships as well as organisational teamwork.</w:t>
      </w:r>
    </w:p>
    <w:p w14:paraId="3719713C" w14:textId="77777777" w:rsidR="00F63950" w:rsidRPr="007A527D" w:rsidRDefault="00F63950" w:rsidP="00F63950">
      <w:pPr>
        <w:pStyle w:val="Heading2"/>
        <w:spacing w:line="360" w:lineRule="auto"/>
        <w:jc w:val="both"/>
        <w:rPr>
          <w:rFonts w:ascii="Times New Roman" w:hAnsi="Times New Roman" w:cs="Times New Roman"/>
          <w:b/>
          <w:bCs/>
          <w:color w:val="000000" w:themeColor="text1"/>
          <w:sz w:val="24"/>
          <w:szCs w:val="24"/>
        </w:rPr>
      </w:pPr>
      <w:bookmarkStart w:id="7" w:name="_Toc224335590"/>
      <w:r w:rsidRPr="007A527D">
        <w:rPr>
          <w:rFonts w:ascii="Times New Roman" w:hAnsi="Times New Roman" w:cs="Times New Roman"/>
          <w:b/>
          <w:bCs/>
          <w:color w:val="000000" w:themeColor="text1"/>
          <w:sz w:val="24"/>
          <w:szCs w:val="24"/>
        </w:rPr>
        <w:t>Technological Factors</w:t>
      </w:r>
      <w:bookmarkEnd w:id="7"/>
    </w:p>
    <w:p w14:paraId="6619EE4D"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Human resource management practises in global organisations have been heavily modified by technological development. Online recruitment systems enable organisations to have access to employees in broader global labour markets. The HR analytics systems further assist the managers to track the performance and productivity of the workforce and also that of the </w:t>
      </w:r>
      <w:r w:rsidRPr="00F63950">
        <w:rPr>
          <w:rFonts w:ascii="Times New Roman" w:hAnsi="Times New Roman" w:cs="Times New Roman"/>
        </w:rPr>
        <w:lastRenderedPageBreak/>
        <w:t>organisation. Remote work technologies have also enhanced the scope of flexible jobs in multinationals' operations. This technological advancement demands that workers acquire technological literacy and computer skills. Ongoing training programmes are thus used to promote staff development and expertise. Employee engagement and workplace performance are being affected by technology-based HR systems to a larger extent (</w:t>
      </w:r>
      <w:proofErr w:type="spellStart"/>
      <w:r w:rsidRPr="00F63950">
        <w:rPr>
          <w:rFonts w:ascii="Times New Roman" w:hAnsi="Times New Roman" w:cs="Times New Roman"/>
        </w:rPr>
        <w:t>Almaaitah</w:t>
      </w:r>
      <w:proofErr w:type="spellEnd"/>
      <w:r w:rsidRPr="00F63950">
        <w:rPr>
          <w:rFonts w:ascii="Times New Roman" w:hAnsi="Times New Roman" w:cs="Times New Roman"/>
        </w:rPr>
        <w:t xml:space="preserve"> et al., 2024). The contemporary online training systems also facilitate the learning of employees through online training programmes that are flexible and readily available.</w:t>
      </w:r>
    </w:p>
    <w:p w14:paraId="0BD7E235" w14:textId="00E99A88" w:rsidR="00F63950" w:rsidRPr="007A527D" w:rsidRDefault="00F63950" w:rsidP="00F63950">
      <w:pPr>
        <w:pStyle w:val="Heading2"/>
        <w:spacing w:line="360" w:lineRule="auto"/>
        <w:jc w:val="both"/>
        <w:rPr>
          <w:rFonts w:ascii="Times New Roman" w:hAnsi="Times New Roman" w:cs="Times New Roman"/>
          <w:b/>
          <w:bCs/>
          <w:color w:val="000000" w:themeColor="text1"/>
          <w:sz w:val="24"/>
          <w:szCs w:val="24"/>
        </w:rPr>
      </w:pPr>
      <w:bookmarkStart w:id="8" w:name="_Toc224335591"/>
      <w:r w:rsidRPr="007A527D">
        <w:rPr>
          <w:rFonts w:ascii="Times New Roman" w:hAnsi="Times New Roman" w:cs="Times New Roman"/>
          <w:b/>
          <w:bCs/>
          <w:color w:val="000000" w:themeColor="text1"/>
          <w:sz w:val="24"/>
          <w:szCs w:val="24"/>
        </w:rPr>
        <w:t>Environmental and Sustainable Factors</w:t>
      </w:r>
      <w:bookmarkEnd w:id="8"/>
    </w:p>
    <w:p w14:paraId="740DC3BF" w14:textId="77777777" w:rsidR="00F63950" w:rsidRPr="00F63950" w:rsidRDefault="00F63950" w:rsidP="00F63950">
      <w:pPr>
        <w:spacing w:line="360" w:lineRule="auto"/>
        <w:jc w:val="both"/>
        <w:rPr>
          <w:rFonts w:ascii="Times New Roman" w:eastAsiaTheme="majorEastAsia" w:hAnsi="Times New Roman" w:cs="Times New Roman"/>
          <w:b/>
          <w:sz w:val="32"/>
          <w:szCs w:val="32"/>
        </w:rPr>
      </w:pPr>
      <w:r w:rsidRPr="00F63950">
        <w:rPr>
          <w:rFonts w:ascii="Times New Roman" w:hAnsi="Times New Roman" w:cs="Times New Roman"/>
        </w:rPr>
        <w:t>The issue of environmental sustainability is becoming a significant priority in contemporary organisational management strategies. Governments, investors, and society are mounting pressure on organisations to be responsible in the way they handle environmental issues. Human resource management can thus contribute significantly towards the creation of awareness of the environment among the employees. The involvement of the employees in the sustainability programmes promotes accountable working practises and environmental accountability. Sustainable Hr practises are also beneficial in enhancing employee growth and organisational long-term results (Martini, Riva and Marafioti, 2023). Environmental responsibility has thus become a significant part of the current HR practises in multinational organisations.</w:t>
      </w:r>
      <w:r w:rsidRPr="00F63950">
        <w:rPr>
          <w:rFonts w:ascii="Times New Roman" w:hAnsi="Times New Roman" w:cs="Times New Roman"/>
        </w:rPr>
        <w:br w:type="page"/>
      </w:r>
    </w:p>
    <w:p w14:paraId="4F1B74F1" w14:textId="7777777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bookmarkStart w:id="9" w:name="_Toc224335592"/>
      <w:r w:rsidRPr="007A527D">
        <w:rPr>
          <w:rFonts w:ascii="Times New Roman" w:hAnsi="Times New Roman" w:cs="Times New Roman"/>
          <w:b/>
          <w:bCs/>
          <w:color w:val="000000" w:themeColor="text1"/>
          <w:sz w:val="32"/>
          <w:szCs w:val="32"/>
        </w:rPr>
        <w:lastRenderedPageBreak/>
        <w:t>Conclusion</w:t>
      </w:r>
      <w:bookmarkEnd w:id="9"/>
      <w:r w:rsidRPr="007A527D">
        <w:rPr>
          <w:rFonts w:ascii="Times New Roman" w:hAnsi="Times New Roman" w:cs="Times New Roman"/>
          <w:b/>
          <w:bCs/>
          <w:color w:val="000000" w:themeColor="text1"/>
          <w:sz w:val="32"/>
          <w:szCs w:val="32"/>
        </w:rPr>
        <w:t xml:space="preserve"> </w:t>
      </w:r>
    </w:p>
    <w:p w14:paraId="6B621372"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Human resource management is a significant aspect of performance and future stability in organisations. Recruitment activities assist organisations in hiring the right employees in terms of skills and knowledge base. Employee capability is enhanced by training programmes and enables incessant professional growth in workplaces. The performance management systems appraise employee input and drive organisational productivity. The concerns of employee relations promote collaboration and improve the process of communication between the staff and the managers. Good HR systems thus bolster organisational performance and work in workplaces. Environmental factors also determine most human resource management decisions in organisations. Political/legal regulations influence the recruitment process and arrangements of employment contracts in various states. Economic factors make an impact on the level of wages, the provision of labour, and the planning of the workforce. The social and cultural values influence the expectations of the employees, communication patterns, and behaviour at the workplace.</w:t>
      </w:r>
    </w:p>
    <w:p w14:paraId="2C90EAB6"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With the current technological advancement, the recruitment systems and learning opportunities for employees in organisations are undergoing changes. Digital systems facilitate communication between the workforce and enhance access to training materials. Environmental responsibility also promotes sustainable behaviour and other practices in the workplace by the organisations. The changing global business environment requires human resource managers to change strategies in the future. The international organisations are demanding adaptable HR practises that would meet the needs of a diverse workforce. This will be facilitated by good leadership, which will empower the employees and assist in cooperation at the workplace. The human resource managers should therefore encourage the adoption of digital skills and lifelong learning among the workforces. Actual organisational culture will be further supported using strong communication and inclusive management practises.</w:t>
      </w:r>
      <w:r w:rsidRPr="00F63950">
        <w:rPr>
          <w:rFonts w:ascii="Times New Roman" w:hAnsi="Times New Roman" w:cs="Times New Roman"/>
        </w:rPr>
        <w:br w:type="page"/>
      </w:r>
    </w:p>
    <w:p w14:paraId="4E8909FB" w14:textId="77777777" w:rsidR="00F63950" w:rsidRPr="007A527D" w:rsidRDefault="00F63950" w:rsidP="00F63950">
      <w:pPr>
        <w:pStyle w:val="Heading1"/>
        <w:spacing w:line="360" w:lineRule="auto"/>
        <w:jc w:val="both"/>
        <w:rPr>
          <w:rFonts w:ascii="Times New Roman" w:hAnsi="Times New Roman" w:cs="Times New Roman"/>
          <w:b/>
          <w:bCs/>
          <w:color w:val="000000" w:themeColor="text1"/>
          <w:sz w:val="32"/>
          <w:szCs w:val="32"/>
        </w:rPr>
      </w:pPr>
      <w:bookmarkStart w:id="10" w:name="_Toc224335593"/>
      <w:r w:rsidRPr="007A527D">
        <w:rPr>
          <w:rFonts w:ascii="Times New Roman" w:hAnsi="Times New Roman" w:cs="Times New Roman"/>
          <w:b/>
          <w:bCs/>
          <w:color w:val="000000" w:themeColor="text1"/>
          <w:sz w:val="32"/>
          <w:szCs w:val="32"/>
        </w:rPr>
        <w:lastRenderedPageBreak/>
        <w:t>Reference</w:t>
      </w:r>
      <w:bookmarkEnd w:id="10"/>
      <w:r w:rsidRPr="007A527D">
        <w:rPr>
          <w:rFonts w:ascii="Times New Roman" w:hAnsi="Times New Roman" w:cs="Times New Roman"/>
          <w:b/>
          <w:bCs/>
          <w:color w:val="000000" w:themeColor="text1"/>
          <w:sz w:val="32"/>
          <w:szCs w:val="32"/>
        </w:rPr>
        <w:t xml:space="preserve"> </w:t>
      </w:r>
    </w:p>
    <w:p w14:paraId="7A50AF0F" w14:textId="77777777" w:rsidR="00F63950" w:rsidRPr="00F63950" w:rsidRDefault="00F63950" w:rsidP="00F63950">
      <w:pPr>
        <w:spacing w:line="360" w:lineRule="auto"/>
        <w:jc w:val="both"/>
        <w:rPr>
          <w:rFonts w:ascii="Times New Roman" w:hAnsi="Times New Roman" w:cs="Times New Roman"/>
        </w:rPr>
      </w:pPr>
      <w:proofErr w:type="spellStart"/>
      <w:r w:rsidRPr="00F63950">
        <w:rPr>
          <w:rFonts w:ascii="Times New Roman" w:hAnsi="Times New Roman" w:cs="Times New Roman"/>
        </w:rPr>
        <w:t>Almaaitah</w:t>
      </w:r>
      <w:proofErr w:type="spellEnd"/>
      <w:r w:rsidRPr="00F63950">
        <w:rPr>
          <w:rFonts w:ascii="Times New Roman" w:hAnsi="Times New Roman" w:cs="Times New Roman"/>
        </w:rPr>
        <w:t>, M.F., Al-</w:t>
      </w:r>
      <w:proofErr w:type="spellStart"/>
      <w:r w:rsidRPr="00F63950">
        <w:rPr>
          <w:rFonts w:ascii="Times New Roman" w:hAnsi="Times New Roman" w:cs="Times New Roman"/>
        </w:rPr>
        <w:t>Rwaidan</w:t>
      </w:r>
      <w:proofErr w:type="spellEnd"/>
      <w:r w:rsidRPr="00F63950">
        <w:rPr>
          <w:rFonts w:ascii="Times New Roman" w:hAnsi="Times New Roman" w:cs="Times New Roman"/>
        </w:rPr>
        <w:t xml:space="preserve">, R.M., Al-Adamat, A.M., </w:t>
      </w:r>
      <w:proofErr w:type="spellStart"/>
      <w:r w:rsidRPr="00F63950">
        <w:rPr>
          <w:rFonts w:ascii="Times New Roman" w:hAnsi="Times New Roman" w:cs="Times New Roman"/>
        </w:rPr>
        <w:t>Enaizan</w:t>
      </w:r>
      <w:proofErr w:type="spellEnd"/>
      <w:r w:rsidRPr="00F63950">
        <w:rPr>
          <w:rFonts w:ascii="Times New Roman" w:hAnsi="Times New Roman" w:cs="Times New Roman"/>
        </w:rPr>
        <w:t xml:space="preserve">, O. and </w:t>
      </w:r>
      <w:proofErr w:type="spellStart"/>
      <w:r w:rsidRPr="00F63950">
        <w:rPr>
          <w:rFonts w:ascii="Times New Roman" w:hAnsi="Times New Roman" w:cs="Times New Roman"/>
        </w:rPr>
        <w:t>Alserhan</w:t>
      </w:r>
      <w:proofErr w:type="spellEnd"/>
      <w:r w:rsidRPr="00F63950">
        <w:rPr>
          <w:rFonts w:ascii="Times New Roman" w:hAnsi="Times New Roman" w:cs="Times New Roman"/>
        </w:rPr>
        <w:t xml:space="preserve">, A.F. (2024) ‘The impact of e-human resource management on employee performance: The mediating role of employee engagement in Jordanian service and public administration commission’, </w:t>
      </w:r>
      <w:r w:rsidRPr="00F63950">
        <w:rPr>
          <w:rFonts w:ascii="Times New Roman" w:hAnsi="Times New Roman" w:cs="Times New Roman"/>
          <w:i/>
          <w:iCs/>
        </w:rPr>
        <w:t>Journal of Infrastructure, Policy and Development</w:t>
      </w:r>
      <w:r w:rsidRPr="00F63950">
        <w:rPr>
          <w:rFonts w:ascii="Times New Roman" w:hAnsi="Times New Roman" w:cs="Times New Roman"/>
        </w:rPr>
        <w:t xml:space="preserve">, 8(9), p. 6763. Available at: </w:t>
      </w:r>
      <w:hyperlink r:id="rId9" w:tgtFrame="_new" w:history="1">
        <w:r w:rsidRPr="00F63950">
          <w:rPr>
            <w:rStyle w:val="Hyperlink"/>
            <w:rFonts w:ascii="Times New Roman" w:hAnsi="Times New Roman" w:cs="Times New Roman"/>
          </w:rPr>
          <w:t>https://doi.org/10.24294/jipd.v8i9.6763</w:t>
        </w:r>
      </w:hyperlink>
      <w:r w:rsidRPr="00F63950">
        <w:rPr>
          <w:rFonts w:ascii="Times New Roman" w:hAnsi="Times New Roman" w:cs="Times New Roman"/>
        </w:rPr>
        <w:t>.</w:t>
      </w:r>
    </w:p>
    <w:p w14:paraId="0458BA3B"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Alqudah, I.H.A., </w:t>
      </w:r>
      <w:proofErr w:type="spellStart"/>
      <w:r w:rsidRPr="00F63950">
        <w:rPr>
          <w:rFonts w:ascii="Times New Roman" w:hAnsi="Times New Roman" w:cs="Times New Roman"/>
        </w:rPr>
        <w:t>Penela</w:t>
      </w:r>
      <w:proofErr w:type="spellEnd"/>
      <w:r w:rsidRPr="00F63950">
        <w:rPr>
          <w:rFonts w:ascii="Times New Roman" w:hAnsi="Times New Roman" w:cs="Times New Roman"/>
        </w:rPr>
        <w:t xml:space="preserve">, A.C. and </w:t>
      </w:r>
      <w:proofErr w:type="spellStart"/>
      <w:r w:rsidRPr="00F63950">
        <w:rPr>
          <w:rFonts w:ascii="Times New Roman" w:hAnsi="Times New Roman" w:cs="Times New Roman"/>
        </w:rPr>
        <w:t>Sanmartín</w:t>
      </w:r>
      <w:proofErr w:type="spellEnd"/>
      <w:r w:rsidRPr="00F63950">
        <w:rPr>
          <w:rFonts w:ascii="Times New Roman" w:hAnsi="Times New Roman" w:cs="Times New Roman"/>
        </w:rPr>
        <w:t xml:space="preserve">, E.R. (2022) ‘High-performance human resource management practices and readiness for change: An integrative model including affective commitment, employees’ performance, and the moderating role of hierarchy culture’, </w:t>
      </w:r>
      <w:r w:rsidRPr="00F63950">
        <w:rPr>
          <w:rFonts w:ascii="Times New Roman" w:hAnsi="Times New Roman" w:cs="Times New Roman"/>
          <w:i/>
          <w:iCs/>
        </w:rPr>
        <w:t>European Research on Management and Business Economics</w:t>
      </w:r>
      <w:r w:rsidRPr="00F63950">
        <w:rPr>
          <w:rFonts w:ascii="Times New Roman" w:hAnsi="Times New Roman" w:cs="Times New Roman"/>
        </w:rPr>
        <w:t xml:space="preserve">, 28(1). Available at: </w:t>
      </w:r>
      <w:hyperlink r:id="rId10" w:tgtFrame="_new" w:history="1">
        <w:r w:rsidRPr="00F63950">
          <w:rPr>
            <w:rStyle w:val="Hyperlink"/>
            <w:rFonts w:ascii="Times New Roman" w:hAnsi="Times New Roman" w:cs="Times New Roman"/>
          </w:rPr>
          <w:t>https://doi.org/10.1016/j.iedeen.2021.100177</w:t>
        </w:r>
      </w:hyperlink>
      <w:r w:rsidRPr="00F63950">
        <w:rPr>
          <w:rFonts w:ascii="Times New Roman" w:hAnsi="Times New Roman" w:cs="Times New Roman"/>
        </w:rPr>
        <w:t>.</w:t>
      </w:r>
    </w:p>
    <w:p w14:paraId="5AED0C93"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Chung, C. and Sparrow, P. (2024) ‘Exploring the configuration of international HRM strategies for global integration and local responsiveness in MNEs’, </w:t>
      </w:r>
      <w:r w:rsidRPr="00F63950">
        <w:rPr>
          <w:rFonts w:ascii="Times New Roman" w:hAnsi="Times New Roman" w:cs="Times New Roman"/>
          <w:i/>
          <w:iCs/>
        </w:rPr>
        <w:t>International Journal of Human Resource Management</w:t>
      </w:r>
      <w:r w:rsidRPr="00F63950">
        <w:rPr>
          <w:rFonts w:ascii="Times New Roman" w:hAnsi="Times New Roman" w:cs="Times New Roman"/>
        </w:rPr>
        <w:t xml:space="preserve">, 35(11), pp. 1943–1969. Available at: </w:t>
      </w:r>
      <w:hyperlink r:id="rId11" w:tgtFrame="_new" w:history="1">
        <w:r w:rsidRPr="00F63950">
          <w:rPr>
            <w:rStyle w:val="Hyperlink"/>
            <w:rFonts w:ascii="Times New Roman" w:hAnsi="Times New Roman" w:cs="Times New Roman"/>
          </w:rPr>
          <w:t>https://doi.org/10.1080/09585192.2024.2320768</w:t>
        </w:r>
      </w:hyperlink>
      <w:r w:rsidRPr="00F63950">
        <w:rPr>
          <w:rFonts w:ascii="Times New Roman" w:hAnsi="Times New Roman" w:cs="Times New Roman"/>
        </w:rPr>
        <w:t>.</w:t>
      </w:r>
    </w:p>
    <w:p w14:paraId="53084482"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de Araújo, M.L., Caldas, L.S., Barreto, B.S., Menezes, P.P.M., Silvério, J.C. dos S., Rodrigues, L.C., Serrano, A.L.M., Neumann, C. and Mendes, N. (2024) ‘How to evaluate the effectiveness of performance management systems? An overview of the literature and a proposed integrative model’, </w:t>
      </w:r>
      <w:r w:rsidRPr="00F63950">
        <w:rPr>
          <w:rFonts w:ascii="Times New Roman" w:hAnsi="Times New Roman" w:cs="Times New Roman"/>
          <w:i/>
          <w:iCs/>
        </w:rPr>
        <w:t>Administrative Sciences</w:t>
      </w:r>
      <w:r w:rsidRPr="00F63950">
        <w:rPr>
          <w:rFonts w:ascii="Times New Roman" w:hAnsi="Times New Roman" w:cs="Times New Roman"/>
        </w:rPr>
        <w:t xml:space="preserve">, 14(6), p. 117. Available at: </w:t>
      </w:r>
      <w:hyperlink r:id="rId12" w:tgtFrame="_new" w:history="1">
        <w:r w:rsidRPr="00F63950">
          <w:rPr>
            <w:rStyle w:val="Hyperlink"/>
            <w:rFonts w:ascii="Times New Roman" w:hAnsi="Times New Roman" w:cs="Times New Roman"/>
          </w:rPr>
          <w:t>https://doi.org/10.3390/admsci14060117</w:t>
        </w:r>
      </w:hyperlink>
      <w:r w:rsidRPr="00F63950">
        <w:rPr>
          <w:rFonts w:ascii="Times New Roman" w:hAnsi="Times New Roman" w:cs="Times New Roman"/>
        </w:rPr>
        <w:t>.</w:t>
      </w:r>
    </w:p>
    <w:p w14:paraId="7F3918A6"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Edwards, T., Almond, P., Murray, G. and Tregaskis, O. (2021) ‘International human resource management in multinational companies: Global norm making within strategic action fields’, </w:t>
      </w:r>
      <w:r w:rsidRPr="00F63950">
        <w:rPr>
          <w:rFonts w:ascii="Times New Roman" w:hAnsi="Times New Roman" w:cs="Times New Roman"/>
          <w:i/>
          <w:iCs/>
        </w:rPr>
        <w:t>Human Resource Management Journal</w:t>
      </w:r>
      <w:r w:rsidRPr="00F63950">
        <w:rPr>
          <w:rFonts w:ascii="Times New Roman" w:hAnsi="Times New Roman" w:cs="Times New Roman"/>
        </w:rPr>
        <w:t xml:space="preserve">, 32(3), pp. 683–697. Available at: </w:t>
      </w:r>
      <w:hyperlink r:id="rId13" w:tgtFrame="_new" w:history="1">
        <w:r w:rsidRPr="00F63950">
          <w:rPr>
            <w:rStyle w:val="Hyperlink"/>
            <w:rFonts w:ascii="Times New Roman" w:hAnsi="Times New Roman" w:cs="Times New Roman"/>
          </w:rPr>
          <w:t>https://doi.org/10.1111/1748-8583.12422</w:t>
        </w:r>
      </w:hyperlink>
      <w:r w:rsidRPr="00F63950">
        <w:rPr>
          <w:rFonts w:ascii="Times New Roman" w:hAnsi="Times New Roman" w:cs="Times New Roman"/>
        </w:rPr>
        <w:t>.</w:t>
      </w:r>
    </w:p>
    <w:p w14:paraId="4C7387F3" w14:textId="77777777" w:rsidR="00F63950" w:rsidRPr="00F63950" w:rsidRDefault="00F63950" w:rsidP="00F63950">
      <w:pPr>
        <w:spacing w:line="360" w:lineRule="auto"/>
        <w:jc w:val="both"/>
        <w:rPr>
          <w:rFonts w:ascii="Times New Roman" w:hAnsi="Times New Roman" w:cs="Times New Roman"/>
        </w:rPr>
      </w:pPr>
      <w:proofErr w:type="spellStart"/>
      <w:r w:rsidRPr="00F63950">
        <w:rPr>
          <w:rFonts w:ascii="Times New Roman" w:hAnsi="Times New Roman" w:cs="Times New Roman"/>
        </w:rPr>
        <w:t>Hazeen</w:t>
      </w:r>
      <w:proofErr w:type="spellEnd"/>
      <w:r w:rsidRPr="00F63950">
        <w:rPr>
          <w:rFonts w:ascii="Times New Roman" w:hAnsi="Times New Roman" w:cs="Times New Roman"/>
        </w:rPr>
        <w:t xml:space="preserve"> Fathima, M. and Umarani, C. (2022) ‘Fairness in human resource management practices and engineers’ intention to stay in Indian construction firms’, </w:t>
      </w:r>
      <w:r w:rsidRPr="00F63950">
        <w:rPr>
          <w:rFonts w:ascii="Times New Roman" w:hAnsi="Times New Roman" w:cs="Times New Roman"/>
          <w:i/>
          <w:iCs/>
        </w:rPr>
        <w:t>Employee Relations: The International Journal</w:t>
      </w:r>
      <w:r w:rsidRPr="00F63950">
        <w:rPr>
          <w:rFonts w:ascii="Times New Roman" w:hAnsi="Times New Roman" w:cs="Times New Roman"/>
        </w:rPr>
        <w:t xml:space="preserve">, 45(1). Available at: </w:t>
      </w:r>
      <w:hyperlink r:id="rId14" w:tgtFrame="_new" w:history="1">
        <w:r w:rsidRPr="00F63950">
          <w:rPr>
            <w:rStyle w:val="Hyperlink"/>
            <w:rFonts w:ascii="Times New Roman" w:hAnsi="Times New Roman" w:cs="Times New Roman"/>
          </w:rPr>
          <w:t>https://doi.org/10.1108/er-07-2021-0308</w:t>
        </w:r>
      </w:hyperlink>
      <w:r w:rsidRPr="00F63950">
        <w:rPr>
          <w:rFonts w:ascii="Times New Roman" w:hAnsi="Times New Roman" w:cs="Times New Roman"/>
        </w:rPr>
        <w:t>.</w:t>
      </w:r>
    </w:p>
    <w:p w14:paraId="0733417C"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Higgins, P. (2024) ‘Conceptual and methodological issues in international and comparative HRM: Transferring lessons from comparative public policy’, </w:t>
      </w:r>
      <w:r w:rsidRPr="00F63950">
        <w:rPr>
          <w:rFonts w:ascii="Times New Roman" w:hAnsi="Times New Roman" w:cs="Times New Roman"/>
          <w:i/>
          <w:iCs/>
        </w:rPr>
        <w:t>Human Resource Management Review</w:t>
      </w:r>
      <w:r w:rsidRPr="00F63950">
        <w:rPr>
          <w:rFonts w:ascii="Times New Roman" w:hAnsi="Times New Roman" w:cs="Times New Roman"/>
        </w:rPr>
        <w:t xml:space="preserve">, 34(2), p. 101015. Available at: </w:t>
      </w:r>
      <w:hyperlink r:id="rId15" w:tgtFrame="_new" w:history="1">
        <w:r w:rsidRPr="00F63950">
          <w:rPr>
            <w:rStyle w:val="Hyperlink"/>
            <w:rFonts w:ascii="Times New Roman" w:hAnsi="Times New Roman" w:cs="Times New Roman"/>
          </w:rPr>
          <w:t>https://doi.org/10.1016/j.hrmr.2024.101015</w:t>
        </w:r>
      </w:hyperlink>
      <w:r w:rsidRPr="00F63950">
        <w:rPr>
          <w:rFonts w:ascii="Times New Roman" w:hAnsi="Times New Roman" w:cs="Times New Roman"/>
        </w:rPr>
        <w:t>.</w:t>
      </w:r>
    </w:p>
    <w:p w14:paraId="5463DB1B"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Martini, M., Riva, E. and Marafioti, E. (2023) ‘Sustainable HRM, training for employability and organizational outcomes: The moderating role of competitive intensity’, </w:t>
      </w:r>
      <w:r w:rsidRPr="00F63950">
        <w:rPr>
          <w:rFonts w:ascii="Times New Roman" w:hAnsi="Times New Roman" w:cs="Times New Roman"/>
          <w:i/>
          <w:iCs/>
        </w:rPr>
        <w:t>Employee Relations</w:t>
      </w:r>
      <w:r w:rsidRPr="00F63950">
        <w:rPr>
          <w:rFonts w:ascii="Times New Roman" w:hAnsi="Times New Roman" w:cs="Times New Roman"/>
        </w:rPr>
        <w:t xml:space="preserve">, 45(7), pp. 79–102. Available at: </w:t>
      </w:r>
      <w:hyperlink r:id="rId16" w:tgtFrame="_new" w:history="1">
        <w:r w:rsidRPr="00F63950">
          <w:rPr>
            <w:rStyle w:val="Hyperlink"/>
            <w:rFonts w:ascii="Times New Roman" w:hAnsi="Times New Roman" w:cs="Times New Roman"/>
          </w:rPr>
          <w:t>https://doi.org/10.1108/er-02-2022-0072</w:t>
        </w:r>
      </w:hyperlink>
      <w:r w:rsidRPr="00F63950">
        <w:rPr>
          <w:rFonts w:ascii="Times New Roman" w:hAnsi="Times New Roman" w:cs="Times New Roman"/>
        </w:rPr>
        <w:t>.</w:t>
      </w:r>
    </w:p>
    <w:p w14:paraId="15D98955" w14:textId="49F4304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lastRenderedPageBreak/>
        <w:t xml:space="preserve">Mayrhofer, W., Gooderham, P.N. and Brewster, C. (2019) ‘Context and HRM: Theory, evidence, and proposals’, </w:t>
      </w:r>
      <w:r w:rsidRPr="00F63950">
        <w:rPr>
          <w:rFonts w:ascii="Times New Roman" w:hAnsi="Times New Roman" w:cs="Times New Roman"/>
          <w:i/>
          <w:iCs/>
        </w:rPr>
        <w:t>International Studies of Management &amp; Organization</w:t>
      </w:r>
      <w:r w:rsidRPr="00F63950">
        <w:rPr>
          <w:rFonts w:ascii="Times New Roman" w:hAnsi="Times New Roman" w:cs="Times New Roman"/>
        </w:rPr>
        <w:t xml:space="preserve">, 49(4), pp. 355–371. Available at: </w:t>
      </w:r>
      <w:hyperlink r:id="rId17" w:history="1">
        <w:r w:rsidR="007A527D" w:rsidRPr="00A22521">
          <w:rPr>
            <w:rStyle w:val="Hyperlink"/>
            <w:rFonts w:ascii="Times New Roman" w:hAnsi="Times New Roman" w:cs="Times New Roman"/>
          </w:rPr>
          <w:t>https://doi.org/10.1080/00208825.2019.1646486</w:t>
        </w:r>
      </w:hyperlink>
      <w:r w:rsidRPr="00F63950">
        <w:rPr>
          <w:rFonts w:ascii="Times New Roman" w:hAnsi="Times New Roman" w:cs="Times New Roman"/>
        </w:rPr>
        <w:t>.</w:t>
      </w:r>
    </w:p>
    <w:p w14:paraId="55763248"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Wesche, J.S. and Handke, L. (2023) ‘Digitisation and automation in training and development: A meta-review of new opportunities and challenges’, </w:t>
      </w:r>
      <w:r w:rsidRPr="00F63950">
        <w:rPr>
          <w:rFonts w:ascii="Times New Roman" w:hAnsi="Times New Roman" w:cs="Times New Roman"/>
          <w:i/>
          <w:iCs/>
        </w:rPr>
        <w:t>Personnel Review</w:t>
      </w:r>
      <w:r w:rsidRPr="00F63950">
        <w:rPr>
          <w:rFonts w:ascii="Times New Roman" w:hAnsi="Times New Roman" w:cs="Times New Roman"/>
        </w:rPr>
        <w:t xml:space="preserve">, 53(3). Available at: </w:t>
      </w:r>
      <w:hyperlink r:id="rId18" w:tgtFrame="_new" w:history="1">
        <w:r w:rsidRPr="00F63950">
          <w:rPr>
            <w:rStyle w:val="Hyperlink"/>
            <w:rFonts w:ascii="Times New Roman" w:hAnsi="Times New Roman" w:cs="Times New Roman"/>
          </w:rPr>
          <w:t>https://doi.org/10.1108/pr-09-2022-0660</w:t>
        </w:r>
      </w:hyperlink>
      <w:r w:rsidRPr="00F63950">
        <w:rPr>
          <w:rFonts w:ascii="Times New Roman" w:hAnsi="Times New Roman" w:cs="Times New Roman"/>
        </w:rPr>
        <w:t>.</w:t>
      </w:r>
    </w:p>
    <w:p w14:paraId="3273DB09"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Wood, S. (2020) ‘Human resource management–performance research: Is everyone really on the same page on employee involvement?’, </w:t>
      </w:r>
      <w:r w:rsidRPr="00F63950">
        <w:rPr>
          <w:rFonts w:ascii="Times New Roman" w:hAnsi="Times New Roman" w:cs="Times New Roman"/>
          <w:i/>
          <w:iCs/>
        </w:rPr>
        <w:t>International Journal of Management Reviews</w:t>
      </w:r>
      <w:r w:rsidRPr="00F63950">
        <w:rPr>
          <w:rFonts w:ascii="Times New Roman" w:hAnsi="Times New Roman" w:cs="Times New Roman"/>
        </w:rPr>
        <w:t xml:space="preserve">, 22(4), pp. 408–426. Available at: </w:t>
      </w:r>
      <w:hyperlink r:id="rId19" w:tgtFrame="_new" w:history="1">
        <w:r w:rsidRPr="00F63950">
          <w:rPr>
            <w:rStyle w:val="Hyperlink"/>
            <w:rFonts w:ascii="Times New Roman" w:hAnsi="Times New Roman" w:cs="Times New Roman"/>
          </w:rPr>
          <w:t>https://doi.org/10.1111/ijmr.12235</w:t>
        </w:r>
      </w:hyperlink>
      <w:r w:rsidRPr="00F63950">
        <w:rPr>
          <w:rFonts w:ascii="Times New Roman" w:hAnsi="Times New Roman" w:cs="Times New Roman"/>
        </w:rPr>
        <w:t>.</w:t>
      </w:r>
    </w:p>
    <w:p w14:paraId="21A6AACF" w14:textId="77777777" w:rsidR="00F63950" w:rsidRPr="00F63950" w:rsidRDefault="00F63950" w:rsidP="00F63950">
      <w:pPr>
        <w:spacing w:line="360" w:lineRule="auto"/>
        <w:jc w:val="both"/>
        <w:rPr>
          <w:rFonts w:ascii="Times New Roman" w:hAnsi="Times New Roman" w:cs="Times New Roman"/>
        </w:rPr>
      </w:pPr>
      <w:r w:rsidRPr="00F63950">
        <w:rPr>
          <w:rFonts w:ascii="Times New Roman" w:hAnsi="Times New Roman" w:cs="Times New Roman"/>
        </w:rPr>
        <w:t xml:space="preserve">Yadav, R., Chaudhary, N.S., Kumar, D. and Saini, D. (2022) ‘Mediating and moderating variables of employee relations and sustainable organizations: A systematic literature review and future research agenda’, </w:t>
      </w:r>
      <w:r w:rsidRPr="00F63950">
        <w:rPr>
          <w:rFonts w:ascii="Times New Roman" w:hAnsi="Times New Roman" w:cs="Times New Roman"/>
          <w:i/>
          <w:iCs/>
        </w:rPr>
        <w:t>International Journal of Organizational Analysis</w:t>
      </w:r>
      <w:r w:rsidRPr="00F63950">
        <w:rPr>
          <w:rFonts w:ascii="Times New Roman" w:hAnsi="Times New Roman" w:cs="Times New Roman"/>
        </w:rPr>
        <w:t xml:space="preserve">, 31(7), pp. 3023–3050. Available at: </w:t>
      </w:r>
      <w:hyperlink r:id="rId20" w:tgtFrame="_new" w:history="1">
        <w:r w:rsidRPr="00F63950">
          <w:rPr>
            <w:rStyle w:val="Hyperlink"/>
            <w:rFonts w:ascii="Times New Roman" w:hAnsi="Times New Roman" w:cs="Times New Roman"/>
          </w:rPr>
          <w:t>https://doi.org/10.1108/ijoa-12-2021-3091</w:t>
        </w:r>
      </w:hyperlink>
      <w:r w:rsidRPr="00F63950">
        <w:rPr>
          <w:rFonts w:ascii="Times New Roman" w:hAnsi="Times New Roman" w:cs="Times New Roman"/>
        </w:rPr>
        <w:t>.</w:t>
      </w:r>
    </w:p>
    <w:p w14:paraId="11F38611" w14:textId="77777777" w:rsidR="00F63950" w:rsidRPr="00F63950" w:rsidRDefault="00F63950" w:rsidP="00F63950">
      <w:pPr>
        <w:spacing w:line="360" w:lineRule="auto"/>
        <w:jc w:val="both"/>
        <w:rPr>
          <w:rFonts w:ascii="Times New Roman" w:hAnsi="Times New Roman" w:cs="Times New Roman"/>
        </w:rPr>
      </w:pPr>
    </w:p>
    <w:p w14:paraId="707873D7" w14:textId="77777777" w:rsidR="00F63950" w:rsidRPr="00F63950" w:rsidRDefault="00F63950" w:rsidP="00F63950">
      <w:pPr>
        <w:spacing w:line="360" w:lineRule="auto"/>
        <w:jc w:val="both"/>
        <w:rPr>
          <w:rFonts w:ascii="Times New Roman" w:hAnsi="Times New Roman" w:cs="Times New Roman"/>
          <w:sz w:val="32"/>
          <w:szCs w:val="32"/>
        </w:rPr>
      </w:pPr>
    </w:p>
    <w:p w14:paraId="388054C2" w14:textId="77777777" w:rsidR="00F63950" w:rsidRPr="00F63950" w:rsidRDefault="00F63950" w:rsidP="00F63950">
      <w:pPr>
        <w:spacing w:line="360" w:lineRule="auto"/>
        <w:jc w:val="both"/>
        <w:rPr>
          <w:rFonts w:ascii="Times New Roman" w:hAnsi="Times New Roman" w:cs="Times New Roman"/>
          <w:sz w:val="32"/>
          <w:szCs w:val="32"/>
        </w:rPr>
      </w:pPr>
    </w:p>
    <w:p w14:paraId="7894CB6E" w14:textId="77777777" w:rsidR="00F63950" w:rsidRPr="00F63950" w:rsidRDefault="00F63950" w:rsidP="00F63950">
      <w:pPr>
        <w:spacing w:line="360" w:lineRule="auto"/>
        <w:jc w:val="both"/>
        <w:rPr>
          <w:rFonts w:ascii="Times New Roman" w:hAnsi="Times New Roman" w:cs="Times New Roman"/>
          <w:sz w:val="32"/>
          <w:szCs w:val="32"/>
        </w:rPr>
      </w:pPr>
    </w:p>
    <w:p w14:paraId="52565B3F" w14:textId="77777777" w:rsidR="00F63950" w:rsidRPr="00F63950" w:rsidRDefault="00F63950" w:rsidP="00F63950">
      <w:pPr>
        <w:spacing w:line="360" w:lineRule="auto"/>
        <w:jc w:val="both"/>
        <w:rPr>
          <w:rFonts w:ascii="Times New Roman" w:hAnsi="Times New Roman" w:cs="Times New Roman"/>
          <w:sz w:val="32"/>
          <w:szCs w:val="32"/>
        </w:rPr>
      </w:pPr>
    </w:p>
    <w:p w14:paraId="0DFD7D74" w14:textId="77777777" w:rsidR="00F63950" w:rsidRPr="00F63950" w:rsidRDefault="00F63950" w:rsidP="00F63950">
      <w:pPr>
        <w:spacing w:line="360" w:lineRule="auto"/>
        <w:jc w:val="both"/>
        <w:rPr>
          <w:rFonts w:ascii="Times New Roman" w:hAnsi="Times New Roman" w:cs="Times New Roman"/>
          <w:sz w:val="32"/>
          <w:szCs w:val="32"/>
        </w:rPr>
      </w:pPr>
    </w:p>
    <w:p w14:paraId="4EAE9A05" w14:textId="77777777" w:rsidR="00F63950" w:rsidRPr="00F63950" w:rsidRDefault="00F63950" w:rsidP="00F63950">
      <w:pPr>
        <w:spacing w:line="360" w:lineRule="auto"/>
        <w:jc w:val="both"/>
        <w:rPr>
          <w:rFonts w:ascii="Times New Roman" w:hAnsi="Times New Roman" w:cs="Times New Roman"/>
          <w:sz w:val="32"/>
          <w:szCs w:val="32"/>
        </w:rPr>
      </w:pPr>
    </w:p>
    <w:p w14:paraId="0AD463D7" w14:textId="77777777" w:rsidR="00F63950" w:rsidRPr="00F63950" w:rsidRDefault="00F63950" w:rsidP="00F63950">
      <w:pPr>
        <w:spacing w:line="360" w:lineRule="auto"/>
        <w:jc w:val="both"/>
        <w:rPr>
          <w:rFonts w:ascii="Times New Roman" w:hAnsi="Times New Roman" w:cs="Times New Roman"/>
          <w:sz w:val="32"/>
          <w:szCs w:val="32"/>
        </w:rPr>
      </w:pPr>
    </w:p>
    <w:p w14:paraId="5314DE6F" w14:textId="77777777" w:rsidR="00F63950" w:rsidRPr="00F63950" w:rsidRDefault="00F63950" w:rsidP="00F63950">
      <w:pPr>
        <w:spacing w:line="360" w:lineRule="auto"/>
        <w:jc w:val="both"/>
        <w:rPr>
          <w:rFonts w:ascii="Times New Roman" w:hAnsi="Times New Roman" w:cs="Times New Roman"/>
          <w:sz w:val="32"/>
          <w:szCs w:val="32"/>
        </w:rPr>
      </w:pPr>
    </w:p>
    <w:p w14:paraId="1C0BE4D4" w14:textId="77777777" w:rsidR="00F63950" w:rsidRPr="00F63950" w:rsidRDefault="00F63950" w:rsidP="00F63950">
      <w:pPr>
        <w:spacing w:line="360" w:lineRule="auto"/>
        <w:jc w:val="both"/>
        <w:rPr>
          <w:rFonts w:ascii="Times New Roman" w:hAnsi="Times New Roman" w:cs="Times New Roman"/>
          <w:sz w:val="32"/>
          <w:szCs w:val="32"/>
        </w:rPr>
      </w:pPr>
    </w:p>
    <w:p w14:paraId="7C7692CE" w14:textId="77777777" w:rsidR="00F63950" w:rsidRPr="00F63950" w:rsidRDefault="00F63950" w:rsidP="00F63950">
      <w:pPr>
        <w:spacing w:line="360" w:lineRule="auto"/>
        <w:jc w:val="both"/>
        <w:rPr>
          <w:rFonts w:ascii="Times New Roman" w:hAnsi="Times New Roman" w:cs="Times New Roman"/>
          <w:sz w:val="32"/>
          <w:szCs w:val="32"/>
        </w:rPr>
      </w:pPr>
    </w:p>
    <w:p w14:paraId="2CB904DE" w14:textId="77777777" w:rsidR="00F63950" w:rsidRPr="00F63950" w:rsidRDefault="00F63950" w:rsidP="00F63950">
      <w:pPr>
        <w:spacing w:line="360" w:lineRule="auto"/>
        <w:jc w:val="both"/>
        <w:rPr>
          <w:rFonts w:ascii="Times New Roman" w:hAnsi="Times New Roman" w:cs="Times New Roman"/>
          <w:sz w:val="32"/>
          <w:szCs w:val="32"/>
        </w:rPr>
      </w:pPr>
    </w:p>
    <w:p w14:paraId="7FF7CBD8" w14:textId="77777777" w:rsidR="00F63950" w:rsidRPr="00F63950" w:rsidRDefault="00F63950" w:rsidP="00F63950">
      <w:pPr>
        <w:spacing w:line="360" w:lineRule="auto"/>
        <w:jc w:val="both"/>
        <w:rPr>
          <w:rFonts w:ascii="Times New Roman" w:hAnsi="Times New Roman" w:cs="Times New Roman"/>
          <w:sz w:val="32"/>
          <w:szCs w:val="32"/>
        </w:rPr>
      </w:pPr>
    </w:p>
    <w:p w14:paraId="14F4ED64" w14:textId="77777777" w:rsidR="00F63950" w:rsidRPr="00F63950" w:rsidRDefault="00F63950" w:rsidP="00F63950">
      <w:pPr>
        <w:spacing w:line="360" w:lineRule="auto"/>
        <w:jc w:val="both"/>
        <w:rPr>
          <w:rFonts w:ascii="Times New Roman" w:hAnsi="Times New Roman" w:cs="Times New Roman"/>
          <w:sz w:val="32"/>
          <w:szCs w:val="32"/>
        </w:rPr>
      </w:pPr>
    </w:p>
    <w:p w14:paraId="2C0526CB" w14:textId="77777777" w:rsidR="00F63950" w:rsidRPr="00F63950" w:rsidRDefault="00F63950" w:rsidP="00F63950">
      <w:pPr>
        <w:spacing w:line="360" w:lineRule="auto"/>
        <w:jc w:val="both"/>
        <w:rPr>
          <w:rFonts w:ascii="Times New Roman" w:hAnsi="Times New Roman" w:cs="Times New Roman"/>
          <w:sz w:val="32"/>
          <w:szCs w:val="32"/>
        </w:rPr>
      </w:pPr>
    </w:p>
    <w:p w14:paraId="19020368" w14:textId="77777777" w:rsidR="00F63950" w:rsidRPr="00F63950" w:rsidRDefault="00F63950" w:rsidP="00F63950">
      <w:pPr>
        <w:spacing w:line="360" w:lineRule="auto"/>
        <w:jc w:val="both"/>
        <w:rPr>
          <w:rFonts w:ascii="Times New Roman" w:hAnsi="Times New Roman" w:cs="Times New Roman"/>
          <w:sz w:val="32"/>
          <w:szCs w:val="32"/>
        </w:rPr>
      </w:pPr>
    </w:p>
    <w:p w14:paraId="0351F1E7" w14:textId="77777777" w:rsidR="00F63950" w:rsidRPr="00F63950" w:rsidRDefault="00F63950" w:rsidP="00F63950">
      <w:pPr>
        <w:spacing w:line="360" w:lineRule="auto"/>
        <w:jc w:val="both"/>
        <w:rPr>
          <w:rFonts w:ascii="Times New Roman" w:hAnsi="Times New Roman" w:cs="Times New Roman"/>
          <w:sz w:val="32"/>
          <w:szCs w:val="32"/>
        </w:rPr>
      </w:pPr>
    </w:p>
    <w:p w14:paraId="69DDA2A4" w14:textId="77777777" w:rsidR="00F63950" w:rsidRPr="00F63950" w:rsidRDefault="00F63950" w:rsidP="00F63950">
      <w:pPr>
        <w:spacing w:line="360" w:lineRule="auto"/>
        <w:jc w:val="both"/>
        <w:rPr>
          <w:rFonts w:ascii="Times New Roman" w:hAnsi="Times New Roman" w:cs="Times New Roman"/>
          <w:sz w:val="32"/>
          <w:szCs w:val="32"/>
        </w:rPr>
      </w:pPr>
    </w:p>
    <w:p w14:paraId="26280706" w14:textId="77777777" w:rsidR="00F63950" w:rsidRPr="00F63950" w:rsidRDefault="00F63950" w:rsidP="00F63950">
      <w:pPr>
        <w:spacing w:line="360" w:lineRule="auto"/>
        <w:jc w:val="both"/>
        <w:rPr>
          <w:rFonts w:ascii="Times New Roman" w:hAnsi="Times New Roman" w:cs="Times New Roman"/>
          <w:sz w:val="32"/>
          <w:szCs w:val="32"/>
        </w:rPr>
      </w:pPr>
    </w:p>
    <w:p w14:paraId="330E288B" w14:textId="77777777" w:rsidR="00F63950" w:rsidRPr="00F63950" w:rsidRDefault="00F63950" w:rsidP="00F63950">
      <w:pPr>
        <w:spacing w:line="360" w:lineRule="auto"/>
        <w:jc w:val="both"/>
        <w:rPr>
          <w:rFonts w:ascii="Times New Roman" w:hAnsi="Times New Roman" w:cs="Times New Roman"/>
          <w:sz w:val="32"/>
          <w:szCs w:val="32"/>
        </w:rPr>
      </w:pPr>
    </w:p>
    <w:p w14:paraId="57A154FB" w14:textId="77777777" w:rsidR="00F63950" w:rsidRPr="00F63950" w:rsidRDefault="00F63950" w:rsidP="00F63950">
      <w:pPr>
        <w:spacing w:line="360" w:lineRule="auto"/>
        <w:jc w:val="both"/>
        <w:rPr>
          <w:rFonts w:ascii="Times New Roman" w:hAnsi="Times New Roman" w:cs="Times New Roman"/>
          <w:sz w:val="32"/>
          <w:szCs w:val="32"/>
        </w:rPr>
      </w:pPr>
    </w:p>
    <w:p w14:paraId="12CC780A" w14:textId="77777777" w:rsidR="00F63950" w:rsidRPr="00F63950" w:rsidRDefault="00F63950" w:rsidP="00F63950">
      <w:pPr>
        <w:spacing w:line="360" w:lineRule="auto"/>
        <w:jc w:val="both"/>
        <w:rPr>
          <w:rFonts w:ascii="Times New Roman" w:hAnsi="Times New Roman" w:cs="Times New Roman"/>
          <w:sz w:val="32"/>
          <w:szCs w:val="32"/>
        </w:rPr>
      </w:pPr>
    </w:p>
    <w:p w14:paraId="4A833C1E" w14:textId="77777777" w:rsidR="00F63950" w:rsidRPr="00F63950" w:rsidRDefault="00F63950" w:rsidP="00F63950">
      <w:pPr>
        <w:spacing w:line="360" w:lineRule="auto"/>
        <w:jc w:val="both"/>
        <w:rPr>
          <w:rFonts w:ascii="Times New Roman" w:hAnsi="Times New Roman" w:cs="Times New Roman"/>
          <w:sz w:val="32"/>
          <w:szCs w:val="32"/>
        </w:rPr>
      </w:pPr>
    </w:p>
    <w:p w14:paraId="2E2C5DB1" w14:textId="77777777" w:rsidR="00F63950" w:rsidRPr="00F63950" w:rsidRDefault="00F63950" w:rsidP="00F63950">
      <w:pPr>
        <w:spacing w:line="360" w:lineRule="auto"/>
        <w:jc w:val="both"/>
        <w:rPr>
          <w:rFonts w:ascii="Times New Roman" w:hAnsi="Times New Roman" w:cs="Times New Roman"/>
          <w:sz w:val="32"/>
          <w:szCs w:val="32"/>
        </w:rPr>
      </w:pPr>
    </w:p>
    <w:p w14:paraId="344F2510" w14:textId="77777777" w:rsidR="00F63950" w:rsidRPr="00F63950" w:rsidRDefault="00F63950" w:rsidP="00F63950">
      <w:pPr>
        <w:spacing w:line="360" w:lineRule="auto"/>
        <w:jc w:val="both"/>
        <w:rPr>
          <w:rFonts w:ascii="Times New Roman" w:hAnsi="Times New Roman" w:cs="Times New Roman"/>
          <w:sz w:val="32"/>
          <w:szCs w:val="32"/>
        </w:rPr>
      </w:pPr>
    </w:p>
    <w:p w14:paraId="4CE69AB4" w14:textId="77777777" w:rsidR="00F63950" w:rsidRPr="00F63950" w:rsidRDefault="00F63950" w:rsidP="00F63950">
      <w:pPr>
        <w:spacing w:line="360" w:lineRule="auto"/>
        <w:jc w:val="both"/>
        <w:rPr>
          <w:rFonts w:ascii="Times New Roman" w:hAnsi="Times New Roman" w:cs="Times New Roman"/>
          <w:sz w:val="32"/>
          <w:szCs w:val="32"/>
        </w:rPr>
      </w:pPr>
    </w:p>
    <w:p w14:paraId="6A04AA11" w14:textId="77777777" w:rsidR="00F63950" w:rsidRPr="00F63950" w:rsidRDefault="00F63950" w:rsidP="00F63950">
      <w:pPr>
        <w:spacing w:line="360" w:lineRule="auto"/>
        <w:jc w:val="both"/>
        <w:rPr>
          <w:rFonts w:ascii="Times New Roman" w:hAnsi="Times New Roman" w:cs="Times New Roman"/>
          <w:sz w:val="32"/>
          <w:szCs w:val="32"/>
        </w:rPr>
      </w:pPr>
    </w:p>
    <w:p w14:paraId="41CC06E5" w14:textId="77777777" w:rsidR="00F63950" w:rsidRPr="00F63950" w:rsidRDefault="00F63950" w:rsidP="00F63950">
      <w:pPr>
        <w:spacing w:line="360" w:lineRule="auto"/>
        <w:jc w:val="both"/>
        <w:rPr>
          <w:rFonts w:ascii="Times New Roman" w:hAnsi="Times New Roman" w:cs="Times New Roman"/>
          <w:sz w:val="32"/>
          <w:szCs w:val="32"/>
        </w:rPr>
      </w:pPr>
    </w:p>
    <w:sectPr w:rsidR="00F63950" w:rsidRPr="00F6395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F1866" w14:textId="77777777" w:rsidR="00F63950" w:rsidRDefault="00F63950" w:rsidP="00F63950">
      <w:r>
        <w:separator/>
      </w:r>
    </w:p>
  </w:endnote>
  <w:endnote w:type="continuationSeparator" w:id="0">
    <w:p w14:paraId="7402BA46" w14:textId="77777777" w:rsidR="00F63950" w:rsidRDefault="00F63950" w:rsidP="00F63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7049123"/>
      <w:docPartObj>
        <w:docPartGallery w:val="Page Numbers (Bottom of Page)"/>
        <w:docPartUnique/>
      </w:docPartObj>
    </w:sdtPr>
    <w:sdtEndPr>
      <w:rPr>
        <w:rStyle w:val="PageNumber"/>
      </w:rPr>
    </w:sdtEndPr>
    <w:sdtContent>
      <w:p w14:paraId="519F38C3" w14:textId="24C68C3E" w:rsidR="00F63950" w:rsidRDefault="00F63950" w:rsidP="00A225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C0E09EA" w14:textId="77777777" w:rsidR="00F63950" w:rsidRDefault="00F63950" w:rsidP="00F639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4957810"/>
      <w:docPartObj>
        <w:docPartGallery w:val="Page Numbers (Bottom of Page)"/>
        <w:docPartUnique/>
      </w:docPartObj>
    </w:sdtPr>
    <w:sdtEndPr>
      <w:rPr>
        <w:rStyle w:val="PageNumber"/>
      </w:rPr>
    </w:sdtEndPr>
    <w:sdtContent>
      <w:p w14:paraId="3D8C730E" w14:textId="3569EF19" w:rsidR="00F63950" w:rsidRDefault="00F63950" w:rsidP="00A225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A156D0" w14:textId="77777777" w:rsidR="00F63950" w:rsidRDefault="00F63950" w:rsidP="00F639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47ABF" w14:textId="77777777" w:rsidR="00F63950" w:rsidRDefault="00F63950" w:rsidP="00F63950">
      <w:r>
        <w:separator/>
      </w:r>
    </w:p>
  </w:footnote>
  <w:footnote w:type="continuationSeparator" w:id="0">
    <w:p w14:paraId="0C0972C2" w14:textId="77777777" w:rsidR="00F63950" w:rsidRDefault="00F63950" w:rsidP="00F63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896E25"/>
    <w:multiLevelType w:val="hybridMultilevel"/>
    <w:tmpl w:val="21AACC66"/>
    <w:lvl w:ilvl="0" w:tplc="0C964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696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950"/>
    <w:rsid w:val="000F4E4D"/>
    <w:rsid w:val="00104C94"/>
    <w:rsid w:val="001076E2"/>
    <w:rsid w:val="005032BB"/>
    <w:rsid w:val="0051776B"/>
    <w:rsid w:val="006A7FBC"/>
    <w:rsid w:val="007A527D"/>
    <w:rsid w:val="008032D4"/>
    <w:rsid w:val="00A9342F"/>
    <w:rsid w:val="00CD71CD"/>
    <w:rsid w:val="00D32AFE"/>
    <w:rsid w:val="00F16618"/>
    <w:rsid w:val="00F63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E933B0"/>
  <w15:chartTrackingRefBased/>
  <w15:docId w15:val="{EF0581AC-517C-AB4F-8DBB-588483F88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3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9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9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9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9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3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950"/>
    <w:rPr>
      <w:rFonts w:eastAsiaTheme="majorEastAsia" w:cstheme="majorBidi"/>
      <w:color w:val="272727" w:themeColor="text1" w:themeTint="D8"/>
    </w:rPr>
  </w:style>
  <w:style w:type="paragraph" w:styleId="Title">
    <w:name w:val="Title"/>
    <w:basedOn w:val="Normal"/>
    <w:next w:val="Normal"/>
    <w:link w:val="TitleChar"/>
    <w:uiPriority w:val="10"/>
    <w:qFormat/>
    <w:rsid w:val="00F639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9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9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3950"/>
    <w:rPr>
      <w:i/>
      <w:iCs/>
      <w:color w:val="404040" w:themeColor="text1" w:themeTint="BF"/>
    </w:rPr>
  </w:style>
  <w:style w:type="paragraph" w:styleId="ListParagraph">
    <w:name w:val="List Paragraph"/>
    <w:basedOn w:val="Normal"/>
    <w:uiPriority w:val="34"/>
    <w:qFormat/>
    <w:rsid w:val="00F63950"/>
    <w:pPr>
      <w:ind w:left="720"/>
      <w:contextualSpacing/>
    </w:pPr>
  </w:style>
  <w:style w:type="character" w:styleId="IntenseEmphasis">
    <w:name w:val="Intense Emphasis"/>
    <w:basedOn w:val="DefaultParagraphFont"/>
    <w:uiPriority w:val="21"/>
    <w:qFormat/>
    <w:rsid w:val="00F63950"/>
    <w:rPr>
      <w:i/>
      <w:iCs/>
      <w:color w:val="0F4761" w:themeColor="accent1" w:themeShade="BF"/>
    </w:rPr>
  </w:style>
  <w:style w:type="paragraph" w:styleId="IntenseQuote">
    <w:name w:val="Intense Quote"/>
    <w:basedOn w:val="Normal"/>
    <w:next w:val="Normal"/>
    <w:link w:val="IntenseQuoteChar"/>
    <w:uiPriority w:val="30"/>
    <w:qFormat/>
    <w:rsid w:val="00F63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950"/>
    <w:rPr>
      <w:i/>
      <w:iCs/>
      <w:color w:val="0F4761" w:themeColor="accent1" w:themeShade="BF"/>
    </w:rPr>
  </w:style>
  <w:style w:type="character" w:styleId="IntenseReference">
    <w:name w:val="Intense Reference"/>
    <w:basedOn w:val="DefaultParagraphFont"/>
    <w:uiPriority w:val="32"/>
    <w:qFormat/>
    <w:rsid w:val="00F63950"/>
    <w:rPr>
      <w:b/>
      <w:bCs/>
      <w:smallCaps/>
      <w:color w:val="0F4761" w:themeColor="accent1" w:themeShade="BF"/>
      <w:spacing w:val="5"/>
    </w:rPr>
  </w:style>
  <w:style w:type="character" w:styleId="Hyperlink">
    <w:name w:val="Hyperlink"/>
    <w:basedOn w:val="DefaultParagraphFont"/>
    <w:uiPriority w:val="99"/>
    <w:unhideWhenUsed/>
    <w:rsid w:val="00F63950"/>
    <w:rPr>
      <w:color w:val="467886" w:themeColor="hyperlink"/>
      <w:u w:val="single"/>
    </w:rPr>
  </w:style>
  <w:style w:type="paragraph" w:styleId="Footer">
    <w:name w:val="footer"/>
    <w:basedOn w:val="Normal"/>
    <w:link w:val="FooterChar"/>
    <w:uiPriority w:val="99"/>
    <w:unhideWhenUsed/>
    <w:rsid w:val="00F63950"/>
    <w:pPr>
      <w:tabs>
        <w:tab w:val="center" w:pos="4513"/>
        <w:tab w:val="right" w:pos="9026"/>
      </w:tabs>
    </w:pPr>
  </w:style>
  <w:style w:type="character" w:customStyle="1" w:styleId="FooterChar">
    <w:name w:val="Footer Char"/>
    <w:basedOn w:val="DefaultParagraphFont"/>
    <w:link w:val="Footer"/>
    <w:uiPriority w:val="99"/>
    <w:rsid w:val="00F63950"/>
  </w:style>
  <w:style w:type="character" w:styleId="PageNumber">
    <w:name w:val="page number"/>
    <w:basedOn w:val="DefaultParagraphFont"/>
    <w:uiPriority w:val="99"/>
    <w:semiHidden/>
    <w:unhideWhenUsed/>
    <w:rsid w:val="00F63950"/>
  </w:style>
  <w:style w:type="character" w:styleId="UnresolvedMention">
    <w:name w:val="Unresolved Mention"/>
    <w:basedOn w:val="DefaultParagraphFont"/>
    <w:uiPriority w:val="99"/>
    <w:semiHidden/>
    <w:unhideWhenUsed/>
    <w:rsid w:val="007A5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1748-8583.12422?utm_source=chatgpt.com" TargetMode="External"/><Relationship Id="rId18" Type="http://schemas.openxmlformats.org/officeDocument/2006/relationships/hyperlink" Target="https://doi.org/10.1108/pr-09-2022-066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oi.org/10.3390/admsci14060117?utm_source=chatgpt.com" TargetMode="External"/><Relationship Id="rId17" Type="http://schemas.openxmlformats.org/officeDocument/2006/relationships/hyperlink" Target="https://doi.org/10.1080/00208825.2019.1646486" TargetMode="External"/><Relationship Id="rId2" Type="http://schemas.openxmlformats.org/officeDocument/2006/relationships/styles" Target="styles.xml"/><Relationship Id="rId16" Type="http://schemas.openxmlformats.org/officeDocument/2006/relationships/hyperlink" Target="https://doi.org/10.1108/er-02-2022-0072" TargetMode="External"/><Relationship Id="rId20" Type="http://schemas.openxmlformats.org/officeDocument/2006/relationships/hyperlink" Target="https://doi.org/10.1108/ijoa-12-2021-30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85192.2024.2320768?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hrmr.2024.101015?utm_source=chatgpt.com" TargetMode="External"/><Relationship Id="rId23" Type="http://schemas.openxmlformats.org/officeDocument/2006/relationships/fontTable" Target="fontTable.xml"/><Relationship Id="rId10" Type="http://schemas.openxmlformats.org/officeDocument/2006/relationships/hyperlink" Target="https://doi.org/10.1016/j.iedeen.2021.100177?utm_source=chatgpt.com" TargetMode="External"/><Relationship Id="rId19" Type="http://schemas.openxmlformats.org/officeDocument/2006/relationships/hyperlink" Target="https://doi.org/10.1111/ijmr.12235?utm_source=chatgpt.com" TargetMode="External"/><Relationship Id="rId4" Type="http://schemas.openxmlformats.org/officeDocument/2006/relationships/webSettings" Target="webSettings.xml"/><Relationship Id="rId9" Type="http://schemas.openxmlformats.org/officeDocument/2006/relationships/hyperlink" Target="https://doi.org/10.24294/jipd.v8i9.6763?utm_source=chatgpt.com" TargetMode="External"/><Relationship Id="rId14" Type="http://schemas.openxmlformats.org/officeDocument/2006/relationships/hyperlink" Target="https://doi.org/10.1108/er-07-2021-0308"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12</Pages>
  <Words>3037</Words>
  <Characters>17317</Characters>
  <Application>Microsoft Office Word</Application>
  <DocSecurity>0</DocSecurity>
  <Lines>144</Lines>
  <Paragraphs>40</Paragraphs>
  <ScaleCrop>false</ScaleCrop>
  <Company/>
  <LinksUpToDate>false</LinksUpToDate>
  <CharactersWithSpaces>20314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6</cp:revision>
  <dcterms:created xsi:type="dcterms:W3CDTF">2026-04-24T20:34:00Z</dcterms:created>
  <dcterms:modified xsi:type="dcterms:W3CDTF">2026-04-30T07:13:00Z</dcterms:modified>
</cp:coreProperties>
</file>