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C89DC" w14:textId="77777777" w:rsidR="00650468" w:rsidRDefault="00650468" w:rsidP="00650468">
      <w:pPr>
        <w:rPr>
          <w:rFonts w:ascii="Times New Roman" w:hAnsi="Times New Roman" w:cs="Times New Roman"/>
        </w:rPr>
      </w:pPr>
    </w:p>
    <w:p w14:paraId="4291A2C0" w14:textId="77777777" w:rsidR="00650468" w:rsidRDefault="00650468" w:rsidP="00650468">
      <w:pPr>
        <w:jc w:val="center"/>
        <w:rPr>
          <w:rFonts w:ascii="Times New Roman" w:hAnsi="Times New Roman" w:cs="Times New Roman"/>
        </w:rPr>
      </w:pPr>
    </w:p>
    <w:p w14:paraId="681D73E4" w14:textId="77777777" w:rsidR="00650468" w:rsidRDefault="00650468" w:rsidP="00650468">
      <w:pPr>
        <w:jc w:val="center"/>
        <w:rPr>
          <w:rFonts w:ascii="Times New Roman" w:hAnsi="Times New Roman" w:cs="Times New Roman"/>
        </w:rPr>
      </w:pPr>
    </w:p>
    <w:p w14:paraId="4CF3F15B" w14:textId="77777777" w:rsidR="00650468" w:rsidRDefault="00650468" w:rsidP="00650468">
      <w:pPr>
        <w:jc w:val="center"/>
        <w:rPr>
          <w:rFonts w:ascii="Times New Roman" w:hAnsi="Times New Roman" w:cs="Times New Roman"/>
        </w:rPr>
      </w:pPr>
    </w:p>
    <w:p w14:paraId="457F0FBE" w14:textId="77777777" w:rsidR="00650468" w:rsidRDefault="00650468" w:rsidP="00650468">
      <w:pPr>
        <w:jc w:val="center"/>
        <w:rPr>
          <w:rFonts w:ascii="Times New Roman" w:hAnsi="Times New Roman" w:cs="Times New Roman"/>
        </w:rPr>
      </w:pPr>
    </w:p>
    <w:p w14:paraId="368BC424" w14:textId="77777777" w:rsidR="00650468" w:rsidRDefault="00650468" w:rsidP="00650468">
      <w:pPr>
        <w:jc w:val="center"/>
        <w:rPr>
          <w:rFonts w:ascii="Times New Roman" w:hAnsi="Times New Roman" w:cs="Times New Roman"/>
        </w:rPr>
      </w:pPr>
    </w:p>
    <w:p w14:paraId="2AF063EF" w14:textId="77777777" w:rsidR="00650468" w:rsidRDefault="00650468" w:rsidP="00650468">
      <w:pPr>
        <w:jc w:val="center"/>
        <w:rPr>
          <w:rFonts w:ascii="Times New Roman" w:hAnsi="Times New Roman" w:cs="Times New Roman"/>
        </w:rPr>
      </w:pPr>
    </w:p>
    <w:p w14:paraId="63368CE8" w14:textId="77777777" w:rsidR="00650468" w:rsidRDefault="00650468" w:rsidP="00650468">
      <w:pPr>
        <w:jc w:val="center"/>
        <w:rPr>
          <w:rFonts w:ascii="Times New Roman" w:hAnsi="Times New Roman" w:cs="Times New Roman"/>
        </w:rPr>
      </w:pPr>
      <w:r w:rsidRPr="00C02C6F">
        <w:rPr>
          <w:rFonts w:ascii="Times New Roman" w:hAnsi="Times New Roman" w:cs="Times New Roman"/>
          <w:noProof/>
        </w:rPr>
        <w:drawing>
          <wp:inline distT="0" distB="0" distL="0" distR="0" wp14:anchorId="08C3AF5C" wp14:editId="562B1824">
            <wp:extent cx="4419600" cy="1838325"/>
            <wp:effectExtent l="0" t="0" r="0" b="9525"/>
            <wp:docPr id="2116512849" name="Picture 3"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19600" cy="1838325"/>
                    </a:xfrm>
                    <a:prstGeom prst="rect">
                      <a:avLst/>
                    </a:prstGeom>
                    <a:noFill/>
                    <a:ln>
                      <a:noFill/>
                    </a:ln>
                  </pic:spPr>
                </pic:pic>
              </a:graphicData>
            </a:graphic>
          </wp:inline>
        </w:drawing>
      </w:r>
    </w:p>
    <w:p w14:paraId="3EC88C41" w14:textId="77777777" w:rsidR="00650468" w:rsidRPr="00C02C6F" w:rsidRDefault="00650468" w:rsidP="00650468">
      <w:pPr>
        <w:jc w:val="center"/>
        <w:rPr>
          <w:rFonts w:ascii="Times New Roman" w:hAnsi="Times New Roman" w:cs="Times New Roman"/>
        </w:rPr>
      </w:pPr>
    </w:p>
    <w:p w14:paraId="2EB969A3" w14:textId="77777777" w:rsidR="00650468" w:rsidRPr="00C02C6F" w:rsidRDefault="00650468" w:rsidP="00650468">
      <w:pPr>
        <w:jc w:val="both"/>
        <w:rPr>
          <w:rFonts w:ascii="Times New Roman" w:hAnsi="Times New Roman" w:cs="Times New Roman"/>
        </w:rPr>
      </w:pPr>
    </w:p>
    <w:p w14:paraId="1A166BC2" w14:textId="77777777" w:rsidR="00650468" w:rsidRPr="00C02C6F" w:rsidRDefault="00650468" w:rsidP="00650468">
      <w:pPr>
        <w:jc w:val="both"/>
        <w:rPr>
          <w:rFonts w:ascii="Times New Roman" w:hAnsi="Times New Roman" w:cs="Times New Roman"/>
        </w:rPr>
      </w:pPr>
    </w:p>
    <w:p w14:paraId="6930A746" w14:textId="77777777" w:rsidR="00650468" w:rsidRPr="00C02C6F" w:rsidRDefault="00650468" w:rsidP="00650468">
      <w:pPr>
        <w:pStyle w:val="Title"/>
        <w:jc w:val="center"/>
      </w:pPr>
      <w:proofErr w:type="spellStart"/>
      <w:r w:rsidRPr="00C02C6F">
        <w:t>Omkumar</w:t>
      </w:r>
      <w:proofErr w:type="spellEnd"/>
      <w:r w:rsidRPr="00C02C6F">
        <w:t xml:space="preserve"> </w:t>
      </w:r>
      <w:proofErr w:type="spellStart"/>
      <w:r w:rsidRPr="00C02C6F">
        <w:t>Bhavesbhai</w:t>
      </w:r>
      <w:proofErr w:type="spellEnd"/>
      <w:r w:rsidRPr="00C02C6F">
        <w:t xml:space="preserve"> Nayak</w:t>
      </w:r>
    </w:p>
    <w:p w14:paraId="0A8E124F" w14:textId="77777777" w:rsidR="00650468" w:rsidRPr="00C02C6F" w:rsidRDefault="00650468" w:rsidP="00650468">
      <w:pPr>
        <w:pStyle w:val="Title"/>
        <w:jc w:val="center"/>
        <w:rPr>
          <w:sz w:val="32"/>
          <w:szCs w:val="32"/>
        </w:rPr>
      </w:pPr>
      <w:r w:rsidRPr="00C02C6F">
        <w:rPr>
          <w:sz w:val="32"/>
          <w:szCs w:val="32"/>
        </w:rPr>
        <w:t>Student ID: 2525082</w:t>
      </w:r>
    </w:p>
    <w:p w14:paraId="07610711" w14:textId="77777777" w:rsidR="00650468" w:rsidRDefault="00650468" w:rsidP="00650468">
      <w:pPr>
        <w:jc w:val="center"/>
        <w:rPr>
          <w:rFonts w:ascii="Times New Roman" w:hAnsi="Times New Roman" w:cs="Times New Roman"/>
          <w:sz w:val="32"/>
          <w:szCs w:val="32"/>
        </w:rPr>
      </w:pPr>
    </w:p>
    <w:p w14:paraId="3058CAA7" w14:textId="77777777" w:rsidR="00650468" w:rsidRPr="00C02C6F" w:rsidRDefault="00650468" w:rsidP="00650468">
      <w:pPr>
        <w:jc w:val="center"/>
        <w:rPr>
          <w:rFonts w:ascii="Times New Roman" w:hAnsi="Times New Roman" w:cs="Times New Roman"/>
          <w:sz w:val="32"/>
          <w:szCs w:val="32"/>
        </w:rPr>
      </w:pPr>
      <w:r w:rsidRPr="00C02C6F">
        <w:rPr>
          <w:rFonts w:ascii="Times New Roman" w:hAnsi="Times New Roman" w:cs="Times New Roman"/>
          <w:sz w:val="32"/>
          <w:szCs w:val="32"/>
        </w:rPr>
        <w:t>Course: MSc Cyber Security and Digital Forensic</w:t>
      </w:r>
    </w:p>
    <w:p w14:paraId="59633A57" w14:textId="77777777" w:rsidR="00650468" w:rsidRPr="00C02C6F" w:rsidRDefault="00650468" w:rsidP="00650468">
      <w:pPr>
        <w:pStyle w:val="Title"/>
        <w:jc w:val="center"/>
      </w:pPr>
      <w:r w:rsidRPr="00C02C6F">
        <w:t>Data Security, Governance and Compliance</w:t>
      </w:r>
    </w:p>
    <w:p w14:paraId="4EC1F4FF" w14:textId="77777777" w:rsidR="00650468" w:rsidRDefault="00650468" w:rsidP="00650468">
      <w:pPr>
        <w:jc w:val="center"/>
        <w:rPr>
          <w:rFonts w:ascii="Times New Roman" w:hAnsi="Times New Roman" w:cs="Times New Roman"/>
          <w:sz w:val="32"/>
          <w:szCs w:val="32"/>
        </w:rPr>
      </w:pPr>
    </w:p>
    <w:p w14:paraId="01E0A8DE" w14:textId="77777777" w:rsidR="00650468" w:rsidRPr="00C02C6F" w:rsidRDefault="00650468" w:rsidP="00650468">
      <w:pPr>
        <w:jc w:val="center"/>
        <w:rPr>
          <w:rFonts w:ascii="Times New Roman" w:hAnsi="Times New Roman" w:cs="Times New Roman"/>
          <w:sz w:val="32"/>
          <w:szCs w:val="32"/>
        </w:rPr>
      </w:pPr>
      <w:r w:rsidRPr="00C02C6F">
        <w:rPr>
          <w:rFonts w:ascii="Times New Roman" w:hAnsi="Times New Roman" w:cs="Times New Roman"/>
          <w:sz w:val="32"/>
          <w:szCs w:val="32"/>
        </w:rPr>
        <w:t>Module code: ACCA7028</w:t>
      </w:r>
    </w:p>
    <w:p w14:paraId="22BAF20A" w14:textId="77777777" w:rsidR="00650468" w:rsidRPr="00C02C6F" w:rsidRDefault="00650468" w:rsidP="00650468">
      <w:pPr>
        <w:jc w:val="center"/>
        <w:rPr>
          <w:rFonts w:ascii="Times New Roman" w:hAnsi="Times New Roman" w:cs="Times New Roman"/>
          <w:sz w:val="32"/>
          <w:szCs w:val="32"/>
        </w:rPr>
      </w:pPr>
      <w:r w:rsidRPr="00C02C6F">
        <w:rPr>
          <w:rFonts w:ascii="Times New Roman" w:hAnsi="Times New Roman" w:cs="Times New Roman"/>
          <w:sz w:val="32"/>
          <w:szCs w:val="32"/>
        </w:rPr>
        <w:t>Academic Year 2026 – 2027</w:t>
      </w:r>
    </w:p>
    <w:p w14:paraId="78E4359C" w14:textId="77777777" w:rsidR="00650468" w:rsidRPr="00C02C6F" w:rsidRDefault="00650468" w:rsidP="00650468">
      <w:pPr>
        <w:jc w:val="center"/>
        <w:rPr>
          <w:rFonts w:ascii="Times New Roman" w:hAnsi="Times New Roman" w:cs="Times New Roman"/>
          <w:sz w:val="32"/>
          <w:szCs w:val="32"/>
        </w:rPr>
      </w:pPr>
      <w:r w:rsidRPr="00C02C6F">
        <w:rPr>
          <w:rFonts w:ascii="Times New Roman" w:hAnsi="Times New Roman" w:cs="Times New Roman"/>
          <w:sz w:val="32"/>
          <w:szCs w:val="32"/>
        </w:rPr>
        <w:t>Submission date - 29th April 2026</w:t>
      </w:r>
    </w:p>
    <w:p w14:paraId="65E9998E" w14:textId="77777777" w:rsidR="00650468" w:rsidRPr="00C02C6F" w:rsidRDefault="00650468" w:rsidP="00650468">
      <w:pPr>
        <w:jc w:val="center"/>
        <w:rPr>
          <w:rFonts w:ascii="Times New Roman" w:hAnsi="Times New Roman" w:cs="Times New Roman"/>
          <w:sz w:val="24"/>
          <w:szCs w:val="24"/>
        </w:rPr>
      </w:pPr>
    </w:p>
    <w:p w14:paraId="4DB4CE67" w14:textId="77777777" w:rsidR="00650468" w:rsidRPr="00C02C6F" w:rsidRDefault="00650468" w:rsidP="00650468">
      <w:pPr>
        <w:jc w:val="center"/>
        <w:rPr>
          <w:rFonts w:ascii="Times New Roman" w:hAnsi="Times New Roman" w:cs="Times New Roman"/>
          <w:color w:val="1F3864"/>
          <w:sz w:val="28"/>
          <w:szCs w:val="28"/>
        </w:rPr>
      </w:pPr>
      <w:r w:rsidRPr="00C02C6F">
        <w:rPr>
          <w:rFonts w:ascii="Times New Roman" w:hAnsi="Times New Roman" w:cs="Times New Roman"/>
        </w:rPr>
        <w:br w:type="page"/>
      </w:r>
    </w:p>
    <w:p w14:paraId="2C5F1BE3" w14:textId="77777777" w:rsidR="00650468" w:rsidRPr="00C02C6F" w:rsidRDefault="00650468" w:rsidP="00650468">
      <w:pPr>
        <w:pStyle w:val="Heading1"/>
        <w:jc w:val="center"/>
        <w:rPr>
          <w:color w:val="auto"/>
        </w:rPr>
      </w:pPr>
      <w:r w:rsidRPr="00C02C6F">
        <w:rPr>
          <w:color w:val="auto"/>
        </w:rPr>
        <w:lastRenderedPageBreak/>
        <w:t>Index</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8080"/>
        <w:gridCol w:w="926"/>
      </w:tblGrid>
      <w:tr w:rsidR="00650468" w:rsidRPr="00506F67" w14:paraId="2E8A85FA" w14:textId="77777777" w:rsidTr="00550732">
        <w:tc>
          <w:tcPr>
            <w:tcW w:w="704" w:type="dxa"/>
          </w:tcPr>
          <w:p w14:paraId="57BD9E78" w14:textId="77777777" w:rsidR="00650468" w:rsidRPr="00506F67" w:rsidRDefault="00650468" w:rsidP="00550732">
            <w:pPr>
              <w:spacing w:before="240" w:after="240"/>
              <w:jc w:val="center"/>
              <w:rPr>
                <w:rFonts w:ascii="Times New Roman" w:hAnsi="Times New Roman" w:cs="Times New Roman"/>
                <w:b/>
                <w:bCs/>
              </w:rPr>
            </w:pPr>
            <w:r w:rsidRPr="00506F67">
              <w:rPr>
                <w:rFonts w:ascii="Times New Roman" w:hAnsi="Times New Roman" w:cs="Times New Roman"/>
                <w:b/>
                <w:bCs/>
              </w:rPr>
              <w:t>Sr. No.</w:t>
            </w:r>
          </w:p>
        </w:tc>
        <w:tc>
          <w:tcPr>
            <w:tcW w:w="8080" w:type="dxa"/>
          </w:tcPr>
          <w:p w14:paraId="2075349E" w14:textId="77777777" w:rsidR="00650468" w:rsidRPr="00506F67" w:rsidRDefault="00650468" w:rsidP="00550732">
            <w:pPr>
              <w:spacing w:before="240" w:after="240"/>
              <w:jc w:val="both"/>
              <w:rPr>
                <w:rFonts w:ascii="Times New Roman" w:hAnsi="Times New Roman" w:cs="Times New Roman"/>
                <w:b/>
                <w:bCs/>
              </w:rPr>
            </w:pPr>
          </w:p>
        </w:tc>
        <w:tc>
          <w:tcPr>
            <w:tcW w:w="926" w:type="dxa"/>
          </w:tcPr>
          <w:p w14:paraId="4B704EC4" w14:textId="77777777" w:rsidR="00650468" w:rsidRPr="00506F67" w:rsidRDefault="00650468" w:rsidP="00550732">
            <w:pPr>
              <w:spacing w:before="240" w:after="240"/>
              <w:jc w:val="center"/>
              <w:rPr>
                <w:rFonts w:ascii="Times New Roman" w:hAnsi="Times New Roman" w:cs="Times New Roman"/>
                <w:b/>
                <w:bCs/>
              </w:rPr>
            </w:pPr>
            <w:r w:rsidRPr="00506F67">
              <w:rPr>
                <w:rFonts w:ascii="Times New Roman" w:hAnsi="Times New Roman" w:cs="Times New Roman"/>
                <w:b/>
                <w:bCs/>
              </w:rPr>
              <w:t>Page No.</w:t>
            </w:r>
          </w:p>
        </w:tc>
      </w:tr>
      <w:tr w:rsidR="00650468" w14:paraId="2BDAB81B" w14:textId="77777777" w:rsidTr="00550732">
        <w:tc>
          <w:tcPr>
            <w:tcW w:w="704" w:type="dxa"/>
          </w:tcPr>
          <w:p w14:paraId="13429A52" w14:textId="77777777" w:rsidR="00650468" w:rsidRDefault="00650468" w:rsidP="00550732">
            <w:pPr>
              <w:spacing w:before="240" w:after="240"/>
              <w:jc w:val="center"/>
              <w:rPr>
                <w:rFonts w:ascii="Times New Roman" w:hAnsi="Times New Roman" w:cs="Times New Roman"/>
              </w:rPr>
            </w:pPr>
          </w:p>
        </w:tc>
        <w:tc>
          <w:tcPr>
            <w:tcW w:w="8080" w:type="dxa"/>
          </w:tcPr>
          <w:p w14:paraId="7D26EEBD" w14:textId="77777777" w:rsidR="00650468" w:rsidRDefault="00650468" w:rsidP="00550732">
            <w:pPr>
              <w:spacing w:before="240" w:after="240"/>
              <w:jc w:val="both"/>
              <w:rPr>
                <w:rFonts w:ascii="Times New Roman" w:hAnsi="Times New Roman" w:cs="Times New Roman"/>
              </w:rPr>
            </w:pPr>
            <w:r w:rsidRPr="00C02C6F">
              <w:rPr>
                <w:rFonts w:ascii="Times New Roman" w:hAnsi="Times New Roman" w:cs="Times New Roman"/>
              </w:rPr>
              <w:t>Abstract</w:t>
            </w:r>
          </w:p>
        </w:tc>
        <w:tc>
          <w:tcPr>
            <w:tcW w:w="926" w:type="dxa"/>
          </w:tcPr>
          <w:p w14:paraId="59A1B647"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3</w:t>
            </w:r>
          </w:p>
        </w:tc>
      </w:tr>
      <w:tr w:rsidR="00650468" w14:paraId="2E6B47AD" w14:textId="77777777" w:rsidTr="00550732">
        <w:tc>
          <w:tcPr>
            <w:tcW w:w="704" w:type="dxa"/>
          </w:tcPr>
          <w:p w14:paraId="00D5B662"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1</w:t>
            </w:r>
          </w:p>
        </w:tc>
        <w:tc>
          <w:tcPr>
            <w:tcW w:w="8080" w:type="dxa"/>
          </w:tcPr>
          <w:p w14:paraId="21C28786" w14:textId="77777777" w:rsidR="00650468" w:rsidRDefault="00650468" w:rsidP="00550732">
            <w:pPr>
              <w:spacing w:before="240" w:after="240"/>
              <w:jc w:val="both"/>
              <w:rPr>
                <w:rFonts w:ascii="Times New Roman" w:hAnsi="Times New Roman" w:cs="Times New Roman"/>
              </w:rPr>
            </w:pPr>
            <w:r w:rsidRPr="00C02C6F">
              <w:rPr>
                <w:rFonts w:ascii="Times New Roman" w:hAnsi="Times New Roman" w:cs="Times New Roman"/>
              </w:rPr>
              <w:t>Introduction</w:t>
            </w:r>
          </w:p>
        </w:tc>
        <w:tc>
          <w:tcPr>
            <w:tcW w:w="926" w:type="dxa"/>
          </w:tcPr>
          <w:p w14:paraId="3ED5E2D1"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4</w:t>
            </w:r>
          </w:p>
        </w:tc>
      </w:tr>
      <w:tr w:rsidR="00650468" w14:paraId="1425BBBA" w14:textId="77777777" w:rsidTr="00550732">
        <w:tc>
          <w:tcPr>
            <w:tcW w:w="704" w:type="dxa"/>
          </w:tcPr>
          <w:p w14:paraId="64A98E9D"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2</w:t>
            </w:r>
          </w:p>
        </w:tc>
        <w:tc>
          <w:tcPr>
            <w:tcW w:w="8080" w:type="dxa"/>
          </w:tcPr>
          <w:p w14:paraId="57D103E9" w14:textId="77777777" w:rsidR="00650468" w:rsidRDefault="00650468" w:rsidP="00550732">
            <w:pPr>
              <w:spacing w:before="240" w:after="240"/>
              <w:jc w:val="both"/>
              <w:rPr>
                <w:rFonts w:ascii="Times New Roman" w:hAnsi="Times New Roman" w:cs="Times New Roman"/>
              </w:rPr>
            </w:pPr>
            <w:r w:rsidRPr="00C02C6F">
              <w:rPr>
                <w:rFonts w:ascii="Times New Roman" w:hAnsi="Times New Roman" w:cs="Times New Roman"/>
              </w:rPr>
              <w:t>Review of Security Frameworks and Models</w:t>
            </w:r>
          </w:p>
        </w:tc>
        <w:tc>
          <w:tcPr>
            <w:tcW w:w="926" w:type="dxa"/>
          </w:tcPr>
          <w:p w14:paraId="088FEA8C"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5</w:t>
            </w:r>
          </w:p>
        </w:tc>
      </w:tr>
      <w:tr w:rsidR="00650468" w14:paraId="724BBEFE" w14:textId="77777777" w:rsidTr="00550732">
        <w:tc>
          <w:tcPr>
            <w:tcW w:w="704" w:type="dxa"/>
          </w:tcPr>
          <w:p w14:paraId="069F9143"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3</w:t>
            </w:r>
          </w:p>
        </w:tc>
        <w:tc>
          <w:tcPr>
            <w:tcW w:w="8080" w:type="dxa"/>
          </w:tcPr>
          <w:p w14:paraId="32945DC7" w14:textId="77777777" w:rsidR="00650468" w:rsidRDefault="00650468" w:rsidP="00550732">
            <w:pPr>
              <w:spacing w:before="240" w:after="240"/>
              <w:jc w:val="both"/>
              <w:rPr>
                <w:rFonts w:ascii="Times New Roman" w:hAnsi="Times New Roman" w:cs="Times New Roman"/>
              </w:rPr>
            </w:pPr>
            <w:r w:rsidRPr="00C02C6F">
              <w:rPr>
                <w:rFonts w:ascii="Times New Roman" w:hAnsi="Times New Roman" w:cs="Times New Roman"/>
              </w:rPr>
              <w:t xml:space="preserve">Proposed GRC Approach for </w:t>
            </w:r>
            <w:proofErr w:type="spellStart"/>
            <w:r w:rsidRPr="00C02C6F">
              <w:rPr>
                <w:rFonts w:ascii="Times New Roman" w:hAnsi="Times New Roman" w:cs="Times New Roman"/>
              </w:rPr>
              <w:t>FinSure</w:t>
            </w:r>
            <w:proofErr w:type="spellEnd"/>
            <w:r w:rsidRPr="00C02C6F">
              <w:rPr>
                <w:rFonts w:ascii="Times New Roman" w:hAnsi="Times New Roman" w:cs="Times New Roman"/>
              </w:rPr>
              <w:t xml:space="preserve"> Bank</w:t>
            </w:r>
          </w:p>
        </w:tc>
        <w:tc>
          <w:tcPr>
            <w:tcW w:w="926" w:type="dxa"/>
          </w:tcPr>
          <w:p w14:paraId="00DE7C1B"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7</w:t>
            </w:r>
          </w:p>
        </w:tc>
      </w:tr>
      <w:tr w:rsidR="00650468" w14:paraId="6BF15F17" w14:textId="77777777" w:rsidTr="00550732">
        <w:tc>
          <w:tcPr>
            <w:tcW w:w="704" w:type="dxa"/>
          </w:tcPr>
          <w:p w14:paraId="5EEB1667"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4</w:t>
            </w:r>
          </w:p>
        </w:tc>
        <w:tc>
          <w:tcPr>
            <w:tcW w:w="8080" w:type="dxa"/>
          </w:tcPr>
          <w:p w14:paraId="7BC743A8" w14:textId="77777777" w:rsidR="00650468" w:rsidRDefault="00650468" w:rsidP="00550732">
            <w:pPr>
              <w:spacing w:before="240" w:after="240"/>
              <w:jc w:val="both"/>
              <w:rPr>
                <w:rFonts w:ascii="Times New Roman" w:hAnsi="Times New Roman" w:cs="Times New Roman"/>
              </w:rPr>
            </w:pPr>
            <w:r w:rsidRPr="00C02C6F">
              <w:rPr>
                <w:rFonts w:ascii="Times New Roman" w:hAnsi="Times New Roman" w:cs="Times New Roman"/>
              </w:rPr>
              <w:t>Applied Security Model: NIST CSF 2.0 Lifecycle</w:t>
            </w:r>
          </w:p>
        </w:tc>
        <w:tc>
          <w:tcPr>
            <w:tcW w:w="926" w:type="dxa"/>
          </w:tcPr>
          <w:p w14:paraId="267B86DC"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9</w:t>
            </w:r>
          </w:p>
        </w:tc>
      </w:tr>
      <w:tr w:rsidR="00650468" w14:paraId="1F6318CC" w14:textId="77777777" w:rsidTr="00550732">
        <w:tc>
          <w:tcPr>
            <w:tcW w:w="704" w:type="dxa"/>
          </w:tcPr>
          <w:p w14:paraId="25D9E5E6"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5</w:t>
            </w:r>
          </w:p>
        </w:tc>
        <w:tc>
          <w:tcPr>
            <w:tcW w:w="8080" w:type="dxa"/>
          </w:tcPr>
          <w:p w14:paraId="33557BCD" w14:textId="77777777" w:rsidR="00650468" w:rsidRPr="00C02C6F" w:rsidRDefault="00650468" w:rsidP="00550732">
            <w:pPr>
              <w:spacing w:before="240" w:after="240"/>
              <w:jc w:val="both"/>
              <w:rPr>
                <w:rFonts w:ascii="Times New Roman" w:hAnsi="Times New Roman" w:cs="Times New Roman"/>
              </w:rPr>
            </w:pPr>
            <w:r w:rsidRPr="00C02C6F">
              <w:rPr>
                <w:rFonts w:ascii="Times New Roman" w:hAnsi="Times New Roman" w:cs="Times New Roman"/>
              </w:rPr>
              <w:t>Critique: The Importance of Perpetually Changing Regulations and Standards</w:t>
            </w:r>
          </w:p>
        </w:tc>
        <w:tc>
          <w:tcPr>
            <w:tcW w:w="926" w:type="dxa"/>
          </w:tcPr>
          <w:p w14:paraId="717B39BE"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10</w:t>
            </w:r>
          </w:p>
        </w:tc>
      </w:tr>
      <w:tr w:rsidR="00650468" w14:paraId="17C216B9" w14:textId="77777777" w:rsidTr="00550732">
        <w:tc>
          <w:tcPr>
            <w:tcW w:w="704" w:type="dxa"/>
          </w:tcPr>
          <w:p w14:paraId="37BB1DCE"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6</w:t>
            </w:r>
          </w:p>
        </w:tc>
        <w:tc>
          <w:tcPr>
            <w:tcW w:w="8080" w:type="dxa"/>
          </w:tcPr>
          <w:p w14:paraId="20733D8E" w14:textId="77777777" w:rsidR="00650468" w:rsidRPr="00C02C6F" w:rsidRDefault="00650468" w:rsidP="00550732">
            <w:pPr>
              <w:spacing w:before="240" w:after="240"/>
              <w:jc w:val="both"/>
              <w:rPr>
                <w:rFonts w:ascii="Times New Roman" w:hAnsi="Times New Roman" w:cs="Times New Roman"/>
              </w:rPr>
            </w:pPr>
            <w:r w:rsidRPr="00C02C6F">
              <w:rPr>
                <w:rFonts w:ascii="Times New Roman" w:hAnsi="Times New Roman" w:cs="Times New Roman"/>
              </w:rPr>
              <w:t>Conclusion</w:t>
            </w:r>
          </w:p>
        </w:tc>
        <w:tc>
          <w:tcPr>
            <w:tcW w:w="926" w:type="dxa"/>
          </w:tcPr>
          <w:p w14:paraId="000D42A3"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11</w:t>
            </w:r>
          </w:p>
        </w:tc>
      </w:tr>
      <w:tr w:rsidR="00650468" w14:paraId="077D9C34" w14:textId="77777777" w:rsidTr="00550732">
        <w:tc>
          <w:tcPr>
            <w:tcW w:w="704" w:type="dxa"/>
          </w:tcPr>
          <w:p w14:paraId="0BEE70D5"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7</w:t>
            </w:r>
          </w:p>
        </w:tc>
        <w:tc>
          <w:tcPr>
            <w:tcW w:w="8080" w:type="dxa"/>
          </w:tcPr>
          <w:p w14:paraId="556B504C" w14:textId="77777777" w:rsidR="00650468" w:rsidRPr="00C02C6F" w:rsidRDefault="00650468" w:rsidP="00550732">
            <w:pPr>
              <w:spacing w:before="240" w:after="240"/>
              <w:jc w:val="both"/>
              <w:rPr>
                <w:rFonts w:ascii="Times New Roman" w:hAnsi="Times New Roman" w:cs="Times New Roman"/>
              </w:rPr>
            </w:pPr>
            <w:r>
              <w:rPr>
                <w:rFonts w:ascii="Times New Roman" w:hAnsi="Times New Roman" w:cs="Times New Roman"/>
              </w:rPr>
              <w:t xml:space="preserve">References </w:t>
            </w:r>
          </w:p>
        </w:tc>
        <w:tc>
          <w:tcPr>
            <w:tcW w:w="926" w:type="dxa"/>
          </w:tcPr>
          <w:p w14:paraId="10F44EBE" w14:textId="77777777" w:rsidR="00650468" w:rsidRDefault="00650468" w:rsidP="00550732">
            <w:pPr>
              <w:spacing w:before="240" w:after="240"/>
              <w:jc w:val="center"/>
              <w:rPr>
                <w:rFonts w:ascii="Times New Roman" w:hAnsi="Times New Roman" w:cs="Times New Roman"/>
              </w:rPr>
            </w:pPr>
            <w:r>
              <w:rPr>
                <w:rFonts w:ascii="Times New Roman" w:hAnsi="Times New Roman" w:cs="Times New Roman"/>
              </w:rPr>
              <w:t>12</w:t>
            </w:r>
          </w:p>
        </w:tc>
      </w:tr>
    </w:tbl>
    <w:p w14:paraId="78DE2DCF" w14:textId="77777777" w:rsidR="00650468" w:rsidRDefault="00650468" w:rsidP="00650468">
      <w:pPr>
        <w:jc w:val="both"/>
        <w:rPr>
          <w:rFonts w:ascii="Times New Roman" w:hAnsi="Times New Roman" w:cs="Times New Roman"/>
        </w:rPr>
      </w:pPr>
    </w:p>
    <w:p w14:paraId="7E9063DE" w14:textId="77777777" w:rsidR="00650468" w:rsidRDefault="00650468" w:rsidP="00650468">
      <w:pPr>
        <w:jc w:val="both"/>
        <w:rPr>
          <w:rFonts w:ascii="Times New Roman" w:hAnsi="Times New Roman" w:cs="Times New Roman"/>
        </w:rPr>
      </w:pPr>
    </w:p>
    <w:p w14:paraId="04543DA7" w14:textId="77777777" w:rsidR="00650468" w:rsidRPr="00C02C6F" w:rsidRDefault="00650468" w:rsidP="00650468">
      <w:pPr>
        <w:jc w:val="both"/>
        <w:rPr>
          <w:rFonts w:ascii="Times New Roman" w:hAnsi="Times New Roman" w:cs="Times New Roman"/>
        </w:rPr>
      </w:pPr>
    </w:p>
    <w:p w14:paraId="2ECDE8D7" w14:textId="77777777" w:rsidR="00650468" w:rsidRPr="00C02C6F" w:rsidRDefault="00650468" w:rsidP="00650468">
      <w:pPr>
        <w:jc w:val="both"/>
        <w:rPr>
          <w:rFonts w:ascii="Times New Roman" w:hAnsi="Times New Roman" w:cs="Times New Roman"/>
          <w:color w:val="1F3864"/>
          <w:sz w:val="28"/>
          <w:szCs w:val="28"/>
        </w:rPr>
      </w:pPr>
    </w:p>
    <w:p w14:paraId="2C6A4A49" w14:textId="77777777" w:rsidR="00650468" w:rsidRPr="00C02C6F" w:rsidRDefault="00650468" w:rsidP="00650468">
      <w:pPr>
        <w:jc w:val="both"/>
        <w:rPr>
          <w:rFonts w:ascii="Times New Roman" w:hAnsi="Times New Roman" w:cs="Times New Roman"/>
          <w:color w:val="1F3864"/>
          <w:sz w:val="28"/>
          <w:szCs w:val="28"/>
        </w:rPr>
      </w:pPr>
      <w:r w:rsidRPr="00C02C6F">
        <w:rPr>
          <w:rFonts w:ascii="Times New Roman" w:hAnsi="Times New Roman" w:cs="Times New Roman"/>
        </w:rPr>
        <w:br w:type="page"/>
      </w:r>
    </w:p>
    <w:p w14:paraId="04B0A59E" w14:textId="77777777" w:rsidR="00650468" w:rsidRPr="00C02C6F" w:rsidRDefault="00650468" w:rsidP="00650468">
      <w:pPr>
        <w:pStyle w:val="Heading1"/>
        <w:jc w:val="center"/>
        <w:rPr>
          <w:color w:val="auto"/>
        </w:rPr>
      </w:pPr>
      <w:r w:rsidRPr="00C02C6F">
        <w:rPr>
          <w:color w:val="auto"/>
        </w:rPr>
        <w:lastRenderedPageBreak/>
        <w:t>Abstract</w:t>
      </w:r>
    </w:p>
    <w:p w14:paraId="07CE62BD"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Technically, being a digital-first bank, </w:t>
      </w:r>
      <w:proofErr w:type="spellStart"/>
      <w:r w:rsidRPr="00C02C6F">
        <w:rPr>
          <w:rFonts w:ascii="Times New Roman" w:hAnsi="Times New Roman" w:cs="Times New Roman"/>
        </w:rPr>
        <w:t>FinSure</w:t>
      </w:r>
      <w:proofErr w:type="spellEnd"/>
      <w:r w:rsidRPr="00C02C6F">
        <w:rPr>
          <w:rFonts w:ascii="Times New Roman" w:hAnsi="Times New Roman" w:cs="Times New Roman"/>
        </w:rPr>
        <w:t xml:space="preserve"> Bank (FSB) is a cloud-only enterprise, meaning that the bank provides financial services in many jurisdictions. The </w:t>
      </w:r>
      <w:proofErr w:type="spellStart"/>
      <w:r w:rsidRPr="00C02C6F">
        <w:rPr>
          <w:rFonts w:ascii="Times New Roman" w:hAnsi="Times New Roman" w:cs="Times New Roman"/>
        </w:rPr>
        <w:t>organisation</w:t>
      </w:r>
      <w:proofErr w:type="spellEnd"/>
      <w:r w:rsidRPr="00C02C6F">
        <w:rPr>
          <w:rFonts w:ascii="Times New Roman" w:hAnsi="Times New Roman" w:cs="Times New Roman"/>
        </w:rPr>
        <w:t xml:space="preserve"> is now lacking in one security administration, lacks clear risk management processes, and formal compliance control framework. This paper addresses the security frameworks that </w:t>
      </w:r>
      <w:proofErr w:type="gramStart"/>
      <w:r w:rsidRPr="00C02C6F">
        <w:rPr>
          <w:rFonts w:ascii="Times New Roman" w:hAnsi="Times New Roman" w:cs="Times New Roman"/>
        </w:rPr>
        <w:t>the majority of</w:t>
      </w:r>
      <w:proofErr w:type="gramEnd"/>
      <w:r w:rsidRPr="00C02C6F">
        <w:rPr>
          <w:rFonts w:ascii="Times New Roman" w:hAnsi="Times New Roman" w:cs="Times New Roman"/>
        </w:rPr>
        <w:t xml:space="preserve"> people know ITIL 4, COBIT 2019, ISO/IEC 27001, and the NIST Cybersecurity Framework (CSF). It advises </w:t>
      </w:r>
      <w:proofErr w:type="gramStart"/>
      <w:r w:rsidRPr="00C02C6F">
        <w:rPr>
          <w:rFonts w:ascii="Times New Roman" w:hAnsi="Times New Roman" w:cs="Times New Roman"/>
        </w:rPr>
        <w:t>a multi</w:t>
      </w:r>
      <w:proofErr w:type="gramEnd"/>
      <w:r w:rsidRPr="00C02C6F">
        <w:rPr>
          <w:rFonts w:ascii="Times New Roman" w:hAnsi="Times New Roman" w:cs="Times New Roman"/>
        </w:rPr>
        <w:t xml:space="preserve">-layered, custom Governance, Risk, and Compliance (GRC) architecture which is suited to the FSB operational profile. The paper addresses lay prevention of insider threats, service level management, </w:t>
      </w:r>
      <w:proofErr w:type="gramStart"/>
      <w:r w:rsidRPr="00C02C6F">
        <w:rPr>
          <w:rFonts w:ascii="Times New Roman" w:hAnsi="Times New Roman" w:cs="Times New Roman"/>
        </w:rPr>
        <w:t>the compliance</w:t>
      </w:r>
      <w:proofErr w:type="gramEnd"/>
      <w:r w:rsidRPr="00C02C6F">
        <w:rPr>
          <w:rFonts w:ascii="Times New Roman" w:hAnsi="Times New Roman" w:cs="Times New Roman"/>
        </w:rPr>
        <w:t xml:space="preserve"> with GDPR, the BYOD policy, and backup preparation. It further adds that rules are to be periodically considered to get adjusted to the changing threat environment. The proposed architecture will provide FSB with a systematic way towards an established, effective and conforming information security stance.</w:t>
      </w:r>
      <w:r w:rsidRPr="00C02C6F">
        <w:rPr>
          <w:rFonts w:ascii="Times New Roman" w:hAnsi="Times New Roman" w:cs="Times New Roman"/>
        </w:rPr>
        <w:br w:type="page"/>
      </w:r>
    </w:p>
    <w:p w14:paraId="13AE92F4" w14:textId="77777777" w:rsidR="00650468" w:rsidRPr="00C02C6F" w:rsidRDefault="00650468" w:rsidP="00650468">
      <w:pPr>
        <w:pStyle w:val="Heading1"/>
        <w:jc w:val="center"/>
        <w:rPr>
          <w:color w:val="auto"/>
        </w:rPr>
      </w:pPr>
      <w:r w:rsidRPr="00C02C6F">
        <w:rPr>
          <w:color w:val="auto"/>
        </w:rPr>
        <w:lastRenderedPageBreak/>
        <w:t>1. Introduction</w:t>
      </w:r>
    </w:p>
    <w:p w14:paraId="2B484726" w14:textId="77777777" w:rsidR="00650468" w:rsidRDefault="00650468" w:rsidP="00650468">
      <w:pPr>
        <w:jc w:val="both"/>
        <w:rPr>
          <w:rFonts w:ascii="Times New Roman" w:hAnsi="Times New Roman" w:cs="Times New Roman"/>
        </w:rPr>
      </w:pPr>
      <w:r w:rsidRPr="00C02C6F">
        <w:rPr>
          <w:rFonts w:ascii="Times New Roman" w:hAnsi="Times New Roman" w:cs="Times New Roman"/>
        </w:rPr>
        <w:t xml:space="preserve">Banking has become one of the most common victims of a cybercriminal attack. Quick digitalization of banking services, the ability to carry out activities across national borders, and the need to use third parties means that malicious actors can work on a significantly larger attack space [1]. The example of such a problem is the cloud-native, global financial institution </w:t>
      </w:r>
      <w:proofErr w:type="spellStart"/>
      <w:r w:rsidRPr="00C02C6F">
        <w:rPr>
          <w:rFonts w:ascii="Times New Roman" w:hAnsi="Times New Roman" w:cs="Times New Roman"/>
        </w:rPr>
        <w:t>FinSure</w:t>
      </w:r>
      <w:proofErr w:type="spellEnd"/>
      <w:r w:rsidRPr="00C02C6F">
        <w:rPr>
          <w:rFonts w:ascii="Times New Roman" w:hAnsi="Times New Roman" w:cs="Times New Roman"/>
        </w:rPr>
        <w:t xml:space="preserve"> Bank (FSB) which provides retail banking services and savings and loans and investment services but does not have a unified system of governance, </w:t>
      </w:r>
      <w:proofErr w:type="spellStart"/>
      <w:r w:rsidRPr="00C02C6F">
        <w:rPr>
          <w:rFonts w:ascii="Times New Roman" w:hAnsi="Times New Roman" w:cs="Times New Roman"/>
        </w:rPr>
        <w:t>systematised</w:t>
      </w:r>
      <w:proofErr w:type="spellEnd"/>
      <w:r w:rsidRPr="00C02C6F">
        <w:rPr>
          <w:rFonts w:ascii="Times New Roman" w:hAnsi="Times New Roman" w:cs="Times New Roman"/>
        </w:rPr>
        <w:t xml:space="preserve"> compliance </w:t>
      </w:r>
      <w:proofErr w:type="spellStart"/>
      <w:r w:rsidRPr="00C02C6F">
        <w:rPr>
          <w:rFonts w:ascii="Times New Roman" w:hAnsi="Times New Roman" w:cs="Times New Roman"/>
        </w:rPr>
        <w:t>programme</w:t>
      </w:r>
      <w:proofErr w:type="spellEnd"/>
      <w:r w:rsidRPr="00C02C6F">
        <w:rPr>
          <w:rFonts w:ascii="Times New Roman" w:hAnsi="Times New Roman" w:cs="Times New Roman"/>
        </w:rPr>
        <w:t>, and plan to manage risk systematically.</w:t>
      </w:r>
    </w:p>
    <w:p w14:paraId="0EDE529A" w14:textId="77777777" w:rsidR="00650468" w:rsidRPr="00C02C6F" w:rsidRDefault="00650468" w:rsidP="00650468">
      <w:pPr>
        <w:jc w:val="both"/>
        <w:rPr>
          <w:rFonts w:ascii="Times New Roman" w:hAnsi="Times New Roman" w:cs="Times New Roman"/>
        </w:rPr>
      </w:pPr>
    </w:p>
    <w:p w14:paraId="0213909A"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Cloud configurations, insider abuse, GDPR breaches, and advanced persistent attacks (APTs) are potential threats to FSB since more than 90 percent of its infrastructure is deployed on the cloud, and most of the employees come to work with their own complements (BYOD). Experimental studies show that the only thing that gives rise to an extended time of detection and increase the cost of breach is a fragmented security system [2]. Therefore, a framework based, systematic GRC method is not only essential but also needed in operations.</w:t>
      </w:r>
    </w:p>
    <w:p w14:paraId="439F0F54" w14:textId="77777777" w:rsidR="00650468" w:rsidRDefault="00650468" w:rsidP="00650468">
      <w:pPr>
        <w:jc w:val="both"/>
        <w:rPr>
          <w:rFonts w:ascii="Times New Roman" w:hAnsi="Times New Roman" w:cs="Times New Roman"/>
        </w:rPr>
      </w:pPr>
    </w:p>
    <w:p w14:paraId="481BE9E0"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The present study reviews the literature sources in academia and business with an offer to create a detailed representation of the applicable security frameworks and models. Second is the flexible framework of governance and compliance of FSB.</w:t>
      </w:r>
    </w:p>
    <w:p w14:paraId="71E8177B" w14:textId="77777777" w:rsidR="00650468" w:rsidRPr="00C02C6F" w:rsidRDefault="00650468" w:rsidP="00650468">
      <w:pPr>
        <w:jc w:val="both"/>
        <w:rPr>
          <w:rFonts w:ascii="Times New Roman" w:hAnsi="Times New Roman" w:cs="Times New Roman"/>
        </w:rPr>
      </w:pPr>
    </w:p>
    <w:p w14:paraId="6FD9B31B"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br w:type="page"/>
      </w:r>
    </w:p>
    <w:p w14:paraId="0DB90288" w14:textId="77777777" w:rsidR="00650468" w:rsidRPr="00C02C6F" w:rsidRDefault="00650468" w:rsidP="00650468">
      <w:pPr>
        <w:pStyle w:val="Heading1"/>
        <w:jc w:val="center"/>
        <w:rPr>
          <w:color w:val="auto"/>
        </w:rPr>
      </w:pPr>
      <w:r w:rsidRPr="00C02C6F">
        <w:rPr>
          <w:color w:val="auto"/>
        </w:rPr>
        <w:lastRenderedPageBreak/>
        <w:t>2. Review of Security Frameworks and Models</w:t>
      </w:r>
    </w:p>
    <w:p w14:paraId="0DA2C84B" w14:textId="77777777" w:rsidR="00650468" w:rsidRPr="00C02C6F" w:rsidRDefault="00650468" w:rsidP="00650468">
      <w:pPr>
        <w:pStyle w:val="Heading2"/>
        <w:rPr>
          <w:color w:val="auto"/>
        </w:rPr>
      </w:pPr>
      <w:r w:rsidRPr="00C02C6F">
        <w:rPr>
          <w:color w:val="auto"/>
        </w:rPr>
        <w:t>2.1 ISO/IEC 27001 and the ISO 27000 Family</w:t>
      </w:r>
    </w:p>
    <w:p w14:paraId="38EA9128"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One of the most widely known standards of Information Security Management Systems (ISMS) is ISO/IEC 27001. </w:t>
      </w:r>
      <w:proofErr w:type="spellStart"/>
      <w:r w:rsidRPr="00C02C6F">
        <w:rPr>
          <w:rFonts w:ascii="Times New Roman" w:hAnsi="Times New Roman" w:cs="Times New Roman"/>
        </w:rPr>
        <w:t>PlanDoCheckAct</w:t>
      </w:r>
      <w:proofErr w:type="spellEnd"/>
      <w:r w:rsidRPr="00C02C6F">
        <w:rPr>
          <w:rFonts w:ascii="Times New Roman" w:hAnsi="Times New Roman" w:cs="Times New Roman"/>
        </w:rPr>
        <w:t xml:space="preserve"> (PDCA) cycle of providing a rational framework of implementing risk-based controls of sensitive data is offered [3]. The 93 controls that are defined in Annex A allow </w:t>
      </w:r>
      <w:proofErr w:type="spellStart"/>
      <w:r w:rsidRPr="00C02C6F">
        <w:rPr>
          <w:rFonts w:ascii="Times New Roman" w:hAnsi="Times New Roman" w:cs="Times New Roman"/>
        </w:rPr>
        <w:t>organisations</w:t>
      </w:r>
      <w:proofErr w:type="spellEnd"/>
      <w:r w:rsidRPr="00C02C6F">
        <w:rPr>
          <w:rFonts w:ascii="Times New Roman" w:hAnsi="Times New Roman" w:cs="Times New Roman"/>
        </w:rPr>
        <w:t xml:space="preserve"> to choose the right controls depending on the identified risks and these controls are divided into four domains, namely, </w:t>
      </w:r>
      <w:proofErr w:type="spellStart"/>
      <w:r w:rsidRPr="00C02C6F">
        <w:rPr>
          <w:rFonts w:ascii="Times New Roman" w:hAnsi="Times New Roman" w:cs="Times New Roman"/>
        </w:rPr>
        <w:t>organisational</w:t>
      </w:r>
      <w:proofErr w:type="spellEnd"/>
      <w:r w:rsidRPr="00C02C6F">
        <w:rPr>
          <w:rFonts w:ascii="Times New Roman" w:hAnsi="Times New Roman" w:cs="Times New Roman"/>
        </w:rPr>
        <w:t>, personnel, physical, and technical. Assuming the completion of the ISO 27001 certification, the Financial Services Bank (FSB) would have a point of reference of an authoritative and auditable character in compliance with the existing regulations and the expectations of customers in the sphere of customer confidence. Other provisions like ISO27017 on cloud security and ISO27018 on the security of personally identifiable information in publicly accessible clouds are of critical importance due to the high priority that FSB puts on cloud security [4].</w:t>
      </w:r>
    </w:p>
    <w:p w14:paraId="19CF6FF2" w14:textId="77777777" w:rsidR="00650468" w:rsidRPr="00C02C6F" w:rsidRDefault="00650468" w:rsidP="00650468">
      <w:pPr>
        <w:jc w:val="both"/>
        <w:rPr>
          <w:rFonts w:ascii="Times New Roman" w:hAnsi="Times New Roman" w:cs="Times New Roman"/>
        </w:rPr>
      </w:pPr>
    </w:p>
    <w:p w14:paraId="4606442C" w14:textId="77777777" w:rsidR="00650468" w:rsidRPr="00C02C6F" w:rsidRDefault="00650468" w:rsidP="00650468">
      <w:pPr>
        <w:pStyle w:val="Heading2"/>
        <w:rPr>
          <w:color w:val="auto"/>
        </w:rPr>
      </w:pPr>
      <w:r w:rsidRPr="00C02C6F">
        <w:rPr>
          <w:color w:val="auto"/>
        </w:rPr>
        <w:t>2.2 NIST Cybersecurity Framework (CSF) 2.0.</w:t>
      </w:r>
    </w:p>
    <w:p w14:paraId="79721ABB" w14:textId="77777777" w:rsidR="00650468" w:rsidRPr="00C02C6F" w:rsidRDefault="00650468" w:rsidP="00650468">
      <w:pPr>
        <w:jc w:val="both"/>
        <w:rPr>
          <w:rFonts w:ascii="Times New Roman" w:hAnsi="Times New Roman" w:cs="Times New Roman"/>
        </w:rPr>
      </w:pPr>
      <w:proofErr w:type="gramStart"/>
      <w:r w:rsidRPr="00C02C6F">
        <w:rPr>
          <w:rFonts w:ascii="Times New Roman" w:hAnsi="Times New Roman" w:cs="Times New Roman"/>
        </w:rPr>
        <w:t>In order to</w:t>
      </w:r>
      <w:proofErr w:type="gramEnd"/>
      <w:r w:rsidRPr="00C02C6F">
        <w:rPr>
          <w:rFonts w:ascii="Times New Roman" w:hAnsi="Times New Roman" w:cs="Times New Roman"/>
        </w:rPr>
        <w:t xml:space="preserve"> safeguard vital infrastructure, the NIST Cybersecurity Framework (CSF) was developed voluntarily in 2016. </w:t>
      </w:r>
      <w:proofErr w:type="gramStart"/>
      <w:r w:rsidRPr="00C02C6F">
        <w:rPr>
          <w:rFonts w:ascii="Times New Roman" w:hAnsi="Times New Roman" w:cs="Times New Roman"/>
        </w:rPr>
        <w:t>Govern</w:t>
      </w:r>
      <w:proofErr w:type="gramEnd"/>
      <w:r w:rsidRPr="00C02C6F">
        <w:rPr>
          <w:rFonts w:ascii="Times New Roman" w:hAnsi="Times New Roman" w:cs="Times New Roman"/>
        </w:rPr>
        <w:t xml:space="preserve">, </w:t>
      </w:r>
      <w:proofErr w:type="gramStart"/>
      <w:r w:rsidRPr="00C02C6F">
        <w:rPr>
          <w:rFonts w:ascii="Times New Roman" w:hAnsi="Times New Roman" w:cs="Times New Roman"/>
        </w:rPr>
        <w:t>identify</w:t>
      </w:r>
      <w:proofErr w:type="gramEnd"/>
      <w:r w:rsidRPr="00C02C6F">
        <w:rPr>
          <w:rFonts w:ascii="Times New Roman" w:hAnsi="Times New Roman" w:cs="Times New Roman"/>
        </w:rPr>
        <w:t xml:space="preserve">, protect, detect, respond, and recover are its six primary functions. In 2024, the framework was updated to version 2.0 [5]. The Governance role in CSF 2.0 </w:t>
      </w:r>
      <w:proofErr w:type="gramStart"/>
      <w:r w:rsidRPr="00C02C6F">
        <w:rPr>
          <w:rFonts w:ascii="Times New Roman" w:hAnsi="Times New Roman" w:cs="Times New Roman"/>
        </w:rPr>
        <w:t>increase</w:t>
      </w:r>
      <w:proofErr w:type="gramEnd"/>
      <w:r w:rsidRPr="00C02C6F">
        <w:rPr>
          <w:rFonts w:ascii="Times New Roman" w:hAnsi="Times New Roman" w:cs="Times New Roman"/>
        </w:rPr>
        <w:t xml:space="preserve"> </w:t>
      </w:r>
      <w:proofErr w:type="spellStart"/>
      <w:r w:rsidRPr="00C02C6F">
        <w:rPr>
          <w:rFonts w:ascii="Times New Roman" w:hAnsi="Times New Roman" w:cs="Times New Roman"/>
        </w:rPr>
        <w:t>organisational</w:t>
      </w:r>
      <w:proofErr w:type="spellEnd"/>
      <w:r w:rsidRPr="00C02C6F">
        <w:rPr>
          <w:rFonts w:ascii="Times New Roman" w:hAnsi="Times New Roman" w:cs="Times New Roman"/>
        </w:rPr>
        <w:t xml:space="preserve"> responsibility in cybersecurity decision-making and </w:t>
      </w:r>
      <w:proofErr w:type="gramStart"/>
      <w:r w:rsidRPr="00C02C6F">
        <w:rPr>
          <w:rFonts w:ascii="Times New Roman" w:hAnsi="Times New Roman" w:cs="Times New Roman"/>
        </w:rPr>
        <w:t>fill</w:t>
      </w:r>
      <w:proofErr w:type="gramEnd"/>
      <w:r w:rsidRPr="00C02C6F">
        <w:rPr>
          <w:rFonts w:ascii="Times New Roman" w:hAnsi="Times New Roman" w:cs="Times New Roman"/>
        </w:rPr>
        <w:t xml:space="preserve"> in the existing gaps in cybersecurity governance by the Financial Stability Board (FSB). The framework is not very technical and is non-sector specific (making it suitable) to international </w:t>
      </w:r>
      <w:proofErr w:type="spellStart"/>
      <w:r w:rsidRPr="00C02C6F">
        <w:rPr>
          <w:rFonts w:ascii="Times New Roman" w:hAnsi="Times New Roman" w:cs="Times New Roman"/>
        </w:rPr>
        <w:t>organisations</w:t>
      </w:r>
      <w:proofErr w:type="spellEnd"/>
      <w:r w:rsidRPr="00C02C6F">
        <w:rPr>
          <w:rFonts w:ascii="Times New Roman" w:hAnsi="Times New Roman" w:cs="Times New Roman"/>
        </w:rPr>
        <w:t xml:space="preserve"> conducting digital banking.</w:t>
      </w:r>
    </w:p>
    <w:p w14:paraId="29787477" w14:textId="77777777" w:rsidR="00650468" w:rsidRPr="00C02C6F" w:rsidRDefault="00650468" w:rsidP="00650468">
      <w:pPr>
        <w:pStyle w:val="Heading2"/>
        <w:rPr>
          <w:color w:val="auto"/>
        </w:rPr>
      </w:pPr>
      <w:r w:rsidRPr="00C02C6F">
        <w:rPr>
          <w:color w:val="auto"/>
        </w:rPr>
        <w:t>2.3 COBIT 2019</w:t>
      </w:r>
    </w:p>
    <w:p w14:paraId="0D18CEE0"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COBIT 2019 (Control Objectives of Information and Related Technologies) has its priorities on the information technology governance and management in the enterprise and enables aligning the enterprise information technology objectives to the general business objectives [6]. Separating governance (setting direction) and administration (execution), the COBIT framework will permit the executive leadership and board of FSB to possess a clear model that will assist them to be accountable, measure performance and enforce compliance with regulation oversight. Better still, the fact that COBIT is compatible with the ISO 27001 and the ITIL model, makes it an excel plan of governance overlay in the proposed security architecture of FSB.</w:t>
      </w:r>
    </w:p>
    <w:p w14:paraId="0BC53275" w14:textId="77777777" w:rsidR="00650468" w:rsidRPr="00C02C6F" w:rsidRDefault="00650468" w:rsidP="00650468">
      <w:pPr>
        <w:pStyle w:val="Heading2"/>
        <w:rPr>
          <w:color w:val="auto"/>
        </w:rPr>
      </w:pPr>
      <w:r w:rsidRPr="00C02C6F">
        <w:rPr>
          <w:color w:val="auto"/>
        </w:rPr>
        <w:t>2.4 ITIL v4</w:t>
      </w:r>
    </w:p>
    <w:p w14:paraId="272D6622"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ITIL 4 (Information technology infrastructure library) reexamines IT service management in the scheme of a Service Value System (SVS) encompassing a continuous improvement never-ending, governance, and value co-creation [7]. ITIL is deemed informative in FSB on cloud service management, supplier relationship plans and development of the Service Level Agreement (SLA) with the external cloud providers. In ITIL, SLM will ensure that security requirements, performance objectives, and promises are well written and reviewed on a regular basis. Table 1 below provides a comparison of these frameworks, their scope and their applicability to FSB.</w:t>
      </w:r>
    </w:p>
    <w:p w14:paraId="13B3DF9A" w14:textId="77777777" w:rsidR="00650468" w:rsidRPr="00C02C6F" w:rsidRDefault="00650468" w:rsidP="00650468">
      <w:pPr>
        <w:jc w:val="both"/>
        <w:rPr>
          <w:rFonts w:ascii="Times New Roman" w:hAnsi="Times New Roman" w:cs="Times New Roman"/>
        </w:rPr>
      </w:pPr>
    </w:p>
    <w:tbl>
      <w:tblPr>
        <w:tblStyle w:val="GridTable1Light"/>
        <w:tblW w:w="9360" w:type="dxa"/>
        <w:jc w:val="center"/>
        <w:tblLook w:val="04A0" w:firstRow="1" w:lastRow="0" w:firstColumn="1" w:lastColumn="0" w:noHBand="0" w:noVBand="1"/>
      </w:tblPr>
      <w:tblGrid>
        <w:gridCol w:w="1800"/>
        <w:gridCol w:w="2400"/>
        <w:gridCol w:w="2280"/>
        <w:gridCol w:w="2880"/>
      </w:tblGrid>
      <w:tr w:rsidR="00650468" w:rsidRPr="00C02C6F" w14:paraId="343B41D9" w14:textId="77777777" w:rsidTr="0055073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0" w:type="dxa"/>
          </w:tcPr>
          <w:p w14:paraId="7695C1BA" w14:textId="77777777" w:rsidR="00650468" w:rsidRPr="00C02C6F" w:rsidRDefault="00650468" w:rsidP="00550732">
            <w:pPr>
              <w:jc w:val="both"/>
              <w:rPr>
                <w:rFonts w:ascii="Times New Roman" w:hAnsi="Times New Roman" w:cs="Times New Roman"/>
              </w:rPr>
            </w:pPr>
            <w:r w:rsidRPr="00C02C6F">
              <w:rPr>
                <w:rFonts w:ascii="Times New Roman" w:hAnsi="Times New Roman" w:cs="Times New Roman"/>
              </w:rPr>
              <w:t>Framework</w:t>
            </w:r>
          </w:p>
        </w:tc>
        <w:tc>
          <w:tcPr>
            <w:tcW w:w="2400" w:type="dxa"/>
          </w:tcPr>
          <w:p w14:paraId="6A35F1E8" w14:textId="77777777" w:rsidR="00650468" w:rsidRPr="00C02C6F" w:rsidRDefault="00650468" w:rsidP="00550732">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Scope</w:t>
            </w:r>
          </w:p>
        </w:tc>
        <w:tc>
          <w:tcPr>
            <w:tcW w:w="2280" w:type="dxa"/>
          </w:tcPr>
          <w:p w14:paraId="328E3C81" w14:textId="77777777" w:rsidR="00650468" w:rsidRPr="00C02C6F" w:rsidRDefault="00650468" w:rsidP="00550732">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Key Focus</w:t>
            </w:r>
          </w:p>
        </w:tc>
        <w:tc>
          <w:tcPr>
            <w:tcW w:w="2880" w:type="dxa"/>
          </w:tcPr>
          <w:p w14:paraId="15B3F7EF" w14:textId="77777777" w:rsidR="00650468" w:rsidRPr="00C02C6F" w:rsidRDefault="00650468" w:rsidP="00550732">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FSB Relevance</w:t>
            </w:r>
          </w:p>
        </w:tc>
      </w:tr>
      <w:tr w:rsidR="00650468" w:rsidRPr="00C02C6F" w14:paraId="6BA2BDD9"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1800" w:type="dxa"/>
          </w:tcPr>
          <w:p w14:paraId="6059FA3F" w14:textId="77777777" w:rsidR="00650468" w:rsidRPr="00C02C6F" w:rsidRDefault="00650468" w:rsidP="00550732">
            <w:pPr>
              <w:jc w:val="both"/>
              <w:rPr>
                <w:rFonts w:ascii="Times New Roman" w:hAnsi="Times New Roman" w:cs="Times New Roman"/>
              </w:rPr>
            </w:pPr>
            <w:r w:rsidRPr="00C02C6F">
              <w:rPr>
                <w:rFonts w:ascii="Times New Roman" w:hAnsi="Times New Roman" w:cs="Times New Roman"/>
              </w:rPr>
              <w:t>ISO/IEC 27001</w:t>
            </w:r>
          </w:p>
        </w:tc>
        <w:tc>
          <w:tcPr>
            <w:tcW w:w="2400" w:type="dxa"/>
          </w:tcPr>
          <w:p w14:paraId="76E2299C"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 xml:space="preserve">ISMS globally </w:t>
            </w:r>
            <w:proofErr w:type="spellStart"/>
            <w:r w:rsidRPr="00C02C6F">
              <w:rPr>
                <w:rFonts w:ascii="Times New Roman" w:hAnsi="Times New Roman" w:cs="Times New Roman"/>
              </w:rPr>
              <w:t>recognised</w:t>
            </w:r>
            <w:proofErr w:type="spellEnd"/>
          </w:p>
        </w:tc>
        <w:tc>
          <w:tcPr>
            <w:tcW w:w="2280" w:type="dxa"/>
          </w:tcPr>
          <w:p w14:paraId="5D6346FF"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Risk management, controls</w:t>
            </w:r>
          </w:p>
        </w:tc>
        <w:tc>
          <w:tcPr>
            <w:tcW w:w="2880" w:type="dxa"/>
          </w:tcPr>
          <w:p w14:paraId="44A79242"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Core certification baseline for FSB</w:t>
            </w:r>
          </w:p>
        </w:tc>
      </w:tr>
      <w:tr w:rsidR="00650468" w:rsidRPr="00C02C6F" w14:paraId="5505FB23"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1800" w:type="dxa"/>
          </w:tcPr>
          <w:p w14:paraId="5D5A1FCC" w14:textId="77777777" w:rsidR="00650468" w:rsidRPr="00C02C6F" w:rsidRDefault="00650468" w:rsidP="00550732">
            <w:pPr>
              <w:jc w:val="both"/>
              <w:rPr>
                <w:rFonts w:ascii="Times New Roman" w:hAnsi="Times New Roman" w:cs="Times New Roman"/>
              </w:rPr>
            </w:pPr>
            <w:r w:rsidRPr="00C02C6F">
              <w:rPr>
                <w:rFonts w:ascii="Times New Roman" w:hAnsi="Times New Roman" w:cs="Times New Roman"/>
              </w:rPr>
              <w:t>NIST CSF</w:t>
            </w:r>
          </w:p>
        </w:tc>
        <w:tc>
          <w:tcPr>
            <w:tcW w:w="2400" w:type="dxa"/>
          </w:tcPr>
          <w:p w14:paraId="6582B996"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US-origin, globally adopted</w:t>
            </w:r>
          </w:p>
        </w:tc>
        <w:tc>
          <w:tcPr>
            <w:tcW w:w="2280" w:type="dxa"/>
          </w:tcPr>
          <w:p w14:paraId="63169F95"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Identify, Protect, Detect, Respond, Recover</w:t>
            </w:r>
          </w:p>
        </w:tc>
        <w:tc>
          <w:tcPr>
            <w:tcW w:w="2880" w:type="dxa"/>
          </w:tcPr>
          <w:p w14:paraId="75F50D23"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Cyber resilience lifecycle</w:t>
            </w:r>
          </w:p>
        </w:tc>
      </w:tr>
      <w:tr w:rsidR="00650468" w:rsidRPr="00C02C6F" w14:paraId="591BF947"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1800" w:type="dxa"/>
          </w:tcPr>
          <w:p w14:paraId="61805EA1" w14:textId="77777777" w:rsidR="00650468" w:rsidRPr="00C02C6F" w:rsidRDefault="00650468" w:rsidP="00550732">
            <w:pPr>
              <w:jc w:val="both"/>
              <w:rPr>
                <w:rFonts w:ascii="Times New Roman" w:hAnsi="Times New Roman" w:cs="Times New Roman"/>
              </w:rPr>
            </w:pPr>
            <w:r w:rsidRPr="00C02C6F">
              <w:rPr>
                <w:rFonts w:ascii="Times New Roman" w:hAnsi="Times New Roman" w:cs="Times New Roman"/>
              </w:rPr>
              <w:lastRenderedPageBreak/>
              <w:t>COBIT 2019</w:t>
            </w:r>
          </w:p>
        </w:tc>
        <w:tc>
          <w:tcPr>
            <w:tcW w:w="2400" w:type="dxa"/>
          </w:tcPr>
          <w:p w14:paraId="14BB3C6E"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 xml:space="preserve">IT governance &amp; </w:t>
            </w:r>
            <w:proofErr w:type="spellStart"/>
            <w:r w:rsidRPr="00C02C6F">
              <w:rPr>
                <w:rFonts w:ascii="Times New Roman" w:hAnsi="Times New Roman" w:cs="Times New Roman"/>
              </w:rPr>
              <w:t>mgmt</w:t>
            </w:r>
            <w:proofErr w:type="spellEnd"/>
          </w:p>
        </w:tc>
        <w:tc>
          <w:tcPr>
            <w:tcW w:w="2280" w:type="dxa"/>
          </w:tcPr>
          <w:p w14:paraId="6E09F7B0"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Alignment of IT with business</w:t>
            </w:r>
          </w:p>
        </w:tc>
        <w:tc>
          <w:tcPr>
            <w:tcW w:w="2880" w:type="dxa"/>
          </w:tcPr>
          <w:p w14:paraId="0F700FD4"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Governance structure for FSB board</w:t>
            </w:r>
          </w:p>
        </w:tc>
      </w:tr>
      <w:tr w:rsidR="00650468" w:rsidRPr="00C02C6F" w14:paraId="7449976F"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1800" w:type="dxa"/>
          </w:tcPr>
          <w:p w14:paraId="2136FAA7" w14:textId="77777777" w:rsidR="00650468" w:rsidRPr="00C02C6F" w:rsidRDefault="00650468" w:rsidP="00550732">
            <w:pPr>
              <w:jc w:val="both"/>
              <w:rPr>
                <w:rFonts w:ascii="Times New Roman" w:hAnsi="Times New Roman" w:cs="Times New Roman"/>
              </w:rPr>
            </w:pPr>
            <w:r w:rsidRPr="00C02C6F">
              <w:rPr>
                <w:rFonts w:ascii="Times New Roman" w:hAnsi="Times New Roman" w:cs="Times New Roman"/>
              </w:rPr>
              <w:t>ITIL v4</w:t>
            </w:r>
          </w:p>
        </w:tc>
        <w:tc>
          <w:tcPr>
            <w:tcW w:w="2400" w:type="dxa"/>
          </w:tcPr>
          <w:p w14:paraId="553A94AF"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IT service management</w:t>
            </w:r>
          </w:p>
        </w:tc>
        <w:tc>
          <w:tcPr>
            <w:tcW w:w="2280" w:type="dxa"/>
          </w:tcPr>
          <w:p w14:paraId="4366EA5F"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Service lifecycle, SLAs</w:t>
            </w:r>
          </w:p>
        </w:tc>
        <w:tc>
          <w:tcPr>
            <w:tcW w:w="2880" w:type="dxa"/>
          </w:tcPr>
          <w:p w14:paraId="5E3A0E75"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Cloud service &amp; SLA management</w:t>
            </w:r>
          </w:p>
        </w:tc>
      </w:tr>
      <w:tr w:rsidR="00650468" w:rsidRPr="00C02C6F" w14:paraId="7EA3C4D8"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1800" w:type="dxa"/>
          </w:tcPr>
          <w:p w14:paraId="464383F8" w14:textId="77777777" w:rsidR="00650468" w:rsidRPr="00C02C6F" w:rsidRDefault="00650468" w:rsidP="00550732">
            <w:pPr>
              <w:jc w:val="both"/>
              <w:rPr>
                <w:rFonts w:ascii="Times New Roman" w:hAnsi="Times New Roman" w:cs="Times New Roman"/>
              </w:rPr>
            </w:pPr>
            <w:r w:rsidRPr="00C02C6F">
              <w:rPr>
                <w:rFonts w:ascii="Times New Roman" w:hAnsi="Times New Roman" w:cs="Times New Roman"/>
              </w:rPr>
              <w:t>PCI-DSS</w:t>
            </w:r>
          </w:p>
        </w:tc>
        <w:tc>
          <w:tcPr>
            <w:tcW w:w="2400" w:type="dxa"/>
          </w:tcPr>
          <w:p w14:paraId="272AAAAB"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Payment card industry</w:t>
            </w:r>
          </w:p>
        </w:tc>
        <w:tc>
          <w:tcPr>
            <w:tcW w:w="2280" w:type="dxa"/>
          </w:tcPr>
          <w:p w14:paraId="2AE23957"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Cardholder data security</w:t>
            </w:r>
          </w:p>
        </w:tc>
        <w:tc>
          <w:tcPr>
            <w:tcW w:w="2880" w:type="dxa"/>
          </w:tcPr>
          <w:p w14:paraId="43BE8291"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Mandatory for FSB financial services</w:t>
            </w:r>
          </w:p>
        </w:tc>
      </w:tr>
    </w:tbl>
    <w:p w14:paraId="6BC3A04E" w14:textId="77777777" w:rsidR="00650468" w:rsidRPr="00C02C6F" w:rsidRDefault="00650468" w:rsidP="00650468">
      <w:pPr>
        <w:jc w:val="center"/>
        <w:rPr>
          <w:rFonts w:ascii="Times New Roman" w:hAnsi="Times New Roman" w:cs="Times New Roman"/>
        </w:rPr>
      </w:pPr>
      <w:r w:rsidRPr="00C02C6F">
        <w:rPr>
          <w:rFonts w:ascii="Times New Roman" w:hAnsi="Times New Roman" w:cs="Times New Roman"/>
        </w:rPr>
        <w:t>Table 1: Security Framework Comparative Analysis</w:t>
      </w:r>
    </w:p>
    <w:p w14:paraId="4AE9CAB2" w14:textId="77777777" w:rsidR="00650468" w:rsidRPr="00C02C6F" w:rsidRDefault="00650468" w:rsidP="00650468">
      <w:pPr>
        <w:jc w:val="both"/>
        <w:rPr>
          <w:rFonts w:ascii="Times New Roman" w:hAnsi="Times New Roman" w:cs="Times New Roman"/>
        </w:rPr>
      </w:pPr>
    </w:p>
    <w:p w14:paraId="0611D9F9"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The suggested layered GRC architecture for FSB, which combines governance, compliance, risk management, security controls, and business continuity into a single model, is shown in Figure 1 below.</w:t>
      </w:r>
    </w:p>
    <w:p w14:paraId="75E3C79F" w14:textId="77777777" w:rsidR="00650468" w:rsidRPr="00C02C6F" w:rsidRDefault="00650468" w:rsidP="00650468">
      <w:pPr>
        <w:jc w:val="center"/>
        <w:rPr>
          <w:rFonts w:ascii="Times New Roman" w:hAnsi="Times New Roman" w:cs="Times New Roman"/>
          <w:i/>
          <w:iCs/>
        </w:rPr>
      </w:pPr>
      <w:r w:rsidRPr="00C02C6F">
        <w:rPr>
          <w:rFonts w:ascii="Times New Roman" w:hAnsi="Times New Roman" w:cs="Times New Roman"/>
          <w:noProof/>
        </w:rPr>
        <w:drawing>
          <wp:inline distT="0" distB="0" distL="0" distR="0" wp14:anchorId="4E49EE00" wp14:editId="053C5670">
            <wp:extent cx="3359621" cy="4905375"/>
            <wp:effectExtent l="0" t="0" r="0" b="0"/>
            <wp:docPr id="15500136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993" cy="4938041"/>
                    </a:xfrm>
                    <a:prstGeom prst="rect">
                      <a:avLst/>
                    </a:prstGeom>
                    <a:noFill/>
                    <a:ln>
                      <a:noFill/>
                    </a:ln>
                  </pic:spPr>
                </pic:pic>
              </a:graphicData>
            </a:graphic>
          </wp:inline>
        </w:drawing>
      </w:r>
    </w:p>
    <w:p w14:paraId="3E6E185F" w14:textId="77777777" w:rsidR="00650468" w:rsidRPr="00C02C6F" w:rsidRDefault="00650468" w:rsidP="00650468">
      <w:pPr>
        <w:jc w:val="both"/>
        <w:rPr>
          <w:rFonts w:ascii="Times New Roman" w:hAnsi="Times New Roman" w:cs="Times New Roman"/>
          <w:i/>
          <w:iCs/>
        </w:rPr>
      </w:pPr>
    </w:p>
    <w:p w14:paraId="20A9C6DC" w14:textId="77777777" w:rsidR="00650468" w:rsidRPr="00C02C6F" w:rsidRDefault="00650468" w:rsidP="00650468">
      <w:pPr>
        <w:jc w:val="center"/>
        <w:rPr>
          <w:rFonts w:ascii="Times New Roman" w:hAnsi="Times New Roman" w:cs="Times New Roman"/>
        </w:rPr>
      </w:pPr>
      <w:r w:rsidRPr="00C02C6F">
        <w:rPr>
          <w:rFonts w:ascii="Times New Roman" w:hAnsi="Times New Roman" w:cs="Times New Roman"/>
        </w:rPr>
        <w:t>Figure 1: FSB Proposed GRC Architecture (</w:t>
      </w:r>
      <w:r w:rsidRPr="00C02C6F">
        <w:rPr>
          <w:rFonts w:ascii="Times New Roman" w:hAnsi="Times New Roman" w:cs="Times New Roman"/>
          <w:i/>
          <w:iCs/>
        </w:rPr>
        <w:t>Source: Author's original design, drawing on ISO 27001 [3], NIST CSF 2.0 [5], and COBIT 2019 [6])</w:t>
      </w:r>
    </w:p>
    <w:p w14:paraId="2C3EB14D" w14:textId="77777777" w:rsidR="00650468" w:rsidRDefault="00650468" w:rsidP="00650468">
      <w:pPr>
        <w:rPr>
          <w:rFonts w:ascii="Times New Roman" w:hAnsi="Times New Roman" w:cs="Times New Roman"/>
        </w:rPr>
      </w:pPr>
      <w:r>
        <w:rPr>
          <w:rFonts w:ascii="Times New Roman" w:hAnsi="Times New Roman" w:cs="Times New Roman"/>
        </w:rPr>
        <w:br w:type="page"/>
      </w:r>
    </w:p>
    <w:p w14:paraId="7C24A678" w14:textId="77777777" w:rsidR="00650468" w:rsidRPr="00C02C6F" w:rsidRDefault="00650468" w:rsidP="00650468">
      <w:pPr>
        <w:pStyle w:val="Heading1"/>
        <w:jc w:val="center"/>
        <w:rPr>
          <w:color w:val="auto"/>
        </w:rPr>
      </w:pPr>
      <w:r w:rsidRPr="00C02C6F">
        <w:rPr>
          <w:color w:val="auto"/>
        </w:rPr>
        <w:lastRenderedPageBreak/>
        <w:t xml:space="preserve">3. Proposed GRC Approach for </w:t>
      </w:r>
      <w:proofErr w:type="spellStart"/>
      <w:r w:rsidRPr="00C02C6F">
        <w:rPr>
          <w:color w:val="auto"/>
        </w:rPr>
        <w:t>FinSure</w:t>
      </w:r>
      <w:proofErr w:type="spellEnd"/>
      <w:r w:rsidRPr="00C02C6F">
        <w:rPr>
          <w:color w:val="auto"/>
        </w:rPr>
        <w:t xml:space="preserve"> Bank</w:t>
      </w:r>
    </w:p>
    <w:p w14:paraId="25133F15" w14:textId="77777777" w:rsidR="00650468" w:rsidRPr="00C02C6F" w:rsidRDefault="00650468" w:rsidP="00650468">
      <w:pPr>
        <w:pStyle w:val="Heading2"/>
        <w:rPr>
          <w:color w:val="auto"/>
        </w:rPr>
      </w:pPr>
      <w:r w:rsidRPr="00C02C6F">
        <w:rPr>
          <w:color w:val="auto"/>
        </w:rPr>
        <w:t>3.1 Governance and Strategic Planning</w:t>
      </w:r>
    </w:p>
    <w:p w14:paraId="6E67DB46"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The network of FSB should be guided by a stringent approach </w:t>
      </w:r>
      <w:proofErr w:type="gramStart"/>
      <w:r w:rsidRPr="00C02C6F">
        <w:rPr>
          <w:rFonts w:ascii="Times New Roman" w:hAnsi="Times New Roman" w:cs="Times New Roman"/>
        </w:rPr>
        <w:t>of</w:t>
      </w:r>
      <w:proofErr w:type="gramEnd"/>
      <w:r w:rsidRPr="00C02C6F">
        <w:rPr>
          <w:rFonts w:ascii="Times New Roman" w:hAnsi="Times New Roman" w:cs="Times New Roman"/>
        </w:rPr>
        <w:t xml:space="preserve"> planning all business operations within it and ensuring adherence to the set of rules and regulations. Effective governance relies on a sound </w:t>
      </w:r>
      <w:proofErr w:type="spellStart"/>
      <w:r w:rsidRPr="00C02C6F">
        <w:rPr>
          <w:rFonts w:ascii="Times New Roman" w:hAnsi="Times New Roman" w:cs="Times New Roman"/>
        </w:rPr>
        <w:t>organisational</w:t>
      </w:r>
      <w:proofErr w:type="spellEnd"/>
      <w:r w:rsidRPr="00C02C6F">
        <w:rPr>
          <w:rFonts w:ascii="Times New Roman" w:hAnsi="Times New Roman" w:cs="Times New Roman"/>
        </w:rPr>
        <w:t xml:space="preserve"> framework where there is control on the board level [6]. To facilitate the above, FSB ought to establish an Information Security Governance Committee comprising of the Chief Information </w:t>
      </w:r>
      <w:proofErr w:type="gramStart"/>
      <w:r w:rsidRPr="00C02C6F">
        <w:rPr>
          <w:rFonts w:ascii="Times New Roman" w:hAnsi="Times New Roman" w:cs="Times New Roman"/>
        </w:rPr>
        <w:t>security officer</w:t>
      </w:r>
      <w:proofErr w:type="gramEnd"/>
      <w:r w:rsidRPr="00C02C6F">
        <w:rPr>
          <w:rFonts w:ascii="Times New Roman" w:hAnsi="Times New Roman" w:cs="Times New Roman"/>
        </w:rPr>
        <w:t xml:space="preserve"> (CISO), data protection officer (DPO), Chief risk officer (CRO), and board members. This committee would ensure that the integration of security planning should </w:t>
      </w:r>
      <w:proofErr w:type="gramStart"/>
      <w:r w:rsidRPr="00C02C6F">
        <w:rPr>
          <w:rFonts w:ascii="Times New Roman" w:hAnsi="Times New Roman" w:cs="Times New Roman"/>
        </w:rPr>
        <w:t>be in compliance with</w:t>
      </w:r>
      <w:proofErr w:type="gramEnd"/>
      <w:r w:rsidRPr="00C02C6F">
        <w:rPr>
          <w:rFonts w:ascii="Times New Roman" w:hAnsi="Times New Roman" w:cs="Times New Roman"/>
        </w:rPr>
        <w:t xml:space="preserve"> the COBIT 2019 framework as well as the growth and regulatory demands of FSB. </w:t>
      </w:r>
      <w:proofErr w:type="gramStart"/>
      <w:r w:rsidRPr="00C02C6F">
        <w:rPr>
          <w:rFonts w:ascii="Times New Roman" w:hAnsi="Times New Roman" w:cs="Times New Roman"/>
        </w:rPr>
        <w:t>A three</w:t>
      </w:r>
      <w:proofErr w:type="gramEnd"/>
      <w:r w:rsidRPr="00C02C6F">
        <w:rPr>
          <w:rFonts w:ascii="Times New Roman" w:hAnsi="Times New Roman" w:cs="Times New Roman"/>
        </w:rPr>
        <w:t xml:space="preserve"> lines of </w:t>
      </w:r>
      <w:proofErr w:type="spellStart"/>
      <w:r w:rsidRPr="00C02C6F">
        <w:rPr>
          <w:rFonts w:ascii="Times New Roman" w:hAnsi="Times New Roman" w:cs="Times New Roman"/>
        </w:rPr>
        <w:t>defence</w:t>
      </w:r>
      <w:proofErr w:type="spellEnd"/>
      <w:r w:rsidRPr="00C02C6F">
        <w:rPr>
          <w:rFonts w:ascii="Times New Roman" w:hAnsi="Times New Roman" w:cs="Times New Roman"/>
        </w:rPr>
        <w:t xml:space="preserve"> strategy such </w:t>
      </w:r>
      <w:proofErr w:type="gramStart"/>
      <w:r w:rsidRPr="00C02C6F">
        <w:rPr>
          <w:rFonts w:ascii="Times New Roman" w:hAnsi="Times New Roman" w:cs="Times New Roman"/>
        </w:rPr>
        <w:t>as;</w:t>
      </w:r>
      <w:proofErr w:type="gramEnd"/>
      <w:r w:rsidRPr="00C02C6F">
        <w:rPr>
          <w:rFonts w:ascii="Times New Roman" w:hAnsi="Times New Roman" w:cs="Times New Roman"/>
        </w:rPr>
        <w:t xml:space="preserve"> operational management, risk and compliance, and internal audit are useful in making sure that responsibilities are well defined, accountability is upheld, and independent oversight is present [8].</w:t>
      </w:r>
    </w:p>
    <w:p w14:paraId="2153F3AF" w14:textId="77777777" w:rsidR="00650468" w:rsidRPr="00C02C6F" w:rsidRDefault="00650468" w:rsidP="00650468">
      <w:pPr>
        <w:pStyle w:val="Heading2"/>
        <w:rPr>
          <w:color w:val="auto"/>
        </w:rPr>
      </w:pPr>
      <w:r w:rsidRPr="00C02C6F">
        <w:rPr>
          <w:color w:val="auto"/>
        </w:rPr>
        <w:t>3.2 Security Policies</w:t>
      </w:r>
    </w:p>
    <w:p w14:paraId="2CB83FBE"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As a way of integrating this into </w:t>
      </w:r>
      <w:proofErr w:type="spellStart"/>
      <w:r w:rsidRPr="00C02C6F">
        <w:rPr>
          <w:rFonts w:ascii="Times New Roman" w:hAnsi="Times New Roman" w:cs="Times New Roman"/>
        </w:rPr>
        <w:t>practise</w:t>
      </w:r>
      <w:proofErr w:type="spellEnd"/>
      <w:r w:rsidRPr="00C02C6F">
        <w:rPr>
          <w:rFonts w:ascii="Times New Roman" w:hAnsi="Times New Roman" w:cs="Times New Roman"/>
        </w:rPr>
        <w:t xml:space="preserve">, FSB should enact the ISO 27001 Annex A controls using a set of practicable policies. These are the Information security policy, BYOD and acceptable Use Policy, Data Classification and handling Policy, Third party and Vendor Management Policy and Incidents Response Policy. All the policies need to be articulate in stating the reason behind it, the person mandated to follow it, the enforcement process, and the frequency of the revised policy [3]. Especially attention should be paid to the BYOD policy. The study by Disturber and Kleiner reveals that personal devices are one of the major sources of data breaches and malware in financial </w:t>
      </w:r>
      <w:proofErr w:type="spellStart"/>
      <w:r w:rsidRPr="00C02C6F">
        <w:rPr>
          <w:rFonts w:ascii="Times New Roman" w:hAnsi="Times New Roman" w:cs="Times New Roman"/>
        </w:rPr>
        <w:t>organisations</w:t>
      </w:r>
      <w:proofErr w:type="spellEnd"/>
      <w:r w:rsidRPr="00C02C6F">
        <w:rPr>
          <w:rFonts w:ascii="Times New Roman" w:hAnsi="Times New Roman" w:cs="Times New Roman"/>
        </w:rPr>
        <w:t xml:space="preserve"> where their usage is not managed [9]. To handle this risk, FSB ought to enforce enrollment of all personal devices in Mobile Device Management (MDM), encryption of all devices, Network Access Control (NAC) to limit access, and bar uncontrolled devices to access sensitive data.</w:t>
      </w:r>
    </w:p>
    <w:p w14:paraId="33721439" w14:textId="77777777" w:rsidR="00650468" w:rsidRPr="00C02C6F" w:rsidRDefault="00650468" w:rsidP="00650468">
      <w:pPr>
        <w:pStyle w:val="Heading2"/>
        <w:rPr>
          <w:color w:val="auto"/>
        </w:rPr>
      </w:pPr>
      <w:r w:rsidRPr="00C02C6F">
        <w:rPr>
          <w:color w:val="auto"/>
        </w:rPr>
        <w:t>3.3 Risk Management</w:t>
      </w:r>
    </w:p>
    <w:p w14:paraId="3A7E8B06"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FSB should use a flexible risk management process that is consistent with ISO 31000 and aligned with NIST CSF 2.0. The process begins with a tiring process of asset enumeration, moves to threat identification, vulnerability analysis, threat likelihood and impact scoring and finally control selection [5]. Having a formal risk register that is reviewed quarterly allows the management to monitor the residual risks and how mitigation measures are progressing.</w:t>
      </w:r>
    </w:p>
    <w:p w14:paraId="23A8477D" w14:textId="77777777" w:rsidR="00650468" w:rsidRPr="00C02C6F" w:rsidRDefault="00650468" w:rsidP="00650468">
      <w:pPr>
        <w:jc w:val="both"/>
        <w:rPr>
          <w:rFonts w:ascii="Times New Roman" w:hAnsi="Times New Roman" w:cs="Times New Roman"/>
        </w:rPr>
      </w:pPr>
    </w:p>
    <w:p w14:paraId="09CB45E1"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Table 2 presents a high-level risk register for FSB's most critical information security risks.</w:t>
      </w:r>
    </w:p>
    <w:p w14:paraId="56447672" w14:textId="77777777" w:rsidR="00650468" w:rsidRPr="00C02C6F" w:rsidRDefault="00650468" w:rsidP="00650468">
      <w:pPr>
        <w:jc w:val="both"/>
        <w:rPr>
          <w:rFonts w:ascii="Times New Roman" w:hAnsi="Times New Roman" w:cs="Times New Roman"/>
        </w:rPr>
      </w:pPr>
    </w:p>
    <w:tbl>
      <w:tblPr>
        <w:tblStyle w:val="GridTable1Light"/>
        <w:tblW w:w="9360" w:type="dxa"/>
        <w:jc w:val="center"/>
        <w:tblLook w:val="04A0" w:firstRow="1" w:lastRow="0" w:firstColumn="1" w:lastColumn="0" w:noHBand="0" w:noVBand="1"/>
      </w:tblPr>
      <w:tblGrid>
        <w:gridCol w:w="2091"/>
        <w:gridCol w:w="1306"/>
        <w:gridCol w:w="1276"/>
        <w:gridCol w:w="1334"/>
        <w:gridCol w:w="3353"/>
      </w:tblGrid>
      <w:tr w:rsidR="00650468" w:rsidRPr="00C02C6F" w14:paraId="14CACD78" w14:textId="77777777" w:rsidTr="0055073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1" w:type="dxa"/>
          </w:tcPr>
          <w:p w14:paraId="1B80C59D" w14:textId="77777777" w:rsidR="00650468" w:rsidRPr="00C02C6F" w:rsidRDefault="00650468" w:rsidP="00550732">
            <w:pPr>
              <w:jc w:val="both"/>
              <w:rPr>
                <w:rFonts w:ascii="Times New Roman" w:hAnsi="Times New Roman" w:cs="Times New Roman"/>
                <w:b w:val="0"/>
                <w:bCs w:val="0"/>
              </w:rPr>
            </w:pPr>
            <w:r w:rsidRPr="00C02C6F">
              <w:rPr>
                <w:rFonts w:ascii="Times New Roman" w:hAnsi="Times New Roman" w:cs="Times New Roman"/>
              </w:rPr>
              <w:t>Risk</w:t>
            </w:r>
          </w:p>
        </w:tc>
        <w:tc>
          <w:tcPr>
            <w:tcW w:w="1306" w:type="dxa"/>
          </w:tcPr>
          <w:p w14:paraId="3629D57A" w14:textId="77777777" w:rsidR="00650468" w:rsidRPr="00C02C6F" w:rsidRDefault="00650468" w:rsidP="00550732">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C02C6F">
              <w:rPr>
                <w:rFonts w:ascii="Times New Roman" w:hAnsi="Times New Roman" w:cs="Times New Roman"/>
              </w:rPr>
              <w:t>Likelihood</w:t>
            </w:r>
          </w:p>
        </w:tc>
        <w:tc>
          <w:tcPr>
            <w:tcW w:w="1276" w:type="dxa"/>
          </w:tcPr>
          <w:p w14:paraId="7DEF810F" w14:textId="77777777" w:rsidR="00650468" w:rsidRPr="00C02C6F" w:rsidRDefault="00650468" w:rsidP="00550732">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C02C6F">
              <w:rPr>
                <w:rFonts w:ascii="Times New Roman" w:hAnsi="Times New Roman" w:cs="Times New Roman"/>
              </w:rPr>
              <w:t>Impact</w:t>
            </w:r>
          </w:p>
        </w:tc>
        <w:tc>
          <w:tcPr>
            <w:tcW w:w="1334" w:type="dxa"/>
          </w:tcPr>
          <w:p w14:paraId="6837112F" w14:textId="77777777" w:rsidR="00650468" w:rsidRPr="00C02C6F" w:rsidRDefault="00650468" w:rsidP="00550732">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C02C6F">
              <w:rPr>
                <w:rFonts w:ascii="Times New Roman" w:hAnsi="Times New Roman" w:cs="Times New Roman"/>
              </w:rPr>
              <w:t>Rating</w:t>
            </w:r>
          </w:p>
        </w:tc>
        <w:tc>
          <w:tcPr>
            <w:tcW w:w="3353" w:type="dxa"/>
          </w:tcPr>
          <w:p w14:paraId="239B3847" w14:textId="77777777" w:rsidR="00650468" w:rsidRPr="00C02C6F" w:rsidRDefault="00650468" w:rsidP="00550732">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C02C6F">
              <w:rPr>
                <w:rFonts w:ascii="Times New Roman" w:hAnsi="Times New Roman" w:cs="Times New Roman"/>
              </w:rPr>
              <w:t>Mitigation</w:t>
            </w:r>
          </w:p>
        </w:tc>
      </w:tr>
      <w:tr w:rsidR="00650468" w:rsidRPr="00C02C6F" w14:paraId="31FF0C66" w14:textId="77777777" w:rsidTr="00550732">
        <w:trPr>
          <w:trHeight w:val="734"/>
          <w:jc w:val="center"/>
        </w:trPr>
        <w:tc>
          <w:tcPr>
            <w:cnfStyle w:val="001000000000" w:firstRow="0" w:lastRow="0" w:firstColumn="1" w:lastColumn="0" w:oddVBand="0" w:evenVBand="0" w:oddHBand="0" w:evenHBand="0" w:firstRowFirstColumn="0" w:firstRowLastColumn="0" w:lastRowFirstColumn="0" w:lastRowLastColumn="0"/>
            <w:tcW w:w="2091" w:type="dxa"/>
          </w:tcPr>
          <w:p w14:paraId="4339279F" w14:textId="77777777" w:rsidR="00650468" w:rsidRPr="00C02C6F" w:rsidRDefault="00650468" w:rsidP="00550732">
            <w:pPr>
              <w:jc w:val="both"/>
              <w:rPr>
                <w:rFonts w:ascii="Times New Roman" w:hAnsi="Times New Roman" w:cs="Times New Roman"/>
                <w:b w:val="0"/>
                <w:bCs w:val="0"/>
              </w:rPr>
            </w:pPr>
            <w:r w:rsidRPr="00C02C6F">
              <w:rPr>
                <w:rFonts w:ascii="Times New Roman" w:hAnsi="Times New Roman" w:cs="Times New Roman"/>
                <w:b w:val="0"/>
                <w:bCs w:val="0"/>
              </w:rPr>
              <w:t>BYOD data breach</w:t>
            </w:r>
          </w:p>
        </w:tc>
        <w:tc>
          <w:tcPr>
            <w:tcW w:w="1306" w:type="dxa"/>
          </w:tcPr>
          <w:p w14:paraId="02B1CCFE"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1276" w:type="dxa"/>
          </w:tcPr>
          <w:p w14:paraId="7A11D1A9"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Critical</w:t>
            </w:r>
          </w:p>
        </w:tc>
        <w:tc>
          <w:tcPr>
            <w:tcW w:w="1334" w:type="dxa"/>
          </w:tcPr>
          <w:p w14:paraId="18A532BD"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Extreme</w:t>
            </w:r>
          </w:p>
        </w:tc>
        <w:tc>
          <w:tcPr>
            <w:tcW w:w="3353" w:type="dxa"/>
          </w:tcPr>
          <w:p w14:paraId="14984E43"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MDM, endpoint encryption, NAC</w:t>
            </w:r>
          </w:p>
        </w:tc>
      </w:tr>
      <w:tr w:rsidR="00650468" w:rsidRPr="00C02C6F" w14:paraId="0C647871"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2091" w:type="dxa"/>
          </w:tcPr>
          <w:p w14:paraId="208B7767" w14:textId="77777777" w:rsidR="00650468" w:rsidRPr="00C02C6F" w:rsidRDefault="00650468" w:rsidP="00550732">
            <w:pPr>
              <w:jc w:val="both"/>
              <w:rPr>
                <w:rFonts w:ascii="Times New Roman" w:hAnsi="Times New Roman" w:cs="Times New Roman"/>
                <w:b w:val="0"/>
                <w:bCs w:val="0"/>
              </w:rPr>
            </w:pPr>
            <w:r w:rsidRPr="00C02C6F">
              <w:rPr>
                <w:rFonts w:ascii="Times New Roman" w:hAnsi="Times New Roman" w:cs="Times New Roman"/>
                <w:b w:val="0"/>
                <w:bCs w:val="0"/>
              </w:rPr>
              <w:t>Cloud misconfiguration</w:t>
            </w:r>
          </w:p>
        </w:tc>
        <w:tc>
          <w:tcPr>
            <w:tcW w:w="1306" w:type="dxa"/>
          </w:tcPr>
          <w:p w14:paraId="217075CC"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Medium</w:t>
            </w:r>
          </w:p>
        </w:tc>
        <w:tc>
          <w:tcPr>
            <w:tcW w:w="1276" w:type="dxa"/>
          </w:tcPr>
          <w:p w14:paraId="7263E29B"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1334" w:type="dxa"/>
          </w:tcPr>
          <w:p w14:paraId="7CF949CB"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3353" w:type="dxa"/>
          </w:tcPr>
          <w:p w14:paraId="0290E9C2"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 xml:space="preserve">Cloud security posture </w:t>
            </w:r>
            <w:proofErr w:type="spellStart"/>
            <w:r w:rsidRPr="00C02C6F">
              <w:rPr>
                <w:rFonts w:ascii="Times New Roman" w:hAnsi="Times New Roman" w:cs="Times New Roman"/>
              </w:rPr>
              <w:t>mgmt</w:t>
            </w:r>
            <w:proofErr w:type="spellEnd"/>
            <w:r w:rsidRPr="00C02C6F">
              <w:rPr>
                <w:rFonts w:ascii="Times New Roman" w:hAnsi="Times New Roman" w:cs="Times New Roman"/>
              </w:rPr>
              <w:t xml:space="preserve"> (CSPM)</w:t>
            </w:r>
          </w:p>
        </w:tc>
      </w:tr>
      <w:tr w:rsidR="00650468" w:rsidRPr="00C02C6F" w14:paraId="23BCAE58"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2091" w:type="dxa"/>
          </w:tcPr>
          <w:p w14:paraId="056D4D0A" w14:textId="77777777" w:rsidR="00650468" w:rsidRPr="00C02C6F" w:rsidRDefault="00650468" w:rsidP="00550732">
            <w:pPr>
              <w:jc w:val="both"/>
              <w:rPr>
                <w:rFonts w:ascii="Times New Roman" w:hAnsi="Times New Roman" w:cs="Times New Roman"/>
                <w:b w:val="0"/>
                <w:bCs w:val="0"/>
              </w:rPr>
            </w:pPr>
            <w:r w:rsidRPr="00C02C6F">
              <w:rPr>
                <w:rFonts w:ascii="Times New Roman" w:hAnsi="Times New Roman" w:cs="Times New Roman"/>
                <w:b w:val="0"/>
                <w:bCs w:val="0"/>
              </w:rPr>
              <w:t>Insider threat</w:t>
            </w:r>
          </w:p>
        </w:tc>
        <w:tc>
          <w:tcPr>
            <w:tcW w:w="1306" w:type="dxa"/>
          </w:tcPr>
          <w:p w14:paraId="4D3135C4"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Medium</w:t>
            </w:r>
          </w:p>
        </w:tc>
        <w:tc>
          <w:tcPr>
            <w:tcW w:w="1276" w:type="dxa"/>
          </w:tcPr>
          <w:p w14:paraId="73E8732D"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Critical</w:t>
            </w:r>
          </w:p>
        </w:tc>
        <w:tc>
          <w:tcPr>
            <w:tcW w:w="1334" w:type="dxa"/>
          </w:tcPr>
          <w:p w14:paraId="37976987"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3353" w:type="dxa"/>
          </w:tcPr>
          <w:p w14:paraId="46B83456"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UEBA, least privilege, DLP</w:t>
            </w:r>
          </w:p>
        </w:tc>
      </w:tr>
      <w:tr w:rsidR="00650468" w:rsidRPr="00C02C6F" w14:paraId="5FAAF878" w14:textId="77777777" w:rsidTr="00550732">
        <w:trPr>
          <w:trHeight w:val="699"/>
          <w:jc w:val="center"/>
        </w:trPr>
        <w:tc>
          <w:tcPr>
            <w:cnfStyle w:val="001000000000" w:firstRow="0" w:lastRow="0" w:firstColumn="1" w:lastColumn="0" w:oddVBand="0" w:evenVBand="0" w:oddHBand="0" w:evenHBand="0" w:firstRowFirstColumn="0" w:firstRowLastColumn="0" w:lastRowFirstColumn="0" w:lastRowLastColumn="0"/>
            <w:tcW w:w="2091" w:type="dxa"/>
          </w:tcPr>
          <w:p w14:paraId="18793D6A" w14:textId="77777777" w:rsidR="00650468" w:rsidRPr="00C02C6F" w:rsidRDefault="00650468" w:rsidP="00550732">
            <w:pPr>
              <w:jc w:val="both"/>
              <w:rPr>
                <w:rFonts w:ascii="Times New Roman" w:hAnsi="Times New Roman" w:cs="Times New Roman"/>
                <w:b w:val="0"/>
                <w:bCs w:val="0"/>
              </w:rPr>
            </w:pPr>
            <w:r w:rsidRPr="00C02C6F">
              <w:rPr>
                <w:rFonts w:ascii="Times New Roman" w:hAnsi="Times New Roman" w:cs="Times New Roman"/>
                <w:b w:val="0"/>
                <w:bCs w:val="0"/>
              </w:rPr>
              <w:t>GDPR non-compliance</w:t>
            </w:r>
          </w:p>
        </w:tc>
        <w:tc>
          <w:tcPr>
            <w:tcW w:w="1306" w:type="dxa"/>
          </w:tcPr>
          <w:p w14:paraId="7E35BE02"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1276" w:type="dxa"/>
          </w:tcPr>
          <w:p w14:paraId="6EC73CE6"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1334" w:type="dxa"/>
          </w:tcPr>
          <w:p w14:paraId="6C782C3A"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Extreme</w:t>
            </w:r>
          </w:p>
        </w:tc>
        <w:tc>
          <w:tcPr>
            <w:tcW w:w="3353" w:type="dxa"/>
          </w:tcPr>
          <w:p w14:paraId="5945A3D5"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 xml:space="preserve">DPO appointment, PIA, consent </w:t>
            </w:r>
            <w:proofErr w:type="spellStart"/>
            <w:r w:rsidRPr="00C02C6F">
              <w:rPr>
                <w:rFonts w:ascii="Times New Roman" w:hAnsi="Times New Roman" w:cs="Times New Roman"/>
              </w:rPr>
              <w:t>mgmt</w:t>
            </w:r>
            <w:proofErr w:type="spellEnd"/>
          </w:p>
        </w:tc>
      </w:tr>
      <w:tr w:rsidR="00650468" w:rsidRPr="00C02C6F" w14:paraId="6C0A75C5"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2091" w:type="dxa"/>
          </w:tcPr>
          <w:p w14:paraId="3D0B087B" w14:textId="77777777" w:rsidR="00650468" w:rsidRPr="00C02C6F" w:rsidRDefault="00650468" w:rsidP="00550732">
            <w:pPr>
              <w:jc w:val="both"/>
              <w:rPr>
                <w:rFonts w:ascii="Times New Roman" w:hAnsi="Times New Roman" w:cs="Times New Roman"/>
                <w:b w:val="0"/>
                <w:bCs w:val="0"/>
              </w:rPr>
            </w:pPr>
            <w:r w:rsidRPr="00C02C6F">
              <w:rPr>
                <w:rFonts w:ascii="Times New Roman" w:hAnsi="Times New Roman" w:cs="Times New Roman"/>
                <w:b w:val="0"/>
                <w:bCs w:val="0"/>
              </w:rPr>
              <w:t>Third-party API compromise</w:t>
            </w:r>
          </w:p>
        </w:tc>
        <w:tc>
          <w:tcPr>
            <w:tcW w:w="1306" w:type="dxa"/>
          </w:tcPr>
          <w:p w14:paraId="6B513E4F"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Medium</w:t>
            </w:r>
          </w:p>
        </w:tc>
        <w:tc>
          <w:tcPr>
            <w:tcW w:w="1276" w:type="dxa"/>
          </w:tcPr>
          <w:p w14:paraId="26D03E8F"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1334" w:type="dxa"/>
          </w:tcPr>
          <w:p w14:paraId="1DFCB01E"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3353" w:type="dxa"/>
          </w:tcPr>
          <w:p w14:paraId="01FD4346"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Vendor risk assessment, API gateway</w:t>
            </w:r>
          </w:p>
        </w:tc>
      </w:tr>
      <w:tr w:rsidR="00650468" w:rsidRPr="00C02C6F" w14:paraId="62B7260B" w14:textId="77777777" w:rsidTr="00550732">
        <w:trPr>
          <w:jc w:val="center"/>
        </w:trPr>
        <w:tc>
          <w:tcPr>
            <w:cnfStyle w:val="001000000000" w:firstRow="0" w:lastRow="0" w:firstColumn="1" w:lastColumn="0" w:oddVBand="0" w:evenVBand="0" w:oddHBand="0" w:evenHBand="0" w:firstRowFirstColumn="0" w:firstRowLastColumn="0" w:lastRowFirstColumn="0" w:lastRowLastColumn="0"/>
            <w:tcW w:w="2091" w:type="dxa"/>
          </w:tcPr>
          <w:p w14:paraId="68550040" w14:textId="77777777" w:rsidR="00650468" w:rsidRPr="00C02C6F" w:rsidRDefault="00650468" w:rsidP="00550732">
            <w:pPr>
              <w:jc w:val="both"/>
              <w:rPr>
                <w:rFonts w:ascii="Times New Roman" w:hAnsi="Times New Roman" w:cs="Times New Roman"/>
                <w:b w:val="0"/>
                <w:bCs w:val="0"/>
              </w:rPr>
            </w:pPr>
            <w:r w:rsidRPr="00C02C6F">
              <w:rPr>
                <w:rFonts w:ascii="Times New Roman" w:hAnsi="Times New Roman" w:cs="Times New Roman"/>
                <w:b w:val="0"/>
                <w:bCs w:val="0"/>
              </w:rPr>
              <w:t>Ransomware / DDoS</w:t>
            </w:r>
          </w:p>
        </w:tc>
        <w:tc>
          <w:tcPr>
            <w:tcW w:w="1306" w:type="dxa"/>
          </w:tcPr>
          <w:p w14:paraId="1FF78792"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Medium</w:t>
            </w:r>
          </w:p>
        </w:tc>
        <w:tc>
          <w:tcPr>
            <w:tcW w:w="1276" w:type="dxa"/>
          </w:tcPr>
          <w:p w14:paraId="7618AA3A"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Critical</w:t>
            </w:r>
          </w:p>
        </w:tc>
        <w:tc>
          <w:tcPr>
            <w:tcW w:w="1334" w:type="dxa"/>
          </w:tcPr>
          <w:p w14:paraId="2B476A22"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High</w:t>
            </w:r>
          </w:p>
        </w:tc>
        <w:tc>
          <w:tcPr>
            <w:tcW w:w="3353" w:type="dxa"/>
          </w:tcPr>
          <w:p w14:paraId="6DBF65F4" w14:textId="77777777" w:rsidR="00650468" w:rsidRPr="00C02C6F" w:rsidRDefault="00650468" w:rsidP="00550732">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2C6F">
              <w:rPr>
                <w:rFonts w:ascii="Times New Roman" w:hAnsi="Times New Roman" w:cs="Times New Roman"/>
              </w:rPr>
              <w:t>BCP/DR, immutable backups, WAF</w:t>
            </w:r>
          </w:p>
        </w:tc>
      </w:tr>
    </w:tbl>
    <w:p w14:paraId="273B5D1F" w14:textId="77777777" w:rsidR="00650468" w:rsidRPr="00C02C6F" w:rsidRDefault="00650468" w:rsidP="00650468">
      <w:pPr>
        <w:jc w:val="center"/>
        <w:rPr>
          <w:rFonts w:ascii="Times New Roman" w:hAnsi="Times New Roman" w:cs="Times New Roman"/>
        </w:rPr>
      </w:pPr>
      <w:r w:rsidRPr="00C02C6F">
        <w:rPr>
          <w:rFonts w:ascii="Times New Roman" w:hAnsi="Times New Roman" w:cs="Times New Roman"/>
        </w:rPr>
        <w:lastRenderedPageBreak/>
        <w:t>Table 2: FSB Information Security Risk Register (</w:t>
      </w:r>
      <w:r w:rsidRPr="00C02C6F">
        <w:rPr>
          <w:rFonts w:ascii="Times New Roman" w:hAnsi="Times New Roman" w:cs="Times New Roman"/>
          <w:i/>
          <w:iCs/>
        </w:rPr>
        <w:t>Source: Author's analysis based on ISO 31000 [10] and NIST CSF 2.0 [5])</w:t>
      </w:r>
    </w:p>
    <w:p w14:paraId="2B704208" w14:textId="77777777" w:rsidR="00650468" w:rsidRPr="00C02C6F" w:rsidRDefault="00650468" w:rsidP="00650468">
      <w:pPr>
        <w:pStyle w:val="Heading2"/>
        <w:rPr>
          <w:color w:val="auto"/>
        </w:rPr>
      </w:pPr>
      <w:r w:rsidRPr="00C02C6F">
        <w:rPr>
          <w:color w:val="auto"/>
        </w:rPr>
        <w:t>3.4 Compliance: Laws and Ethics</w:t>
      </w:r>
    </w:p>
    <w:p w14:paraId="0CA20999" w14:textId="77777777" w:rsidR="00650468" w:rsidRDefault="00650468" w:rsidP="00650468">
      <w:pPr>
        <w:jc w:val="both"/>
        <w:rPr>
          <w:rFonts w:ascii="Times New Roman" w:hAnsi="Times New Roman" w:cs="Times New Roman"/>
        </w:rPr>
      </w:pPr>
      <w:r w:rsidRPr="00C02C6F">
        <w:rPr>
          <w:rFonts w:ascii="Times New Roman" w:hAnsi="Times New Roman" w:cs="Times New Roman"/>
        </w:rPr>
        <w:t xml:space="preserve">The multitude of regulatory regimes </w:t>
      </w:r>
      <w:proofErr w:type="gramStart"/>
      <w:r w:rsidRPr="00C02C6F">
        <w:rPr>
          <w:rFonts w:ascii="Times New Roman" w:hAnsi="Times New Roman" w:cs="Times New Roman"/>
        </w:rPr>
        <w:t>has to</w:t>
      </w:r>
      <w:proofErr w:type="gramEnd"/>
      <w:r w:rsidRPr="00C02C6F">
        <w:rPr>
          <w:rFonts w:ascii="Times New Roman" w:hAnsi="Times New Roman" w:cs="Times New Roman"/>
        </w:rPr>
        <w:t xml:space="preserve"> be adhered to by the cross-border activities that FSB </w:t>
      </w:r>
      <w:proofErr w:type="gramStart"/>
      <w:r w:rsidRPr="00C02C6F">
        <w:rPr>
          <w:rFonts w:ascii="Times New Roman" w:hAnsi="Times New Roman" w:cs="Times New Roman"/>
        </w:rPr>
        <w:t>has to</w:t>
      </w:r>
      <w:proofErr w:type="gramEnd"/>
      <w:r w:rsidRPr="00C02C6F">
        <w:rPr>
          <w:rFonts w:ascii="Times New Roman" w:hAnsi="Times New Roman" w:cs="Times New Roman"/>
        </w:rPr>
        <w:t xml:space="preserve"> conduct. According to EU General Data Protection Regulation (GDPR), fair processing of personal information, notification of the breach within 72 hours, and designation of Data Protection Office (DPO) in instances where personal information is contained on a large scale are necessary measures [11]. </w:t>
      </w:r>
    </w:p>
    <w:p w14:paraId="3F56DA25" w14:textId="77777777" w:rsidR="00650468" w:rsidRDefault="00650468" w:rsidP="00650468">
      <w:pPr>
        <w:jc w:val="both"/>
        <w:rPr>
          <w:rFonts w:ascii="Times New Roman" w:hAnsi="Times New Roman" w:cs="Times New Roman"/>
        </w:rPr>
      </w:pPr>
    </w:p>
    <w:p w14:paraId="01FB93B0"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Non-compliance makes the company subject to fines of 4 000 percent of the world turnover annually. Therefore, FSB will have to conduct Privacy Impact Assessments (PIAs) of each new data-processing operation, follow the principles of data minimization, and implement a formally documented consent-management system. Payment Card Industry Data Security Standard (PCI -DSS) v4.0 is used to apply to payments processing activities at FSB that require network segmentation, encryption of cardholder information, multi-factor authentication (MFA), and penetration testing every year [12]. In a moral sense, FSB has a fiduciary duty to its customers to maintain utmost transparency and limit the purposes of biometric, financial and behavioral data.</w:t>
      </w:r>
    </w:p>
    <w:p w14:paraId="2B5D7D0A" w14:textId="77777777" w:rsidR="00650468" w:rsidRPr="00C02C6F" w:rsidRDefault="00650468" w:rsidP="00650468">
      <w:pPr>
        <w:jc w:val="both"/>
        <w:rPr>
          <w:rFonts w:ascii="Times New Roman" w:hAnsi="Times New Roman" w:cs="Times New Roman"/>
        </w:rPr>
      </w:pPr>
    </w:p>
    <w:p w14:paraId="3C92A1A8" w14:textId="77777777" w:rsidR="00650468" w:rsidRPr="00C02C6F" w:rsidRDefault="00650468" w:rsidP="00650468">
      <w:pPr>
        <w:pStyle w:val="Heading2"/>
        <w:rPr>
          <w:color w:val="auto"/>
        </w:rPr>
      </w:pPr>
      <w:r w:rsidRPr="00C02C6F">
        <w:rPr>
          <w:color w:val="auto"/>
        </w:rPr>
        <w:t>3.5 Protection Mechanisms</w:t>
      </w:r>
    </w:p>
    <w:p w14:paraId="60507D46" w14:textId="77777777" w:rsidR="00650468" w:rsidRDefault="00650468" w:rsidP="00650468">
      <w:pPr>
        <w:jc w:val="both"/>
        <w:rPr>
          <w:rFonts w:ascii="Times New Roman" w:hAnsi="Times New Roman" w:cs="Times New Roman"/>
        </w:rPr>
      </w:pPr>
      <w:r w:rsidRPr="00C02C6F">
        <w:rPr>
          <w:rFonts w:ascii="Times New Roman" w:hAnsi="Times New Roman" w:cs="Times New Roman"/>
        </w:rPr>
        <w:t xml:space="preserve">FSB's security architecture should be designed around a defense-in-depth strategy, which means it puts in place multiple layers of protection to mitigate risks. This includes integrating </w:t>
      </w:r>
      <w:proofErr w:type="gramStart"/>
      <w:r w:rsidRPr="00C02C6F">
        <w:rPr>
          <w:rFonts w:ascii="Times New Roman" w:hAnsi="Times New Roman" w:cs="Times New Roman"/>
        </w:rPr>
        <w:t>a number of</w:t>
      </w:r>
      <w:proofErr w:type="gramEnd"/>
      <w:r w:rsidRPr="00C02C6F">
        <w:rPr>
          <w:rFonts w:ascii="Times New Roman" w:hAnsi="Times New Roman" w:cs="Times New Roman"/>
        </w:rPr>
        <w:t xml:space="preserve"> important technologies to defend systems, data, and users.</w:t>
      </w:r>
    </w:p>
    <w:p w14:paraId="0AE2DF11" w14:textId="77777777" w:rsidR="00650468" w:rsidRPr="00C02C6F" w:rsidRDefault="00650468" w:rsidP="00650468">
      <w:pPr>
        <w:jc w:val="both"/>
        <w:rPr>
          <w:rFonts w:ascii="Times New Roman" w:hAnsi="Times New Roman" w:cs="Times New Roman"/>
        </w:rPr>
      </w:pPr>
    </w:p>
    <w:p w14:paraId="3C945396" w14:textId="77777777" w:rsidR="00650468" w:rsidRDefault="00650468" w:rsidP="00650468">
      <w:pPr>
        <w:jc w:val="both"/>
        <w:rPr>
          <w:rFonts w:ascii="Times New Roman" w:hAnsi="Times New Roman" w:cs="Times New Roman"/>
        </w:rPr>
      </w:pPr>
      <w:r w:rsidRPr="00C02C6F">
        <w:rPr>
          <w:rFonts w:ascii="Times New Roman" w:hAnsi="Times New Roman" w:cs="Times New Roman"/>
        </w:rPr>
        <w:t>Role-based access (RBAC), privileged access management (PAM), and multi-factor authentication (MFA) should be utilized for access control, in accordance with, Zero Trust Architecture, to ensure that each access should be validated [13].</w:t>
      </w:r>
    </w:p>
    <w:p w14:paraId="2157751D" w14:textId="77777777" w:rsidR="00650468" w:rsidRPr="00C02C6F" w:rsidRDefault="00650468" w:rsidP="00650468">
      <w:pPr>
        <w:jc w:val="both"/>
        <w:rPr>
          <w:rFonts w:ascii="Times New Roman" w:hAnsi="Times New Roman" w:cs="Times New Roman"/>
        </w:rPr>
      </w:pPr>
    </w:p>
    <w:p w14:paraId="3334A849" w14:textId="77777777" w:rsidR="00650468" w:rsidRDefault="00650468" w:rsidP="00650468">
      <w:pPr>
        <w:jc w:val="both"/>
        <w:rPr>
          <w:rFonts w:ascii="Times New Roman" w:hAnsi="Times New Roman" w:cs="Times New Roman"/>
        </w:rPr>
      </w:pPr>
      <w:r w:rsidRPr="00C02C6F">
        <w:rPr>
          <w:rFonts w:ascii="Times New Roman" w:hAnsi="Times New Roman" w:cs="Times New Roman"/>
        </w:rPr>
        <w:t>Strong encryption (TLS 1.3 for data in transit, AES-256 for the stored data) should be employed to protect all data and customer managed keys (CMK) should be retained in the cloud.</w:t>
      </w:r>
    </w:p>
    <w:p w14:paraId="0628CEB1" w14:textId="77777777" w:rsidR="00650468" w:rsidRPr="00C02C6F" w:rsidRDefault="00650468" w:rsidP="00650468">
      <w:pPr>
        <w:jc w:val="both"/>
        <w:rPr>
          <w:rFonts w:ascii="Times New Roman" w:hAnsi="Times New Roman" w:cs="Times New Roman"/>
        </w:rPr>
      </w:pPr>
    </w:p>
    <w:p w14:paraId="668E0B6E" w14:textId="77777777" w:rsidR="00650468" w:rsidRDefault="00650468" w:rsidP="00650468">
      <w:pPr>
        <w:jc w:val="both"/>
        <w:rPr>
          <w:rFonts w:ascii="Times New Roman" w:hAnsi="Times New Roman" w:cs="Times New Roman"/>
        </w:rPr>
      </w:pPr>
      <w:r w:rsidRPr="00C02C6F">
        <w:rPr>
          <w:rFonts w:ascii="Times New Roman" w:hAnsi="Times New Roman" w:cs="Times New Roman"/>
        </w:rPr>
        <w:t>While the use of UEBA helps detect any abnormal behavior and threatened actions, it should be used in conjunction with a SIEM system that detects the logs in real time and stores them for at least a year [14].</w:t>
      </w:r>
    </w:p>
    <w:p w14:paraId="72595E77" w14:textId="77777777" w:rsidR="00650468" w:rsidRPr="00C02C6F" w:rsidRDefault="00650468" w:rsidP="00650468">
      <w:pPr>
        <w:jc w:val="both"/>
        <w:rPr>
          <w:rFonts w:ascii="Times New Roman" w:hAnsi="Times New Roman" w:cs="Times New Roman"/>
        </w:rPr>
      </w:pPr>
    </w:p>
    <w:p w14:paraId="6989DD76" w14:textId="77777777" w:rsidR="00650468" w:rsidRDefault="00650468" w:rsidP="00650468">
      <w:pPr>
        <w:jc w:val="both"/>
        <w:rPr>
          <w:rFonts w:ascii="Times New Roman" w:hAnsi="Times New Roman" w:cs="Times New Roman"/>
        </w:rPr>
      </w:pPr>
      <w:r w:rsidRPr="00C02C6F">
        <w:rPr>
          <w:rFonts w:ascii="Times New Roman" w:hAnsi="Times New Roman" w:cs="Times New Roman"/>
        </w:rPr>
        <w:t>Lastly, an application web firewall (WAF) should protect applications and APIs from attack against injection and misuse, while data loss prevention (DLP) technologies should prevent data breaches and.</w:t>
      </w:r>
    </w:p>
    <w:p w14:paraId="6901D6CD" w14:textId="77777777" w:rsidR="00650468" w:rsidRPr="00C02C6F" w:rsidRDefault="00650468" w:rsidP="00650468">
      <w:pPr>
        <w:pStyle w:val="Heading2"/>
        <w:rPr>
          <w:color w:val="auto"/>
        </w:rPr>
      </w:pPr>
      <w:r w:rsidRPr="00C02C6F">
        <w:rPr>
          <w:color w:val="auto"/>
        </w:rPr>
        <w:t>3.6 Contingency Planning</w:t>
      </w:r>
    </w:p>
    <w:p w14:paraId="069A55A3"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One of the requirements of ISO 22301 (Business Continuity Management) [15] is that FSB should develop and substantially test a Business Continuity Plan (BCP) and Disaster Recovery Plan (DRP). Each level of service should have recovery goals. An Incident Response Plan (IRP) - consistent with NIST SP 800-61r2 - should include the roles, path(s) of escalation, templates of communication and the procedures of preserving evidence.</w:t>
      </w:r>
    </w:p>
    <w:p w14:paraId="69D3F58D" w14:textId="77777777" w:rsidR="00650468" w:rsidRPr="00C02C6F" w:rsidRDefault="00650468" w:rsidP="00650468">
      <w:pPr>
        <w:pStyle w:val="Heading2"/>
        <w:rPr>
          <w:color w:val="auto"/>
        </w:rPr>
      </w:pPr>
      <w:r w:rsidRPr="00C02C6F">
        <w:rPr>
          <w:color w:val="auto"/>
        </w:rPr>
        <w:t>3.7 Service Level Agreements</w:t>
      </w:r>
    </w:p>
    <w:p w14:paraId="038009ED"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In compliance with ITIL v4's Service Level Management approach, FSB must establish legally binding SLAs with all cloud service providers and third-party API vendors [7]. Data residency limitations, uptime guarantees, incident response schedules, right-to-audit clauses, and breach notification requirements should all be specified in SLAs. Because of regular SLA assessments and automated monitoring dashboards, FSB </w:t>
      </w:r>
      <w:proofErr w:type="gramStart"/>
      <w:r w:rsidRPr="00C02C6F">
        <w:rPr>
          <w:rFonts w:ascii="Times New Roman" w:hAnsi="Times New Roman" w:cs="Times New Roman"/>
        </w:rPr>
        <w:t>is able to</w:t>
      </w:r>
      <w:proofErr w:type="gramEnd"/>
      <w:r w:rsidRPr="00C02C6F">
        <w:rPr>
          <w:rFonts w:ascii="Times New Roman" w:hAnsi="Times New Roman" w:cs="Times New Roman"/>
        </w:rPr>
        <w:t xml:space="preserve"> enforce accountability and identify worsening performance patterns before they become service disruptions.</w:t>
      </w:r>
    </w:p>
    <w:p w14:paraId="62098B8F"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br w:type="page"/>
      </w:r>
    </w:p>
    <w:p w14:paraId="233BCB36" w14:textId="77777777" w:rsidR="00650468" w:rsidRPr="00C02C6F" w:rsidRDefault="00650468" w:rsidP="00650468">
      <w:pPr>
        <w:pStyle w:val="Heading1"/>
        <w:jc w:val="center"/>
        <w:rPr>
          <w:color w:val="auto"/>
        </w:rPr>
      </w:pPr>
      <w:r w:rsidRPr="00C02C6F">
        <w:rPr>
          <w:color w:val="auto"/>
        </w:rPr>
        <w:lastRenderedPageBreak/>
        <w:t>4. Applied Security Model: NIST CSF 2.0 Lifecycle</w:t>
      </w:r>
    </w:p>
    <w:p w14:paraId="47EF9D6D"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A continuous improvement cycle for cyber resilience is created by mapping the NIST CSF 2.0 five-function model </w:t>
      </w:r>
      <w:proofErr w:type="gramStart"/>
      <w:r w:rsidRPr="00C02C6F">
        <w:rPr>
          <w:rFonts w:ascii="Times New Roman" w:hAnsi="Times New Roman" w:cs="Times New Roman"/>
        </w:rPr>
        <w:t>onto</w:t>
      </w:r>
      <w:proofErr w:type="gramEnd"/>
      <w:r w:rsidRPr="00C02C6F">
        <w:rPr>
          <w:rFonts w:ascii="Times New Roman" w:hAnsi="Times New Roman" w:cs="Times New Roman"/>
        </w:rPr>
        <w:t xml:space="preserve"> FSB's operational requirements, as shown in Figure 2.</w:t>
      </w:r>
    </w:p>
    <w:p w14:paraId="4E772B06" w14:textId="77777777" w:rsidR="00650468" w:rsidRPr="00C02C6F" w:rsidRDefault="00650468" w:rsidP="00650468">
      <w:pPr>
        <w:jc w:val="both"/>
        <w:rPr>
          <w:rFonts w:ascii="Times New Roman" w:hAnsi="Times New Roman" w:cs="Times New Roman"/>
        </w:rPr>
      </w:pPr>
    </w:p>
    <w:p w14:paraId="4CBA6982" w14:textId="77777777" w:rsidR="00650468" w:rsidRPr="00C02C6F" w:rsidRDefault="00650468" w:rsidP="00650468">
      <w:pPr>
        <w:jc w:val="both"/>
        <w:rPr>
          <w:rFonts w:ascii="Times New Roman" w:hAnsi="Times New Roman" w:cs="Times New Roman"/>
        </w:rPr>
      </w:pPr>
    </w:p>
    <w:p w14:paraId="266E8262" w14:textId="77777777" w:rsidR="00650468" w:rsidRPr="00C02C6F" w:rsidRDefault="00650468" w:rsidP="00650468">
      <w:pPr>
        <w:jc w:val="center"/>
        <w:rPr>
          <w:rFonts w:ascii="Times New Roman" w:hAnsi="Times New Roman" w:cs="Times New Roman"/>
          <w:i/>
          <w:iCs/>
          <w:noProof/>
        </w:rPr>
      </w:pPr>
      <w:r w:rsidRPr="00C02C6F">
        <w:rPr>
          <w:rFonts w:ascii="Times New Roman" w:hAnsi="Times New Roman" w:cs="Times New Roman"/>
          <w:noProof/>
        </w:rPr>
        <w:drawing>
          <wp:inline distT="0" distB="0" distL="0" distR="0" wp14:anchorId="76CCB165" wp14:editId="25BE5E10">
            <wp:extent cx="5099137" cy="4257675"/>
            <wp:effectExtent l="0" t="0" r="6350" b="0"/>
            <wp:docPr id="79346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8611" cy="4273936"/>
                    </a:xfrm>
                    <a:prstGeom prst="rect">
                      <a:avLst/>
                    </a:prstGeom>
                    <a:noFill/>
                    <a:ln>
                      <a:noFill/>
                    </a:ln>
                  </pic:spPr>
                </pic:pic>
              </a:graphicData>
            </a:graphic>
          </wp:inline>
        </w:drawing>
      </w:r>
    </w:p>
    <w:p w14:paraId="788CC17D" w14:textId="77777777" w:rsidR="00650468" w:rsidRPr="00C02C6F" w:rsidRDefault="00650468" w:rsidP="00650468">
      <w:pPr>
        <w:jc w:val="both"/>
        <w:rPr>
          <w:rFonts w:ascii="Times New Roman" w:hAnsi="Times New Roman" w:cs="Times New Roman"/>
          <w:i/>
          <w:iCs/>
        </w:rPr>
      </w:pPr>
    </w:p>
    <w:p w14:paraId="4AE7DB16" w14:textId="77777777" w:rsidR="00650468" w:rsidRPr="00C02C6F" w:rsidRDefault="00650468" w:rsidP="00650468">
      <w:pPr>
        <w:jc w:val="center"/>
        <w:rPr>
          <w:rFonts w:ascii="Times New Roman" w:hAnsi="Times New Roman" w:cs="Times New Roman"/>
        </w:rPr>
      </w:pPr>
      <w:r w:rsidRPr="00C02C6F">
        <w:rPr>
          <w:rFonts w:ascii="Times New Roman" w:hAnsi="Times New Roman" w:cs="Times New Roman"/>
        </w:rPr>
        <w:t>Figure 2: FSB Operations Using NIST CSF 2.0 (Source: Adapted from NIST CSF 2.0 [5])</w:t>
      </w:r>
    </w:p>
    <w:p w14:paraId="3BCCAC71" w14:textId="77777777" w:rsidR="00650468" w:rsidRPr="00C02C6F" w:rsidRDefault="00650468" w:rsidP="00650468">
      <w:pPr>
        <w:jc w:val="both"/>
        <w:rPr>
          <w:rFonts w:ascii="Times New Roman" w:hAnsi="Times New Roman" w:cs="Times New Roman"/>
        </w:rPr>
      </w:pPr>
    </w:p>
    <w:p w14:paraId="36002F89"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br w:type="page"/>
      </w:r>
    </w:p>
    <w:p w14:paraId="402C755C" w14:textId="77777777" w:rsidR="00650468" w:rsidRPr="00C02C6F" w:rsidRDefault="00650468" w:rsidP="00650468">
      <w:pPr>
        <w:pStyle w:val="Heading1"/>
        <w:jc w:val="center"/>
        <w:rPr>
          <w:color w:val="auto"/>
        </w:rPr>
      </w:pPr>
      <w:r w:rsidRPr="00C02C6F">
        <w:rPr>
          <w:color w:val="auto"/>
        </w:rPr>
        <w:lastRenderedPageBreak/>
        <w:t>5. Critique: The Importance of Perpetually Changing Regulations and Standards</w:t>
      </w:r>
    </w:p>
    <w:p w14:paraId="049F150E"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In a constantly evolving environment of evolving threats, it is helpless to rely on such fixed and static security standards. Regulations and frameworks need to be updated regularly </w:t>
      </w:r>
      <w:proofErr w:type="gramStart"/>
      <w:r w:rsidRPr="00C02C6F">
        <w:rPr>
          <w:rFonts w:ascii="Times New Roman" w:hAnsi="Times New Roman" w:cs="Times New Roman"/>
        </w:rPr>
        <w:t>in order to</w:t>
      </w:r>
      <w:proofErr w:type="gramEnd"/>
      <w:r w:rsidRPr="00C02C6F">
        <w:rPr>
          <w:rFonts w:ascii="Times New Roman" w:hAnsi="Times New Roman" w:cs="Times New Roman"/>
        </w:rPr>
        <w:t xml:space="preserve"> be relevant and effective.</w:t>
      </w:r>
    </w:p>
    <w:p w14:paraId="65F76A43" w14:textId="77777777" w:rsidR="00650468" w:rsidRPr="00C02C6F" w:rsidRDefault="00650468" w:rsidP="00650468">
      <w:pPr>
        <w:pStyle w:val="Heading2"/>
        <w:rPr>
          <w:color w:val="auto"/>
        </w:rPr>
      </w:pPr>
      <w:r w:rsidRPr="00C02C6F">
        <w:rPr>
          <w:color w:val="auto"/>
        </w:rPr>
        <w:t>5.1 The mentioned changing threat landscape.</w:t>
      </w:r>
    </w:p>
    <w:p w14:paraId="5FB484AC" w14:textId="77777777" w:rsidR="00650468" w:rsidRDefault="00650468" w:rsidP="00650468">
      <w:pPr>
        <w:jc w:val="both"/>
        <w:rPr>
          <w:rFonts w:ascii="Times New Roman" w:hAnsi="Times New Roman" w:cs="Times New Roman"/>
        </w:rPr>
      </w:pPr>
      <w:r w:rsidRPr="00C02C6F">
        <w:rPr>
          <w:rFonts w:ascii="Times New Roman" w:hAnsi="Times New Roman" w:cs="Times New Roman"/>
        </w:rPr>
        <w:t xml:space="preserve">Cyber threats are changing constantly and they out-pace static regulations. The emergence of ransomware-as-a-service (RaaS), AI-driven phishing and supply chain attacks such as SolarWinds cyberattack and </w:t>
      </w:r>
      <w:proofErr w:type="spellStart"/>
      <w:r w:rsidRPr="00C02C6F">
        <w:rPr>
          <w:rFonts w:ascii="Times New Roman" w:hAnsi="Times New Roman" w:cs="Times New Roman"/>
        </w:rPr>
        <w:t>MOVEit</w:t>
      </w:r>
      <w:proofErr w:type="spellEnd"/>
      <w:r w:rsidRPr="00C02C6F">
        <w:rPr>
          <w:rFonts w:ascii="Times New Roman" w:hAnsi="Times New Roman" w:cs="Times New Roman"/>
        </w:rPr>
        <w:t xml:space="preserve"> breach demonstrate that control can easily become outdated [1]. Updated frameworks, for example, updated versions of NIST CSF 2.0 reflect actual cases and help to maintain effective security controls.</w:t>
      </w:r>
    </w:p>
    <w:p w14:paraId="2B52AFC0" w14:textId="77777777" w:rsidR="00650468" w:rsidRPr="00C02C6F" w:rsidRDefault="00650468" w:rsidP="00650468">
      <w:pPr>
        <w:pStyle w:val="Heading2"/>
        <w:rPr>
          <w:color w:val="auto"/>
        </w:rPr>
      </w:pPr>
      <w:r w:rsidRPr="00C02C6F">
        <w:rPr>
          <w:color w:val="auto"/>
        </w:rPr>
        <w:t>5.2 Technological Change</w:t>
      </w:r>
    </w:p>
    <w:p w14:paraId="1E2D167E" w14:textId="77777777" w:rsidR="00650468" w:rsidRDefault="00650468" w:rsidP="00650468">
      <w:pPr>
        <w:jc w:val="both"/>
        <w:rPr>
          <w:rFonts w:ascii="Times New Roman" w:hAnsi="Times New Roman" w:cs="Times New Roman"/>
        </w:rPr>
      </w:pPr>
      <w:r w:rsidRPr="00C02C6F">
        <w:rPr>
          <w:rFonts w:ascii="Times New Roman" w:hAnsi="Times New Roman" w:cs="Times New Roman"/>
        </w:rPr>
        <w:t xml:space="preserve">Fast track adoption of cloud computing, IoT, AI and quantum technologies introduces new kinds of vulnerabilities which were not handled in a technically complete way by older standards. Reports from ENISA describe concerns such as misconfiguration of cloud technologies and API vulnerabilities which </w:t>
      </w:r>
      <w:proofErr w:type="gramStart"/>
      <w:r w:rsidRPr="00C02C6F">
        <w:rPr>
          <w:rFonts w:ascii="Times New Roman" w:hAnsi="Times New Roman" w:cs="Times New Roman"/>
        </w:rPr>
        <w:t>were considered to be</w:t>
      </w:r>
      <w:proofErr w:type="gramEnd"/>
      <w:r w:rsidRPr="00C02C6F">
        <w:rPr>
          <w:rFonts w:ascii="Times New Roman" w:hAnsi="Times New Roman" w:cs="Times New Roman"/>
        </w:rPr>
        <w:t xml:space="preserve"> minor issues in the past [16]. Regular updates help </w:t>
      </w:r>
      <w:proofErr w:type="spellStart"/>
      <w:r w:rsidRPr="00C02C6F">
        <w:rPr>
          <w:rFonts w:ascii="Times New Roman" w:hAnsi="Times New Roman" w:cs="Times New Roman"/>
        </w:rPr>
        <w:t>organisations</w:t>
      </w:r>
      <w:proofErr w:type="spellEnd"/>
      <w:r w:rsidRPr="00C02C6F">
        <w:rPr>
          <w:rFonts w:ascii="Times New Roman" w:hAnsi="Times New Roman" w:cs="Times New Roman"/>
        </w:rPr>
        <w:t xml:space="preserve"> such as FSB to have modern, relevant controls.</w:t>
      </w:r>
    </w:p>
    <w:p w14:paraId="42C4AD06" w14:textId="77777777" w:rsidR="00650468" w:rsidRPr="00C02C6F" w:rsidRDefault="00650468" w:rsidP="00650468">
      <w:pPr>
        <w:pStyle w:val="Heading2"/>
        <w:rPr>
          <w:color w:val="auto"/>
        </w:rPr>
      </w:pPr>
      <w:r w:rsidRPr="00C02C6F">
        <w:rPr>
          <w:color w:val="auto"/>
        </w:rPr>
        <w:t>5.3 Convergence and Harmonization of Regulation.</w:t>
      </w:r>
    </w:p>
    <w:p w14:paraId="0E2EA370"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Operating across multiple regions is a source of compliance issues. New regulations, e.g. DORA, are in line with frameworks such as GDPR </w:t>
      </w:r>
      <w:proofErr w:type="gramStart"/>
      <w:r w:rsidRPr="00C02C6F">
        <w:rPr>
          <w:rFonts w:ascii="Times New Roman" w:hAnsi="Times New Roman" w:cs="Times New Roman"/>
        </w:rPr>
        <w:t>in order to</w:t>
      </w:r>
      <w:proofErr w:type="gramEnd"/>
      <w:r w:rsidRPr="00C02C6F">
        <w:rPr>
          <w:rFonts w:ascii="Times New Roman" w:hAnsi="Times New Roman" w:cs="Times New Roman"/>
        </w:rPr>
        <w:t xml:space="preserve"> bring ICT risk management to a standard [17]. But that comes at the expense of duplication, cost and simplicity in compliance for </w:t>
      </w:r>
      <w:proofErr w:type="spellStart"/>
      <w:r w:rsidRPr="00C02C6F">
        <w:rPr>
          <w:rFonts w:ascii="Times New Roman" w:hAnsi="Times New Roman" w:cs="Times New Roman"/>
        </w:rPr>
        <w:t>organisations</w:t>
      </w:r>
      <w:proofErr w:type="spellEnd"/>
      <w:r w:rsidRPr="00C02C6F">
        <w:rPr>
          <w:rFonts w:ascii="Times New Roman" w:hAnsi="Times New Roman" w:cs="Times New Roman"/>
        </w:rPr>
        <w:t xml:space="preserve"> such as FSB.</w:t>
      </w:r>
    </w:p>
    <w:p w14:paraId="2E40B483" w14:textId="77777777" w:rsidR="00650468" w:rsidRDefault="00650468" w:rsidP="00650468">
      <w:pPr>
        <w:jc w:val="both"/>
        <w:rPr>
          <w:rFonts w:ascii="Times New Roman" w:hAnsi="Times New Roman" w:cs="Times New Roman"/>
        </w:rPr>
      </w:pPr>
    </w:p>
    <w:p w14:paraId="0359E19B" w14:textId="77777777" w:rsidR="00650468" w:rsidRPr="00C02C6F" w:rsidRDefault="00650468" w:rsidP="00650468">
      <w:pPr>
        <w:pStyle w:val="Heading2"/>
        <w:rPr>
          <w:color w:val="auto"/>
        </w:rPr>
      </w:pPr>
      <w:r w:rsidRPr="00C02C6F">
        <w:rPr>
          <w:color w:val="auto"/>
        </w:rPr>
        <w:t>5.4 Stakeholder Trust and Ethical Accountability</w:t>
      </w:r>
    </w:p>
    <w:p w14:paraId="2A30ACE2" w14:textId="77777777" w:rsidR="00650468" w:rsidRDefault="00650468" w:rsidP="00650468">
      <w:pPr>
        <w:jc w:val="both"/>
        <w:rPr>
          <w:rFonts w:ascii="Times New Roman" w:hAnsi="Times New Roman" w:cs="Times New Roman"/>
        </w:rPr>
      </w:pPr>
      <w:r w:rsidRPr="00C02C6F">
        <w:rPr>
          <w:rFonts w:ascii="Times New Roman" w:hAnsi="Times New Roman" w:cs="Times New Roman"/>
        </w:rPr>
        <w:t xml:space="preserve">Regular business defined standards are an indication of a genuine commitment to security to customers, regulators and investors. Research by Bulgurcu et al. shows that when the policies are seen as legitimate, the level of compliance by the employees </w:t>
      </w:r>
      <w:proofErr w:type="gramStart"/>
      <w:r w:rsidRPr="00C02C6F">
        <w:rPr>
          <w:rFonts w:ascii="Times New Roman" w:hAnsi="Times New Roman" w:cs="Times New Roman"/>
        </w:rPr>
        <w:t>improves to a great extent [18]</w:t>
      </w:r>
      <w:proofErr w:type="gramEnd"/>
      <w:r w:rsidRPr="00C02C6F">
        <w:rPr>
          <w:rFonts w:ascii="Times New Roman" w:hAnsi="Times New Roman" w:cs="Times New Roman"/>
        </w:rPr>
        <w:t xml:space="preserve">. This builds up internal security culture </w:t>
      </w:r>
      <w:proofErr w:type="gramStart"/>
      <w:r w:rsidRPr="00C02C6F">
        <w:rPr>
          <w:rFonts w:ascii="Times New Roman" w:hAnsi="Times New Roman" w:cs="Times New Roman"/>
        </w:rPr>
        <w:t>and also</w:t>
      </w:r>
      <w:proofErr w:type="gramEnd"/>
      <w:r w:rsidRPr="00C02C6F">
        <w:rPr>
          <w:rFonts w:ascii="Times New Roman" w:hAnsi="Times New Roman" w:cs="Times New Roman"/>
        </w:rPr>
        <w:t xml:space="preserve"> trust for external purposes.</w:t>
      </w:r>
    </w:p>
    <w:p w14:paraId="28652F12" w14:textId="77777777" w:rsidR="00650468" w:rsidRPr="00C02C6F" w:rsidRDefault="00650468" w:rsidP="00650468">
      <w:pPr>
        <w:jc w:val="both"/>
        <w:rPr>
          <w:rFonts w:ascii="Times New Roman" w:hAnsi="Times New Roman" w:cs="Times New Roman"/>
        </w:rPr>
      </w:pPr>
    </w:p>
    <w:p w14:paraId="4CCB9EA1" w14:textId="77777777" w:rsidR="00650468" w:rsidRPr="00C54178" w:rsidRDefault="00650468" w:rsidP="00650468">
      <w:pPr>
        <w:pStyle w:val="Heading2"/>
        <w:rPr>
          <w:color w:val="auto"/>
        </w:rPr>
      </w:pPr>
      <w:r w:rsidRPr="00C54178">
        <w:rPr>
          <w:color w:val="auto"/>
        </w:rPr>
        <w:t>5.5 Incident Response and Lessons Learned</w:t>
      </w:r>
    </w:p>
    <w:p w14:paraId="3A915F34"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Post-incidents reviews- the Equifax data breach, the Colonial Pipeline ransomware attack, for example- have a direct impact on standards and regulations changes. These updates happen to ensure that learning from real incidents is applied to the formation of control in the future, instead of referencing only from theoretical models of at-risk [2]. For FSB, participating in industry information sharing as well as keeping up with updated standards is a way of ensuring continuous improvement and better security practices.</w:t>
      </w:r>
      <w:r w:rsidRPr="00C02C6F">
        <w:rPr>
          <w:rFonts w:ascii="Times New Roman" w:hAnsi="Times New Roman" w:cs="Times New Roman"/>
        </w:rPr>
        <w:br w:type="page"/>
      </w:r>
    </w:p>
    <w:p w14:paraId="75FE2A20" w14:textId="77777777" w:rsidR="00650468" w:rsidRPr="00C02C6F" w:rsidRDefault="00650468" w:rsidP="00650468">
      <w:pPr>
        <w:pStyle w:val="Heading1"/>
        <w:jc w:val="center"/>
        <w:rPr>
          <w:color w:val="auto"/>
        </w:rPr>
      </w:pPr>
      <w:r w:rsidRPr="00C02C6F">
        <w:rPr>
          <w:color w:val="auto"/>
        </w:rPr>
        <w:lastRenderedPageBreak/>
        <w:t>6. Conclusion</w:t>
      </w:r>
    </w:p>
    <w:p w14:paraId="32A2FE78"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A patchwork approach to information security at </w:t>
      </w:r>
      <w:proofErr w:type="spellStart"/>
      <w:r w:rsidRPr="00C02C6F">
        <w:rPr>
          <w:rFonts w:ascii="Times New Roman" w:hAnsi="Times New Roman" w:cs="Times New Roman"/>
        </w:rPr>
        <w:t>FinSure</w:t>
      </w:r>
      <w:proofErr w:type="spellEnd"/>
      <w:r w:rsidRPr="00C02C6F">
        <w:rPr>
          <w:rFonts w:ascii="Times New Roman" w:hAnsi="Times New Roman" w:cs="Times New Roman"/>
        </w:rPr>
        <w:t xml:space="preserve"> Bank has serious operational, legal and strategic issues. Through implementing </w:t>
      </w:r>
      <w:proofErr w:type="gramStart"/>
      <w:r w:rsidRPr="00C02C6F">
        <w:rPr>
          <w:rFonts w:ascii="Times New Roman" w:hAnsi="Times New Roman" w:cs="Times New Roman"/>
        </w:rPr>
        <w:t>one,</w:t>
      </w:r>
      <w:proofErr w:type="gramEnd"/>
      <w:r w:rsidRPr="00C02C6F">
        <w:rPr>
          <w:rFonts w:ascii="Times New Roman" w:hAnsi="Times New Roman" w:cs="Times New Roman"/>
        </w:rPr>
        <w:t xml:space="preserve"> framework-based GRC approach that is based on NIST CSF 2.0, COBIT 2019, ITIL v4, and ISO/IEC 27001, FSB may achieve more security maturity in a clear and defined manner.</w:t>
      </w:r>
    </w:p>
    <w:p w14:paraId="32090A5A" w14:textId="77777777" w:rsidR="00650468" w:rsidRPr="00C02C6F" w:rsidRDefault="00650468" w:rsidP="00650468">
      <w:pPr>
        <w:jc w:val="both"/>
        <w:rPr>
          <w:rFonts w:ascii="Times New Roman" w:hAnsi="Times New Roman" w:cs="Times New Roman"/>
        </w:rPr>
      </w:pPr>
    </w:p>
    <w:p w14:paraId="1FDEE07C"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Weaknesses like unmanaged BYOD, poor governance, GDPR compliance gaps, cloud security and back-up processes are covered in this tiered approach. FSB can strengthen residual risk management and liberalization of compliance across jurisdictions by establishing </w:t>
      </w:r>
      <w:proofErr w:type="gramStart"/>
      <w:r w:rsidRPr="00C02C6F">
        <w:rPr>
          <w:rFonts w:ascii="Times New Roman" w:hAnsi="Times New Roman" w:cs="Times New Roman"/>
        </w:rPr>
        <w:t>the tools</w:t>
      </w:r>
      <w:proofErr w:type="gramEnd"/>
      <w:r w:rsidRPr="00C02C6F">
        <w:rPr>
          <w:rFonts w:ascii="Times New Roman" w:hAnsi="Times New Roman" w:cs="Times New Roman"/>
        </w:rPr>
        <w:t xml:space="preserve"> such as a risk registry, SLA framework, and appropriate security measures.</w:t>
      </w:r>
    </w:p>
    <w:p w14:paraId="4456BAF4" w14:textId="77777777" w:rsidR="00650468" w:rsidRPr="00C02C6F" w:rsidRDefault="00650468" w:rsidP="00650468">
      <w:pPr>
        <w:jc w:val="both"/>
        <w:rPr>
          <w:rFonts w:ascii="Times New Roman" w:hAnsi="Times New Roman" w:cs="Times New Roman"/>
        </w:rPr>
      </w:pPr>
    </w:p>
    <w:p w14:paraId="4E4F0E89"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t xml:space="preserve">Crucially, security governance must be seen as </w:t>
      </w:r>
      <w:proofErr w:type="spellStart"/>
      <w:proofErr w:type="gramStart"/>
      <w:r w:rsidRPr="00C02C6F">
        <w:rPr>
          <w:rFonts w:ascii="Times New Roman" w:hAnsi="Times New Roman" w:cs="Times New Roman"/>
        </w:rPr>
        <w:t>a</w:t>
      </w:r>
      <w:proofErr w:type="spellEnd"/>
      <w:proofErr w:type="gramEnd"/>
      <w:r w:rsidRPr="00C02C6F">
        <w:rPr>
          <w:rFonts w:ascii="Times New Roman" w:hAnsi="Times New Roman" w:cs="Times New Roman"/>
        </w:rPr>
        <w:t xml:space="preserve"> ongoing process as opposed to a one-time endeavor. Keeping up with the changing risks and regulations means constant development, including frequent risk assessments, framework changes, employee training and third-party audits. While achieving COBIT 2019 governance maturity is a longer-term objective, FSB should be focused on achieving ISO 27001 certification and complying with NIST CSF 2.0 and DORA in the short run.</w:t>
      </w:r>
    </w:p>
    <w:p w14:paraId="49ED8D30" w14:textId="77777777" w:rsidR="00650468" w:rsidRPr="00C02C6F" w:rsidRDefault="00650468" w:rsidP="00650468">
      <w:pPr>
        <w:jc w:val="both"/>
        <w:rPr>
          <w:rFonts w:ascii="Times New Roman" w:hAnsi="Times New Roman" w:cs="Times New Roman"/>
        </w:rPr>
      </w:pPr>
      <w:r w:rsidRPr="00C02C6F">
        <w:rPr>
          <w:rFonts w:ascii="Times New Roman" w:hAnsi="Times New Roman" w:cs="Times New Roman"/>
        </w:rPr>
        <w:br w:type="page"/>
      </w:r>
    </w:p>
    <w:p w14:paraId="394E4819" w14:textId="77777777" w:rsidR="00650468" w:rsidRPr="00C02C6F" w:rsidRDefault="00650468" w:rsidP="00650468">
      <w:pPr>
        <w:pStyle w:val="Heading1"/>
        <w:jc w:val="center"/>
        <w:rPr>
          <w:color w:val="auto"/>
        </w:rPr>
      </w:pPr>
      <w:r w:rsidRPr="00C02C6F">
        <w:rPr>
          <w:color w:val="auto"/>
        </w:rPr>
        <w:lastRenderedPageBreak/>
        <w:t>References</w:t>
      </w:r>
    </w:p>
    <w:p w14:paraId="0B30C2DF"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 xml:space="preserve">[1] M. Levi and R. G. Smith, "Fraud and pandemics," </w:t>
      </w:r>
      <w:r w:rsidRPr="00C02C6F">
        <w:rPr>
          <w:rFonts w:ascii="Times New Roman" w:hAnsi="Times New Roman" w:cs="Times New Roman"/>
          <w:i/>
          <w:iCs/>
        </w:rPr>
        <w:t>Journal of Financial Crime</w:t>
      </w:r>
      <w:r w:rsidRPr="00C02C6F">
        <w:rPr>
          <w:rFonts w:ascii="Times New Roman" w:hAnsi="Times New Roman" w:cs="Times New Roman"/>
        </w:rPr>
        <w:t xml:space="preserve">, vol. 29, no. 2, pp. 413–432, 2021. </w:t>
      </w:r>
      <w:proofErr w:type="spellStart"/>
      <w:r w:rsidRPr="00C02C6F">
        <w:rPr>
          <w:rFonts w:ascii="Times New Roman" w:hAnsi="Times New Roman" w:cs="Times New Roman"/>
        </w:rPr>
        <w:t>doi</w:t>
      </w:r>
      <w:proofErr w:type="spellEnd"/>
      <w:r w:rsidRPr="00C02C6F">
        <w:rPr>
          <w:rFonts w:ascii="Times New Roman" w:hAnsi="Times New Roman" w:cs="Times New Roman"/>
        </w:rPr>
        <w:t>: 10.1108/JFC-06-2021-0137</w:t>
      </w:r>
    </w:p>
    <w:p w14:paraId="68B0AC0B"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[2] IBM Security, "Cost of a Data Breach Report 2023," IBM Corp., Armonk, NY, Tech. Rep., 2023. [Online]. Available: https://www.ibm.com/security/data-breach</w:t>
      </w:r>
    </w:p>
    <w:p w14:paraId="5CC50354"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[3] International Organization for Standardization, "ISO/IEC 27001:2022 — Information Security, Cybersecurity and Privacy Protection — Information Security Management Systems — Requirements," ISO, Geneva, Switzerland, 2022.</w:t>
      </w:r>
    </w:p>
    <w:p w14:paraId="0D1D857C"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[4] International Organization for Standardization, "ISO/IEC 27017:2015 — Code of Practice for Information Security Controls Based on ISO/IEC 27002 for Cloud Services," ISO, Geneva, Switzerland, 2015.</w:t>
      </w:r>
    </w:p>
    <w:p w14:paraId="4096A2F7"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 xml:space="preserve">[5] National Institute of Standards and Technology, "The NIST Cybersecurity Framework (CSF) 2.0," NIST, Gaithersburg, MD, NIST CSWP 29, Feb. 2024. </w:t>
      </w:r>
      <w:proofErr w:type="spellStart"/>
      <w:r w:rsidRPr="00C02C6F">
        <w:rPr>
          <w:rFonts w:ascii="Times New Roman" w:hAnsi="Times New Roman" w:cs="Times New Roman"/>
        </w:rPr>
        <w:t>doi</w:t>
      </w:r>
      <w:proofErr w:type="spellEnd"/>
      <w:r w:rsidRPr="00C02C6F">
        <w:rPr>
          <w:rFonts w:ascii="Times New Roman" w:hAnsi="Times New Roman" w:cs="Times New Roman"/>
        </w:rPr>
        <w:t>: 10.6028/NIST.CSWP.29</w:t>
      </w:r>
    </w:p>
    <w:p w14:paraId="6DF6AB0E"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[6] ISACA, "COBIT 2019 Framework: Governance and Management Objectives," ISACA, Schaumburg, IL, 2018.</w:t>
      </w:r>
    </w:p>
    <w:p w14:paraId="2B0D234F"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[7] AXELOS, "ITIL Foundation: ITIL 4 Edition," The Stationery Office (TSO), London, UK, 2019. ISBN: 978-0-113-31673-2</w:t>
      </w:r>
    </w:p>
    <w:p w14:paraId="321064D8"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[8] Basel Committee on Banking Supervision, "Corporate Governance Principles for Banks," Bank for International Settlements, Basel, Switzerland, Jul. 2015. [Online]. Available: https://www.bis.org/bcbs/publ/d328.htm</w:t>
      </w:r>
    </w:p>
    <w:p w14:paraId="39F96F76"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 xml:space="preserve">[9] G. </w:t>
      </w:r>
      <w:proofErr w:type="spellStart"/>
      <w:r w:rsidRPr="00C02C6F">
        <w:rPr>
          <w:rFonts w:ascii="Times New Roman" w:hAnsi="Times New Roman" w:cs="Times New Roman"/>
        </w:rPr>
        <w:t>Disterer</w:t>
      </w:r>
      <w:proofErr w:type="spellEnd"/>
      <w:r w:rsidRPr="00C02C6F">
        <w:rPr>
          <w:rFonts w:ascii="Times New Roman" w:hAnsi="Times New Roman" w:cs="Times New Roman"/>
        </w:rPr>
        <w:t xml:space="preserve"> and C. Kleiner, "BYOD — Bring Your Own Device," Procedia Technology, vol. 9, pp. 43–53, 2013. </w:t>
      </w:r>
      <w:proofErr w:type="spellStart"/>
      <w:r w:rsidRPr="00C02C6F">
        <w:rPr>
          <w:rFonts w:ascii="Times New Roman" w:hAnsi="Times New Roman" w:cs="Times New Roman"/>
        </w:rPr>
        <w:t>doi</w:t>
      </w:r>
      <w:proofErr w:type="spellEnd"/>
      <w:r w:rsidRPr="00C02C6F">
        <w:rPr>
          <w:rFonts w:ascii="Times New Roman" w:hAnsi="Times New Roman" w:cs="Times New Roman"/>
        </w:rPr>
        <w:t>: 10.1016/j.protcy.2013.12.005</w:t>
      </w:r>
    </w:p>
    <w:p w14:paraId="3135D62A"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[10] International Organization for Standardization, "ISO 31000:2018 — Risk Management — Guidelines," ISO, Geneva, Switzerland, 2018.</w:t>
      </w:r>
    </w:p>
    <w:p w14:paraId="7965C9FE"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[11] European Parliament and Council of the European Union, "Regulation (EU) 2016/679 — General Data Protection Regulation (GDPR)," Official Journal of the European Union, Apr. 2016.</w:t>
      </w:r>
    </w:p>
    <w:p w14:paraId="51031314"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[12] PCI Security Standards Council, "Payment Card Industry (PCI) Data Security Standard: Requirements and Testing Procedures, Version 4.0," PCI SSC, Wakefield, MA, Mar. 2022. [Online]. Available: https://www.pcisecuritystandards.org</w:t>
      </w:r>
    </w:p>
    <w:p w14:paraId="7DFFBF34"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 xml:space="preserve">[13] S. Rose, O. Borchert, S. Mitchell, and S. Connelly, "Zero Trust Architecture," NIST Special Publication 800-207, National Institute of Standards and Technology, Gaithersburg, MD, Aug. 2020. </w:t>
      </w:r>
      <w:proofErr w:type="spellStart"/>
      <w:r w:rsidRPr="00C02C6F">
        <w:rPr>
          <w:rFonts w:ascii="Times New Roman" w:hAnsi="Times New Roman" w:cs="Times New Roman"/>
        </w:rPr>
        <w:t>doi</w:t>
      </w:r>
      <w:proofErr w:type="spellEnd"/>
      <w:r w:rsidRPr="00C02C6F">
        <w:rPr>
          <w:rFonts w:ascii="Times New Roman" w:hAnsi="Times New Roman" w:cs="Times New Roman"/>
        </w:rPr>
        <w:t>: 10.6028/NIST.SP.800-207</w:t>
      </w:r>
    </w:p>
    <w:p w14:paraId="57571F08"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[14] A. Tuor, S. Kaplan, B. Hutchinson, N. Nichols, and S. Robinson, "Deep Learning for Unsupervised Insider Threat Detection in Structured Cybersecurity Data Streams," in Proc. AAAI Workshop on Artificial Intelligence for Cyber Security (AICS), San Francisco, CA, 2017.</w:t>
      </w:r>
    </w:p>
    <w:p w14:paraId="444E5A89"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[15] International Organization for Standardization, "ISO 22301:2019 — Security and Resilience — Business Continuity Management Systems — Requirements," ISO, Geneva, Switzerland, 2019.</w:t>
      </w:r>
    </w:p>
    <w:p w14:paraId="0CF41170"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lastRenderedPageBreak/>
        <w:t xml:space="preserve">[16] European Union Agency for Cybersecurity (ENISA), "ENISA Threat Landscape 2023," ENISA, Athens, Greece, Oct. 2023. </w:t>
      </w:r>
      <w:proofErr w:type="spellStart"/>
      <w:r w:rsidRPr="00C02C6F">
        <w:rPr>
          <w:rFonts w:ascii="Times New Roman" w:hAnsi="Times New Roman" w:cs="Times New Roman"/>
        </w:rPr>
        <w:t>doi</w:t>
      </w:r>
      <w:proofErr w:type="spellEnd"/>
      <w:r w:rsidRPr="00C02C6F">
        <w:rPr>
          <w:rFonts w:ascii="Times New Roman" w:hAnsi="Times New Roman" w:cs="Times New Roman"/>
        </w:rPr>
        <w:t>: 10.2824/782412</w:t>
      </w:r>
    </w:p>
    <w:p w14:paraId="0A4DBD19"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[17] European Parliament and Council of the European Union, "Regulation (EU) 2022/2554 — Digital Operational Resilience Act (DORA)," Official Journal of the European Union, Dec. 2022.</w:t>
      </w:r>
    </w:p>
    <w:p w14:paraId="635C1F87" w14:textId="77777777" w:rsidR="00650468" w:rsidRPr="00C02C6F" w:rsidRDefault="00650468" w:rsidP="00650468">
      <w:pPr>
        <w:spacing w:before="240"/>
        <w:jc w:val="both"/>
        <w:rPr>
          <w:rFonts w:ascii="Times New Roman" w:hAnsi="Times New Roman" w:cs="Times New Roman"/>
        </w:rPr>
      </w:pPr>
      <w:r w:rsidRPr="00C02C6F">
        <w:rPr>
          <w:rFonts w:ascii="Times New Roman" w:hAnsi="Times New Roman" w:cs="Times New Roman"/>
        </w:rPr>
        <w:t xml:space="preserve">[18] B. Bulgurcu, H. Cavusoglu, and I. </w:t>
      </w:r>
      <w:proofErr w:type="spellStart"/>
      <w:r w:rsidRPr="00C02C6F">
        <w:rPr>
          <w:rFonts w:ascii="Times New Roman" w:hAnsi="Times New Roman" w:cs="Times New Roman"/>
        </w:rPr>
        <w:t>Benbasat</w:t>
      </w:r>
      <w:proofErr w:type="spellEnd"/>
      <w:r w:rsidRPr="00C02C6F">
        <w:rPr>
          <w:rFonts w:ascii="Times New Roman" w:hAnsi="Times New Roman" w:cs="Times New Roman"/>
        </w:rPr>
        <w:t xml:space="preserve">, "Information Security Policy Compliance: An Empirical Study of Rationality-Based Beliefs and Information Security Awareness," MIS Quarterly, vol. 34, no. 3, pp. 523–548, Sep. 2010. </w:t>
      </w:r>
      <w:proofErr w:type="spellStart"/>
      <w:r w:rsidRPr="00C02C6F">
        <w:rPr>
          <w:rFonts w:ascii="Times New Roman" w:hAnsi="Times New Roman" w:cs="Times New Roman"/>
        </w:rPr>
        <w:t>doi</w:t>
      </w:r>
      <w:proofErr w:type="spellEnd"/>
      <w:r w:rsidRPr="00C02C6F">
        <w:rPr>
          <w:rFonts w:ascii="Times New Roman" w:hAnsi="Times New Roman" w:cs="Times New Roman"/>
        </w:rPr>
        <w:t>: 10.2307/25750690</w:t>
      </w:r>
    </w:p>
    <w:p w14:paraId="603267C4" w14:textId="77777777" w:rsidR="00650468" w:rsidRPr="00C02C6F" w:rsidRDefault="00650468" w:rsidP="00650468">
      <w:pPr>
        <w:jc w:val="both"/>
        <w:rPr>
          <w:rFonts w:ascii="Times New Roman" w:hAnsi="Times New Roman" w:cs="Times New Roman"/>
        </w:rPr>
      </w:pPr>
    </w:p>
    <w:p w14:paraId="043FFB88" w14:textId="77777777" w:rsidR="000F5CEF" w:rsidRDefault="000F5CEF"/>
    <w:sectPr w:rsidR="000F5CEF" w:rsidSect="00650468">
      <w:footerReference w:type="default" r:id="rId7"/>
      <w:footerReference w:type="first" r:id="rId8"/>
      <w:pgSz w:w="12240" w:h="15840"/>
      <w:pgMar w:top="1260" w:right="1260" w:bottom="1260" w:left="1260" w:header="708" w:footer="708"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B54B9" w14:textId="77777777" w:rsidR="00650468" w:rsidRDefault="00650468" w:rsidP="00C54178">
    <w:pPr>
      <w:pStyle w:val="Strong1"/>
      <w:jc w:val="center"/>
      <w:rPr>
        <w:noProof/>
      </w:rPr>
    </w:pPr>
    <w:r>
      <w:fldChar w:fldCharType="begin"/>
    </w:r>
    <w:r>
      <w:instrText xml:space="preserve"> PAGE   \* MERGEFORMAT </w:instrText>
    </w:r>
    <w:r>
      <w:fldChar w:fldCharType="separate"/>
    </w:r>
    <w:r>
      <w:rPr>
        <w:noProof/>
      </w:rPr>
      <w:t>2</w:t>
    </w:r>
    <w:r>
      <w:rPr>
        <w:noProof/>
      </w:rPr>
      <w:fldChar w:fldCharType="end"/>
    </w:r>
  </w:p>
  <w:p w14:paraId="005DE692" w14:textId="77777777" w:rsidR="00650468" w:rsidRDefault="006504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6E20A" w14:textId="77777777" w:rsidR="00650468" w:rsidRDefault="00650468">
    <w:pPr>
      <w:pStyle w:val="Footer"/>
      <w:pBdr>
        <w:top w:val="single" w:sz="4" w:space="1" w:color="D9D9D9" w:themeColor="background1" w:themeShade="D9"/>
      </w:pBdr>
      <w:jc w:val="right"/>
    </w:pPr>
  </w:p>
  <w:p w14:paraId="130A6A09" w14:textId="77777777" w:rsidR="00650468" w:rsidRDefault="00650468">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468"/>
    <w:rsid w:val="000F5CEF"/>
    <w:rsid w:val="00564FE6"/>
    <w:rsid w:val="00650468"/>
    <w:rsid w:val="00BB701C"/>
    <w:rsid w:val="00D92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6C114"/>
  <w15:chartTrackingRefBased/>
  <w15:docId w15:val="{54F1B8EB-2108-4D30-B3B3-80E230634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468"/>
    <w:pPr>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650468"/>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val="en-GB"/>
    </w:rPr>
  </w:style>
  <w:style w:type="paragraph" w:styleId="Heading2">
    <w:name w:val="heading 2"/>
    <w:basedOn w:val="Normal"/>
    <w:next w:val="Normal"/>
    <w:link w:val="Heading2Char"/>
    <w:uiPriority w:val="9"/>
    <w:unhideWhenUsed/>
    <w:qFormat/>
    <w:rsid w:val="00650468"/>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val="en-GB"/>
    </w:rPr>
  </w:style>
  <w:style w:type="paragraph" w:styleId="Heading3">
    <w:name w:val="heading 3"/>
    <w:basedOn w:val="Normal"/>
    <w:next w:val="Normal"/>
    <w:link w:val="Heading3Char"/>
    <w:uiPriority w:val="9"/>
    <w:semiHidden/>
    <w:unhideWhenUsed/>
    <w:qFormat/>
    <w:rsid w:val="00650468"/>
    <w:pPr>
      <w:keepNext/>
      <w:keepLines/>
      <w:spacing w:before="160" w:after="80" w:line="259" w:lineRule="auto"/>
      <w:outlineLvl w:val="2"/>
    </w:pPr>
    <w:rPr>
      <w:rFonts w:asciiTheme="minorHAnsi" w:eastAsiaTheme="majorEastAsia" w:hAnsiTheme="minorHAnsi" w:cstheme="majorBidi"/>
      <w:color w:val="2F5496" w:themeColor="accent1" w:themeShade="BF"/>
      <w:sz w:val="28"/>
      <w:szCs w:val="28"/>
      <w:lang w:val="en-GB"/>
    </w:rPr>
  </w:style>
  <w:style w:type="paragraph" w:styleId="Heading4">
    <w:name w:val="heading 4"/>
    <w:basedOn w:val="Normal"/>
    <w:next w:val="Normal"/>
    <w:link w:val="Heading4Char"/>
    <w:uiPriority w:val="9"/>
    <w:semiHidden/>
    <w:unhideWhenUsed/>
    <w:qFormat/>
    <w:rsid w:val="00650468"/>
    <w:pPr>
      <w:keepNext/>
      <w:keepLines/>
      <w:spacing w:before="80" w:after="40" w:line="259" w:lineRule="auto"/>
      <w:outlineLvl w:val="3"/>
    </w:pPr>
    <w:rPr>
      <w:rFonts w:asciiTheme="minorHAnsi" w:eastAsiaTheme="majorEastAsia" w:hAnsiTheme="minorHAnsi" w:cstheme="majorBidi"/>
      <w:i/>
      <w:iCs/>
      <w:color w:val="2F5496" w:themeColor="accent1" w:themeShade="BF"/>
      <w:lang w:val="en-GB"/>
    </w:rPr>
  </w:style>
  <w:style w:type="paragraph" w:styleId="Heading5">
    <w:name w:val="heading 5"/>
    <w:basedOn w:val="Normal"/>
    <w:next w:val="Normal"/>
    <w:link w:val="Heading5Char"/>
    <w:uiPriority w:val="9"/>
    <w:semiHidden/>
    <w:unhideWhenUsed/>
    <w:qFormat/>
    <w:rsid w:val="00650468"/>
    <w:pPr>
      <w:keepNext/>
      <w:keepLines/>
      <w:spacing w:before="80" w:after="40" w:line="259" w:lineRule="auto"/>
      <w:outlineLvl w:val="4"/>
    </w:pPr>
    <w:rPr>
      <w:rFonts w:asciiTheme="minorHAnsi" w:eastAsiaTheme="majorEastAsia" w:hAnsiTheme="minorHAnsi" w:cstheme="majorBidi"/>
      <w:color w:val="2F5496" w:themeColor="accent1" w:themeShade="BF"/>
      <w:lang w:val="en-GB"/>
    </w:rPr>
  </w:style>
  <w:style w:type="paragraph" w:styleId="Heading6">
    <w:name w:val="heading 6"/>
    <w:basedOn w:val="Normal"/>
    <w:next w:val="Normal"/>
    <w:link w:val="Heading6Char"/>
    <w:uiPriority w:val="9"/>
    <w:semiHidden/>
    <w:unhideWhenUsed/>
    <w:qFormat/>
    <w:rsid w:val="00650468"/>
    <w:pPr>
      <w:keepNext/>
      <w:keepLines/>
      <w:spacing w:before="40" w:line="259" w:lineRule="auto"/>
      <w:outlineLvl w:val="5"/>
    </w:pPr>
    <w:rPr>
      <w:rFonts w:asciiTheme="minorHAnsi" w:eastAsiaTheme="majorEastAsia" w:hAnsiTheme="minorHAnsi"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650468"/>
    <w:pPr>
      <w:keepNext/>
      <w:keepLines/>
      <w:spacing w:before="40" w:line="259" w:lineRule="auto"/>
      <w:outlineLvl w:val="6"/>
    </w:pPr>
    <w:rPr>
      <w:rFonts w:asciiTheme="minorHAnsi" w:eastAsiaTheme="majorEastAsia" w:hAnsiTheme="minorHAnsi"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650468"/>
    <w:pPr>
      <w:keepNext/>
      <w:keepLines/>
      <w:spacing w:line="259" w:lineRule="auto"/>
      <w:outlineLvl w:val="7"/>
    </w:pPr>
    <w:rPr>
      <w:rFonts w:asciiTheme="minorHAnsi" w:eastAsiaTheme="majorEastAsia" w:hAnsiTheme="minorHAnsi"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650468"/>
    <w:pPr>
      <w:keepNext/>
      <w:keepLines/>
      <w:spacing w:line="259" w:lineRule="auto"/>
      <w:outlineLvl w:val="8"/>
    </w:pPr>
    <w:rPr>
      <w:rFonts w:asciiTheme="minorHAnsi" w:eastAsiaTheme="majorEastAsia" w:hAnsiTheme="minorHAnsi"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46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504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504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04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04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04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4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4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468"/>
    <w:rPr>
      <w:rFonts w:eastAsiaTheme="majorEastAsia" w:cstheme="majorBidi"/>
      <w:color w:val="272727" w:themeColor="text1" w:themeTint="D8"/>
    </w:rPr>
  </w:style>
  <w:style w:type="paragraph" w:styleId="Title">
    <w:name w:val="Title"/>
    <w:basedOn w:val="Normal"/>
    <w:next w:val="Normal"/>
    <w:link w:val="TitleChar"/>
    <w:uiPriority w:val="10"/>
    <w:qFormat/>
    <w:rsid w:val="00650468"/>
    <w:pPr>
      <w:spacing w:after="80"/>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6504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468"/>
    <w:pPr>
      <w:numPr>
        <w:ilvl w:val="1"/>
      </w:numPr>
      <w:spacing w:after="160" w:line="259" w:lineRule="auto"/>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6504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468"/>
    <w:pPr>
      <w:spacing w:before="160" w:after="160" w:line="259" w:lineRule="auto"/>
      <w:jc w:val="center"/>
    </w:pPr>
    <w:rPr>
      <w:rFonts w:asciiTheme="minorHAnsi" w:eastAsiaTheme="minorHAnsi" w:hAnsiTheme="minorHAnsi" w:cstheme="minorBidi"/>
      <w:i/>
      <w:iCs/>
      <w:color w:val="404040" w:themeColor="text1" w:themeTint="BF"/>
      <w:lang w:val="en-GB"/>
    </w:rPr>
  </w:style>
  <w:style w:type="character" w:customStyle="1" w:styleId="QuoteChar">
    <w:name w:val="Quote Char"/>
    <w:basedOn w:val="DefaultParagraphFont"/>
    <w:link w:val="Quote"/>
    <w:uiPriority w:val="29"/>
    <w:rsid w:val="00650468"/>
    <w:rPr>
      <w:i/>
      <w:iCs/>
      <w:color w:val="404040" w:themeColor="text1" w:themeTint="BF"/>
    </w:rPr>
  </w:style>
  <w:style w:type="paragraph" w:styleId="ListParagraph">
    <w:name w:val="List Paragraph"/>
    <w:basedOn w:val="Normal"/>
    <w:uiPriority w:val="34"/>
    <w:qFormat/>
    <w:rsid w:val="00650468"/>
    <w:pPr>
      <w:spacing w:after="160" w:line="259" w:lineRule="auto"/>
      <w:ind w:left="720"/>
      <w:contextualSpacing/>
    </w:pPr>
    <w:rPr>
      <w:rFonts w:asciiTheme="minorHAnsi" w:eastAsiaTheme="minorHAnsi" w:hAnsiTheme="minorHAnsi" w:cstheme="minorBidi"/>
      <w:lang w:val="en-GB"/>
    </w:rPr>
  </w:style>
  <w:style w:type="character" w:styleId="IntenseEmphasis">
    <w:name w:val="Intense Emphasis"/>
    <w:basedOn w:val="DefaultParagraphFont"/>
    <w:uiPriority w:val="21"/>
    <w:qFormat/>
    <w:rsid w:val="00650468"/>
    <w:rPr>
      <w:i/>
      <w:iCs/>
      <w:color w:val="2F5496" w:themeColor="accent1" w:themeShade="BF"/>
    </w:rPr>
  </w:style>
  <w:style w:type="paragraph" w:styleId="IntenseQuote">
    <w:name w:val="Intense Quote"/>
    <w:basedOn w:val="Normal"/>
    <w:next w:val="Normal"/>
    <w:link w:val="IntenseQuoteChar"/>
    <w:uiPriority w:val="30"/>
    <w:qFormat/>
    <w:rsid w:val="00650468"/>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lang w:val="en-GB"/>
    </w:rPr>
  </w:style>
  <w:style w:type="character" w:customStyle="1" w:styleId="IntenseQuoteChar">
    <w:name w:val="Intense Quote Char"/>
    <w:basedOn w:val="DefaultParagraphFont"/>
    <w:link w:val="IntenseQuote"/>
    <w:uiPriority w:val="30"/>
    <w:rsid w:val="00650468"/>
    <w:rPr>
      <w:i/>
      <w:iCs/>
      <w:color w:val="2F5496" w:themeColor="accent1" w:themeShade="BF"/>
    </w:rPr>
  </w:style>
  <w:style w:type="character" w:styleId="IntenseReference">
    <w:name w:val="Intense Reference"/>
    <w:basedOn w:val="DefaultParagraphFont"/>
    <w:uiPriority w:val="32"/>
    <w:qFormat/>
    <w:rsid w:val="00650468"/>
    <w:rPr>
      <w:b/>
      <w:bCs/>
      <w:smallCaps/>
      <w:color w:val="2F5496" w:themeColor="accent1" w:themeShade="BF"/>
      <w:spacing w:val="5"/>
    </w:rPr>
  </w:style>
  <w:style w:type="paragraph" w:customStyle="1" w:styleId="Strong1">
    <w:name w:val="Strong1"/>
    <w:qFormat/>
    <w:rsid w:val="00650468"/>
    <w:pPr>
      <w:spacing w:after="0" w:line="240" w:lineRule="auto"/>
    </w:pPr>
    <w:rPr>
      <w:rFonts w:ascii="Arial" w:eastAsia="Arial" w:hAnsi="Arial" w:cs="Arial"/>
      <w:b/>
      <w:bCs/>
      <w:lang w:val="en-US"/>
    </w:rPr>
  </w:style>
  <w:style w:type="paragraph" w:styleId="Footer">
    <w:name w:val="footer"/>
    <w:basedOn w:val="Normal"/>
    <w:link w:val="FooterChar"/>
    <w:uiPriority w:val="99"/>
    <w:unhideWhenUsed/>
    <w:rsid w:val="00650468"/>
    <w:pPr>
      <w:tabs>
        <w:tab w:val="center" w:pos="4680"/>
        <w:tab w:val="right" w:pos="9360"/>
      </w:tabs>
    </w:pPr>
  </w:style>
  <w:style w:type="character" w:customStyle="1" w:styleId="FooterChar">
    <w:name w:val="Footer Char"/>
    <w:basedOn w:val="DefaultParagraphFont"/>
    <w:link w:val="Footer"/>
    <w:uiPriority w:val="99"/>
    <w:rsid w:val="00650468"/>
    <w:rPr>
      <w:rFonts w:ascii="Arial" w:eastAsia="Arial" w:hAnsi="Arial" w:cs="Arial"/>
      <w:lang w:val="en-US"/>
    </w:rPr>
  </w:style>
  <w:style w:type="table" w:styleId="GridTable1Light">
    <w:name w:val="Grid Table 1 Light"/>
    <w:basedOn w:val="TableNormal"/>
    <w:uiPriority w:val="46"/>
    <w:rsid w:val="00650468"/>
    <w:pPr>
      <w:spacing w:after="0" w:line="240" w:lineRule="auto"/>
    </w:pPr>
    <w:rPr>
      <w:rFonts w:ascii="Arial" w:eastAsia="Arial" w:hAnsi="Arial" w:cs="Arial"/>
      <w:lang w:val="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650468"/>
    <w:pPr>
      <w:spacing w:after="0" w:line="240" w:lineRule="auto"/>
    </w:pPr>
    <w:rPr>
      <w:rFonts w:ascii="Arial" w:eastAsia="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3109</Words>
  <Characters>17727</Characters>
  <Application>Microsoft Office Word</Application>
  <DocSecurity>0</DocSecurity>
  <Lines>147</Lines>
  <Paragraphs>41</Paragraphs>
  <ScaleCrop>false</ScaleCrop>
  <Company/>
  <LinksUpToDate>false</LinksUpToDate>
  <CharactersWithSpaces>20795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 Nayak</dc:creator>
  <cp:keywords/>
  <dc:description/>
  <cp:lastModifiedBy>Om Nayak</cp:lastModifiedBy>
  <cp:revision>1</cp:revision>
  <dcterms:created xsi:type="dcterms:W3CDTF">2026-04-18T16:01:00Z</dcterms:created>
  <dcterms:modified xsi:type="dcterms:W3CDTF">2026-04-18T16:02:00Z</dcterms:modified>
</cp:coreProperties>
</file>