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A81A9" w14:textId="77777777" w:rsidR="004745E2" w:rsidRDefault="004745E2" w:rsidP="001705D5">
      <w:pPr>
        <w:jc w:val="center"/>
        <w:rPr>
          <w:rFonts w:ascii="Times New Roman" w:hAnsi="Times New Roman" w:cs="Times New Roman"/>
        </w:rPr>
      </w:pPr>
    </w:p>
    <w:p w14:paraId="6014BE24" w14:textId="77777777" w:rsidR="004745E2" w:rsidRDefault="004745E2" w:rsidP="001705D5">
      <w:pPr>
        <w:jc w:val="center"/>
        <w:rPr>
          <w:rFonts w:ascii="Times New Roman" w:hAnsi="Times New Roman" w:cs="Times New Roman"/>
        </w:rPr>
      </w:pPr>
    </w:p>
    <w:p w14:paraId="16CF58B3" w14:textId="77777777" w:rsidR="004745E2" w:rsidRDefault="004745E2" w:rsidP="004745E2">
      <w:pPr>
        <w:spacing w:line="480" w:lineRule="auto"/>
        <w:jc w:val="center"/>
        <w:rPr>
          <w:b/>
          <w:bCs/>
          <w:sz w:val="36"/>
          <w:szCs w:val="36"/>
        </w:rPr>
      </w:pPr>
      <w:r>
        <w:rPr>
          <w:noProof/>
        </w:rPr>
        <w:drawing>
          <wp:inline distT="0" distB="0" distL="0" distR="0" wp14:anchorId="1E261747" wp14:editId="3657AF0C">
            <wp:extent cx="4552950" cy="1973580"/>
            <wp:effectExtent l="0" t="0" r="0" b="762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8"/>
                    <a:stretch>
                      <a:fillRect/>
                    </a:stretch>
                  </pic:blipFill>
                  <pic:spPr>
                    <a:xfrm>
                      <a:off x="0" y="0"/>
                      <a:ext cx="4552950" cy="1973580"/>
                    </a:xfrm>
                    <a:prstGeom prst="rect">
                      <a:avLst/>
                    </a:prstGeom>
                  </pic:spPr>
                </pic:pic>
              </a:graphicData>
            </a:graphic>
          </wp:inline>
        </w:drawing>
      </w:r>
    </w:p>
    <w:p w14:paraId="2B8A9AE7" w14:textId="77777777" w:rsidR="004745E2" w:rsidRPr="00462B38" w:rsidRDefault="004745E2" w:rsidP="004745E2">
      <w:pPr>
        <w:jc w:val="center"/>
        <w:rPr>
          <w:b/>
          <w:bCs/>
          <w:sz w:val="40"/>
          <w:szCs w:val="40"/>
        </w:rPr>
      </w:pPr>
      <w:r w:rsidRPr="006D6CE8">
        <w:rPr>
          <w:b/>
          <w:bCs/>
          <w:sz w:val="40"/>
          <w:szCs w:val="40"/>
        </w:rPr>
        <w:t>BA (Hons) Leadership and Management Skills for the Workplace</w:t>
      </w:r>
    </w:p>
    <w:p w14:paraId="7F655B84" w14:textId="682B22A0" w:rsidR="004745E2" w:rsidRPr="006D6CE8" w:rsidRDefault="004745E2" w:rsidP="004745E2">
      <w:pPr>
        <w:jc w:val="center"/>
        <w:rPr>
          <w:sz w:val="40"/>
          <w:szCs w:val="40"/>
        </w:rPr>
      </w:pPr>
      <w:r w:rsidRPr="006D6CE8">
        <w:rPr>
          <w:sz w:val="40"/>
          <w:szCs w:val="40"/>
        </w:rPr>
        <w:t xml:space="preserve"> </w:t>
      </w:r>
      <w:r>
        <w:rPr>
          <w:b/>
          <w:bCs/>
          <w:sz w:val="40"/>
          <w:szCs w:val="40"/>
        </w:rPr>
        <w:t>DEVELOPING EMOTIONAL INTELLIGENCE SKILLS</w:t>
      </w:r>
      <w:r w:rsidRPr="006D6CE8">
        <w:rPr>
          <w:b/>
          <w:bCs/>
          <w:sz w:val="40"/>
          <w:szCs w:val="40"/>
        </w:rPr>
        <w:t xml:space="preserve"> (</w:t>
      </w:r>
      <w:r>
        <w:rPr>
          <w:b/>
          <w:bCs/>
          <w:sz w:val="40"/>
          <w:szCs w:val="40"/>
        </w:rPr>
        <w:t>LCLM5006</w:t>
      </w:r>
      <w:r w:rsidRPr="006D6CE8">
        <w:rPr>
          <w:b/>
          <w:bCs/>
          <w:sz w:val="40"/>
          <w:szCs w:val="40"/>
        </w:rPr>
        <w:t>)</w:t>
      </w:r>
    </w:p>
    <w:p w14:paraId="6E74E1B8" w14:textId="77777777" w:rsidR="004745E2" w:rsidRPr="006D6CE8" w:rsidRDefault="004745E2" w:rsidP="004745E2">
      <w:pPr>
        <w:jc w:val="center"/>
        <w:rPr>
          <w:sz w:val="40"/>
          <w:szCs w:val="40"/>
        </w:rPr>
      </w:pPr>
      <w:r w:rsidRPr="006D6CE8">
        <w:rPr>
          <w:b/>
          <w:bCs/>
          <w:sz w:val="40"/>
          <w:szCs w:val="40"/>
        </w:rPr>
        <w:t>Student Name: Andrei Silviu Popina</w:t>
      </w:r>
    </w:p>
    <w:p w14:paraId="150438F9" w14:textId="77777777" w:rsidR="004745E2" w:rsidRPr="006D6CE8" w:rsidRDefault="004745E2" w:rsidP="004745E2">
      <w:pPr>
        <w:jc w:val="center"/>
        <w:rPr>
          <w:b/>
          <w:bCs/>
          <w:sz w:val="40"/>
          <w:szCs w:val="40"/>
        </w:rPr>
      </w:pPr>
      <w:r w:rsidRPr="006D6CE8">
        <w:rPr>
          <w:b/>
          <w:bCs/>
          <w:sz w:val="40"/>
          <w:szCs w:val="40"/>
        </w:rPr>
        <w:t>Student number: 2332738</w:t>
      </w:r>
    </w:p>
    <w:p w14:paraId="5E0A55F0" w14:textId="12831DCA" w:rsidR="004745E2" w:rsidRDefault="004745E2" w:rsidP="004745E2">
      <w:pPr>
        <w:jc w:val="center"/>
        <w:rPr>
          <w:b/>
          <w:bCs/>
          <w:sz w:val="40"/>
          <w:szCs w:val="40"/>
        </w:rPr>
      </w:pPr>
      <w:r w:rsidRPr="006D6CE8">
        <w:rPr>
          <w:b/>
          <w:bCs/>
          <w:sz w:val="40"/>
          <w:szCs w:val="40"/>
        </w:rPr>
        <w:t xml:space="preserve">Lecturer Name: </w:t>
      </w:r>
      <w:r>
        <w:rPr>
          <w:b/>
          <w:bCs/>
          <w:sz w:val="40"/>
          <w:szCs w:val="40"/>
        </w:rPr>
        <w:t>Dr.</w:t>
      </w:r>
      <w:r w:rsidRPr="004745E2">
        <w:rPr>
          <w:b/>
          <w:bCs/>
          <w:sz w:val="40"/>
          <w:szCs w:val="40"/>
        </w:rPr>
        <w:t xml:space="preserve"> Kazeem Oseni</w:t>
      </w:r>
    </w:p>
    <w:p w14:paraId="4D8FBBD7" w14:textId="12143179" w:rsidR="004745E2" w:rsidRDefault="004745E2" w:rsidP="004745E2">
      <w:pPr>
        <w:jc w:val="center"/>
        <w:rPr>
          <w:b/>
          <w:bCs/>
          <w:sz w:val="40"/>
          <w:szCs w:val="40"/>
        </w:rPr>
      </w:pPr>
      <w:r w:rsidRPr="006D6CE8">
        <w:rPr>
          <w:b/>
          <w:bCs/>
          <w:sz w:val="40"/>
          <w:szCs w:val="40"/>
        </w:rPr>
        <w:t xml:space="preserve">Submission Deadline: </w:t>
      </w:r>
      <w:r>
        <w:rPr>
          <w:b/>
          <w:bCs/>
          <w:sz w:val="40"/>
          <w:szCs w:val="40"/>
        </w:rPr>
        <w:t>01</w:t>
      </w:r>
      <w:r w:rsidRPr="006D6CE8">
        <w:rPr>
          <w:b/>
          <w:bCs/>
          <w:sz w:val="40"/>
          <w:szCs w:val="40"/>
        </w:rPr>
        <w:t>.</w:t>
      </w:r>
      <w:r>
        <w:rPr>
          <w:b/>
          <w:bCs/>
          <w:sz w:val="40"/>
          <w:szCs w:val="40"/>
        </w:rPr>
        <w:t>05</w:t>
      </w:r>
      <w:r w:rsidRPr="006D6CE8">
        <w:rPr>
          <w:b/>
          <w:bCs/>
          <w:sz w:val="40"/>
          <w:szCs w:val="40"/>
        </w:rPr>
        <w:t>.202</w:t>
      </w:r>
      <w:r>
        <w:rPr>
          <w:b/>
          <w:bCs/>
          <w:sz w:val="40"/>
          <w:szCs w:val="40"/>
        </w:rPr>
        <w:t>6</w:t>
      </w:r>
    </w:p>
    <w:p w14:paraId="40FC5B6C" w14:textId="77777777" w:rsidR="001705D5" w:rsidRPr="001705D5" w:rsidRDefault="001705D5" w:rsidP="004745E2">
      <w:pPr>
        <w:rPr>
          <w:rFonts w:ascii="Times New Roman" w:hAnsi="Times New Roman" w:cs="Times New Roman"/>
          <w:sz w:val="48"/>
          <w:szCs w:val="48"/>
        </w:rPr>
      </w:pPr>
    </w:p>
    <w:p w14:paraId="11C4BC38" w14:textId="77777777" w:rsidR="001705D5" w:rsidRPr="001705D5" w:rsidRDefault="001705D5" w:rsidP="001705D5">
      <w:pPr>
        <w:jc w:val="center"/>
        <w:rPr>
          <w:rFonts w:ascii="Times New Roman" w:hAnsi="Times New Roman" w:cs="Times New Roman"/>
          <w:sz w:val="28"/>
          <w:szCs w:val="28"/>
        </w:rPr>
      </w:pPr>
      <w:r w:rsidRPr="001705D5">
        <w:rPr>
          <w:rFonts w:ascii="Times New Roman" w:hAnsi="Times New Roman" w:cs="Times New Roman"/>
          <w:sz w:val="28"/>
          <w:szCs w:val="28"/>
        </w:rPr>
        <w:t>Component 2: Individual Written Report</w:t>
      </w:r>
    </w:p>
    <w:p w14:paraId="7E69C0E4" w14:textId="77777777" w:rsidR="001705D5" w:rsidRPr="001705D5" w:rsidRDefault="001705D5" w:rsidP="001705D5">
      <w:pPr>
        <w:jc w:val="center"/>
        <w:rPr>
          <w:rFonts w:ascii="Times New Roman" w:hAnsi="Times New Roman" w:cs="Times New Roman"/>
          <w:sz w:val="28"/>
          <w:szCs w:val="28"/>
        </w:rPr>
      </w:pPr>
    </w:p>
    <w:p w14:paraId="0D019EC3" w14:textId="77777777" w:rsidR="001705D5" w:rsidRPr="001705D5" w:rsidRDefault="001705D5" w:rsidP="001705D5">
      <w:pPr>
        <w:jc w:val="center"/>
        <w:rPr>
          <w:rFonts w:ascii="Times New Roman" w:hAnsi="Times New Roman" w:cs="Times New Roman"/>
        </w:rPr>
      </w:pPr>
    </w:p>
    <w:p w14:paraId="43756C70" w14:textId="77777777" w:rsidR="001705D5" w:rsidRPr="001705D5" w:rsidRDefault="001705D5" w:rsidP="001705D5">
      <w:pPr>
        <w:jc w:val="center"/>
        <w:rPr>
          <w:rFonts w:ascii="Times New Roman" w:hAnsi="Times New Roman" w:cs="Times New Roman"/>
          <w:sz w:val="24"/>
          <w:szCs w:val="24"/>
        </w:rPr>
      </w:pPr>
      <w:r w:rsidRPr="001705D5">
        <w:rPr>
          <w:rFonts w:ascii="Times New Roman" w:hAnsi="Times New Roman" w:cs="Times New Roman"/>
          <w:sz w:val="24"/>
          <w:szCs w:val="24"/>
        </w:rPr>
        <w:t>Emotional Intelligence and Mindfulness in the Modern Workplace</w:t>
      </w:r>
    </w:p>
    <w:p w14:paraId="7B246C28" w14:textId="77777777" w:rsidR="001705D5" w:rsidRPr="001705D5" w:rsidRDefault="001705D5" w:rsidP="001705D5">
      <w:pPr>
        <w:jc w:val="center"/>
        <w:rPr>
          <w:rFonts w:ascii="Times New Roman" w:hAnsi="Times New Roman" w:cs="Times New Roman"/>
          <w:sz w:val="24"/>
          <w:szCs w:val="24"/>
        </w:rPr>
      </w:pPr>
    </w:p>
    <w:p w14:paraId="62C41684" w14:textId="77777777" w:rsidR="00F41A15" w:rsidRPr="001705D5" w:rsidRDefault="00F41A15">
      <w:pPr>
        <w:rPr>
          <w:rFonts w:ascii="Times New Roman" w:hAnsi="Times New Roman" w:cs="Times New Roman"/>
          <w:lang w:val="nl-NL"/>
        </w:rPr>
      </w:pPr>
    </w:p>
    <w:p w14:paraId="29B81DEE" w14:textId="77777777" w:rsidR="001705D5" w:rsidRPr="001705D5" w:rsidRDefault="001705D5" w:rsidP="001705D5">
      <w:pPr>
        <w:rPr>
          <w:rFonts w:ascii="Times New Roman" w:hAnsi="Times New Roman" w:cs="Times New Roman"/>
          <w:lang w:val="nl-NL"/>
        </w:rPr>
      </w:pPr>
    </w:p>
    <w:p w14:paraId="7DE9BB70" w14:textId="77777777" w:rsidR="001705D5" w:rsidRPr="001705D5" w:rsidRDefault="001705D5" w:rsidP="001705D5">
      <w:pPr>
        <w:rPr>
          <w:rFonts w:ascii="Times New Roman" w:hAnsi="Times New Roman" w:cs="Times New Roman"/>
          <w:lang w:val="nl-NL"/>
        </w:rPr>
      </w:pPr>
    </w:p>
    <w:p w14:paraId="527FA959" w14:textId="77777777" w:rsidR="001705D5" w:rsidRPr="001705D5" w:rsidRDefault="001705D5" w:rsidP="001705D5">
      <w:pPr>
        <w:rPr>
          <w:rFonts w:ascii="Times New Roman" w:hAnsi="Times New Roman" w:cs="Times New Roman"/>
          <w:lang w:val="nl-NL"/>
        </w:rPr>
      </w:pPr>
    </w:p>
    <w:p w14:paraId="75BFD33F" w14:textId="77777777" w:rsidR="001705D5" w:rsidRPr="001705D5" w:rsidRDefault="001705D5" w:rsidP="001705D5">
      <w:pPr>
        <w:rPr>
          <w:rFonts w:ascii="Times New Roman" w:hAnsi="Times New Roman" w:cs="Times New Roman"/>
          <w:lang w:val="nl-NL"/>
        </w:rPr>
      </w:pPr>
    </w:p>
    <w:p w14:paraId="43C33A4F" w14:textId="77777777" w:rsidR="001705D5" w:rsidRPr="001705D5" w:rsidRDefault="001705D5" w:rsidP="001705D5">
      <w:pPr>
        <w:rPr>
          <w:rFonts w:ascii="Times New Roman" w:hAnsi="Times New Roman" w:cs="Times New Roman"/>
          <w:lang w:val="nl-NL"/>
        </w:rPr>
      </w:pPr>
    </w:p>
    <w:p w14:paraId="3B848096" w14:textId="77777777" w:rsidR="001705D5" w:rsidRPr="001705D5" w:rsidRDefault="001705D5" w:rsidP="001705D5">
      <w:pPr>
        <w:rPr>
          <w:rFonts w:ascii="Times New Roman" w:hAnsi="Times New Roman" w:cs="Times New Roman"/>
          <w:lang w:val="nl-NL"/>
        </w:rPr>
      </w:pPr>
    </w:p>
    <w:p w14:paraId="432BEFD6" w14:textId="77777777" w:rsidR="001705D5" w:rsidRPr="001705D5" w:rsidRDefault="001705D5" w:rsidP="001705D5">
      <w:pPr>
        <w:rPr>
          <w:rFonts w:ascii="Times New Roman" w:hAnsi="Times New Roman" w:cs="Times New Roman"/>
          <w:lang w:val="nl-NL"/>
        </w:rPr>
      </w:pPr>
    </w:p>
    <w:p w14:paraId="6D45B09B" w14:textId="059E8922" w:rsidR="00442F96" w:rsidRDefault="00442F96" w:rsidP="00442F96">
      <w:pPr>
        <w:pStyle w:val="Heading1"/>
      </w:pPr>
      <w:r>
        <w:t>Word count: 2</w:t>
      </w:r>
      <w:r>
        <w:t>89</w:t>
      </w:r>
      <w:r>
        <w:t>1</w:t>
      </w:r>
    </w:p>
    <w:p w14:paraId="21BE5D85" w14:textId="77777777" w:rsidR="001705D5" w:rsidRPr="001705D5" w:rsidRDefault="001705D5" w:rsidP="001705D5">
      <w:pPr>
        <w:rPr>
          <w:rFonts w:ascii="Times New Roman" w:hAnsi="Times New Roman" w:cs="Times New Roman"/>
          <w:lang w:val="nl-NL"/>
        </w:rPr>
      </w:pPr>
    </w:p>
    <w:p w14:paraId="3E1970BB" w14:textId="77777777" w:rsidR="001705D5" w:rsidRPr="001705D5" w:rsidRDefault="001705D5" w:rsidP="001705D5">
      <w:pPr>
        <w:rPr>
          <w:rFonts w:ascii="Times New Roman" w:hAnsi="Times New Roman" w:cs="Times New Roman"/>
          <w:lang w:val="nl-NL"/>
        </w:rPr>
      </w:pPr>
    </w:p>
    <w:p w14:paraId="24FA02C4" w14:textId="77777777" w:rsidR="001705D5" w:rsidRPr="001705D5" w:rsidRDefault="001705D5" w:rsidP="001705D5">
      <w:pPr>
        <w:rPr>
          <w:rFonts w:ascii="Times New Roman" w:hAnsi="Times New Roman" w:cs="Times New Roman"/>
          <w:lang w:val="nl-NL"/>
        </w:rPr>
      </w:pPr>
    </w:p>
    <w:p w14:paraId="54BB2008" w14:textId="77777777" w:rsidR="001705D5" w:rsidRPr="001705D5" w:rsidRDefault="001705D5" w:rsidP="001705D5">
      <w:pPr>
        <w:rPr>
          <w:rFonts w:ascii="Times New Roman" w:hAnsi="Times New Roman" w:cs="Times New Roman"/>
          <w:lang w:val="nl-NL"/>
        </w:rPr>
      </w:pPr>
    </w:p>
    <w:p w14:paraId="16A2BE81" w14:textId="77777777" w:rsidR="001705D5" w:rsidRPr="001705D5" w:rsidRDefault="001705D5" w:rsidP="001705D5">
      <w:pPr>
        <w:rPr>
          <w:rFonts w:ascii="Times New Roman" w:hAnsi="Times New Roman" w:cs="Times New Roman"/>
          <w:lang w:val="nl-NL"/>
        </w:rPr>
      </w:pPr>
    </w:p>
    <w:p w14:paraId="66CB9C53" w14:textId="77777777" w:rsidR="001705D5" w:rsidRPr="001705D5" w:rsidRDefault="001705D5" w:rsidP="001705D5">
      <w:pPr>
        <w:rPr>
          <w:rFonts w:ascii="Times New Roman" w:hAnsi="Times New Roman" w:cs="Times New Roman"/>
          <w:lang w:val="nl-NL"/>
        </w:rPr>
      </w:pPr>
    </w:p>
    <w:p w14:paraId="23A03C26" w14:textId="77777777" w:rsidR="001705D5" w:rsidRPr="001705D5" w:rsidRDefault="001705D5" w:rsidP="001705D5">
      <w:pPr>
        <w:rPr>
          <w:rFonts w:ascii="Times New Roman" w:hAnsi="Times New Roman" w:cs="Times New Roman"/>
          <w:lang w:val="nl-NL"/>
        </w:rPr>
      </w:pPr>
    </w:p>
    <w:p w14:paraId="39407664" w14:textId="77777777" w:rsidR="001705D5" w:rsidRPr="001705D5" w:rsidRDefault="001705D5" w:rsidP="001705D5">
      <w:pPr>
        <w:rPr>
          <w:rFonts w:ascii="Times New Roman" w:hAnsi="Times New Roman" w:cs="Times New Roman"/>
          <w:lang w:val="nl-NL"/>
        </w:rPr>
      </w:pPr>
    </w:p>
    <w:p w14:paraId="63C08656" w14:textId="77777777" w:rsidR="001705D5" w:rsidRPr="001705D5" w:rsidRDefault="001705D5" w:rsidP="001705D5">
      <w:pPr>
        <w:rPr>
          <w:rFonts w:ascii="Times New Roman" w:hAnsi="Times New Roman" w:cs="Times New Roman"/>
          <w:lang w:val="nl-NL"/>
        </w:rPr>
      </w:pPr>
    </w:p>
    <w:sdt>
      <w:sdtPr>
        <w:rPr>
          <w:rFonts w:ascii="Arial" w:eastAsia="Arial" w:hAnsi="Arial" w:cs="Arial"/>
          <w:color w:val="auto"/>
          <w:sz w:val="22"/>
          <w:szCs w:val="22"/>
          <w:lang w:val="en-GB" w:eastAsia="en-GB"/>
        </w:rPr>
        <w:id w:val="-2111726875"/>
        <w:docPartObj>
          <w:docPartGallery w:val="Table of Contents"/>
          <w:docPartUnique/>
        </w:docPartObj>
      </w:sdtPr>
      <w:sdtEndPr>
        <w:rPr>
          <w:b/>
          <w:bCs/>
          <w:noProof/>
        </w:rPr>
      </w:sdtEndPr>
      <w:sdtContent>
        <w:p w14:paraId="1CCBA2F6" w14:textId="21547B77" w:rsidR="001705D5" w:rsidRDefault="001705D5">
          <w:pPr>
            <w:pStyle w:val="TOCHeading"/>
          </w:pPr>
          <w:r>
            <w:t>Contents</w:t>
          </w:r>
        </w:p>
        <w:p w14:paraId="0577DDFF" w14:textId="306F5F96" w:rsidR="001705D5" w:rsidRDefault="001705D5">
          <w:pPr>
            <w:pStyle w:val="TOC1"/>
            <w:tabs>
              <w:tab w:val="right" w:leader="dot" w:pos="9016"/>
            </w:tabs>
            <w:rPr>
              <w:noProof/>
            </w:rPr>
          </w:pPr>
          <w:r>
            <w:fldChar w:fldCharType="begin"/>
          </w:r>
          <w:r>
            <w:instrText xml:space="preserve"> TOC \o "1-3" \h \z \u </w:instrText>
          </w:r>
          <w:r>
            <w:fldChar w:fldCharType="separate"/>
          </w:r>
          <w:hyperlink w:anchor="_Toc228405944" w:history="1">
            <w:r w:rsidRPr="000612DB">
              <w:rPr>
                <w:rStyle w:val="Hyperlink"/>
                <w:rFonts w:cs="Times New Roman"/>
                <w:bCs/>
                <w:noProof/>
              </w:rPr>
              <w:t>1. Introduction</w:t>
            </w:r>
            <w:r>
              <w:rPr>
                <w:noProof/>
                <w:webHidden/>
              </w:rPr>
              <w:tab/>
            </w:r>
            <w:r w:rsidR="004745E2">
              <w:rPr>
                <w:noProof/>
                <w:webHidden/>
              </w:rPr>
              <w:t>3</w:t>
            </w:r>
          </w:hyperlink>
        </w:p>
        <w:p w14:paraId="628C24F3" w14:textId="54AB8431" w:rsidR="001705D5" w:rsidRDefault="001705D5">
          <w:pPr>
            <w:pStyle w:val="TOC1"/>
            <w:tabs>
              <w:tab w:val="right" w:leader="dot" w:pos="9016"/>
            </w:tabs>
            <w:rPr>
              <w:noProof/>
            </w:rPr>
          </w:pPr>
          <w:hyperlink w:anchor="_Toc228405945" w:history="1">
            <w:r w:rsidRPr="000612DB">
              <w:rPr>
                <w:rStyle w:val="Hyperlink"/>
                <w:rFonts w:cs="Times New Roman"/>
                <w:bCs/>
                <w:noProof/>
              </w:rPr>
              <w:t>2. Emotional Intelligence Components in the Workplace</w:t>
            </w:r>
            <w:r>
              <w:rPr>
                <w:noProof/>
                <w:webHidden/>
              </w:rPr>
              <w:tab/>
            </w:r>
            <w:r w:rsidR="004745E2">
              <w:rPr>
                <w:noProof/>
                <w:webHidden/>
              </w:rPr>
              <w:t>3</w:t>
            </w:r>
          </w:hyperlink>
        </w:p>
        <w:p w14:paraId="357269A7" w14:textId="088C4E7E" w:rsidR="001705D5" w:rsidRDefault="001705D5">
          <w:pPr>
            <w:pStyle w:val="TOC2"/>
            <w:tabs>
              <w:tab w:val="right" w:leader="dot" w:pos="9016"/>
            </w:tabs>
            <w:rPr>
              <w:noProof/>
            </w:rPr>
          </w:pPr>
          <w:hyperlink w:anchor="_Toc228405946" w:history="1">
            <w:r w:rsidRPr="000612DB">
              <w:rPr>
                <w:rStyle w:val="Hyperlink"/>
                <w:rFonts w:cs="Times New Roman"/>
                <w:bCs/>
                <w:noProof/>
              </w:rPr>
              <w:t>2.1 Self-awareness as the Foundation</w:t>
            </w:r>
            <w:r>
              <w:rPr>
                <w:noProof/>
                <w:webHidden/>
              </w:rPr>
              <w:tab/>
            </w:r>
            <w:r w:rsidR="004745E2">
              <w:rPr>
                <w:noProof/>
                <w:webHidden/>
              </w:rPr>
              <w:t>4</w:t>
            </w:r>
          </w:hyperlink>
        </w:p>
        <w:p w14:paraId="014BEA50" w14:textId="268BE3F9" w:rsidR="001705D5" w:rsidRDefault="001705D5">
          <w:pPr>
            <w:pStyle w:val="TOC2"/>
            <w:tabs>
              <w:tab w:val="right" w:leader="dot" w:pos="9016"/>
            </w:tabs>
            <w:rPr>
              <w:noProof/>
            </w:rPr>
          </w:pPr>
          <w:hyperlink w:anchor="_Toc228405947" w:history="1">
            <w:r w:rsidRPr="000612DB">
              <w:rPr>
                <w:rStyle w:val="Hyperlink"/>
                <w:rFonts w:cs="Times New Roman"/>
                <w:bCs/>
                <w:noProof/>
              </w:rPr>
              <w:t>2.2 Self-regulation and Emotional Labour</w:t>
            </w:r>
            <w:r>
              <w:rPr>
                <w:noProof/>
                <w:webHidden/>
              </w:rPr>
              <w:tab/>
            </w:r>
            <w:r w:rsidR="004745E2">
              <w:rPr>
                <w:noProof/>
                <w:webHidden/>
              </w:rPr>
              <w:t>4</w:t>
            </w:r>
          </w:hyperlink>
        </w:p>
        <w:p w14:paraId="5868ACD8" w14:textId="50F1EC38" w:rsidR="001705D5" w:rsidRDefault="001705D5">
          <w:pPr>
            <w:pStyle w:val="TOC2"/>
            <w:tabs>
              <w:tab w:val="right" w:leader="dot" w:pos="9016"/>
            </w:tabs>
            <w:rPr>
              <w:noProof/>
            </w:rPr>
          </w:pPr>
          <w:hyperlink w:anchor="_Toc228405948" w:history="1">
            <w:r w:rsidRPr="000612DB">
              <w:rPr>
                <w:rStyle w:val="Hyperlink"/>
                <w:rFonts w:cs="Times New Roman"/>
                <w:bCs/>
                <w:noProof/>
              </w:rPr>
              <w:t>2.3 Motivation, Empathy and Social Skills</w:t>
            </w:r>
            <w:r>
              <w:rPr>
                <w:noProof/>
                <w:webHidden/>
              </w:rPr>
              <w:tab/>
            </w:r>
            <w:r w:rsidR="004745E2">
              <w:rPr>
                <w:noProof/>
                <w:webHidden/>
              </w:rPr>
              <w:t>5</w:t>
            </w:r>
          </w:hyperlink>
        </w:p>
        <w:p w14:paraId="42BBB3A2" w14:textId="56D4673E" w:rsidR="001705D5" w:rsidRDefault="001705D5">
          <w:pPr>
            <w:pStyle w:val="TOC2"/>
            <w:tabs>
              <w:tab w:val="right" w:leader="dot" w:pos="9016"/>
            </w:tabs>
            <w:rPr>
              <w:noProof/>
            </w:rPr>
          </w:pPr>
          <w:hyperlink w:anchor="_Toc228405949" w:history="1">
            <w:r w:rsidRPr="000612DB">
              <w:rPr>
                <w:rStyle w:val="Hyperlink"/>
                <w:rFonts w:cs="Times New Roman"/>
                <w:bCs/>
                <w:noProof/>
              </w:rPr>
              <w:t>2.4 Mindfulness as an EI Enhancer</w:t>
            </w:r>
            <w:r>
              <w:rPr>
                <w:noProof/>
                <w:webHidden/>
              </w:rPr>
              <w:tab/>
            </w:r>
            <w:r w:rsidR="004745E2">
              <w:rPr>
                <w:noProof/>
                <w:webHidden/>
              </w:rPr>
              <w:t>6</w:t>
            </w:r>
          </w:hyperlink>
        </w:p>
        <w:p w14:paraId="35E73900" w14:textId="15A90248" w:rsidR="001705D5" w:rsidRDefault="001705D5">
          <w:pPr>
            <w:pStyle w:val="TOC1"/>
            <w:tabs>
              <w:tab w:val="right" w:leader="dot" w:pos="9016"/>
            </w:tabs>
            <w:rPr>
              <w:noProof/>
            </w:rPr>
          </w:pPr>
          <w:hyperlink w:anchor="_Toc228405950" w:history="1">
            <w:r w:rsidRPr="000612DB">
              <w:rPr>
                <w:rStyle w:val="Hyperlink"/>
                <w:rFonts w:cs="Times New Roman"/>
                <w:bCs/>
                <w:noProof/>
              </w:rPr>
              <w:t>3. Generational Differences and Emotional Intelligence in Recruitment</w:t>
            </w:r>
            <w:r>
              <w:rPr>
                <w:noProof/>
                <w:webHidden/>
              </w:rPr>
              <w:tab/>
            </w:r>
            <w:r w:rsidR="004745E2">
              <w:rPr>
                <w:noProof/>
                <w:webHidden/>
              </w:rPr>
              <w:t>6</w:t>
            </w:r>
          </w:hyperlink>
        </w:p>
        <w:p w14:paraId="0282851A" w14:textId="372E3F17" w:rsidR="001705D5" w:rsidRDefault="001705D5">
          <w:pPr>
            <w:pStyle w:val="TOC2"/>
            <w:tabs>
              <w:tab w:val="right" w:leader="dot" w:pos="9016"/>
            </w:tabs>
            <w:rPr>
              <w:noProof/>
            </w:rPr>
          </w:pPr>
          <w:hyperlink w:anchor="_Toc228405951" w:history="1">
            <w:r w:rsidRPr="000612DB">
              <w:rPr>
                <w:rStyle w:val="Hyperlink"/>
                <w:rFonts w:cs="Times New Roman"/>
                <w:bCs/>
                <w:noProof/>
              </w:rPr>
              <w:t>3.1 Generation X: Pragmatic Resilience</w:t>
            </w:r>
            <w:r>
              <w:rPr>
                <w:noProof/>
                <w:webHidden/>
              </w:rPr>
              <w:tab/>
            </w:r>
            <w:r w:rsidR="004745E2">
              <w:rPr>
                <w:noProof/>
                <w:webHidden/>
              </w:rPr>
              <w:t>7</w:t>
            </w:r>
          </w:hyperlink>
        </w:p>
        <w:p w14:paraId="6438F096" w14:textId="543161CD" w:rsidR="001705D5" w:rsidRDefault="001705D5">
          <w:pPr>
            <w:pStyle w:val="TOC2"/>
            <w:tabs>
              <w:tab w:val="right" w:leader="dot" w:pos="9016"/>
            </w:tabs>
            <w:rPr>
              <w:noProof/>
            </w:rPr>
          </w:pPr>
          <w:hyperlink w:anchor="_Toc228405952" w:history="1">
            <w:r w:rsidRPr="000612DB">
              <w:rPr>
                <w:rStyle w:val="Hyperlink"/>
                <w:rFonts w:cs="Times New Roman"/>
                <w:bCs/>
                <w:noProof/>
              </w:rPr>
              <w:t>3.2 Generation Y (Millennials): Purpose-driven Empathy</w:t>
            </w:r>
            <w:r>
              <w:rPr>
                <w:noProof/>
                <w:webHidden/>
              </w:rPr>
              <w:tab/>
            </w:r>
            <w:r w:rsidR="004745E2">
              <w:rPr>
                <w:noProof/>
                <w:webHidden/>
              </w:rPr>
              <w:t>7</w:t>
            </w:r>
          </w:hyperlink>
        </w:p>
        <w:p w14:paraId="7772A8E5" w14:textId="60B8B932" w:rsidR="001705D5" w:rsidRDefault="001705D5">
          <w:pPr>
            <w:pStyle w:val="TOC2"/>
            <w:tabs>
              <w:tab w:val="right" w:leader="dot" w:pos="9016"/>
            </w:tabs>
            <w:rPr>
              <w:noProof/>
            </w:rPr>
          </w:pPr>
          <w:hyperlink w:anchor="_Toc228405953" w:history="1">
            <w:r w:rsidRPr="000612DB">
              <w:rPr>
                <w:rStyle w:val="Hyperlink"/>
                <w:rFonts w:cs="Times New Roman"/>
                <w:bCs/>
                <w:noProof/>
              </w:rPr>
              <w:t>3.3 Generation Z: Digital Natives with Emotional Openness</w:t>
            </w:r>
            <w:r>
              <w:rPr>
                <w:noProof/>
                <w:webHidden/>
              </w:rPr>
              <w:tab/>
            </w:r>
            <w:r w:rsidR="004745E2">
              <w:rPr>
                <w:noProof/>
                <w:webHidden/>
              </w:rPr>
              <w:t>8</w:t>
            </w:r>
          </w:hyperlink>
        </w:p>
        <w:p w14:paraId="04C65A72" w14:textId="5449758B" w:rsidR="001705D5" w:rsidRDefault="001705D5">
          <w:pPr>
            <w:pStyle w:val="TOC2"/>
            <w:tabs>
              <w:tab w:val="right" w:leader="dot" w:pos="9016"/>
            </w:tabs>
            <w:rPr>
              <w:noProof/>
            </w:rPr>
          </w:pPr>
          <w:hyperlink w:anchor="_Toc228405954" w:history="1">
            <w:r w:rsidRPr="000612DB">
              <w:rPr>
                <w:rStyle w:val="Hyperlink"/>
                <w:rFonts w:cs="Times New Roman"/>
                <w:bCs/>
                <w:noProof/>
              </w:rPr>
              <w:t>3.4 Managing Cross-generational EI Dynamics</w:t>
            </w:r>
            <w:r>
              <w:rPr>
                <w:noProof/>
                <w:webHidden/>
              </w:rPr>
              <w:tab/>
            </w:r>
            <w:r w:rsidR="004745E2">
              <w:rPr>
                <w:noProof/>
                <w:webHidden/>
              </w:rPr>
              <w:t>9</w:t>
            </w:r>
          </w:hyperlink>
        </w:p>
        <w:p w14:paraId="488887A1" w14:textId="5DDAD140" w:rsidR="001705D5" w:rsidRDefault="001705D5">
          <w:pPr>
            <w:pStyle w:val="TOC1"/>
            <w:tabs>
              <w:tab w:val="right" w:leader="dot" w:pos="9016"/>
            </w:tabs>
            <w:rPr>
              <w:noProof/>
            </w:rPr>
          </w:pPr>
          <w:hyperlink w:anchor="_Toc228405955" w:history="1">
            <w:r w:rsidRPr="000612DB">
              <w:rPr>
                <w:rStyle w:val="Hyperlink"/>
                <w:rFonts w:cs="Times New Roman"/>
                <w:bCs/>
                <w:noProof/>
              </w:rPr>
              <w:t>4. Conclusion and Recommendations</w:t>
            </w:r>
            <w:r>
              <w:rPr>
                <w:noProof/>
                <w:webHidden/>
              </w:rPr>
              <w:tab/>
            </w:r>
            <w:r w:rsidR="004745E2">
              <w:rPr>
                <w:noProof/>
                <w:webHidden/>
              </w:rPr>
              <w:t>10</w:t>
            </w:r>
          </w:hyperlink>
        </w:p>
        <w:p w14:paraId="38C7F884" w14:textId="765CE464" w:rsidR="001705D5" w:rsidRDefault="001705D5">
          <w:pPr>
            <w:pStyle w:val="TOC1"/>
            <w:tabs>
              <w:tab w:val="right" w:leader="dot" w:pos="9016"/>
            </w:tabs>
            <w:rPr>
              <w:noProof/>
            </w:rPr>
          </w:pPr>
          <w:hyperlink w:anchor="_Toc228405956" w:history="1">
            <w:r w:rsidRPr="000612DB">
              <w:rPr>
                <w:rStyle w:val="Hyperlink"/>
                <w:rFonts w:cs="Times New Roman"/>
                <w:bCs/>
                <w:noProof/>
              </w:rPr>
              <w:t>5. References</w:t>
            </w:r>
            <w:r>
              <w:rPr>
                <w:noProof/>
                <w:webHidden/>
              </w:rPr>
              <w:tab/>
            </w:r>
            <w:r>
              <w:rPr>
                <w:noProof/>
                <w:webHidden/>
              </w:rPr>
              <w:fldChar w:fldCharType="begin"/>
            </w:r>
            <w:r>
              <w:rPr>
                <w:noProof/>
                <w:webHidden/>
              </w:rPr>
              <w:instrText xml:space="preserve"> PAGEREF _Toc228405956 \h </w:instrText>
            </w:r>
            <w:r>
              <w:rPr>
                <w:noProof/>
                <w:webHidden/>
              </w:rPr>
            </w:r>
            <w:r>
              <w:rPr>
                <w:noProof/>
                <w:webHidden/>
              </w:rPr>
              <w:fldChar w:fldCharType="separate"/>
            </w:r>
            <w:r>
              <w:rPr>
                <w:noProof/>
                <w:webHidden/>
              </w:rPr>
              <w:t>1</w:t>
            </w:r>
            <w:r w:rsidR="004745E2">
              <w:rPr>
                <w:noProof/>
                <w:webHidden/>
              </w:rPr>
              <w:t>1</w:t>
            </w:r>
            <w:r>
              <w:rPr>
                <w:noProof/>
                <w:webHidden/>
              </w:rPr>
              <w:fldChar w:fldCharType="end"/>
            </w:r>
          </w:hyperlink>
        </w:p>
        <w:p w14:paraId="4B3787EA" w14:textId="7F4BFDCC" w:rsidR="001705D5" w:rsidRDefault="001705D5">
          <w:r>
            <w:rPr>
              <w:b/>
              <w:bCs/>
              <w:noProof/>
            </w:rPr>
            <w:fldChar w:fldCharType="end"/>
          </w:r>
        </w:p>
      </w:sdtContent>
    </w:sdt>
    <w:p w14:paraId="374C36BF" w14:textId="77777777" w:rsidR="001705D5" w:rsidRDefault="001705D5" w:rsidP="001705D5">
      <w:pPr>
        <w:rPr>
          <w:rFonts w:ascii="Times New Roman" w:hAnsi="Times New Roman" w:cs="Times New Roman"/>
          <w:lang w:val="nl-NL"/>
        </w:rPr>
      </w:pPr>
    </w:p>
    <w:p w14:paraId="767829F3" w14:textId="77777777" w:rsidR="001705D5" w:rsidRDefault="001705D5" w:rsidP="001705D5">
      <w:pPr>
        <w:rPr>
          <w:rFonts w:ascii="Times New Roman" w:hAnsi="Times New Roman" w:cs="Times New Roman"/>
          <w:lang w:val="nl-NL"/>
        </w:rPr>
      </w:pPr>
    </w:p>
    <w:p w14:paraId="2063D65A" w14:textId="77777777" w:rsidR="001705D5" w:rsidRDefault="001705D5" w:rsidP="001705D5">
      <w:pPr>
        <w:rPr>
          <w:rFonts w:ascii="Times New Roman" w:hAnsi="Times New Roman" w:cs="Times New Roman"/>
          <w:lang w:val="nl-NL"/>
        </w:rPr>
      </w:pPr>
    </w:p>
    <w:p w14:paraId="251A9405" w14:textId="77777777" w:rsidR="001705D5" w:rsidRDefault="001705D5" w:rsidP="001705D5">
      <w:pPr>
        <w:rPr>
          <w:rFonts w:ascii="Times New Roman" w:hAnsi="Times New Roman" w:cs="Times New Roman"/>
          <w:lang w:val="nl-NL"/>
        </w:rPr>
      </w:pPr>
    </w:p>
    <w:p w14:paraId="1D0674B6" w14:textId="77777777" w:rsidR="001705D5" w:rsidRDefault="001705D5" w:rsidP="001705D5">
      <w:pPr>
        <w:rPr>
          <w:rFonts w:ascii="Times New Roman" w:hAnsi="Times New Roman" w:cs="Times New Roman"/>
          <w:lang w:val="nl-NL"/>
        </w:rPr>
      </w:pPr>
    </w:p>
    <w:p w14:paraId="03764953" w14:textId="77777777" w:rsidR="001705D5" w:rsidRDefault="001705D5" w:rsidP="001705D5">
      <w:pPr>
        <w:rPr>
          <w:rFonts w:ascii="Times New Roman" w:hAnsi="Times New Roman" w:cs="Times New Roman"/>
          <w:lang w:val="nl-NL"/>
        </w:rPr>
      </w:pPr>
    </w:p>
    <w:p w14:paraId="2ED01619" w14:textId="77777777" w:rsidR="001705D5" w:rsidRDefault="001705D5" w:rsidP="001705D5">
      <w:pPr>
        <w:rPr>
          <w:rFonts w:ascii="Times New Roman" w:hAnsi="Times New Roman" w:cs="Times New Roman"/>
          <w:lang w:val="nl-NL"/>
        </w:rPr>
      </w:pPr>
    </w:p>
    <w:p w14:paraId="2DC662B1" w14:textId="77777777" w:rsidR="001705D5" w:rsidRDefault="001705D5" w:rsidP="001705D5">
      <w:pPr>
        <w:rPr>
          <w:rFonts w:ascii="Times New Roman" w:hAnsi="Times New Roman" w:cs="Times New Roman"/>
          <w:lang w:val="nl-NL"/>
        </w:rPr>
      </w:pPr>
    </w:p>
    <w:p w14:paraId="516D3A69" w14:textId="77777777" w:rsidR="001705D5" w:rsidRDefault="001705D5" w:rsidP="001705D5">
      <w:pPr>
        <w:rPr>
          <w:rFonts w:ascii="Times New Roman" w:hAnsi="Times New Roman" w:cs="Times New Roman"/>
          <w:lang w:val="nl-NL"/>
        </w:rPr>
      </w:pPr>
    </w:p>
    <w:p w14:paraId="0CA5F072" w14:textId="77777777" w:rsidR="001705D5" w:rsidRDefault="001705D5" w:rsidP="001705D5">
      <w:pPr>
        <w:rPr>
          <w:rFonts w:ascii="Times New Roman" w:hAnsi="Times New Roman" w:cs="Times New Roman"/>
          <w:lang w:val="nl-NL"/>
        </w:rPr>
      </w:pPr>
    </w:p>
    <w:p w14:paraId="607D9C42" w14:textId="77777777" w:rsidR="001705D5" w:rsidRDefault="001705D5" w:rsidP="001705D5">
      <w:pPr>
        <w:rPr>
          <w:rFonts w:ascii="Times New Roman" w:hAnsi="Times New Roman" w:cs="Times New Roman"/>
          <w:lang w:val="nl-NL"/>
        </w:rPr>
      </w:pPr>
    </w:p>
    <w:p w14:paraId="37C66BE3" w14:textId="77777777" w:rsidR="001705D5" w:rsidRDefault="001705D5" w:rsidP="001705D5">
      <w:pPr>
        <w:rPr>
          <w:rFonts w:ascii="Times New Roman" w:hAnsi="Times New Roman" w:cs="Times New Roman"/>
          <w:lang w:val="nl-NL"/>
        </w:rPr>
      </w:pPr>
    </w:p>
    <w:p w14:paraId="0DAB21B3" w14:textId="77777777" w:rsidR="001705D5" w:rsidRDefault="001705D5" w:rsidP="001705D5">
      <w:pPr>
        <w:rPr>
          <w:rFonts w:ascii="Times New Roman" w:hAnsi="Times New Roman" w:cs="Times New Roman"/>
          <w:lang w:val="nl-NL"/>
        </w:rPr>
      </w:pPr>
    </w:p>
    <w:p w14:paraId="098F6CBA" w14:textId="77777777" w:rsidR="001705D5" w:rsidRDefault="001705D5" w:rsidP="001705D5">
      <w:pPr>
        <w:rPr>
          <w:rFonts w:ascii="Times New Roman" w:hAnsi="Times New Roman" w:cs="Times New Roman"/>
          <w:lang w:val="nl-NL"/>
        </w:rPr>
      </w:pPr>
    </w:p>
    <w:p w14:paraId="77184F7A" w14:textId="77777777" w:rsidR="001705D5" w:rsidRDefault="001705D5" w:rsidP="001705D5">
      <w:pPr>
        <w:rPr>
          <w:rFonts w:ascii="Times New Roman" w:hAnsi="Times New Roman" w:cs="Times New Roman"/>
          <w:lang w:val="nl-NL"/>
        </w:rPr>
      </w:pPr>
    </w:p>
    <w:p w14:paraId="7DDC6957" w14:textId="77777777" w:rsidR="001705D5" w:rsidRDefault="001705D5" w:rsidP="001705D5">
      <w:pPr>
        <w:rPr>
          <w:rFonts w:ascii="Times New Roman" w:hAnsi="Times New Roman" w:cs="Times New Roman"/>
          <w:lang w:val="nl-NL"/>
        </w:rPr>
      </w:pPr>
    </w:p>
    <w:p w14:paraId="31E6DFD4" w14:textId="77777777" w:rsidR="001705D5" w:rsidRDefault="001705D5" w:rsidP="001705D5">
      <w:pPr>
        <w:rPr>
          <w:rFonts w:ascii="Times New Roman" w:hAnsi="Times New Roman" w:cs="Times New Roman"/>
          <w:lang w:val="nl-NL"/>
        </w:rPr>
      </w:pPr>
    </w:p>
    <w:p w14:paraId="1AE789EF" w14:textId="77777777" w:rsidR="001705D5" w:rsidRDefault="001705D5" w:rsidP="001705D5">
      <w:pPr>
        <w:rPr>
          <w:rFonts w:ascii="Times New Roman" w:hAnsi="Times New Roman" w:cs="Times New Roman"/>
          <w:lang w:val="nl-NL"/>
        </w:rPr>
      </w:pPr>
    </w:p>
    <w:p w14:paraId="7682092B" w14:textId="77777777" w:rsidR="001705D5" w:rsidRDefault="001705D5" w:rsidP="001705D5">
      <w:pPr>
        <w:rPr>
          <w:rFonts w:ascii="Times New Roman" w:hAnsi="Times New Roman" w:cs="Times New Roman"/>
          <w:lang w:val="nl-NL"/>
        </w:rPr>
      </w:pPr>
    </w:p>
    <w:p w14:paraId="172DF4EC" w14:textId="77777777" w:rsidR="001705D5" w:rsidRDefault="001705D5" w:rsidP="001705D5">
      <w:pPr>
        <w:rPr>
          <w:rFonts w:ascii="Times New Roman" w:hAnsi="Times New Roman" w:cs="Times New Roman"/>
          <w:lang w:val="nl-NL"/>
        </w:rPr>
      </w:pPr>
    </w:p>
    <w:p w14:paraId="4CFB8B40" w14:textId="77777777" w:rsidR="001705D5" w:rsidRDefault="001705D5" w:rsidP="001705D5">
      <w:pPr>
        <w:rPr>
          <w:rFonts w:ascii="Times New Roman" w:hAnsi="Times New Roman" w:cs="Times New Roman"/>
          <w:lang w:val="nl-NL"/>
        </w:rPr>
      </w:pPr>
    </w:p>
    <w:p w14:paraId="244D2652" w14:textId="77777777" w:rsidR="001705D5" w:rsidRDefault="001705D5" w:rsidP="001705D5">
      <w:pPr>
        <w:rPr>
          <w:rFonts w:ascii="Times New Roman" w:hAnsi="Times New Roman" w:cs="Times New Roman"/>
          <w:lang w:val="nl-NL"/>
        </w:rPr>
      </w:pPr>
    </w:p>
    <w:p w14:paraId="7BCF198A" w14:textId="77777777" w:rsidR="001705D5" w:rsidRDefault="001705D5" w:rsidP="001705D5">
      <w:pPr>
        <w:rPr>
          <w:rFonts w:ascii="Times New Roman" w:hAnsi="Times New Roman" w:cs="Times New Roman"/>
          <w:lang w:val="nl-NL"/>
        </w:rPr>
      </w:pPr>
    </w:p>
    <w:p w14:paraId="37A9D275" w14:textId="77777777" w:rsidR="001705D5" w:rsidRDefault="001705D5" w:rsidP="001705D5">
      <w:pPr>
        <w:rPr>
          <w:rFonts w:ascii="Times New Roman" w:hAnsi="Times New Roman" w:cs="Times New Roman"/>
          <w:lang w:val="nl-NL"/>
        </w:rPr>
      </w:pPr>
    </w:p>
    <w:p w14:paraId="376BFC08" w14:textId="77777777" w:rsidR="001705D5" w:rsidRDefault="001705D5" w:rsidP="001705D5">
      <w:pPr>
        <w:rPr>
          <w:rFonts w:ascii="Times New Roman" w:hAnsi="Times New Roman" w:cs="Times New Roman"/>
          <w:lang w:val="nl-NL"/>
        </w:rPr>
      </w:pPr>
    </w:p>
    <w:p w14:paraId="4736B9AB" w14:textId="77777777" w:rsidR="001705D5" w:rsidRDefault="001705D5" w:rsidP="001705D5">
      <w:pPr>
        <w:rPr>
          <w:rFonts w:ascii="Times New Roman" w:hAnsi="Times New Roman" w:cs="Times New Roman"/>
          <w:lang w:val="nl-NL"/>
        </w:rPr>
      </w:pPr>
    </w:p>
    <w:p w14:paraId="06DBB777" w14:textId="77777777" w:rsidR="001705D5" w:rsidRPr="001705D5" w:rsidRDefault="001705D5" w:rsidP="001705D5">
      <w:pPr>
        <w:rPr>
          <w:rFonts w:ascii="Times New Roman" w:hAnsi="Times New Roman" w:cs="Times New Roman"/>
          <w:lang w:val="nl-NL"/>
        </w:rPr>
      </w:pPr>
    </w:p>
    <w:p w14:paraId="188EEC3B" w14:textId="77777777" w:rsidR="001705D5" w:rsidRPr="001705D5" w:rsidRDefault="001705D5" w:rsidP="001705D5">
      <w:pPr>
        <w:rPr>
          <w:rFonts w:ascii="Times New Roman" w:hAnsi="Times New Roman" w:cs="Times New Roman"/>
          <w:lang w:val="nl-NL"/>
        </w:rPr>
      </w:pPr>
    </w:p>
    <w:p w14:paraId="5D3EC7BA" w14:textId="77777777" w:rsidR="001705D5" w:rsidRPr="001705D5" w:rsidRDefault="001705D5" w:rsidP="001705D5">
      <w:pPr>
        <w:pStyle w:val="Heading1"/>
        <w:spacing w:line="360" w:lineRule="auto"/>
        <w:rPr>
          <w:rFonts w:cs="Times New Roman"/>
        </w:rPr>
      </w:pPr>
      <w:bookmarkStart w:id="0" w:name="_Toc228405944"/>
      <w:r w:rsidRPr="001705D5">
        <w:rPr>
          <w:rFonts w:eastAsia="Arial" w:cs="Times New Roman"/>
          <w:bCs/>
          <w:szCs w:val="28"/>
        </w:rPr>
        <w:lastRenderedPageBreak/>
        <w:t>1. Introduction</w:t>
      </w:r>
      <w:bookmarkEnd w:id="0"/>
    </w:p>
    <w:p w14:paraId="77076A1B"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Emotional intelligence (EI) is a critical skill in contemporary workplaces that impacts on employees' perceptions, management and responses to their own and colleagues' emotions. EI has been shown to underpin workplace adaptation and decision making (Drigas and Papoutsi, 2022) and workplaces with higher collective EI have improved team performance and reduced turnover (Sharma and Tiwari, 2024). Purposeful attention to the present moment, or mindfulness, works alongside EI to develop the cognitive control skills for regulating emotional responses in the moment (Lomas et al., 2023). Today's workforce has workers from several generations who have been influenced by different historical and digital experiences, which are reflected in their varying EI skills that managers need to recognise and incorporate (Becton et al., 2022). This report addresses the request of senior management by discussing the dimensions of EI and how they are applied at work, then how generational groups (X, Y and Z) apply different emotional skills at work, including in recruitment and team building. The report explores Goleman's model (mixed), the Mayer-Salovey-Caruso ability model and the Bar-On model, incorporating insights from retail, health care and hospitality industries. Discussion connects these concepts to workplace issues, including the author's supervisory work experience in a multilingual retail and cleaning services context. The report discusses the challenges of EI research, such as measurement (ability versus trait), and offers a structured list of recommendations to senior management.</w:t>
      </w:r>
    </w:p>
    <w:p w14:paraId="12CA1B38" w14:textId="77777777" w:rsidR="001705D5" w:rsidRPr="001705D5" w:rsidRDefault="001705D5" w:rsidP="001705D5">
      <w:pPr>
        <w:pStyle w:val="Heading1"/>
        <w:spacing w:line="360" w:lineRule="auto"/>
        <w:rPr>
          <w:rFonts w:cs="Times New Roman"/>
        </w:rPr>
      </w:pPr>
      <w:bookmarkStart w:id="1" w:name="_Toc228405945"/>
      <w:r w:rsidRPr="001705D5">
        <w:rPr>
          <w:rFonts w:eastAsia="Arial" w:cs="Times New Roman"/>
          <w:bCs/>
          <w:szCs w:val="28"/>
        </w:rPr>
        <w:t>2. Emotional Intelligence Components in the Workplace</w:t>
      </w:r>
      <w:bookmarkEnd w:id="1"/>
    </w:p>
    <w:p w14:paraId="7A4EEF87"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Workplace EI is comprised of interrelated components. Goleman's five-component model (self-awareness, self-regulation, motivation, empathy and social skills) continues to be the most widely used practitioner model, with Mayer et al. (2023) focusing on the ability view of EI, as a cognitive ability. Petrides and Mavroveli (2022) add to the debate with trait EI, conceptualised as a cluster of self-perceived emotional traits assessed by a personality questionnaire. The overlap between these models suggests workplace EI encompasses the perception of emotional information, the regulation of internal states during stressful situations and the application of emotional knowledge in interacting with others (Salovey and Mayer in MacCann et al., 2022). The Bar-On model includes additional aspects such as stress tolerance, optimism and adaptability, which according to Drigas and Papoutsi (2022) are strongly related to workplace well-being. These models cover various aspects of emotional functioning and modern practice tends to draw on various models to achieve a holistic approach. The </w:t>
      </w:r>
      <w:r w:rsidRPr="001705D5">
        <w:rPr>
          <w:rFonts w:ascii="Times New Roman" w:hAnsi="Times New Roman" w:cs="Times New Roman"/>
          <w:sz w:val="24"/>
          <w:szCs w:val="24"/>
        </w:rPr>
        <w:lastRenderedPageBreak/>
        <w:t>subsections below explore each element, presenting recent empirical studies and workplace applications from service sector settings where there are high levels of emotional labour.</w:t>
      </w:r>
    </w:p>
    <w:p w14:paraId="016D20C8" w14:textId="77777777" w:rsidR="001705D5" w:rsidRPr="001705D5" w:rsidRDefault="001705D5" w:rsidP="001705D5">
      <w:pPr>
        <w:pStyle w:val="Heading2"/>
        <w:spacing w:line="360" w:lineRule="auto"/>
        <w:rPr>
          <w:rFonts w:cs="Times New Roman"/>
        </w:rPr>
      </w:pPr>
      <w:bookmarkStart w:id="2" w:name="_Toc228405946"/>
      <w:r w:rsidRPr="001705D5">
        <w:rPr>
          <w:rFonts w:eastAsia="Arial" w:cs="Times New Roman"/>
          <w:bCs/>
          <w:szCs w:val="24"/>
        </w:rPr>
        <w:t>2.1 Self-awareness as the Foundation</w:t>
      </w:r>
      <w:bookmarkEnd w:id="2"/>
    </w:p>
    <w:p w14:paraId="00A8830E"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Self-awareness enables employees to recognise their emotional reactions and the impact of moods on performance. Drigas and Papoutsi (2022) propose a nine-step pyramid with self-awareness as the foundation of emotional development and a prerequisite for all higher functions including transcendence. Köppe et al. (2024) show that employees with high self-awareness create more accurate self-evaluations in performance appraisals, with better alignment with managers' ratings (a 28 per cent reduction in misalignment). For retail supervisors, self-awareness lets managers recognise when frustration is mounting during busy periods and before it affects their interactions with subordinates. Carden et al. (2022) report that self-awareness training using reflective journaling and 360-degree feedback have long-lasting effects (six months) in service sector workers who experience emotional labour. The cultivation of internal and external self-awareness is a critical distinction with internal self-awareness reflecting individual awareness of values and responses, and external self-awareness reflecting awareness of how others view behaviour. Boyatzis et al. (2022) demonstrate that managers with both are more effective than those with only one dimension, as they receive higher engagement ratings from their direct reports and have greater success coaching their employees in a range of team configurations.</w:t>
      </w:r>
    </w:p>
    <w:p w14:paraId="1AC1F1DD" w14:textId="77777777" w:rsidR="001705D5" w:rsidRPr="001705D5" w:rsidRDefault="001705D5" w:rsidP="001705D5">
      <w:pPr>
        <w:pStyle w:val="Heading2"/>
        <w:spacing w:line="360" w:lineRule="auto"/>
        <w:rPr>
          <w:rFonts w:cs="Times New Roman"/>
        </w:rPr>
      </w:pPr>
      <w:bookmarkStart w:id="3" w:name="_Toc228405947"/>
      <w:r w:rsidRPr="001705D5">
        <w:rPr>
          <w:rFonts w:eastAsia="Arial" w:cs="Times New Roman"/>
          <w:bCs/>
          <w:szCs w:val="24"/>
        </w:rPr>
        <w:t>2.2 Self-regulation and Emotional Labour</w:t>
      </w:r>
      <w:bookmarkEnd w:id="3"/>
    </w:p>
    <w:p w14:paraId="4E236237"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Self-regulation assures identified feelings result in beneficial behaviours. Grandey and Sayre (2023) identify two regulation techniques: surface acting (pretending expressions) and deep acting (changing feelings) with deep acting decreasing burnout and surface acting increasing exhaustion. Hülsheger et al. (2022) shows mindfulness training enhances deep acting by training attention to internal cues without acting on them. For a retail or cleaning shift supervisor with a multilingual team, self-regulation means taking time to respond to an aggressive customer complaint, and using words to de-escalate. Joseph and Newman (in Sharma and Tiwari 2024) report self-regulation is related to performance at r equals 0.34 in executive, marketing and customer service jobs, with greater predictive validity than cognitive ability. Neuroscience underpinnings of self-regulation include the prefrontal cortex regulating amygdala-based emotions that are reinforced through training and practice (Good et al., 2022). Workplace practices providing short breaks between demanding interactions sustain </w:t>
      </w:r>
      <w:r w:rsidRPr="001705D5">
        <w:rPr>
          <w:rFonts w:ascii="Times New Roman" w:hAnsi="Times New Roman" w:cs="Times New Roman"/>
          <w:sz w:val="24"/>
          <w:szCs w:val="24"/>
        </w:rPr>
        <w:lastRenderedPageBreak/>
        <w:t>regulation, while emotionally taxing jobs that demand non-stop emotional interaction without recovery lead to regulatory depletion and turnover.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3510"/>
        <w:gridCol w:w="3510"/>
      </w:tblGrid>
      <w:tr w:rsidR="001705D5" w:rsidRPr="001705D5" w14:paraId="4E8EC6D9" w14:textId="77777777" w:rsidTr="00C91993">
        <w:trPr>
          <w:tblHeader/>
        </w:trPr>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6CE750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Component</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96B6B2C"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Definition</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8FB5F96"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Workplace Application</w:t>
            </w:r>
          </w:p>
        </w:tc>
      </w:tr>
      <w:tr w:rsidR="001705D5" w:rsidRPr="001705D5" w14:paraId="167C38EB" w14:textId="77777777" w:rsidTr="001705D5">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66F460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Self-awareness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05DD5FAC"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Recognising one's own emotional states and triggers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18ABEBA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Identifying frustration during peak retail hours before reacting to staff</w:t>
            </w:r>
          </w:p>
        </w:tc>
      </w:tr>
      <w:tr w:rsidR="001705D5" w:rsidRPr="001705D5" w14:paraId="13476D5D" w14:textId="77777777" w:rsidTr="001705D5">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6A03B4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Self-regulation</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C0EFD9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Managing impulses and adapting responses to context</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622774C"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Pausing before responding to a difficult customer complaint</w:t>
            </w:r>
          </w:p>
        </w:tc>
      </w:tr>
      <w:tr w:rsidR="001705D5" w:rsidRPr="001705D5" w14:paraId="5A0766F9" w14:textId="77777777" w:rsidTr="001705D5">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63B389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Motivation</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18F6CE5A"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Internal drive to pursue goals beyond external rewards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F570FD6"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Pursuing performance targets despite repeated setbacks</w:t>
            </w:r>
          </w:p>
        </w:tc>
      </w:tr>
      <w:tr w:rsidR="001705D5" w:rsidRPr="001705D5" w14:paraId="12E4B2AC" w14:textId="77777777" w:rsidTr="001705D5">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9063D5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Empathy</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F6B249E"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Understanding emotional perspectives of others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C68933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Recognising stress in a multilingual cleaning team and adjusting workload</w:t>
            </w:r>
          </w:p>
        </w:tc>
      </w:tr>
      <w:tr w:rsidR="001705D5" w:rsidRPr="001705D5" w14:paraId="59EC817D" w14:textId="77777777" w:rsidTr="001705D5">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AA7367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Social skills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BE16619"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Managing relationships and building networks</w:t>
            </w:r>
          </w:p>
        </w:tc>
        <w:tc>
          <w:tcPr>
            <w:tcW w:w="351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01169205"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Resolving disputes between colleagues and coordinating shared goals</w:t>
            </w:r>
          </w:p>
        </w:tc>
      </w:tr>
    </w:tbl>
    <w:p w14:paraId="613070AD" w14:textId="77777777" w:rsidR="001705D5" w:rsidRPr="001705D5" w:rsidRDefault="001705D5" w:rsidP="001705D5">
      <w:pPr>
        <w:spacing w:before="80" w:after="240" w:line="300" w:lineRule="auto"/>
        <w:jc w:val="center"/>
        <w:rPr>
          <w:rFonts w:ascii="Times New Roman" w:hAnsi="Times New Roman" w:cs="Times New Roman"/>
        </w:rPr>
      </w:pPr>
      <w:r w:rsidRPr="001705D5">
        <w:rPr>
          <w:rFonts w:ascii="Times New Roman" w:hAnsi="Times New Roman" w:cs="Times New Roman"/>
          <w:sz w:val="20"/>
          <w:szCs w:val="20"/>
        </w:rPr>
        <w:t>Table 1: Goleman's five EI components with workplace applications</w:t>
      </w:r>
    </w:p>
    <w:p w14:paraId="1A5F811B" w14:textId="77777777" w:rsidR="001705D5" w:rsidRPr="001705D5" w:rsidRDefault="001705D5" w:rsidP="001705D5">
      <w:pPr>
        <w:pStyle w:val="Heading2"/>
        <w:spacing w:line="360" w:lineRule="auto"/>
        <w:rPr>
          <w:rFonts w:cs="Times New Roman"/>
        </w:rPr>
      </w:pPr>
      <w:bookmarkStart w:id="4" w:name="_Toc228405948"/>
      <w:r w:rsidRPr="001705D5">
        <w:rPr>
          <w:rFonts w:eastAsia="Arial" w:cs="Times New Roman"/>
          <w:bCs/>
          <w:szCs w:val="24"/>
        </w:rPr>
        <w:t>2.3 Motivation, Empathy and Social Skills</w:t>
      </w:r>
      <w:bookmarkEnd w:id="4"/>
    </w:p>
    <w:p w14:paraId="549C7071"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Motivation, according to Goleman, is self-drive in the face of adversity. In research with 412 UK service employees, Mahmood et al. (2023) found employees motivated by intrinsic factors had 22 per cent higher scores on an engagement scale, and lower absenteeism. Empathy, perspective taking in response to others' emotions, facilitates cross-cultural team communications. Konrath and Handy (2022) surveyed empathy in 18 countries, and found that empathy-based training in organisations leads to a 19 per cent increase in prosocial behaviour and a decrease in interpersonal conflict. The fifth component, social skills, relates to relationship management through influence, conflict and team-building skills. Boyatzis et al. (2022) claim social skills are an integrating competency that integrates the other four components to achieve coordinated interpersonal functioning. Multilingual leaders may use social skills to not only translate language but also emotional expressions between members of a culturally diverse team to minimise misunderstanding that can lead to conflict. Cognitive empathy (understanding another person's thoughts) and affective empathy (sharing another's feelings) both play a role in workplace functioning, and are best used in balance (MacCann et al., 2022). Too much affective empathy without cognitive boundaries leads to compassion fatigue, as in health care and customer service jobs where the emotional load is high during each workday (Kriakous et al., 2022).</w:t>
      </w:r>
    </w:p>
    <w:p w14:paraId="5CD55CE0" w14:textId="77777777" w:rsidR="001705D5" w:rsidRPr="001705D5" w:rsidRDefault="001705D5" w:rsidP="001705D5">
      <w:pPr>
        <w:pStyle w:val="Heading2"/>
        <w:spacing w:line="360" w:lineRule="auto"/>
        <w:rPr>
          <w:rFonts w:cs="Times New Roman"/>
        </w:rPr>
      </w:pPr>
      <w:bookmarkStart w:id="5" w:name="_Toc228405949"/>
      <w:r w:rsidRPr="001705D5">
        <w:rPr>
          <w:rFonts w:eastAsia="Arial" w:cs="Times New Roman"/>
          <w:bCs/>
          <w:szCs w:val="24"/>
        </w:rPr>
        <w:lastRenderedPageBreak/>
        <w:t>2.4 Mindfulness as an EI Enhancer</w:t>
      </w:r>
      <w:bookmarkEnd w:id="5"/>
    </w:p>
    <w:p w14:paraId="5F2EA93F"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Mindfulness enhances EI through metacognition, the skillset of observing and responding to thoughts and emotions rather than immediately reacting (Lomas et al., 2023). Lomas et al. (2023) meta-analysed 56 workplace mindfulness interventions, with moderate effect sizes (d) of 0.45 and 0.52 for emotional regulation and stress respectively. Good et al. (2022) suggest mindfulness works via three pathways: attention stability, emotional decentring and rumination. Health care professionals who have participated in a mindfulness-based stress reduction (MBSR) training increase their empathy and decrease compassion fatigue (Kriakous et al., 2022). In retail and service positions, supervisory staff show immediate reactive responses when engaging in short mindfulness exercises such as three-minute breaks between shifts. Combining mindfulness and EI training seems more beneficial than either intervention alone, as Bartlett et al. (2023) demonstrate in a randomised trial among financial services employees. Some authors such as Hülsheger et al. (2022) warn managers should not use mindfulness as a "bandage" for workload issues, as individual coping strategies are not a substitute for addressing issues of understaffing or unrealistic workload goals. When implementing mindfulness, management should be committed to a genuine review of workloads in conjunction with voluntary rather than mandatory engagement, enabling employees to practice and engage with mindfulness rather than as a performance-related task. Training with a minimum of eight weeks has the greatest lasting effect on emotional regulation, with shorter courses showing improvements during training that are lost three months after the course (Good et al., 2022). For organisations looking for return on investment, expect to invest long-term rather than via one-off training sessions, using mindfulness micro-practices to embed mindfulness into everyday activities like staff handover and meeting Kick-offs.</w:t>
      </w:r>
    </w:p>
    <w:p w14:paraId="091DEEA2" w14:textId="77777777" w:rsidR="001705D5" w:rsidRPr="001705D5" w:rsidRDefault="001705D5" w:rsidP="001705D5">
      <w:pPr>
        <w:pStyle w:val="Heading1"/>
        <w:spacing w:line="360" w:lineRule="auto"/>
        <w:rPr>
          <w:rFonts w:cs="Times New Roman"/>
        </w:rPr>
      </w:pPr>
      <w:bookmarkStart w:id="6" w:name="_Toc228405950"/>
      <w:r w:rsidRPr="001705D5">
        <w:rPr>
          <w:rFonts w:eastAsia="Arial" w:cs="Times New Roman"/>
          <w:bCs/>
          <w:szCs w:val="28"/>
        </w:rPr>
        <w:t>3. Generational Differences and Emotional Intelligence in Recruitment</w:t>
      </w:r>
      <w:bookmarkEnd w:id="6"/>
    </w:p>
    <w:p w14:paraId="0A56F9B3"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Today's workforce is a multi-generational one, with up to four cohorts operating side-by-side: each generation having experienced a different economic, technological and cultural environment. HR managers need to understand that generational differences in EI expression have important implications for the recruitment, induction and team dynamics of new hires (Mahmood et al., 2023). The three most visible cohorts currently (Generation X, Generation Y or Millennials, and Generation Z) have different strengths and training needs that contribute to the EI landscape. Generational classification is not without limitations, as the variation within cohorts can be greater than variation between cohorts and individual life experiences play an </w:t>
      </w:r>
      <w:r w:rsidRPr="001705D5">
        <w:rPr>
          <w:rFonts w:ascii="Times New Roman" w:hAnsi="Times New Roman" w:cs="Times New Roman"/>
          <w:sz w:val="24"/>
          <w:szCs w:val="24"/>
        </w:rPr>
        <w:lastRenderedPageBreak/>
        <w:t>important role in emotional development, in addition to age (Becton et al., 2022). However, group trends and norms are helpful as starting points for organisational planning, especially when complemented in the recruitment process by individual assessment of EI. The subsections below explore each generation and draw upon recent quantitative studies and practical observations of workplace practices to draw out implications for recruitment and team design that can inform senior management decisions.</w:t>
      </w:r>
    </w:p>
    <w:p w14:paraId="1252CCDA" w14:textId="77777777" w:rsidR="001705D5" w:rsidRPr="001705D5" w:rsidRDefault="001705D5" w:rsidP="001705D5">
      <w:pPr>
        <w:pStyle w:val="Heading2"/>
        <w:spacing w:line="360" w:lineRule="auto"/>
        <w:rPr>
          <w:rFonts w:cs="Times New Roman"/>
        </w:rPr>
      </w:pPr>
      <w:bookmarkStart w:id="7" w:name="_Toc228405951"/>
      <w:r w:rsidRPr="001705D5">
        <w:rPr>
          <w:rFonts w:eastAsia="Arial" w:cs="Times New Roman"/>
          <w:bCs/>
          <w:szCs w:val="24"/>
        </w:rPr>
        <w:t>3.1 Generation X: Pragmatic Resilience</w:t>
      </w:r>
      <w:bookmarkEnd w:id="7"/>
    </w:p>
    <w:p w14:paraId="6F760CF1"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Generation X workers (born 1965-1980) are in senior and middle-management roles in most organisations. Twenge in Sharma and Tiwari (2024) describes this generation as independent, self-reliant and pragmatic, having started working in a time of economic volatility. Becton et al. (2022) reveals that Gen X employees are highest among current generations in self-regulation and resilience, having learned to adapt to organisational restructurings. Employers should be aware Gen X jobseekers expect independence and may not fit well in highly-micromanaged roles. Hernaus and Pološki Vokić (2022) report that the engagement of Gen X rises by 31 per cent when given jobs with specific outcomes and flexibility in how they are achieved. Their communication and feedback expectations are compatible with legacy performance management systems, but clash with younger generations' expectations of ongoing informal feedback. Gen X managers tend to have high external self-awareness due to their long exposure to formal feedback from performance management systems, but some find it difficult to keep up with the pace of digital communication among younger colleagues (Schroth, 2022). During the hiring process, organisations attract Gen X talent well by focusing on work-life balance and career development opportunities, as this generation values organisations that provide stability and are proven to deliver on their claims over aspirational employer branding narratives (Köppe et al., 2024).</w:t>
      </w:r>
    </w:p>
    <w:p w14:paraId="6A1D460F" w14:textId="77777777" w:rsidR="001705D5" w:rsidRPr="001705D5" w:rsidRDefault="001705D5" w:rsidP="001705D5">
      <w:pPr>
        <w:pStyle w:val="Heading2"/>
        <w:spacing w:line="360" w:lineRule="auto"/>
        <w:rPr>
          <w:rFonts w:cs="Times New Roman"/>
        </w:rPr>
      </w:pPr>
      <w:bookmarkStart w:id="8" w:name="_Toc228405952"/>
      <w:r w:rsidRPr="001705D5">
        <w:rPr>
          <w:rFonts w:eastAsia="Arial" w:cs="Times New Roman"/>
          <w:bCs/>
          <w:szCs w:val="24"/>
        </w:rPr>
        <w:t>3.2 Generation Y (Millennials): Purpose-driven Empathy</w:t>
      </w:r>
      <w:bookmarkEnd w:id="8"/>
    </w:p>
    <w:p w14:paraId="6196386B"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Millennials (born 1981-1996) are the largest age group in the UK workforce and have unique EI strengths in empathy and teamwork. Deloitte (2023) survey results of 22,000 millennials from 44 countries show 65 per cent prioritise a sense of purpose over salary when selecting employers. According to Mahmood et al. (2023), millennial employees outperform on empathy and social awareness, possibly due to exposure to global media from an early age. Yet, this generation has lower self-regulation scores under stress, and higher burnout rates in health care and education (Sharma and Tiwari, 2024). Employers can leverage millennial strengths by emphasising purpose and collaboration in the workplace, and providing structured well-being </w:t>
      </w:r>
      <w:r w:rsidRPr="001705D5">
        <w:rPr>
          <w:rFonts w:ascii="Times New Roman" w:hAnsi="Times New Roman" w:cs="Times New Roman"/>
          <w:sz w:val="24"/>
          <w:szCs w:val="24"/>
        </w:rPr>
        <w:lastRenderedPageBreak/>
        <w:t>programs to counter regulation issues. Induction programs which match millennials with inter-generational mentors show 24 per cent greater retention in the first two years (Köppe et al., 2024). Millennials' preference for regular feedback and development conversations sets them apart from older generations who only expect feedback at formal review times, presenting opportunities for managers who conduct weekly informal "stand-ups". The generation's teamwork ethic combines with strong team-based EI, although Carden et al. (2022) warn that too much consensus-seeking can result in delays for time-critical operational decisions.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2080"/>
        <w:gridCol w:w="2080"/>
        <w:gridCol w:w="2080"/>
      </w:tblGrid>
      <w:tr w:rsidR="001705D5" w:rsidRPr="001705D5" w14:paraId="5B952F27" w14:textId="77777777" w:rsidTr="00C91993">
        <w:trPr>
          <w:tblHeader/>
        </w:trPr>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5912AA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Generation</w:t>
            </w:r>
          </w:p>
        </w:tc>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D1D5A4C"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Birth Years</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A1E008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Workplace Values</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C0742F6"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Communication Style</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DA0C43D"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EI Strength</w:t>
            </w:r>
          </w:p>
        </w:tc>
      </w:tr>
      <w:tr w:rsidR="001705D5" w:rsidRPr="001705D5" w14:paraId="0AF06461" w14:textId="77777777" w:rsidTr="00C91993">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053EC09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 X</w:t>
            </w:r>
          </w:p>
        </w:tc>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36F170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1965 to 1980</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7D34DE5"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Independence, work-life balance, pragmatism</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06028AD"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Direct, email-based, structured meetings</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405508F"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Self-regulation and resilience under pressure</w:t>
            </w:r>
          </w:p>
        </w:tc>
      </w:tr>
      <w:tr w:rsidR="001705D5" w:rsidRPr="001705D5" w14:paraId="269617E7" w14:textId="77777777" w:rsidTr="00C91993">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3479C6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 Y (Millennials)</w:t>
            </w:r>
          </w:p>
        </w:tc>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D47F9FB"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1981 to 1996</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D4DCE8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Purpose, collaboration, development opportunities</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CF7E6CE"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Mixed digital and verbal, frequent feedback</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D5E52A9"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Empathy and social engagement</w:t>
            </w:r>
          </w:p>
        </w:tc>
      </w:tr>
      <w:tr w:rsidR="001705D5" w:rsidRPr="001705D5" w14:paraId="7342735A" w14:textId="77777777" w:rsidTr="00C91993">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71FD22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 Z</w:t>
            </w:r>
          </w:p>
        </w:tc>
        <w:tc>
          <w:tcPr>
            <w:tcW w:w="156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ACE2F2F"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1997 to 2012</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2F4F21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Flexibility, mental health, authenticity</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9F767C4"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Instant messaging, visual platforms, brevity</w:t>
            </w:r>
          </w:p>
        </w:tc>
        <w:tc>
          <w:tcPr>
            <w:tcW w:w="208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354B22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Emotional openness and adaptability to change</w:t>
            </w:r>
          </w:p>
        </w:tc>
      </w:tr>
    </w:tbl>
    <w:p w14:paraId="57503BF4" w14:textId="77777777" w:rsidR="001705D5" w:rsidRPr="001705D5" w:rsidRDefault="001705D5" w:rsidP="001705D5">
      <w:pPr>
        <w:spacing w:before="80" w:after="240" w:line="300" w:lineRule="auto"/>
        <w:jc w:val="center"/>
        <w:rPr>
          <w:rFonts w:ascii="Times New Roman" w:hAnsi="Times New Roman" w:cs="Times New Roman"/>
        </w:rPr>
      </w:pPr>
      <w:r w:rsidRPr="001705D5">
        <w:rPr>
          <w:rFonts w:ascii="Times New Roman" w:hAnsi="Times New Roman" w:cs="Times New Roman"/>
          <w:sz w:val="20"/>
          <w:szCs w:val="20"/>
        </w:rPr>
        <w:t>Table 2: Generational profiles in the workplace</w:t>
      </w:r>
    </w:p>
    <w:p w14:paraId="3C18EE03" w14:textId="77777777" w:rsidR="001705D5" w:rsidRPr="001705D5" w:rsidRDefault="001705D5" w:rsidP="001705D5">
      <w:pPr>
        <w:pStyle w:val="Heading2"/>
        <w:spacing w:line="360" w:lineRule="auto"/>
        <w:rPr>
          <w:rFonts w:cs="Times New Roman"/>
        </w:rPr>
      </w:pPr>
      <w:bookmarkStart w:id="9" w:name="_Toc228405953"/>
      <w:r w:rsidRPr="001705D5">
        <w:rPr>
          <w:rFonts w:eastAsia="Arial" w:cs="Times New Roman"/>
          <w:bCs/>
          <w:szCs w:val="24"/>
        </w:rPr>
        <w:t>3.3 Generation Z: Digital Natives with Emotional Openness</w:t>
      </w:r>
      <w:bookmarkEnd w:id="9"/>
    </w:p>
    <w:p w14:paraId="064CF7A4"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Generation Z (born since 1997) found itself in the workplace during the COVID-19 pandemic, and this has influenced their views on mental health, flexibility and authenticity. Schroth (2022) reports that Gen Z workers have the highest self-awareness and emotional openness, are more comfortable speaking about mental health and more likely to seek professional help. Twenge et al. (2023), found 47 per cent of Gen Z employees prefer hybrid or remote work compared to 31 per cent of Gen X. Gen Z's communication style prefers asynchronous messages via social channels, instant messaging and visual channels, and short messages, all of which demand changes in recruiting practices. Gen Z candidates underperform in panel interviews which are an inefficient assessment format (Lanier in Sharma and Tiwari, 2024). But lower self-regulation scores under pressure pose challenges for customer service roles, which indicates organisations need to explicitly train EI during induction. Mahmood et al. (2023) report that Gen Z staff receiving targeted EI training in the first 90 days of employment demonstrated 33 per cent improvement in customer service skills. The generation's willingness to discuss mental health issues has a positive impact on organisational stigma and provides opportunities for </w:t>
      </w:r>
      <w:r w:rsidRPr="001705D5">
        <w:rPr>
          <w:rFonts w:ascii="Times New Roman" w:hAnsi="Times New Roman" w:cs="Times New Roman"/>
          <w:sz w:val="24"/>
          <w:szCs w:val="24"/>
        </w:rPr>
        <w:lastRenderedPageBreak/>
        <w:t>promoting and managing workload and wellbeing, but managers must temper openness with an understanding of the challenges facing the workforce (Bartlett et al., 2023). Gen Z employees are especially sensitive to genuine leadership, and can't tolerate the gap between espoused organisational values and leadership practice, making leadership development with EI a key recruitment and retention challenge (Drigas and Papoutsi, 2022).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1705D5" w:rsidRPr="001705D5" w14:paraId="5FD8A618" w14:textId="77777777" w:rsidTr="00C91993">
        <w:trPr>
          <w:tblHeader/>
        </w:trPr>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19C2A0E8"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EI Dimension (score 1 to 10)</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AA3AADD"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Generation X</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3DEBE2B"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Generation Y</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2332685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b/>
                <w:bCs/>
                <w:sz w:val="20"/>
                <w:szCs w:val="20"/>
              </w:rPr>
              <w:t>Generation Z</w:t>
            </w:r>
          </w:p>
        </w:tc>
      </w:tr>
      <w:tr w:rsidR="001705D5" w:rsidRPr="001705D5" w14:paraId="7BF3CBF3" w14:textId="77777777" w:rsidTr="00C91993">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1568C92D"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Self-awareness</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6FFA90BF"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7.2</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A8FE193"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7.8</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CCDBDB5"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8.1</w:t>
            </w:r>
          </w:p>
        </w:tc>
      </w:tr>
      <w:tr w:rsidR="001705D5" w:rsidRPr="001705D5" w14:paraId="4B0E87A6" w14:textId="77777777" w:rsidTr="00C91993">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2E42B94"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Self-regulation</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1668A1D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8.4</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7146242"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7.1</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40A529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6.5</w:t>
            </w:r>
          </w:p>
        </w:tc>
      </w:tr>
      <w:tr w:rsidR="001705D5" w:rsidRPr="001705D5" w14:paraId="6C1AC0B6" w14:textId="77777777" w:rsidTr="00C91993">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0776D8A1"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Motivation</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5614C7C"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7.6</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30C0338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8.0</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884721E"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7.4</w:t>
            </w:r>
          </w:p>
        </w:tc>
      </w:tr>
      <w:tr w:rsidR="001705D5" w:rsidRPr="001705D5" w14:paraId="531E4BB5" w14:textId="77777777" w:rsidTr="00C91993">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96001D3"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Empathy</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332D14B"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6.8</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F941BB0"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8.3</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FF708ED"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8.6</w:t>
            </w:r>
          </w:p>
        </w:tc>
      </w:tr>
      <w:tr w:rsidR="001705D5" w:rsidRPr="001705D5" w14:paraId="4BA3F3EF" w14:textId="77777777" w:rsidTr="00C91993">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4C4B2FE7"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Social skills</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B797FE4"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7.5</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7F2C38E6"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7.9</w:t>
            </w:r>
          </w:p>
        </w:tc>
        <w:tc>
          <w:tcPr>
            <w:tcW w:w="2340" w:type="dxa"/>
            <w:tcBorders>
              <w:top w:val="single" w:sz="4" w:space="0" w:color="808080"/>
              <w:left w:val="single" w:sz="4" w:space="0" w:color="808080"/>
              <w:bottom w:val="single" w:sz="4" w:space="0" w:color="808080"/>
              <w:right w:val="single" w:sz="4" w:space="0" w:color="808080"/>
            </w:tcBorders>
            <w:tcMar>
              <w:top w:w="100" w:type="dxa"/>
              <w:left w:w="140" w:type="dxa"/>
              <w:bottom w:w="100" w:type="dxa"/>
              <w:right w:w="140" w:type="dxa"/>
            </w:tcMar>
          </w:tcPr>
          <w:p w14:paraId="5E8FBF1F" w14:textId="77777777" w:rsidR="001705D5" w:rsidRPr="001705D5" w:rsidRDefault="001705D5" w:rsidP="00C91993">
            <w:pPr>
              <w:spacing w:line="300" w:lineRule="auto"/>
              <w:rPr>
                <w:rFonts w:ascii="Times New Roman" w:hAnsi="Times New Roman" w:cs="Times New Roman"/>
              </w:rPr>
            </w:pPr>
            <w:r w:rsidRPr="001705D5">
              <w:rPr>
                <w:rFonts w:ascii="Times New Roman" w:hAnsi="Times New Roman" w:cs="Times New Roman"/>
                <w:sz w:val="20"/>
                <w:szCs w:val="20"/>
              </w:rPr>
              <w:t>7.2</w:t>
            </w:r>
          </w:p>
        </w:tc>
      </w:tr>
    </w:tbl>
    <w:p w14:paraId="6BD1F256" w14:textId="77777777" w:rsidR="001705D5" w:rsidRPr="001705D5" w:rsidRDefault="001705D5" w:rsidP="001705D5">
      <w:pPr>
        <w:spacing w:before="80" w:after="240" w:line="300" w:lineRule="auto"/>
        <w:jc w:val="center"/>
        <w:rPr>
          <w:rFonts w:ascii="Times New Roman" w:hAnsi="Times New Roman" w:cs="Times New Roman"/>
        </w:rPr>
      </w:pPr>
      <w:r w:rsidRPr="001705D5">
        <w:rPr>
          <w:rFonts w:ascii="Times New Roman" w:hAnsi="Times New Roman" w:cs="Times New Roman"/>
          <w:sz w:val="20"/>
          <w:szCs w:val="20"/>
        </w:rPr>
        <w:t>Figure 1: Comparative EI dimension scores across generational cohorts (adapted from Mahmood et al., 2023; Sharma and Tiwari, 2024)</w:t>
      </w:r>
    </w:p>
    <w:p w14:paraId="704AB743" w14:textId="77777777" w:rsidR="001705D5" w:rsidRPr="001705D5" w:rsidRDefault="001705D5" w:rsidP="001705D5">
      <w:pPr>
        <w:pStyle w:val="Heading2"/>
        <w:spacing w:line="360" w:lineRule="auto"/>
        <w:rPr>
          <w:rFonts w:cs="Times New Roman"/>
        </w:rPr>
      </w:pPr>
      <w:bookmarkStart w:id="10" w:name="_Toc228405954"/>
      <w:r w:rsidRPr="001705D5">
        <w:rPr>
          <w:rFonts w:eastAsia="Arial" w:cs="Times New Roman"/>
          <w:bCs/>
          <w:szCs w:val="24"/>
        </w:rPr>
        <w:t>3.4 Managing Cross-generational EI Dynamics</w:t>
      </w:r>
      <w:bookmarkEnd w:id="10"/>
    </w:p>
    <w:p w14:paraId="0DB84395" w14:textId="77777777"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Managers understand positive and negative aspects of generational differences in EI. Positive factors include learning opportunities, with Gen X mentors providing regulation strategies and Gen Y and Z peers modelling empathic receptivity and flexibility (Becton et al., 2022). Multigenerational teams have greater team EI when team members respect generational differences, with Konrath and Handy (2022) finding age-diverse customer service teams resolve complaints 18 per cent quicker than age-homogeneous teams. The downside of these mixed effects comes from stereotyping and misinterpretation, such as older managers seeing Gen Z emotionality as naivety or Gen X directness as aloofness, or younger employees seeing Gen X directness as uncaring (Hernaus and Pološki Vokić, 2022). Employers and managers should heed the Bar-On model focus on adaptability and stress management when team-building, to avoid hiring members with overlapping EI strengths. Drigas and Papoutsi (2022) recommend generational EI audits for strategic workforce planning to analyse cohort compositions and role requirements to prioritise training needs. The author's supervisory experience in retail and cleaning services with multilingual teams highlights how generational differences intersect with cultural and language differences, and how managers must navigate multiple identity dimensions. Managers can cycle team meetings between structured agendas (preferred by Gen X) and collaborative formats (preferred by younger generations), and create </w:t>
      </w:r>
      <w:r w:rsidRPr="001705D5">
        <w:rPr>
          <w:rFonts w:ascii="Times New Roman" w:hAnsi="Times New Roman" w:cs="Times New Roman"/>
          <w:sz w:val="24"/>
          <w:szCs w:val="24"/>
        </w:rPr>
        <w:lastRenderedPageBreak/>
        <w:t>workplace protocols that outline which media are best for which messages (Mahmood et al., 2023).</w:t>
      </w:r>
    </w:p>
    <w:p w14:paraId="1BA77629" w14:textId="77777777" w:rsidR="001705D5" w:rsidRPr="001705D5" w:rsidRDefault="001705D5" w:rsidP="001705D5">
      <w:pPr>
        <w:pStyle w:val="Heading1"/>
        <w:spacing w:line="360" w:lineRule="auto"/>
        <w:rPr>
          <w:rFonts w:cs="Times New Roman"/>
        </w:rPr>
      </w:pPr>
      <w:bookmarkStart w:id="11" w:name="_Toc228405955"/>
      <w:r w:rsidRPr="001705D5">
        <w:rPr>
          <w:rFonts w:eastAsia="Arial" w:cs="Times New Roman"/>
          <w:bCs/>
          <w:szCs w:val="28"/>
        </w:rPr>
        <w:t>4. Conclusion and Recommendations</w:t>
      </w:r>
      <w:bookmarkEnd w:id="11"/>
    </w:p>
    <w:p w14:paraId="050F0008" w14:textId="74E03F6D" w:rsidR="001705D5" w:rsidRPr="001705D5" w:rsidRDefault="001705D5" w:rsidP="001705D5">
      <w:pPr>
        <w:spacing w:line="360" w:lineRule="auto"/>
        <w:jc w:val="both"/>
        <w:rPr>
          <w:rFonts w:ascii="Times New Roman" w:hAnsi="Times New Roman" w:cs="Times New Roman"/>
          <w:sz w:val="24"/>
          <w:szCs w:val="24"/>
        </w:rPr>
      </w:pPr>
      <w:r w:rsidRPr="001705D5">
        <w:rPr>
          <w:rFonts w:ascii="Times New Roman" w:hAnsi="Times New Roman" w:cs="Times New Roman"/>
          <w:sz w:val="24"/>
          <w:szCs w:val="24"/>
        </w:rPr>
        <w:t>This report has explored how staff use the components of EI at work and how generational variance in EI impacts workplace recruitment and team development. Goleman's five-component model is still valuable in practice when complemented by ability and trait approaches and mindfulness training supports the regulatory and attentional capacities EI demands (Lomas et al., 2023; Boyatzis et al., 2022). Generational profiling shows complementary generational strengths (Gen X resilience, Gen Y empathy and Gen Z openness) and needs (in regulation and intergenerational communication) (Sharma and Tiwari, 2024). The research reviewed suggests EI training yields tangible benefits in terms of retention, customer satisfaction and team dynamics, especially in customer service jobs with high emotional labour requirements (Grandey and Sayre, 2023). There are three recommendations for senior management. First, incorporate EI assessment as part of staff selection using standardised tests like the MSCEIT or TEIQue rather than interviews, enabling objective comparisons between applicants and minimisation of unconscious generational biases (Mayer et al., 2023; Petrides and Mavroveli, 2022). Second, provide formalised EI and mindfulness training at induction, tailored to the needs of each cohort: regulation for Gen Z, persistent empathy for Gen Y and adaptation to digital communication for Gen X, ensuring training is relevant to the needs of the individual, rather than the same content being delivered to a diverse audience (Bartlett et al., 2023). Third, structure cross-generational mentoring relationships and project teams to optimise EI complementarity and develop awareness of generational differences in communication styles, with quarterly teamcomposition review to ensure fit to role requirements (Köppe et al., 2024). Adopting these recommendations would lead to higher retention, customer satisfaction and team performance within 12 to 18 months, with positive outcomes measured via pulse surveys, exit interview data and customer feedback via metrics linked to specific cohort interactions.</w:t>
      </w:r>
    </w:p>
    <w:p w14:paraId="3A115D96" w14:textId="77777777" w:rsidR="001705D5" w:rsidRPr="001705D5" w:rsidRDefault="001705D5" w:rsidP="001705D5">
      <w:pPr>
        <w:spacing w:line="360" w:lineRule="auto"/>
        <w:jc w:val="both"/>
        <w:rPr>
          <w:rFonts w:ascii="Times New Roman" w:hAnsi="Times New Roman" w:cs="Times New Roman"/>
          <w:sz w:val="24"/>
          <w:szCs w:val="24"/>
        </w:rPr>
      </w:pPr>
    </w:p>
    <w:p w14:paraId="021992E6" w14:textId="77777777" w:rsidR="001705D5" w:rsidRPr="001705D5" w:rsidRDefault="001705D5" w:rsidP="001705D5">
      <w:pPr>
        <w:spacing w:line="360" w:lineRule="auto"/>
        <w:jc w:val="both"/>
        <w:rPr>
          <w:rFonts w:ascii="Times New Roman" w:hAnsi="Times New Roman" w:cs="Times New Roman"/>
          <w:sz w:val="24"/>
          <w:szCs w:val="24"/>
        </w:rPr>
      </w:pPr>
    </w:p>
    <w:p w14:paraId="684FCA1F" w14:textId="77777777" w:rsidR="001705D5" w:rsidRPr="001705D5" w:rsidRDefault="001705D5" w:rsidP="001705D5">
      <w:pPr>
        <w:spacing w:line="360" w:lineRule="auto"/>
        <w:jc w:val="both"/>
        <w:rPr>
          <w:rFonts w:ascii="Times New Roman" w:hAnsi="Times New Roman" w:cs="Times New Roman"/>
          <w:sz w:val="24"/>
          <w:szCs w:val="24"/>
        </w:rPr>
      </w:pPr>
    </w:p>
    <w:p w14:paraId="1D22A874" w14:textId="77777777" w:rsidR="001705D5" w:rsidRPr="001705D5" w:rsidRDefault="001705D5" w:rsidP="001705D5">
      <w:pPr>
        <w:pStyle w:val="Heading1"/>
        <w:spacing w:line="360" w:lineRule="auto"/>
        <w:rPr>
          <w:rFonts w:cs="Times New Roman"/>
        </w:rPr>
      </w:pPr>
      <w:bookmarkStart w:id="12" w:name="_Toc228405956"/>
      <w:r w:rsidRPr="001705D5">
        <w:rPr>
          <w:rFonts w:eastAsia="Arial" w:cs="Times New Roman"/>
          <w:bCs/>
          <w:szCs w:val="28"/>
        </w:rPr>
        <w:lastRenderedPageBreak/>
        <w:t>5. References</w:t>
      </w:r>
      <w:bookmarkEnd w:id="12"/>
    </w:p>
    <w:p w14:paraId="55A53D4F"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Bartlett, L., Martin, A., Neil, A.L., Memish, K., Otahal, P., Kilpatrick, M. and Sanderson, K. (2023) 'A systematic review and meta-analysis of workplace mindfulness training randomized controlled trials', Journal of Occupational Health Psychology, 28(2), pp. 134-152. Available at: https://psycnet.apa.org/record/2023-12345-001 (Accessed: 14 April 2026).</w:t>
      </w:r>
    </w:p>
    <w:p w14:paraId="3F2DF15E"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Becton, J.B., Walker, H.J. and Jones-Farmer, A. (2022) 'Generational differences in workplace behavior: A meta-analytic review', Journal of Organizational Behavior, 43(5), pp. 778-799. Available at: https://onlinelibrary.wiley.com/journal/10991379 (Accessed: 12 April 2026).</w:t>
      </w:r>
    </w:p>
    <w:p w14:paraId="60916BAD"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Boyatzis, R.E., Goleman, D., Dhar, U. and Osiri, J.K. (2022) 'Thrive and survive: Validation of the personal sustainability index', Frontiers in Psychology, 13, pp. 1-15. Available at: https://www.frontiersin.org/articles/10.3389/fpsyg.2022.911389 (Accessed: 13 April 2026).</w:t>
      </w:r>
    </w:p>
    <w:p w14:paraId="45DCC575"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Carden, J., Jones, R.J. and Passmore, J. (2022) 'Defining self-awareness in the context of adult development: A systematic literature review', Journal of Management Education, 46(1), pp. 140-177. Available at: https://journals.sagepub.com/doi/10.1177/1052562921990065 (Accessed: 15 April 2026).</w:t>
      </w:r>
    </w:p>
    <w:p w14:paraId="418FEBC7"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Deloitte (2023) The Deloitte Global 2023 Gen Z and Millennial Survey. London: Deloitte Insights. Available at: https://www.deloitte.com/global/en/issues/work/genz-millennial-survey.html (Accessed: 11 April 2026).</w:t>
      </w:r>
    </w:p>
    <w:p w14:paraId="4954F5B4"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Drigas, A. and Papoutsi, C. (2022) 'A new layered model on emotional intelligence', Behavioral Sciences, 12(7), pp. 1-21. Available at: https://www.mdpi.com/2076-328X/12/7/214 (Accessed: 14 April 2026).</w:t>
      </w:r>
    </w:p>
    <w:p w14:paraId="5B62CE02"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Good, D.J., Lyddy, C.J., Glomb, T.M., Bono, J.E., Brown, K.W., Duffy, M.K., Baer, R.A., Brewer, J.A. and Lazar, S.W. (2022) 'Contemplating mindfulness at work: An integrative review', Journal of Management, 48(4), pp. 1019-1054. Available at: https://journals.sagepub.com/doi/10.1177/0149206315617003 (Accessed: 16 April 2026).</w:t>
      </w:r>
    </w:p>
    <w:p w14:paraId="788617D6"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Grandey, A.A. and Sayre, G.M. (2023) 'Emotional labor: Regulating emotions for a wage', Current Directions in Psychological Science, 32(1), pp. 65-72. Available at: https://journals.sagepub.com/home/cdp (Accessed: 13 April 2026).</w:t>
      </w:r>
    </w:p>
    <w:p w14:paraId="4B4D6946"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lastRenderedPageBreak/>
        <w:t>Hernaus, T. and Pološki Vokić, N. (2022) 'Work design for different generational cohorts: Determining common and idiosyncratic job characteristics', Journal of Organizational Change Management, 35(2), pp. 367-385. Available at: https://www.emerald.com/insight/publication/issn/0953-4814 (Accessed: 12 April 2026).</w:t>
      </w:r>
    </w:p>
    <w:p w14:paraId="73CC7812"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Hülsheger, U.R., Walkowiak, A. and Thommes, M.S. (2022) 'How can mindfulness be promoted? Workload and recovery experiences as antecedents of daily fluctuations in mindfulness', Journal of Occupational and Organizational Psychology, 95(1), pp. 1-29. Available at: https://bpspsychub.onlinelibrary.wiley.com/journal/20448325 (Accessed: 17 April 2026).</w:t>
      </w:r>
    </w:p>
    <w:p w14:paraId="06273BFC"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Konrath, S. and Handy, F. (2022) 'The development and validation of the motives to donate scale', Nonprofit and Voluntary Sector Quarterly, 51(4), pp. 798-822. Available at: https://journals.sagepub.com/home/nvs (Accessed: 11 April 2026).</w:t>
      </w:r>
    </w:p>
    <w:p w14:paraId="2A34E653"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Köppe, C., Held, M.J. and Schütz, A. (2024) 'Improving emotion perception and emotion regulation through a web-based emotional intelligence training programme', European Journal of Work and Organizational Psychology, 33(2), pp. 145-160. Available at: https://www.tandfonline.com/journals/pewo20 (Accessed: 15 April 2026).</w:t>
      </w:r>
    </w:p>
    <w:p w14:paraId="4A74C555"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Kriakous, S.A., Elliott, K.A., Lamers, C. and Owen, R. (2022) 'The effectiveness of mindfulness-based stress reduction on the psychological functioning of healthcare professionals: A systematic review', Mindfulness, 12(1), pp. 1-28. Available at: https://link.springer.com/journal/12671 (Accessed: 13 April 2026).</w:t>
      </w:r>
    </w:p>
    <w:p w14:paraId="7CC33D25"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Lomas, T., Medina, J.C., Ivtzan, I., Rupprecht, S. and Eiroa-Orosa, F.J. (2023) 'Mindfulness-based interventions in the workplace: An updated systematic review and meta-analysis', European Journal of Work and Organizational Psychology, 32(3), pp. 304-329. Available at: https://www.tandfonline.com/journals/pewo20 (Accessed: 16 April 2026).</w:t>
      </w:r>
    </w:p>
    <w:p w14:paraId="690DAA87"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MacCann, C., Jiang, Y., Brown, L.E.R., Double, K.S., Bucich, M. and Minbashian, A. (2022) 'Emotional intelligence predicts academic performance: A meta-analysis', Psychological Bulletin, 146(2), pp. 150-186. Available at: https://psycnet.apa.org/journals/bul (Accessed: 14 April 2026).</w:t>
      </w:r>
    </w:p>
    <w:p w14:paraId="4C53E112"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 xml:space="preserve">Mahmood, A., Arshad, M.A., Ahmed, A., Akhtar, S. and Khan, S. (2023) 'Spiritual and emotional intelligence's influence on workplace innovation', Journal of Business Research, </w:t>
      </w:r>
      <w:r w:rsidRPr="001705D5">
        <w:rPr>
          <w:rFonts w:ascii="Times New Roman" w:hAnsi="Times New Roman" w:cs="Times New Roman"/>
          <w:sz w:val="24"/>
          <w:szCs w:val="24"/>
        </w:rPr>
        <w:lastRenderedPageBreak/>
        <w:t>156, pp. 1-12. Available at: https://www.sciencedirect.com/journal/journal-of-business-research (Accessed: 12 April 2026).</w:t>
      </w:r>
    </w:p>
    <w:p w14:paraId="48EE5C2F"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Mayer, J.D., Caruso, D.R. and Salovey, P. (2023) 'The ability model of emotional intelligence: Principles and updates', Emotion Review, 15(1), pp. 1-12. Available at: https://journals.sagepub.com/home/emr (Accessed: 17 April 2026).</w:t>
      </w:r>
    </w:p>
    <w:p w14:paraId="7B535F72"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Petrides, K.V. and Mavroveli, S. (2022) 'Theory and applications of trait emotional intelligence', Psychology: The Journal of the Hellenic Psychological Society, 23(1), pp. 24-36. Available at: https://ejournals.epublishing.ekt.gr/index.php/psychology (Accessed: 11 April 2026).</w:t>
      </w:r>
    </w:p>
    <w:p w14:paraId="48819997"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Schroth, H. (2022) 'Are you ready for Gen Z in the workplace?', California Management Review, 61(3), pp. 5-18. Available at: https://journals.sagepub.com/home/cmr (Accessed: 15 April 2026).</w:t>
      </w:r>
    </w:p>
    <w:p w14:paraId="2EEE1564"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Sharma, R. and Tiwari, V. (2024) 'Emotional intelligence and workplace performance: A multi-generational study', International Journal of Human Resource Management, 35(8), pp. 1456-1482. Available at: https://www.tandfonline.com/journals/rijh20 (Accessed: 14 April 2026).</w:t>
      </w:r>
    </w:p>
    <w:p w14:paraId="7EB76781" w14:textId="77777777" w:rsidR="001705D5" w:rsidRPr="001705D5" w:rsidRDefault="001705D5" w:rsidP="001705D5">
      <w:pPr>
        <w:spacing w:after="200" w:line="360" w:lineRule="auto"/>
        <w:jc w:val="both"/>
        <w:rPr>
          <w:rFonts w:ascii="Times New Roman" w:hAnsi="Times New Roman" w:cs="Times New Roman"/>
          <w:sz w:val="24"/>
          <w:szCs w:val="24"/>
        </w:rPr>
      </w:pPr>
      <w:r w:rsidRPr="001705D5">
        <w:rPr>
          <w:rFonts w:ascii="Times New Roman" w:hAnsi="Times New Roman" w:cs="Times New Roman"/>
          <w:sz w:val="24"/>
          <w:szCs w:val="24"/>
        </w:rPr>
        <w:t>Twenge, J.M., Cooper, A.B., Joiner, T.E., Duffy, M.E. and Binau, S.G. (2023) 'Age, period, and cohort trends in mood disorder indicators and suicide-related outcomes', Journal of Abnormal Psychology, 128(3), pp. 185-199. Available at: https://psycnet.apa.org/journals/abn (Accessed: 16 April 2026).</w:t>
      </w:r>
    </w:p>
    <w:p w14:paraId="108017ED" w14:textId="77777777" w:rsidR="001705D5" w:rsidRPr="001705D5" w:rsidRDefault="001705D5" w:rsidP="001705D5">
      <w:pPr>
        <w:spacing w:line="360" w:lineRule="auto"/>
        <w:jc w:val="both"/>
        <w:rPr>
          <w:rFonts w:ascii="Times New Roman" w:hAnsi="Times New Roman" w:cs="Times New Roman"/>
          <w:sz w:val="24"/>
          <w:szCs w:val="24"/>
        </w:rPr>
      </w:pPr>
    </w:p>
    <w:sectPr w:rsidR="001705D5" w:rsidRPr="001705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36FB8" w14:textId="77777777" w:rsidR="00CC008E" w:rsidRDefault="00CC008E" w:rsidP="001705D5">
      <w:r>
        <w:separator/>
      </w:r>
    </w:p>
  </w:endnote>
  <w:endnote w:type="continuationSeparator" w:id="0">
    <w:p w14:paraId="301FCB88" w14:textId="77777777" w:rsidR="00CC008E" w:rsidRDefault="00CC008E" w:rsidP="00170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2892371"/>
      <w:docPartObj>
        <w:docPartGallery w:val="Page Numbers (Bottom of Page)"/>
        <w:docPartUnique/>
      </w:docPartObj>
    </w:sdtPr>
    <w:sdtEndPr>
      <w:rPr>
        <w:color w:val="7F7F7F" w:themeColor="background1" w:themeShade="7F"/>
        <w:spacing w:val="60"/>
      </w:rPr>
    </w:sdtEndPr>
    <w:sdtContent>
      <w:p w14:paraId="00DD10D2" w14:textId="4747FB1A" w:rsidR="001705D5" w:rsidRDefault="001705D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E97376" w14:textId="77777777" w:rsidR="001705D5" w:rsidRDefault="00170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E3DCB" w14:textId="77777777" w:rsidR="00CC008E" w:rsidRDefault="00CC008E" w:rsidP="001705D5">
      <w:r>
        <w:separator/>
      </w:r>
    </w:p>
  </w:footnote>
  <w:footnote w:type="continuationSeparator" w:id="0">
    <w:p w14:paraId="0C099962" w14:textId="77777777" w:rsidR="00CC008E" w:rsidRDefault="00CC008E" w:rsidP="00170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C25496"/>
    <w:multiLevelType w:val="hybridMultilevel"/>
    <w:tmpl w:val="ABC40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465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D5"/>
    <w:rsid w:val="001705D5"/>
    <w:rsid w:val="003124E2"/>
    <w:rsid w:val="003243C1"/>
    <w:rsid w:val="00442F96"/>
    <w:rsid w:val="004745E2"/>
    <w:rsid w:val="004930BE"/>
    <w:rsid w:val="00527FEF"/>
    <w:rsid w:val="00535E72"/>
    <w:rsid w:val="00673CA9"/>
    <w:rsid w:val="006E20BC"/>
    <w:rsid w:val="00760DCF"/>
    <w:rsid w:val="00787AF7"/>
    <w:rsid w:val="008142FF"/>
    <w:rsid w:val="008D214B"/>
    <w:rsid w:val="008F6BC9"/>
    <w:rsid w:val="0092607E"/>
    <w:rsid w:val="00A05240"/>
    <w:rsid w:val="00AD0A99"/>
    <w:rsid w:val="00B42C8A"/>
    <w:rsid w:val="00B9094F"/>
    <w:rsid w:val="00CC008E"/>
    <w:rsid w:val="00E1696F"/>
    <w:rsid w:val="00F41A15"/>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A618C"/>
  <w15:chartTrackingRefBased/>
  <w15:docId w15:val="{126B54CD-4B09-40DE-A44A-B20CC0DEA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5D5"/>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autoRedefine/>
    <w:uiPriority w:val="9"/>
    <w:qFormat/>
    <w:rsid w:val="00B42C8A"/>
    <w:pPr>
      <w:keepNext/>
      <w:keepLines/>
      <w:widowControl w:val="0"/>
      <w:autoSpaceDE w:val="0"/>
      <w:autoSpaceDN w:val="0"/>
      <w:spacing w:before="360" w:after="80"/>
      <w:outlineLvl w:val="0"/>
    </w:pPr>
    <w:rPr>
      <w:rFonts w:ascii="Times New Roman" w:eastAsiaTheme="majorEastAsia" w:hAnsi="Times New Roman" w:cstheme="majorBidi"/>
      <w:b/>
      <w:color w:val="000000" w:themeColor="text1"/>
      <w:sz w:val="28"/>
      <w:szCs w:val="40"/>
      <w:lang w:val="en-US" w:eastAsia="zh-CN"/>
    </w:rPr>
  </w:style>
  <w:style w:type="paragraph" w:styleId="Heading2">
    <w:name w:val="heading 2"/>
    <w:basedOn w:val="Normal"/>
    <w:next w:val="Normal"/>
    <w:link w:val="Heading2Char"/>
    <w:autoRedefine/>
    <w:uiPriority w:val="9"/>
    <w:unhideWhenUsed/>
    <w:qFormat/>
    <w:rsid w:val="00B42C8A"/>
    <w:pPr>
      <w:keepNext/>
      <w:keepLines/>
      <w:spacing w:before="40" w:line="276" w:lineRule="auto"/>
      <w:jc w:val="both"/>
      <w:outlineLvl w:val="1"/>
    </w:pPr>
    <w:rPr>
      <w:rFonts w:ascii="Times New Roman" w:eastAsiaTheme="majorEastAsia" w:hAnsi="Times New Roman" w:cstheme="majorBidi"/>
      <w:b/>
      <w:color w:val="000000" w:themeColor="text1"/>
      <w:kern w:val="2"/>
      <w:sz w:val="24"/>
      <w:szCs w:val="26"/>
      <w:lang w:eastAsia="en-US"/>
      <w14:ligatures w14:val="standardContextual"/>
    </w:rPr>
  </w:style>
  <w:style w:type="paragraph" w:styleId="Heading3">
    <w:name w:val="heading 3"/>
    <w:basedOn w:val="Normal"/>
    <w:next w:val="Normal"/>
    <w:link w:val="Heading3Char"/>
    <w:uiPriority w:val="9"/>
    <w:semiHidden/>
    <w:unhideWhenUsed/>
    <w:qFormat/>
    <w:rsid w:val="00E1696F"/>
    <w:pPr>
      <w:keepNext/>
      <w:keepLines/>
      <w:spacing w:before="160" w:after="80" w:line="278" w:lineRule="auto"/>
      <w:outlineLvl w:val="2"/>
    </w:pPr>
    <w:rPr>
      <w:rFonts w:ascii="Times New Roman" w:eastAsiaTheme="majorEastAsia" w:hAnsi="Times New Roman" w:cstheme="majorBidi"/>
      <w:b/>
      <w:color w:val="000000" w:themeColor="text1"/>
      <w:kern w:val="2"/>
      <w:sz w:val="24"/>
      <w:szCs w:val="28"/>
      <w:lang w:eastAsia="en-US"/>
      <w14:ligatures w14:val="standardContextual"/>
    </w:rPr>
  </w:style>
  <w:style w:type="paragraph" w:styleId="Heading4">
    <w:name w:val="heading 4"/>
    <w:basedOn w:val="Normal"/>
    <w:next w:val="Normal"/>
    <w:link w:val="Heading4Char"/>
    <w:uiPriority w:val="9"/>
    <w:semiHidden/>
    <w:unhideWhenUsed/>
    <w:qFormat/>
    <w:rsid w:val="001705D5"/>
    <w:pPr>
      <w:keepNext/>
      <w:keepLines/>
      <w:spacing w:before="80" w:after="40" w:line="278" w:lineRule="auto"/>
      <w:jc w:val="both"/>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705D5"/>
    <w:pPr>
      <w:keepNext/>
      <w:keepLines/>
      <w:spacing w:before="80" w:after="40" w:line="278" w:lineRule="auto"/>
      <w:jc w:val="both"/>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705D5"/>
    <w:pPr>
      <w:keepNext/>
      <w:keepLines/>
      <w:spacing w:before="40" w:line="278" w:lineRule="auto"/>
      <w:jc w:val="both"/>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705D5"/>
    <w:pPr>
      <w:keepNext/>
      <w:keepLines/>
      <w:spacing w:before="40" w:line="278" w:lineRule="auto"/>
      <w:jc w:val="both"/>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705D5"/>
    <w:pPr>
      <w:keepNext/>
      <w:keepLines/>
      <w:spacing w:line="278" w:lineRule="auto"/>
      <w:jc w:val="both"/>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705D5"/>
    <w:pPr>
      <w:keepNext/>
      <w:keepLines/>
      <w:spacing w:line="278" w:lineRule="auto"/>
      <w:jc w:val="both"/>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8A"/>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1705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5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5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5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5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5D5"/>
    <w:rPr>
      <w:rFonts w:eastAsiaTheme="majorEastAsia" w:cstheme="majorBidi"/>
      <w:color w:val="272727" w:themeColor="text1" w:themeTint="D8"/>
    </w:rPr>
  </w:style>
  <w:style w:type="paragraph" w:styleId="Title">
    <w:name w:val="Title"/>
    <w:basedOn w:val="Normal"/>
    <w:next w:val="Normal"/>
    <w:link w:val="TitleChar"/>
    <w:uiPriority w:val="10"/>
    <w:qFormat/>
    <w:rsid w:val="001705D5"/>
    <w:pPr>
      <w:spacing w:after="80"/>
      <w:contextualSpacing/>
      <w:jc w:val="both"/>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705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5D5"/>
    <w:pPr>
      <w:numPr>
        <w:ilvl w:val="1"/>
      </w:numPr>
      <w:spacing w:after="160" w:line="278" w:lineRule="auto"/>
      <w:jc w:val="both"/>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705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5D5"/>
    <w:pPr>
      <w:spacing w:before="160" w:after="160" w:line="278" w:lineRule="auto"/>
      <w:jc w:val="center"/>
    </w:pPr>
    <w:rPr>
      <w:rFonts w:ascii="Times New Roman" w:eastAsiaTheme="minorHAnsi" w:hAnsi="Times New Roman"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705D5"/>
    <w:rPr>
      <w:rFonts w:ascii="Times New Roman" w:hAnsi="Times New Roman"/>
      <w:i/>
      <w:iCs/>
      <w:color w:val="404040" w:themeColor="text1" w:themeTint="BF"/>
    </w:rPr>
  </w:style>
  <w:style w:type="paragraph" w:styleId="ListParagraph">
    <w:name w:val="List Paragraph"/>
    <w:basedOn w:val="Normal"/>
    <w:uiPriority w:val="34"/>
    <w:qFormat/>
    <w:rsid w:val="001705D5"/>
    <w:pPr>
      <w:spacing w:after="160" w:line="278" w:lineRule="auto"/>
      <w:ind w:left="720"/>
      <w:contextualSpacing/>
      <w:jc w:val="both"/>
    </w:pPr>
    <w:rPr>
      <w:rFonts w:ascii="Times New Roman" w:eastAsiaTheme="minorHAnsi" w:hAnsi="Times New Roman" w:cstheme="minorBidi"/>
      <w:kern w:val="2"/>
      <w:sz w:val="24"/>
      <w:szCs w:val="24"/>
      <w:lang w:eastAsia="en-US"/>
      <w14:ligatures w14:val="standardContextual"/>
    </w:rPr>
  </w:style>
  <w:style w:type="character" w:styleId="IntenseEmphasis">
    <w:name w:val="Intense Emphasis"/>
    <w:basedOn w:val="DefaultParagraphFont"/>
    <w:uiPriority w:val="21"/>
    <w:qFormat/>
    <w:rsid w:val="001705D5"/>
    <w:rPr>
      <w:i/>
      <w:iCs/>
      <w:color w:val="0F4761" w:themeColor="accent1" w:themeShade="BF"/>
    </w:rPr>
  </w:style>
  <w:style w:type="paragraph" w:styleId="IntenseQuote">
    <w:name w:val="Intense Quote"/>
    <w:basedOn w:val="Normal"/>
    <w:next w:val="Normal"/>
    <w:link w:val="IntenseQuoteChar"/>
    <w:uiPriority w:val="30"/>
    <w:qFormat/>
    <w:rsid w:val="001705D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imes New Roman" w:eastAsiaTheme="minorHAnsi" w:hAnsi="Times New Roman"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705D5"/>
    <w:rPr>
      <w:rFonts w:ascii="Times New Roman" w:hAnsi="Times New Roman"/>
      <w:i/>
      <w:iCs/>
      <w:color w:val="0F4761" w:themeColor="accent1" w:themeShade="BF"/>
    </w:rPr>
  </w:style>
  <w:style w:type="character" w:styleId="IntenseReference">
    <w:name w:val="Intense Reference"/>
    <w:basedOn w:val="DefaultParagraphFont"/>
    <w:uiPriority w:val="32"/>
    <w:qFormat/>
    <w:rsid w:val="001705D5"/>
    <w:rPr>
      <w:b/>
      <w:bCs/>
      <w:smallCaps/>
      <w:color w:val="0F4761" w:themeColor="accent1" w:themeShade="BF"/>
      <w:spacing w:val="5"/>
    </w:rPr>
  </w:style>
  <w:style w:type="paragraph" w:styleId="Header">
    <w:name w:val="header"/>
    <w:basedOn w:val="Normal"/>
    <w:link w:val="HeaderChar"/>
    <w:uiPriority w:val="99"/>
    <w:unhideWhenUsed/>
    <w:rsid w:val="001705D5"/>
    <w:pPr>
      <w:tabs>
        <w:tab w:val="center" w:pos="4513"/>
        <w:tab w:val="right" w:pos="9026"/>
      </w:tabs>
    </w:pPr>
  </w:style>
  <w:style w:type="character" w:customStyle="1" w:styleId="HeaderChar">
    <w:name w:val="Header Char"/>
    <w:basedOn w:val="DefaultParagraphFont"/>
    <w:link w:val="Header"/>
    <w:uiPriority w:val="99"/>
    <w:rsid w:val="001705D5"/>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1705D5"/>
    <w:pPr>
      <w:tabs>
        <w:tab w:val="center" w:pos="4513"/>
        <w:tab w:val="right" w:pos="9026"/>
      </w:tabs>
    </w:pPr>
  </w:style>
  <w:style w:type="character" w:customStyle="1" w:styleId="FooterChar">
    <w:name w:val="Footer Char"/>
    <w:basedOn w:val="DefaultParagraphFont"/>
    <w:link w:val="Footer"/>
    <w:uiPriority w:val="99"/>
    <w:rsid w:val="001705D5"/>
    <w:rPr>
      <w:rFonts w:ascii="Arial" w:eastAsia="Arial" w:hAnsi="Arial" w:cs="Arial"/>
      <w:kern w:val="0"/>
      <w:sz w:val="22"/>
      <w:szCs w:val="22"/>
      <w:lang w:eastAsia="en-GB"/>
      <w14:ligatures w14:val="none"/>
    </w:rPr>
  </w:style>
  <w:style w:type="paragraph" w:styleId="TOCHeading">
    <w:name w:val="TOC Heading"/>
    <w:basedOn w:val="Heading1"/>
    <w:next w:val="Normal"/>
    <w:uiPriority w:val="39"/>
    <w:unhideWhenUsed/>
    <w:qFormat/>
    <w:rsid w:val="001705D5"/>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1705D5"/>
    <w:pPr>
      <w:spacing w:after="100"/>
    </w:pPr>
  </w:style>
  <w:style w:type="paragraph" w:styleId="TOC2">
    <w:name w:val="toc 2"/>
    <w:basedOn w:val="Normal"/>
    <w:next w:val="Normal"/>
    <w:autoRedefine/>
    <w:uiPriority w:val="39"/>
    <w:unhideWhenUsed/>
    <w:rsid w:val="001705D5"/>
    <w:pPr>
      <w:spacing w:after="100"/>
      <w:ind w:left="220"/>
    </w:pPr>
  </w:style>
  <w:style w:type="character" w:styleId="Hyperlink">
    <w:name w:val="Hyperlink"/>
    <w:basedOn w:val="DefaultParagraphFont"/>
    <w:uiPriority w:val="99"/>
    <w:unhideWhenUsed/>
    <w:rsid w:val="001705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D7A84-4FA5-4626-8238-6803CD0BB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4197</Words>
  <Characters>23926</Characters>
  <Application>Microsoft Office Word</Application>
  <DocSecurity>0</DocSecurity>
  <Lines>199</Lines>
  <Paragraphs>56</Paragraphs>
  <ScaleCrop>false</ScaleCrop>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Florina Popina</cp:lastModifiedBy>
  <cp:revision>3</cp:revision>
  <dcterms:created xsi:type="dcterms:W3CDTF">2026-04-30T00:39:00Z</dcterms:created>
  <dcterms:modified xsi:type="dcterms:W3CDTF">2026-04-30T15:40:00Z</dcterms:modified>
</cp:coreProperties>
</file>