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187D7" w14:textId="77777777" w:rsidR="00E96383" w:rsidRPr="00E96383" w:rsidRDefault="00E96383" w:rsidP="00E96383">
      <w:pPr>
        <w:jc w:val="center"/>
        <w:rPr>
          <w:b/>
          <w:bCs/>
          <w:sz w:val="40"/>
          <w:szCs w:val="40"/>
          <w:u w:val="single"/>
        </w:rPr>
      </w:pPr>
    </w:p>
    <w:p w14:paraId="55437283" w14:textId="1B0EC37D" w:rsidR="00E96383" w:rsidRDefault="00E96383" w:rsidP="00E96383">
      <w:pPr>
        <w:jc w:val="center"/>
        <w:rPr>
          <w:b/>
          <w:bCs/>
          <w:sz w:val="40"/>
          <w:szCs w:val="40"/>
          <w:u w:val="single"/>
        </w:rPr>
      </w:pPr>
      <w:r>
        <w:rPr>
          <w:b/>
          <w:bCs/>
          <w:sz w:val="40"/>
          <w:szCs w:val="40"/>
          <w:u w:val="single"/>
        </w:rPr>
        <w:t>‘</w:t>
      </w:r>
      <w:r w:rsidRPr="00E96383">
        <w:rPr>
          <w:b/>
          <w:bCs/>
          <w:sz w:val="40"/>
          <w:szCs w:val="40"/>
          <w:u w:val="single"/>
        </w:rPr>
        <w:t>A critical evaluation and the identification of next teaching and learning steps focusing on a case study of an individual learner or a group of learners, based on an observed critical incident.</w:t>
      </w:r>
      <w:r>
        <w:rPr>
          <w:b/>
          <w:bCs/>
          <w:sz w:val="40"/>
          <w:szCs w:val="40"/>
          <w:u w:val="single"/>
        </w:rPr>
        <w:t>’</w:t>
      </w:r>
    </w:p>
    <w:p w14:paraId="73248457" w14:textId="5AF5EED2" w:rsidR="00E96383" w:rsidRDefault="00E96383" w:rsidP="00E96383">
      <w:pPr>
        <w:jc w:val="center"/>
        <w:rPr>
          <w:b/>
          <w:bCs/>
          <w:sz w:val="40"/>
          <w:szCs w:val="40"/>
          <w:u w:val="single"/>
        </w:rPr>
      </w:pPr>
    </w:p>
    <w:p w14:paraId="27D7D9D0" w14:textId="1ECBCD24" w:rsidR="00E96383" w:rsidRDefault="00E96383" w:rsidP="00E96383">
      <w:pPr>
        <w:jc w:val="center"/>
        <w:rPr>
          <w:b/>
          <w:bCs/>
          <w:sz w:val="40"/>
          <w:szCs w:val="40"/>
          <w:u w:val="single"/>
        </w:rPr>
      </w:pPr>
    </w:p>
    <w:p w14:paraId="42E06E1A" w14:textId="1E436AD0" w:rsidR="00E96383" w:rsidRDefault="00E96383" w:rsidP="00E96383">
      <w:pPr>
        <w:jc w:val="center"/>
      </w:pPr>
      <w:r>
        <w:t xml:space="preserve">Module ECAD6007- The Learner: Who am I Teaching? </w:t>
      </w:r>
    </w:p>
    <w:p w14:paraId="5E2D2584" w14:textId="77777777" w:rsidR="00E96383" w:rsidRDefault="00E96383" w:rsidP="00E96383">
      <w:pPr>
        <w:jc w:val="center"/>
      </w:pPr>
      <w:r>
        <w:t xml:space="preserve">By Esther Bowles </w:t>
      </w:r>
    </w:p>
    <w:p w14:paraId="7034F687" w14:textId="5ABB4AB0" w:rsidR="00E96383" w:rsidRDefault="00E96383" w:rsidP="00E96383">
      <w:pPr>
        <w:jc w:val="center"/>
      </w:pPr>
      <w:r>
        <w:t>Student Number: 2200052</w:t>
      </w:r>
    </w:p>
    <w:p w14:paraId="48674D57" w14:textId="1E2BD061" w:rsidR="00E96383" w:rsidRDefault="00E96383" w:rsidP="00E96383">
      <w:pPr>
        <w:jc w:val="center"/>
      </w:pPr>
      <w:r>
        <w:t xml:space="preserve">Word Count: </w:t>
      </w:r>
      <w:r w:rsidR="00223421">
        <w:t>4023</w:t>
      </w:r>
    </w:p>
    <w:p w14:paraId="2253003B" w14:textId="62F35299" w:rsidR="00E96383" w:rsidRPr="00E96383" w:rsidRDefault="00E96383" w:rsidP="00E96383">
      <w:pPr>
        <w:jc w:val="center"/>
      </w:pPr>
      <w:r>
        <w:t xml:space="preserve">Appendices: </w:t>
      </w:r>
      <w:r w:rsidR="001F7937">
        <w:t>1022</w:t>
      </w:r>
    </w:p>
    <w:p w14:paraId="23DFF2B9" w14:textId="616F6F2F" w:rsidR="00E96383" w:rsidRDefault="00E96383"/>
    <w:p w14:paraId="0B093EF6" w14:textId="7CC11185" w:rsidR="00E96383" w:rsidRDefault="00E96383"/>
    <w:p w14:paraId="15CA1753" w14:textId="04ED964F" w:rsidR="00E96383" w:rsidRDefault="00E96383"/>
    <w:p w14:paraId="29AC0F4B" w14:textId="48D38BBC" w:rsidR="00E96383" w:rsidRDefault="00E96383"/>
    <w:p w14:paraId="76A47CD1" w14:textId="1F554FBF" w:rsidR="00E96383" w:rsidRDefault="00E96383"/>
    <w:p w14:paraId="26E10291" w14:textId="212C46A6" w:rsidR="00E96383" w:rsidRDefault="00E96383"/>
    <w:p w14:paraId="3A9F1D34" w14:textId="05303800" w:rsidR="00E96383" w:rsidRDefault="00E96383"/>
    <w:p w14:paraId="25E0FEE4" w14:textId="439F2EB8" w:rsidR="00E96383" w:rsidRDefault="00E96383"/>
    <w:p w14:paraId="4CD02408" w14:textId="680322EB" w:rsidR="00E96383" w:rsidRDefault="00E96383"/>
    <w:p w14:paraId="5B5F6D4F" w14:textId="76F144AA" w:rsidR="00E96383" w:rsidRDefault="00E96383"/>
    <w:p w14:paraId="20E42D37" w14:textId="6CA74968" w:rsidR="00E96383" w:rsidRDefault="00E96383"/>
    <w:p w14:paraId="68B7FDFC" w14:textId="75979944" w:rsidR="00E96383" w:rsidRDefault="00E96383"/>
    <w:p w14:paraId="53DFB50C" w14:textId="48316433" w:rsidR="00E96383" w:rsidRDefault="00E96383"/>
    <w:p w14:paraId="29DDE660" w14:textId="40DBAF4A" w:rsidR="00E96383" w:rsidRDefault="00E96383"/>
    <w:p w14:paraId="46E08F7C" w14:textId="2FED6D93" w:rsidR="00E96383" w:rsidRDefault="00E96383"/>
    <w:p w14:paraId="42917EF6" w14:textId="62C0860C" w:rsidR="00E96383" w:rsidRDefault="00E96383"/>
    <w:p w14:paraId="0EE35CAB" w14:textId="4366CB96" w:rsidR="00E96383" w:rsidRDefault="00E96383"/>
    <w:p w14:paraId="599D0D8F" w14:textId="791E1F81" w:rsidR="00E96383" w:rsidRDefault="00E96383"/>
    <w:p w14:paraId="13ABA209" w14:textId="3A73E4A6" w:rsidR="00E96383" w:rsidRDefault="00E96383"/>
    <w:p w14:paraId="0B1782AF" w14:textId="1FFD26E7" w:rsidR="00E96383" w:rsidRDefault="00E96383"/>
    <w:p w14:paraId="4DCA2FA7" w14:textId="6092FB4C" w:rsidR="00E96383" w:rsidRDefault="00E96383"/>
    <w:p w14:paraId="01BF8674" w14:textId="2B95BC93" w:rsidR="00E96383" w:rsidRDefault="00E96383"/>
    <w:p w14:paraId="2A70223B" w14:textId="2ADDFF36" w:rsidR="00E96383" w:rsidRDefault="00E96383"/>
    <w:p w14:paraId="219482ED" w14:textId="596F7C70" w:rsidR="00E96383" w:rsidRDefault="00E96383"/>
    <w:p w14:paraId="2505B353" w14:textId="66BD3A70" w:rsidR="00E96383" w:rsidRDefault="00E96383"/>
    <w:p w14:paraId="0477B8E0" w14:textId="7FFC2936" w:rsidR="00E96383" w:rsidRDefault="00E96383"/>
    <w:p w14:paraId="07C5F388" w14:textId="501C6612" w:rsidR="00E96383" w:rsidRDefault="00E96383"/>
    <w:p w14:paraId="6C84AD2F" w14:textId="38F4CC73" w:rsidR="00E96383" w:rsidRDefault="00E96383"/>
    <w:p w14:paraId="42507A4D" w14:textId="77777777" w:rsidR="00650185" w:rsidRDefault="00650185"/>
    <w:p w14:paraId="20B01527" w14:textId="71B2EC84" w:rsidR="003F46BA" w:rsidRDefault="00EF7754" w:rsidP="001F7937">
      <w:pPr>
        <w:spacing w:line="360" w:lineRule="auto"/>
      </w:pPr>
      <w:r>
        <w:lastRenderedPageBreak/>
        <w:t>Critical incident analysis</w:t>
      </w:r>
      <w:r w:rsidR="001F7937">
        <w:t xml:space="preserve"> is</w:t>
      </w:r>
      <w:r>
        <w:t xml:space="preserve"> reflection on </w:t>
      </w:r>
      <w:r w:rsidR="00914CCC">
        <w:t xml:space="preserve">typical </w:t>
      </w:r>
      <w:r>
        <w:t>teaching situations, positive or negative, so that teachers can develop their practice and personal pedagogy. It was a theory developed by Tripp in 1993 and</w:t>
      </w:r>
      <w:r w:rsidR="001F7937">
        <w:t xml:space="preserve"> is a critical part of the teaching profession</w:t>
      </w:r>
      <w:r>
        <w:t xml:space="preserve"> </w:t>
      </w:r>
      <w:r w:rsidR="00810043">
        <w:t xml:space="preserve">(Tripp, 2012, </w:t>
      </w:r>
      <w:r w:rsidR="00914CCC">
        <w:t>p.25)</w:t>
      </w:r>
      <w:r w:rsidR="001F7937">
        <w:t>.</w:t>
      </w:r>
      <w:r w:rsidR="00914CCC">
        <w:t xml:space="preserve"> Critical</w:t>
      </w:r>
      <w:r>
        <w:t xml:space="preserve"> incident reflection </w:t>
      </w:r>
      <w:r w:rsidR="00810043">
        <w:t>can be used</w:t>
      </w:r>
      <w:r>
        <w:t xml:space="preserve"> to understand the </w:t>
      </w:r>
      <w:r w:rsidR="00810043">
        <w:t>motivations</w:t>
      </w:r>
      <w:r>
        <w:t xml:space="preserve"> </w:t>
      </w:r>
      <w:r w:rsidR="00047CEA">
        <w:t>behind</w:t>
      </w:r>
      <w:r w:rsidR="00810043">
        <w:t xml:space="preserve"> methods of teaching. It generates research enquiries</w:t>
      </w:r>
      <w:r w:rsidR="00047CEA">
        <w:t xml:space="preserve"> </w:t>
      </w:r>
      <w:r w:rsidR="00810043">
        <w:t xml:space="preserve">which can produce a stronger understanding of </w:t>
      </w:r>
      <w:r w:rsidR="001F7937">
        <w:t>teaching practices</w:t>
      </w:r>
      <w:r w:rsidR="00810043">
        <w:t xml:space="preserve">. </w:t>
      </w:r>
      <w:r w:rsidR="00047CEA">
        <w:t>This essay will identify a critical incident taken from a lesson observation</w:t>
      </w:r>
      <w:r w:rsidR="00810043">
        <w:t xml:space="preserve"> and t</w:t>
      </w:r>
      <w:r w:rsidR="00047CEA">
        <w:t>hrough research</w:t>
      </w:r>
      <w:r w:rsidR="00810043">
        <w:t xml:space="preserve">, </w:t>
      </w:r>
      <w:r w:rsidR="00047CEA">
        <w:t>will evaluate possible next teaching steps that could be taken in response</w:t>
      </w:r>
      <w:r w:rsidR="00810043">
        <w:t xml:space="preserve">. </w:t>
      </w:r>
      <w:r w:rsidR="00047CEA">
        <w:t>The incident will be described in the context of the school, within the ethical guidelines of BERA, and its connection to Donaldson’s four purposes will be made clear. Following Tripp’s model of critical incident reflection, I will follow my observation of a critical incident with research</w:t>
      </w:r>
      <w:r w:rsidR="001F7937">
        <w:t>,</w:t>
      </w:r>
      <w:r w:rsidR="00047CEA">
        <w:t xml:space="preserve"> </w:t>
      </w:r>
      <w:r w:rsidR="00442096">
        <w:t xml:space="preserve">to reach a conclusion on why the incident stood out to me personally. I will consider what about the incident and its context prompted me to take notice of it and what effects the incident had on the students learning at the time. I will also develop possibilities for future action that could enhance my own professional development. </w:t>
      </w:r>
      <w:r w:rsidR="00EF3D3E">
        <w:t xml:space="preserve">I intend to use critical evaluation in this essay to begin my professional development into a reflective teacher. </w:t>
      </w:r>
    </w:p>
    <w:p w14:paraId="69362008" w14:textId="5C77B8E2" w:rsidR="005110DC" w:rsidRDefault="005110DC" w:rsidP="001F7937">
      <w:pPr>
        <w:spacing w:line="360" w:lineRule="auto"/>
      </w:pPr>
    </w:p>
    <w:p w14:paraId="3FD0E9B9" w14:textId="43EFF509" w:rsidR="00810043" w:rsidRDefault="005110DC" w:rsidP="001F7937">
      <w:pPr>
        <w:spacing w:line="360" w:lineRule="auto"/>
      </w:pPr>
      <w:r>
        <w:t xml:space="preserve">Although critical reflection has always been an integral part of the profession, the development of the new curriculum has now highlighted reflection as one of the most vital practices within teaching. </w:t>
      </w:r>
      <w:r w:rsidR="00F217CC">
        <w:t xml:space="preserve">It is increasingly becoming instrumental in teachers developing their own professional judgement. </w:t>
      </w:r>
      <w:r>
        <w:t>Critical reflection is necessary for achieving the professional standards that are required for all practicing teachers. The standards acknowl</w:t>
      </w:r>
      <w:r w:rsidR="00810043">
        <w:t>edge</w:t>
      </w:r>
      <w:r>
        <w:t xml:space="preserve"> the importance of continued professional learning even after qualification (</w:t>
      </w:r>
      <w:r w:rsidR="00810043">
        <w:t>Welsh Government, 2017</w:t>
      </w:r>
      <w:r>
        <w:t xml:space="preserve">). </w:t>
      </w:r>
      <w:r w:rsidR="00B174B9">
        <w:t xml:space="preserve">The professional learning section of the professional standards emphasises the value of reflection in teaching. It formally brings into the profession the need for teachers to constantly expand their knowledge on teaching skills and techniques, professional networks and the effectiveness of their own practice. The standards make it clear that without reflection, a teacher cannot hope to develop their practice in a way that is beneficial to both teacher and student. Reflection also plays a key role in the </w:t>
      </w:r>
      <w:r w:rsidR="00810043">
        <w:t xml:space="preserve">principal </w:t>
      </w:r>
      <w:r w:rsidR="00B174B9">
        <w:t>section of the professional standards. Reflection on our own personal experiences, on the research that we do and on our own practice is the way that teachers can develop an effective pedagogy. Without this reflection, and the subsequen</w:t>
      </w:r>
      <w:r w:rsidR="00810043">
        <w:t>t</w:t>
      </w:r>
      <w:r w:rsidR="00B174B9">
        <w:t xml:space="preserve"> findings and justifications </w:t>
      </w:r>
      <w:r w:rsidR="00B174B9">
        <w:lastRenderedPageBreak/>
        <w:t>that come from it</w:t>
      </w:r>
      <w:r w:rsidR="00947276">
        <w:t xml:space="preserve">, teachers cannot be confident that they are securing the best possible outcomes for their learners. </w:t>
      </w:r>
    </w:p>
    <w:p w14:paraId="77FC981B" w14:textId="65ED72DF" w:rsidR="005110DC" w:rsidRDefault="001F7937" w:rsidP="001F7937">
      <w:pPr>
        <w:spacing w:line="360" w:lineRule="auto"/>
      </w:pPr>
      <w:r>
        <w:t>I</w:t>
      </w:r>
      <w:r w:rsidR="00947276">
        <w:t xml:space="preserve">t is also important to consider the theories behind reflection and how they have </w:t>
      </w:r>
      <w:r w:rsidR="00810043">
        <w:t xml:space="preserve">aided in </w:t>
      </w:r>
      <w:r w:rsidR="00947276">
        <w:t>develop</w:t>
      </w:r>
      <w:r w:rsidR="00810043">
        <w:t xml:space="preserve">ment of the </w:t>
      </w:r>
      <w:r w:rsidR="00947276">
        <w:t xml:space="preserve">teaching profession. The formal acknowledgement of critical reflection in teaching stems from reflective models that have been interpreted and shaped over time. It is part of the role of the teacher to interpret these models and find the ones that they can apply to their own practice. It is a combination of different parts of reflective models that will make up a teacher’s method of reflection. </w:t>
      </w:r>
      <w:r w:rsidR="00EF0DB3">
        <w:t xml:space="preserve">Critical incident analysis was developed by </w:t>
      </w:r>
      <w:r w:rsidR="00810043">
        <w:t xml:space="preserve">David </w:t>
      </w:r>
      <w:r w:rsidR="00EF0DB3">
        <w:t xml:space="preserve">Tripp and is a reflection based on a particular incident that can be used to develop professional judgement (Tripp, </w:t>
      </w:r>
      <w:r w:rsidR="00810043">
        <w:t>2012, p.10)</w:t>
      </w:r>
      <w:r w:rsidR="00EF0DB3">
        <w:t>. Reflection in this from is the individual’s interpretation of an incident and one’s own personal experiences must be considered in this. What we reflect on is predominantly determined by our pre-existing world view, so Tripp highlights the importance of reflecting on why specific incidents stand out to you</w:t>
      </w:r>
      <w:r>
        <w:t xml:space="preserve"> </w:t>
      </w:r>
      <w:r w:rsidR="00EF0DB3">
        <w:t>(Tripp,</w:t>
      </w:r>
      <w:r w:rsidR="00810043">
        <w:t xml:space="preserve"> 2012,</w:t>
      </w:r>
      <w:r w:rsidR="00EF0DB3">
        <w:t xml:space="preserve"> </w:t>
      </w:r>
      <w:r w:rsidR="00810043">
        <w:t xml:space="preserve">p. </w:t>
      </w:r>
      <w:r w:rsidR="00EF0DB3">
        <w:t>12).  This model of reflection is a reminder that the success of practice is not just dependent on the teacher, but on the wider social and classroom contexts</w:t>
      </w:r>
      <w:r>
        <w:t xml:space="preserve"> </w:t>
      </w:r>
      <w:r w:rsidR="00EF0DB3">
        <w:t>(</w:t>
      </w:r>
      <w:r w:rsidR="00810043">
        <w:t>Mohammed, 2016</w:t>
      </w:r>
      <w:r w:rsidR="00EF0DB3">
        <w:t>, p</w:t>
      </w:r>
      <w:r w:rsidR="00810043">
        <w:t xml:space="preserve">. </w:t>
      </w:r>
      <w:r w:rsidR="00EF0DB3">
        <w:t>27). Critical incident analysis can reveal which practices work and which do not for particular teachers. In other words, it creates professional awareness</w:t>
      </w:r>
      <w:r>
        <w:t xml:space="preserve"> </w:t>
      </w:r>
      <w:r w:rsidR="00EF0DB3">
        <w:t>(</w:t>
      </w:r>
      <w:r w:rsidR="00810043">
        <w:t>Joshi, 2018</w:t>
      </w:r>
      <w:r w:rsidR="00EF0DB3">
        <w:t>, p</w:t>
      </w:r>
      <w:r w:rsidR="00810043">
        <w:t>.</w:t>
      </w:r>
      <w:r w:rsidR="00EF0DB3">
        <w:t xml:space="preserve"> 84). </w:t>
      </w:r>
      <w:r>
        <w:t xml:space="preserve"> Brookfield, another key author o</w:t>
      </w:r>
      <w:r w:rsidR="00F146D3">
        <w:t>n</w:t>
      </w:r>
      <w:r>
        <w:t xml:space="preserve"> reflective theory, </w:t>
      </w:r>
      <w:r w:rsidR="00F217CC">
        <w:t>emphasises the importance of reflecting on incidents through a multitude of lenses. A teacher must reflect through the lens of their own experience, the learner’s experience, other professionals and the existing literature and research (</w:t>
      </w:r>
      <w:r w:rsidR="00810043">
        <w:t>Brookfield, 1998</w:t>
      </w:r>
      <w:r w:rsidR="00F217CC">
        <w:t>, p</w:t>
      </w:r>
      <w:r w:rsidR="00810043">
        <w:t>.</w:t>
      </w:r>
      <w:r w:rsidR="00F217CC">
        <w:t xml:space="preserve"> 197). This means that reflection cannot be skewed by our own personal experiences and becomes more effective in developing professional judgement. I intend to </w:t>
      </w:r>
      <w:r w:rsidR="00810043">
        <w:t xml:space="preserve">interpret these </w:t>
      </w:r>
      <w:r w:rsidR="00F217CC">
        <w:t>model</w:t>
      </w:r>
      <w:r w:rsidR="00810043">
        <w:t xml:space="preserve">s </w:t>
      </w:r>
      <w:r w:rsidR="00F217CC">
        <w:t>of reflection to understand why</w:t>
      </w:r>
      <w:r w:rsidR="00810043">
        <w:t xml:space="preserve"> </w:t>
      </w:r>
      <w:r w:rsidR="00F217CC">
        <w:t>a particular incident</w:t>
      </w:r>
      <w:r w:rsidR="00810043">
        <w:t xml:space="preserve"> stood out to me,</w:t>
      </w:r>
      <w:r w:rsidR="00F217CC">
        <w:t xml:space="preserve"> </w:t>
      </w:r>
      <w:r w:rsidR="00810043">
        <w:t xml:space="preserve">the reasons behind its occurrence </w:t>
      </w:r>
      <w:r w:rsidR="00F217CC">
        <w:t xml:space="preserve">and possibilities for further research. </w:t>
      </w:r>
    </w:p>
    <w:p w14:paraId="178DC3B2" w14:textId="34994826" w:rsidR="00957585" w:rsidRDefault="00957585" w:rsidP="001F7937">
      <w:pPr>
        <w:spacing w:line="360" w:lineRule="auto"/>
      </w:pPr>
    </w:p>
    <w:p w14:paraId="7771B464" w14:textId="7E5CC9E0" w:rsidR="00957585" w:rsidRDefault="00957585" w:rsidP="001F7937">
      <w:pPr>
        <w:spacing w:line="360" w:lineRule="auto"/>
      </w:pPr>
      <w:r>
        <w:t>The school from which I observed the critical incidents is situated in the Swansea area</w:t>
      </w:r>
      <w:r w:rsidR="00CA1D95">
        <w:t>. In line with the BERA guidelines on ethical research, the name and location of the school will not be included</w:t>
      </w:r>
      <w:r w:rsidR="00810043">
        <w:t xml:space="preserve"> (BERA, 2018).</w:t>
      </w:r>
      <w:r w:rsidR="00CA1D95">
        <w:t xml:space="preserve"> The school is </w:t>
      </w:r>
      <w:r>
        <w:t xml:space="preserve">an </w:t>
      </w:r>
      <w:r w:rsidR="00810043">
        <w:t>1</w:t>
      </w:r>
      <w:r>
        <w:t xml:space="preserve">1-18 mixed comprehensive school with a sixth form. Another important point of context for reflection is that this school is a pioneer school in developing the new curriculum and works with the Welsh Government in order to do so. I have taken this into account in my observations and reflections. </w:t>
      </w:r>
      <w:r w:rsidR="0048237F">
        <w:t xml:space="preserve">Statistics from the </w:t>
      </w:r>
      <w:r w:rsidR="0048237F">
        <w:lastRenderedPageBreak/>
        <w:t>lates</w:t>
      </w:r>
      <w:r w:rsidR="00810043">
        <w:t>t</w:t>
      </w:r>
      <w:r w:rsidR="0048237F">
        <w:t xml:space="preserve"> ESTYN report on the school from 2018 </w:t>
      </w:r>
      <w:r w:rsidR="00810043">
        <w:t xml:space="preserve">(ESTYN, 2018) </w:t>
      </w:r>
      <w:r w:rsidR="0048237F">
        <w:t xml:space="preserve">show that the school has lower numbers of students that are eligible for school meals. Only 6% of students are eligible compared to the Welsh national average of 17% for secondary schools. In addition, the number of students who have an ALN lies at 12%. Again, this is significantly lower than the national average of 21.5%. The most recent ESTYN report also highlights that only very few students were able to speak Welsh fluently. This is an important consideration for observations, especially as this school is a pioneer school for the new curriculum, a curriculum dedicated to increasing the amount of Welsh used and taught in schools. </w:t>
      </w:r>
    </w:p>
    <w:p w14:paraId="7566F355" w14:textId="0991EA9C" w:rsidR="004E4C4D" w:rsidRDefault="004E4C4D" w:rsidP="001F7937">
      <w:pPr>
        <w:spacing w:line="360" w:lineRule="auto"/>
      </w:pPr>
    </w:p>
    <w:p w14:paraId="3DE21759" w14:textId="0F5969E6" w:rsidR="004E4C4D" w:rsidRDefault="004E4C4D" w:rsidP="001F7937">
      <w:pPr>
        <w:spacing w:line="360" w:lineRule="auto"/>
      </w:pPr>
      <w:r>
        <w:t xml:space="preserve">The critical incident that I have decided to evaluate and </w:t>
      </w:r>
      <w:r w:rsidR="00B81CBE">
        <w:t>research further was observed on the 26</w:t>
      </w:r>
      <w:r w:rsidR="00B81CBE" w:rsidRPr="00B81CBE">
        <w:rPr>
          <w:vertAlign w:val="superscript"/>
        </w:rPr>
        <w:t>th</w:t>
      </w:r>
      <w:r w:rsidR="00B81CBE">
        <w:t xml:space="preserve"> of September 2022 in a lesson beginning at 11:20. The class was year 7 and I had already observed their previous lesson. This lesson was the period just before the lunch break. The lesson was an English lesson but was written on the student’s timetable as ‘</w:t>
      </w:r>
      <w:proofErr w:type="spellStart"/>
      <w:r w:rsidR="00810043">
        <w:t>IC</w:t>
      </w:r>
      <w:r w:rsidR="00B81CBE">
        <w:t>ommunicate</w:t>
      </w:r>
      <w:proofErr w:type="spellEnd"/>
      <w:r w:rsidR="00B81CBE">
        <w:t>’. This school had</w:t>
      </w:r>
      <w:r w:rsidR="00810043">
        <w:t xml:space="preserve"> organised</w:t>
      </w:r>
      <w:r w:rsidR="00B81CBE">
        <w:t xml:space="preserve"> the timetables</w:t>
      </w:r>
      <w:r w:rsidR="00810043">
        <w:t xml:space="preserve"> by</w:t>
      </w:r>
      <w:r w:rsidR="00B81CBE">
        <w:t xml:space="preserve"> the AOLE’s rather than by subject. The students all seemed to understand what this meant and what they would be studying each lesson. Since it was an ‘</w:t>
      </w:r>
      <w:proofErr w:type="spellStart"/>
      <w:r w:rsidR="00810043">
        <w:t>IC</w:t>
      </w:r>
      <w:r w:rsidR="00B81CBE">
        <w:t>ommunicate</w:t>
      </w:r>
      <w:proofErr w:type="spellEnd"/>
      <w:r w:rsidR="00B81CBE">
        <w:t xml:space="preserve">’ lesson the topic of the day was European day of languages and the students had been asked to bring in a food item that they believed represented a specific culture and be ready to discuss it in groups. The students were off the normal scheme of work for this lesson, and it was mostly filled with discussion and moving around talking to each other. In addition, the inclusion of food in the classroom increased excitement. Although there were a few moments of disruption, considering the circumstances the class were well behaved and really engaged in the lesson. The class spent the lesson moving around groups and asking each other in either Welsh or Spanish about the </w:t>
      </w:r>
      <w:r w:rsidR="00BB2AAF">
        <w:t>food that had been brought in. This lesson appeared to have</w:t>
      </w:r>
      <w:r w:rsidR="00810043">
        <w:t xml:space="preserve"> many </w:t>
      </w:r>
      <w:r w:rsidR="00BB2AAF">
        <w:t>links to the four purposes. The students were: communicating effectively in different forms, playing different roles in teams effectively through the rotating class discussions, learning about culture and society and were displaying positive relationships across the classroom</w:t>
      </w:r>
      <w:r w:rsidR="001F7937">
        <w:t xml:space="preserve"> </w:t>
      </w:r>
      <w:r w:rsidR="00BB2AAF">
        <w:t>(</w:t>
      </w:r>
      <w:r w:rsidR="00810043">
        <w:t>Donaldson, 2015</w:t>
      </w:r>
      <w:r w:rsidR="00BB2AAF">
        <w:t>)</w:t>
      </w:r>
      <w:r w:rsidR="007D1972">
        <w:t>.</w:t>
      </w:r>
    </w:p>
    <w:p w14:paraId="684B01BF" w14:textId="21CD29AC" w:rsidR="00BB2AAF" w:rsidRDefault="00BB2AAF" w:rsidP="001F7937">
      <w:pPr>
        <w:spacing w:line="360" w:lineRule="auto"/>
      </w:pPr>
      <w:r>
        <w:t>The lively nature of this lesson is what made the incident stand out to me as an observer. Despite the disruption and the excitement that had come from food</w:t>
      </w:r>
      <w:r w:rsidR="00810043">
        <w:t xml:space="preserve"> and movement</w:t>
      </w:r>
      <w:r>
        <w:t xml:space="preserve"> at the end of the lesson, the teacher was able to bring the whole class back into an effective and reflective academic task. In the last 7 minutes of the lesson, the teacher put the noun work </w:t>
      </w:r>
      <w:r>
        <w:lastRenderedPageBreak/>
        <w:t xml:space="preserve">that they had been working on last lesson on the board and asked the students to all participate in a fun activity. They had to match the example of a type of noun up to the right name. </w:t>
      </w:r>
      <w:r w:rsidR="00810043">
        <w:t>A</w:t>
      </w:r>
      <w:r>
        <w:t>fter giving them a few minutes, the teacher asked for feedback. From my observation at the side of the classroom, most students seemed able to answer them correctly. Furthermore, when the teacher asked for feedback, there were lots of responses, all correct. I saw this as an impressive example of retrieval practice. Despite all the disruption of the lesson, the teacher used a small amount of time to remind the students of the English work that they had done last lesson and made sure they remained on track for the next lesson</w:t>
      </w:r>
      <w:r w:rsidR="00860960">
        <w:t xml:space="preserve"> where they would be back on the normal scheme of work.</w:t>
      </w:r>
      <w:r w:rsidR="00650185">
        <w:t xml:space="preserve"> </w:t>
      </w:r>
      <w:r w:rsidR="00860960">
        <w:t xml:space="preserve"> The student engagement highlighted how a simple task right at the end of the lesson may have been instrumental in ensuring the students remembered this information and prompted me to research the method of retrieval practice further. </w:t>
      </w:r>
      <w:r w:rsidR="00650185">
        <w:t xml:space="preserve">This critical incident displayed that students could ‘explain the ideas and concepts’ they were learning about, whilst building up a body of knowledge and gaining the skills to apply the knowledge. It was a clear example of the operation of the four purposes in a lesson (Donaldson, 2015). </w:t>
      </w:r>
    </w:p>
    <w:p w14:paraId="289961A7" w14:textId="3099B600" w:rsidR="00DC6D91" w:rsidRDefault="00DC6D91" w:rsidP="001F7937">
      <w:pPr>
        <w:spacing w:line="360" w:lineRule="auto"/>
      </w:pPr>
    </w:p>
    <w:p w14:paraId="5FC2DE1E" w14:textId="4E168CDC" w:rsidR="00C41DE6" w:rsidRDefault="00DC6D91" w:rsidP="001F7937">
      <w:pPr>
        <w:spacing w:line="360" w:lineRule="auto"/>
      </w:pPr>
      <w:r>
        <w:t xml:space="preserve">Observation of this incident prompted thought into why retrieval practice is used in classes and what the limitations of this practice might be in a secondary school context. There is lots of existing research to highlight the benefits of retrieval practice and its connections to developing long term memory and knowledge. Experiments where students read information and are asked to recall it through the method of testing </w:t>
      </w:r>
      <w:r w:rsidR="001B3B8C">
        <w:t>are used to show how retrieval practice can improve retention of material learnt in study sessions or lessons. The benefits of retrieval are well known, but the differing effects of retrieval in different contexts and through different methods must also be considered. Most research on retrieval is centred around short-answer questions because they are often the most frequently used in classrooms. This however is not the only method and the differences in methods of retrieval must be considered for practitioners to make informed decisions about which method of retrieval best suits a particular class or context (</w:t>
      </w:r>
      <w:r w:rsidR="004C3B5F">
        <w:t>Smith and Karpicke, 2014</w:t>
      </w:r>
      <w:r w:rsidR="001B3B8C">
        <w:t>,</w:t>
      </w:r>
      <w:r w:rsidR="004C3B5F">
        <w:t xml:space="preserve"> p. 784</w:t>
      </w:r>
      <w:r w:rsidR="00EF15BB">
        <w:t xml:space="preserve">). There are benefits to both multiple-choice and short-answer questions. Short- answer </w:t>
      </w:r>
      <w:r w:rsidR="004C3B5F">
        <w:t xml:space="preserve">has been identified as a </w:t>
      </w:r>
      <w:r w:rsidR="00EF15BB">
        <w:t xml:space="preserve">successful method of retrieval because it allows for testing not only of facts, but of higher-level skills and ideas. This type of questioning forces students to access the concepts within Bloom’s Taxonomy, for example using inference skills and </w:t>
      </w:r>
      <w:r w:rsidR="00EF15BB">
        <w:lastRenderedPageBreak/>
        <w:t>connections with prior knowledge to access the answer they require (</w:t>
      </w:r>
      <w:r w:rsidR="002B1CBB">
        <w:t>Bloom, 1956, pp. 20-24</w:t>
      </w:r>
      <w:r w:rsidR="00EF15BB">
        <w:t xml:space="preserve">). Short-answer retrieval also works well in classrooms as responses are easy to measure. On the other hand, there </w:t>
      </w:r>
      <w:r w:rsidR="001F7937">
        <w:t>are</w:t>
      </w:r>
      <w:r w:rsidR="00EF15BB">
        <w:t xml:space="preserve"> multiple choice questions to consider. Though they provide an easy method of retrieving prior knowledge, there is the risk of introducing false information to students that they might then accidently retain. </w:t>
      </w:r>
      <w:r w:rsidR="004C3B5F">
        <w:t>Despite this possibility, t</w:t>
      </w:r>
      <w:r w:rsidR="00EF15BB">
        <w:t xml:space="preserve">his style of retrieval </w:t>
      </w:r>
      <w:r w:rsidR="004C3B5F">
        <w:t xml:space="preserve">remains positive as it </w:t>
      </w:r>
      <w:r w:rsidR="00EF15BB">
        <w:t>provides more opportunity for success for students, and success alone can significantly promote learning</w:t>
      </w:r>
      <w:r w:rsidR="004C3B5F">
        <w:t xml:space="preserve"> </w:t>
      </w:r>
      <w:r w:rsidR="004C3B5F" w:rsidRPr="004C3B5F">
        <w:t>(Frankenstein et al., 2022</w:t>
      </w:r>
      <w:r w:rsidR="004C3B5F">
        <w:t>, p. 1300</w:t>
      </w:r>
      <w:r w:rsidR="00E22029">
        <w:t>)</w:t>
      </w:r>
      <w:r w:rsidR="004C3B5F">
        <w:t>.</w:t>
      </w:r>
      <w:r w:rsidR="00E22029">
        <w:t xml:space="preserve"> A question posed in much of the existing research</w:t>
      </w:r>
      <w:r w:rsidR="004C3B5F">
        <w:t xml:space="preserve"> </w:t>
      </w:r>
      <w:r w:rsidR="00E22029">
        <w:t xml:space="preserve">is which of these methods of retrieval </w:t>
      </w:r>
      <w:r w:rsidR="004C3B5F">
        <w:t>is most effective for use</w:t>
      </w:r>
      <w:r w:rsidR="00E22029">
        <w:t xml:space="preserve"> in lessons</w:t>
      </w:r>
      <w:r w:rsidR="004C3B5F">
        <w:t xml:space="preserve">? </w:t>
      </w:r>
      <w:r w:rsidR="00E22029">
        <w:t xml:space="preserve"> Often, the response to this is to use a hybrid method of retrieval which combines the positives of both forms of questioning and can be used in a wider range of lesson contexts.</w:t>
      </w:r>
      <w:r w:rsidR="001B3B8C">
        <w:t xml:space="preserve"> </w:t>
      </w:r>
      <w:r w:rsidR="00E22029">
        <w:t>T</w:t>
      </w:r>
      <w:r w:rsidR="001B3B8C">
        <w:t>he observed critical incident could be</w:t>
      </w:r>
      <w:r w:rsidR="00EF15BB">
        <w:t xml:space="preserve"> considered ‘</w:t>
      </w:r>
      <w:r w:rsidR="001B3B8C">
        <w:t xml:space="preserve">Hybrid’ retrieval, or a combination of short-answer and multiple-choice questions. </w:t>
      </w:r>
      <w:r w:rsidR="00F54F52">
        <w:t xml:space="preserve">The structure that the teacher used to recall knowledge from the previous lesson required the students to use their own knowledge and inference skills, but also provided the answers. On first observation, this might be considered just a convenient way to test the students and make sure they had all the knowledge required to move on with the topic. However, through research it becomes clear that the reasoning behind this hybrid method of testing was likely an informed decision based on the benefits of different methods of retrieval. </w:t>
      </w:r>
      <w:r w:rsidR="001F7937">
        <w:t>R</w:t>
      </w:r>
      <w:r w:rsidR="00C41DE6">
        <w:t xml:space="preserve">esearch into the differences in methods of retrieval practice </w:t>
      </w:r>
      <w:r w:rsidR="001F7937">
        <w:t xml:space="preserve">must </w:t>
      </w:r>
      <w:r w:rsidR="00C41DE6">
        <w:t xml:space="preserve">be done to ensure that teachers can make the right decisions on what to use in order to achieve learning goals and promote success in the classroom. Retrieval practice must not be just a reminder of </w:t>
      </w:r>
      <w:r w:rsidR="001F7937">
        <w:t>what</w:t>
      </w:r>
      <w:r w:rsidR="00C41DE6">
        <w:t xml:space="preserve"> the students already know, but a chosen appropriate method which suits the needs of both the class and the type of information that needs recalling</w:t>
      </w:r>
      <w:r w:rsidR="001F7937">
        <w:t xml:space="preserve"> </w:t>
      </w:r>
      <w:r w:rsidR="00C41DE6">
        <w:t>(</w:t>
      </w:r>
      <w:r w:rsidR="004C3B5F">
        <w:t>Endres et al.</w:t>
      </w:r>
      <w:r w:rsidR="00C41DE6">
        <w:t xml:space="preserve">, </w:t>
      </w:r>
      <w:r w:rsidR="004C3B5F">
        <w:t>p.</w:t>
      </w:r>
      <w:r w:rsidR="00C41DE6">
        <w:t xml:space="preserve"> 700). </w:t>
      </w:r>
    </w:p>
    <w:p w14:paraId="199AB27F" w14:textId="5EBE6D41" w:rsidR="00C41DE6" w:rsidRDefault="00C41DE6" w:rsidP="001F7937">
      <w:pPr>
        <w:spacing w:line="360" w:lineRule="auto"/>
      </w:pPr>
    </w:p>
    <w:p w14:paraId="4A723C84" w14:textId="2A766C4A" w:rsidR="00C41DE6" w:rsidRPr="004C3B5F" w:rsidRDefault="00C41DE6" w:rsidP="001F7937">
      <w:pPr>
        <w:spacing w:line="360" w:lineRule="auto"/>
        <w:rPr>
          <w:color w:val="000000" w:themeColor="text1"/>
        </w:rPr>
      </w:pPr>
      <w:r>
        <w:t xml:space="preserve">Selecting the appropriate method of retrieval is vital, not just for producing long-term memory, but for ensuring that the practice </w:t>
      </w:r>
      <w:r w:rsidR="004C3B5F">
        <w:t xml:space="preserve">promotes </w:t>
      </w:r>
      <w:r>
        <w:t>confidence through success</w:t>
      </w:r>
      <w:r w:rsidR="004C3B5F">
        <w:t>ful learning</w:t>
      </w:r>
      <w:r>
        <w:t xml:space="preserve">. </w:t>
      </w:r>
      <w:r w:rsidR="004C3B5F">
        <w:t xml:space="preserve">As well as established </w:t>
      </w:r>
      <w:r>
        <w:t xml:space="preserve">connections between retrieval and memory, </w:t>
      </w:r>
      <w:r w:rsidR="004C3B5F">
        <w:t>r</w:t>
      </w:r>
      <w:r>
        <w:t>esearch has also shown the relationship between memory and self-efficacy, which suggests that suitable retrieval is key for increasing student’s confidence in their own ability to learn (</w:t>
      </w:r>
      <w:r w:rsidR="004C3B5F" w:rsidRPr="004C3B5F">
        <w:t>Frankenstein et al., 2022</w:t>
      </w:r>
      <w:r w:rsidR="004C3B5F">
        <w:t>, p. 1299</w:t>
      </w:r>
      <w:r>
        <w:t xml:space="preserve">).  </w:t>
      </w:r>
      <w:r w:rsidR="009456E2">
        <w:t xml:space="preserve">The individual’s belief in their own ability to learn can influence how students approach their learning and how much effort they are willing to give. In an exploration of the relationship between memory and self-efficacy, research has shown that </w:t>
      </w:r>
      <w:r w:rsidR="009456E2">
        <w:lastRenderedPageBreak/>
        <w:t xml:space="preserve">negative feedback has the possibility to negatively </w:t>
      </w:r>
      <w:r w:rsidR="00766A02">
        <w:t>affect</w:t>
      </w:r>
      <w:r w:rsidR="009456E2">
        <w:t xml:space="preserve"> </w:t>
      </w:r>
      <w:r w:rsidR="00766A02">
        <w:t>low-stakes test results</w:t>
      </w:r>
      <w:r w:rsidR="001F7937">
        <w:t xml:space="preserve"> </w:t>
      </w:r>
      <w:r w:rsidR="00766A02">
        <w:t>(</w:t>
      </w:r>
      <w:r w:rsidR="004C3B5F" w:rsidRPr="004C3B5F">
        <w:t>Frankenstein et al., 2022</w:t>
      </w:r>
      <w:r w:rsidR="004C3B5F">
        <w:t>, p. 1299</w:t>
      </w:r>
      <w:r w:rsidR="00766A02">
        <w:t xml:space="preserve">). </w:t>
      </w:r>
      <w:r w:rsidR="004C3B5F">
        <w:t xml:space="preserve">This </w:t>
      </w:r>
      <w:r w:rsidR="00766A02">
        <w:t>suggest</w:t>
      </w:r>
      <w:r w:rsidR="004C3B5F">
        <w:t>s</w:t>
      </w:r>
      <w:r w:rsidR="00766A02">
        <w:t xml:space="preserve"> that</w:t>
      </w:r>
      <w:r w:rsidR="004C3B5F">
        <w:t xml:space="preserve"> </w:t>
      </w:r>
      <w:r w:rsidR="00766A02">
        <w:t xml:space="preserve">retrieval practice </w:t>
      </w:r>
      <w:r w:rsidR="004C3B5F">
        <w:t xml:space="preserve">should be used in a way which allows for success. </w:t>
      </w:r>
      <w:r w:rsidR="00766A02">
        <w:t>This connection to self-efficacy highlights that retrieval should not simply be used as memory tests to increase knowledge. Instead, it should be a practice used to generate confidence in the learning environment</w:t>
      </w:r>
      <w:r w:rsidR="004011FB">
        <w:t xml:space="preserve">, which should eventually lead to an increase in academic success as the two are tied together. </w:t>
      </w:r>
      <w:r w:rsidR="004C3B5F">
        <w:t xml:space="preserve">In contrast </w:t>
      </w:r>
      <w:r w:rsidR="004C3B5F" w:rsidRPr="004C3B5F">
        <w:rPr>
          <w:rFonts w:cstheme="minorHAnsi"/>
          <w:color w:val="000000" w:themeColor="text1"/>
          <w:shd w:val="clear" w:color="auto" w:fill="FFFFFF"/>
        </w:rPr>
        <w:t xml:space="preserve">Karpicke </w:t>
      </w:r>
      <w:r w:rsidR="004C3B5F">
        <w:rPr>
          <w:rFonts w:cstheme="minorHAnsi"/>
          <w:color w:val="000000" w:themeColor="text1"/>
          <w:shd w:val="clear" w:color="auto" w:fill="FFFFFF"/>
        </w:rPr>
        <w:t xml:space="preserve">notes the importance of ensuring that students do not mistake their success as evidence that they know something and therefore do not need to recall it again (Karpicke, 2009, p. 475). Success must be acknowledged and is an important aspect of retrieval, but students and teachers must exercise awareness of the need to maintain this success through continued retrieval. </w:t>
      </w:r>
    </w:p>
    <w:p w14:paraId="7BD18C6E" w14:textId="31056341" w:rsidR="00172B86" w:rsidRDefault="00172B86" w:rsidP="001F7937">
      <w:pPr>
        <w:spacing w:line="360" w:lineRule="auto"/>
      </w:pPr>
    </w:p>
    <w:p w14:paraId="36BD81DE" w14:textId="4148B714" w:rsidR="00172B86" w:rsidRDefault="00172B86" w:rsidP="001F7937">
      <w:pPr>
        <w:spacing w:line="360" w:lineRule="auto"/>
      </w:pPr>
      <w:r>
        <w:t xml:space="preserve"> Research on the benefits of retrieval practice for long term memory</w:t>
      </w:r>
      <w:r w:rsidR="004C3B5F">
        <w:t xml:space="preserve"> and</w:t>
      </w:r>
      <w:r>
        <w:t xml:space="preserve"> self-efficacy </w:t>
      </w:r>
      <w:r w:rsidR="004C3B5F">
        <w:t xml:space="preserve">is </w:t>
      </w:r>
      <w:r>
        <w:t xml:space="preserve">often tied to the practice of </w:t>
      </w:r>
      <w:r w:rsidR="001F7937">
        <w:t>a</w:t>
      </w:r>
      <w:r>
        <w:t>ssessment for Learning.</w:t>
      </w:r>
      <w:r w:rsidR="00914CCC">
        <w:t xml:space="preserve"> </w:t>
      </w:r>
      <w:r>
        <w:t xml:space="preserve"> Retrieval practice often comes in the form of low stakes testing which acts as a tool not only for enhancing long term memory, but also allows teachers to assess the student’s learning and</w:t>
      </w:r>
      <w:r w:rsidR="004C3B5F">
        <w:t xml:space="preserve"> </w:t>
      </w:r>
      <w:r>
        <w:t xml:space="preserve">inform their practice. </w:t>
      </w:r>
      <w:r w:rsidR="00914CCC">
        <w:t>T</w:t>
      </w:r>
      <w:r w:rsidR="0038184D">
        <w:t>he purpose of assessment for learning is to inform, not measure learning</w:t>
      </w:r>
      <w:r w:rsidR="001F7937">
        <w:t xml:space="preserve"> </w:t>
      </w:r>
      <w:r w:rsidR="0038184D">
        <w:t>(</w:t>
      </w:r>
      <w:r w:rsidR="004C3B5F">
        <w:t>Heritage and Wylie</w:t>
      </w:r>
      <w:r w:rsidR="0038184D">
        <w:t>,</w:t>
      </w:r>
      <w:r w:rsidR="004C3B5F">
        <w:t xml:space="preserve"> 2018, p.</w:t>
      </w:r>
      <w:r w:rsidR="0038184D">
        <w:t xml:space="preserve"> 729). Like retrieval, research suggests AfL should not be utilised just at the end of a long section of work but should be performed throughout </w:t>
      </w:r>
      <w:r w:rsidR="004C3B5F">
        <w:t xml:space="preserve">education </w:t>
      </w:r>
      <w:r w:rsidR="0038184D">
        <w:t>for teachers to gain insights into the student’s learning. This practice is key for teachers to provide the best learning opportunities for students and to ensure they are supplied with teaching strategies that both reflect and challenge their capabilities.</w:t>
      </w:r>
      <w:r w:rsidR="00914CCC">
        <w:t xml:space="preserve"> </w:t>
      </w:r>
      <w:r w:rsidR="0038184D">
        <w:t xml:space="preserve"> Assessment for learning and Retrieval practice are often cobined in research as they complement each other as teaching strategies. Often low-stakes assessment is the way in which teachers can practice retrieval within their lessons. However, despite their similarities, research shows there are differing benefits to the use of these teaching practices. Alongside its benefits as a method of retrieval, AfL allows the teacher to identify gaps in learning which enables them to adapt their practice to appropriately fill them (</w:t>
      </w:r>
      <w:r w:rsidR="004C3B5F">
        <w:t>Brown, Roediger and McDaniel</w:t>
      </w:r>
      <w:r w:rsidR="0038184D">
        <w:t>,</w:t>
      </w:r>
      <w:r w:rsidR="004C3B5F">
        <w:t xml:space="preserve"> 2014,</w:t>
      </w:r>
      <w:r w:rsidR="0038184D">
        <w:t xml:space="preserve"> p</w:t>
      </w:r>
      <w:r w:rsidR="004C3B5F">
        <w:t>.</w:t>
      </w:r>
      <w:r w:rsidR="0038184D">
        <w:t xml:space="preserve"> 43). If students are not challenged in their learning and are kept at a level which does not match their capabilities, teaching is not effective. Therefore, assessment for learning becomes a vital component of effective teaching. </w:t>
      </w:r>
    </w:p>
    <w:p w14:paraId="184BD4C6" w14:textId="1F0597FF" w:rsidR="00F53358" w:rsidRDefault="0038184D" w:rsidP="001F7937">
      <w:pPr>
        <w:spacing w:line="360" w:lineRule="auto"/>
      </w:pPr>
      <w:r>
        <w:lastRenderedPageBreak/>
        <w:t>In addition to its benefits as a way to inform teaching, AfL can be effective in the development of student’s own identities as learners. Pupil’s participation in their own learning is a key component of effective education (</w:t>
      </w:r>
      <w:r w:rsidR="004C3B5F">
        <w:t>Black</w:t>
      </w:r>
      <w:r w:rsidR="00F53358">
        <w:t>,</w:t>
      </w:r>
      <w:r w:rsidR="004C3B5F">
        <w:t xml:space="preserve"> 200</w:t>
      </w:r>
      <w:r w:rsidR="00325EDA">
        <w:t>3</w:t>
      </w:r>
      <w:r w:rsidR="004C3B5F">
        <w:t>,</w:t>
      </w:r>
      <w:r w:rsidR="00F53358">
        <w:t xml:space="preserve"> p</w:t>
      </w:r>
      <w:r w:rsidR="004C3B5F">
        <w:t>.</w:t>
      </w:r>
      <w:r w:rsidR="00F53358">
        <w:t xml:space="preserve"> 7</w:t>
      </w:r>
      <w:r>
        <w:t xml:space="preserve">). By questioning students on their understanding, teachers are allowing them to be active in their learning, therefore increasing confidence and creating an engaging learning environment. </w:t>
      </w:r>
      <w:r w:rsidR="00F53358">
        <w:t>Development of a learning identity i</w:t>
      </w:r>
      <w:r w:rsidR="001F7937">
        <w:t>s</w:t>
      </w:r>
      <w:r w:rsidR="00F53358">
        <w:t xml:space="preserve"> an important part of assessment for </w:t>
      </w:r>
      <w:r w:rsidR="007D1972">
        <w:t>learning,</w:t>
      </w:r>
      <w:r w:rsidR="00F53358">
        <w:t xml:space="preserve"> and it is the confidence that comes from this that can aid in development.</w:t>
      </w:r>
      <w:r w:rsidR="004C3B5F">
        <w:t xml:space="preserve"> </w:t>
      </w:r>
      <w:r w:rsidR="00F53358">
        <w:t>AfL not only creates active learners through the teacher’s assessment of their responses, but through the student’s own assessment of their learning progress.</w:t>
      </w:r>
      <w:r w:rsidR="00C55FE9">
        <w:t xml:space="preserve"> Learners need to know where they are, and where they are going in order to progress</w:t>
      </w:r>
      <w:r w:rsidR="00F53358">
        <w:t xml:space="preserve"> (</w:t>
      </w:r>
      <w:r w:rsidR="004C3B5F">
        <w:t>Wiliam</w:t>
      </w:r>
      <w:r w:rsidR="00C55FE9">
        <w:t>, 2017, p. 52</w:t>
      </w:r>
      <w:r w:rsidR="00F53358">
        <w:t>). When students are questioned through formative assessment in their lessons, they can assess their own development and the development of their peers. Through understanding their own progress and the progress of those around them, students can participate in the progression of their own learning. AfL therefore does not only allow the teachers to assess learning and adapt their practice in response, but also permits students to do the same. Embedding AfL in all aspects of teaching creates active learners, who are given the opportunity to engage with methods that reflect their own capabilities, generating progression, confidence and</w:t>
      </w:r>
      <w:r w:rsidR="00914CCC">
        <w:t xml:space="preserve"> an</w:t>
      </w:r>
      <w:r w:rsidR="00F53358">
        <w:t xml:space="preserve"> </w:t>
      </w:r>
      <w:r w:rsidR="00914CCC">
        <w:t>appetite for learning (</w:t>
      </w:r>
      <w:proofErr w:type="spellStart"/>
      <w:r w:rsidR="00914CCC">
        <w:t>Spendlove</w:t>
      </w:r>
      <w:proofErr w:type="spellEnd"/>
      <w:r w:rsidR="00914CCC">
        <w:t xml:space="preserve">, 2009, p. 10).  </w:t>
      </w:r>
      <w:r w:rsidR="00F53358">
        <w:t xml:space="preserve"> </w:t>
      </w:r>
    </w:p>
    <w:p w14:paraId="78AEF767" w14:textId="6B51ED09" w:rsidR="0038184D" w:rsidRDefault="00F53358" w:rsidP="001F7937">
      <w:pPr>
        <w:spacing w:line="360" w:lineRule="auto"/>
      </w:pPr>
      <w:r>
        <w:t xml:space="preserve">Research into assessment often focuses on its benefits tied to retrieval practice. The understanding that different forms of testing can benefit memory and learning is widely accepted through research in this field. Despite this focus, there is a need to acknowledge the other benefits to assessment for learning which, though they may not be related to memory retention, contribute greatly to the acceptance of </w:t>
      </w:r>
      <w:r w:rsidR="004C3B5F">
        <w:t xml:space="preserve">AfL </w:t>
      </w:r>
      <w:r>
        <w:t>as a useful and beneficial teaching method (</w:t>
      </w:r>
      <w:r w:rsidR="004C3B5F">
        <w:t>Brown, Roediger and McDaniel</w:t>
      </w:r>
      <w:r>
        <w:t>,</w:t>
      </w:r>
      <w:r w:rsidR="004C3B5F">
        <w:t xml:space="preserve"> 2014, p.</w:t>
      </w:r>
      <w:r>
        <w:t xml:space="preserve"> 41)</w:t>
      </w:r>
      <w:r w:rsidR="001F7937">
        <w:t>.</w:t>
      </w:r>
      <w:r>
        <w:t xml:space="preserve"> Frequent testing helps to reduce assessment anxiety and creates a community were collaboration and trust between peers is the norm (</w:t>
      </w:r>
      <w:r w:rsidR="004C3B5F">
        <w:t>Heritage and Wylie, 2018,</w:t>
      </w:r>
      <w:r>
        <w:t xml:space="preserve"> </w:t>
      </w:r>
      <w:r w:rsidR="004C3B5F">
        <w:t>p.</w:t>
      </w:r>
      <w:r>
        <w:t xml:space="preserve"> 731). The use of AfL to encourage all learners and ensure all feel accepted and capable in the classroom, combined with its benefits for memory effect</w:t>
      </w:r>
      <w:r w:rsidR="004C3B5F">
        <w:t xml:space="preserve">ive makes it a highly effective </w:t>
      </w:r>
      <w:r>
        <w:t xml:space="preserve">teaching strategy. Research into its benefits emphasises the need to view AfL as more than a method for retrieval, and as a practice with its own classroom benefits.  </w:t>
      </w:r>
    </w:p>
    <w:p w14:paraId="2F190687" w14:textId="6E1C2C1A" w:rsidR="002413AB" w:rsidRDefault="002413AB" w:rsidP="001F7937">
      <w:pPr>
        <w:spacing w:line="360" w:lineRule="auto"/>
        <w:rPr>
          <w:b/>
          <w:bCs/>
          <w:u w:val="single"/>
        </w:rPr>
      </w:pPr>
    </w:p>
    <w:p w14:paraId="7477084E" w14:textId="77777777" w:rsidR="00E96383" w:rsidRDefault="002413AB" w:rsidP="001F7937">
      <w:pPr>
        <w:spacing w:line="360" w:lineRule="auto"/>
      </w:pPr>
      <w:r>
        <w:lastRenderedPageBreak/>
        <w:t xml:space="preserve">Research into retrieval practice and assessment for learning </w:t>
      </w:r>
      <w:r w:rsidR="00E96383">
        <w:t xml:space="preserve">has </w:t>
      </w:r>
      <w:r>
        <w:t>solidified my understanding of these practices as vital element</w:t>
      </w:r>
      <w:r w:rsidR="00E96383">
        <w:t>s</w:t>
      </w:r>
      <w:r>
        <w:t xml:space="preserve"> of successful teaching. Research undoubtedly shows that retrieval practice is essential for creating long term memory and retention of information. However, through reflection on my research I have begun to think about possible limitations of the practice outside the context of experiment. For retrieval to be effective, it should be practiced consistently through a child’s learning. Information should be recalled at regular intervals to ensure that it is stored in the brain. From my observations of secondary lessons during bridging and further research into the topic, I have begun to consider how regular retrieval of one topic might not be possible in a secondary school. The classes and topics in secondary school are changing constantly and therefore a teacher might not always be able to continuously return to previously learnt information. This has led me to consider what possible practices I might be able to incorporate into my teaching to ensure that I am using retrieval effectively. I believe the constant use of concepts throughout all my teaching could be an effective way to exercise retrieval. For example, the use of ‘cause and effect’ is something that will reoccur throughout History lessons. I believe the use of these concepts as reminders of topical information could be a way to ensure retrieval is used throughout the year, rather than only in the next lesson.</w:t>
      </w:r>
      <w:r w:rsidR="00E96383">
        <w:t xml:space="preserve"> This is a possibility I aim to explore with more research during my practice. </w:t>
      </w:r>
    </w:p>
    <w:p w14:paraId="49D4D117" w14:textId="046CD5E5" w:rsidR="002413AB" w:rsidRDefault="00E96383" w:rsidP="001F7937">
      <w:pPr>
        <w:spacing w:line="360" w:lineRule="auto"/>
      </w:pPr>
      <w:r>
        <w:t>In her</w:t>
      </w:r>
      <w:r w:rsidR="002413AB">
        <w:t xml:space="preserve"> model</w:t>
      </w:r>
      <w:r>
        <w:t>,</w:t>
      </w:r>
      <w:r w:rsidR="002413AB">
        <w:t xml:space="preserve"> </w:t>
      </w:r>
      <w:proofErr w:type="spellStart"/>
      <w:r>
        <w:t>Zwozdiak</w:t>
      </w:r>
      <w:proofErr w:type="spellEnd"/>
      <w:r w:rsidRPr="001F7937">
        <w:rPr>
          <w:rFonts w:cstheme="minorHAnsi"/>
          <w:color w:val="3A3A3A"/>
          <w:shd w:val="clear" w:color="auto" w:fill="F3F3F3"/>
        </w:rPr>
        <w:t>-</w:t>
      </w:r>
      <w:r>
        <w:t xml:space="preserve">Myers </w:t>
      </w:r>
      <w:r w:rsidR="002413AB">
        <w:t xml:space="preserve">defines reflective practice as a process through which teachers </w:t>
      </w:r>
      <w:r>
        <w:t>‘</w:t>
      </w:r>
      <w:r w:rsidR="002413AB">
        <w:t>structure or restructure actions, beliefs, knowledge and theories that inform teaching for the purpose of professional development’</w:t>
      </w:r>
      <w:r>
        <w:t xml:space="preserve"> (</w:t>
      </w:r>
      <w:proofErr w:type="spellStart"/>
      <w:r w:rsidRPr="00E96383">
        <w:rPr>
          <w:rFonts w:cstheme="minorHAnsi"/>
          <w:color w:val="3A3A3A"/>
          <w:shd w:val="clear" w:color="auto" w:fill="FFFFFF"/>
        </w:rPr>
        <w:t>Zwozdiak</w:t>
      </w:r>
      <w:proofErr w:type="spellEnd"/>
      <w:r w:rsidRPr="00E96383">
        <w:rPr>
          <w:rFonts w:cstheme="minorHAnsi"/>
          <w:color w:val="3A3A3A"/>
          <w:shd w:val="clear" w:color="auto" w:fill="FFFFFF"/>
        </w:rPr>
        <w:t>-Myers, 2012,</w:t>
      </w:r>
      <w:r w:rsidRPr="00E96383">
        <w:rPr>
          <w:sz w:val="28"/>
          <w:szCs w:val="28"/>
        </w:rPr>
        <w:t xml:space="preserve"> </w:t>
      </w:r>
      <w:r>
        <w:t xml:space="preserve">p. 5). </w:t>
      </w:r>
      <w:r w:rsidR="002413AB">
        <w:t xml:space="preserve"> This theory empathises the need to inform teaching through reflection on both research and practice. After doing some research into the theory behind my observed incident, I feel I am able to better understand </w:t>
      </w:r>
      <w:proofErr w:type="spellStart"/>
      <w:r w:rsidR="002413AB">
        <w:t>Zwozdiak-Myres</w:t>
      </w:r>
      <w:proofErr w:type="spellEnd"/>
      <w:r w:rsidR="002413AB">
        <w:t>’ 9-dimensional model of reflection. Reflection on the incident alone was not enough for me to properly understand the motivations, theories and limitations behind the use of retrieval in the classroom. Since undertaking further research, I can link theory to practice and therefore evaluate some of the possibilities for the implementations of these methods into my own teaching. From this experience I have learnt that to be a reflective teacher, one must not reflect on practice and research separately, but instead a combination of the two</w:t>
      </w:r>
      <w:r>
        <w:t xml:space="preserve">, to </w:t>
      </w:r>
      <w:r w:rsidR="002413AB">
        <w:t xml:space="preserve">allow for complex evaluation of one’s own practice and possibilities for the future. In the future, throughout my own teaching, in order to practice effective reflection, I will consider practice and theory together to ensure I </w:t>
      </w:r>
      <w:r w:rsidR="002413AB">
        <w:lastRenderedPageBreak/>
        <w:t xml:space="preserve">always have a justification for my actions in teaching. I will identify what I believe the errors in my teaching are and use research to discover possibilities for amending these errors in the future. </w:t>
      </w:r>
    </w:p>
    <w:p w14:paraId="7484DD98" w14:textId="45D3F6A9" w:rsidR="0091579A" w:rsidRDefault="002413AB" w:rsidP="001F7937">
      <w:pPr>
        <w:spacing w:line="360" w:lineRule="auto"/>
      </w:pPr>
      <w:r>
        <w:t>My research has also highlighted connections between teaching practices that I might not have considered. In almost all cases that I encountered in my research, retrieval came in the form of assessment for learning. Prior to research I considered these to be two separate, but fundamental aspects of teaching. Reflection on my research has highlighted that the two often go hand in hand and the benefits of both can be exercised in the classroom. Through research into connection of the two I intend to use retrieval in the form of assessment for learning throughout my practice to ensure that I am gaining the benefits of both. For example, where I might previously have exercised retrieval through reminding students of their previous learning, since doing my research I would now always try and use AfL as a form of retrieval. In doing this I might be able to ensure the students remember what they are learning, but it will also allow me to check what they students know, and therefore what they need in the future to progress.</w:t>
      </w:r>
      <w:r w:rsidR="00223421">
        <w:t xml:space="preserve"> I believe the use of AfL in my teaching will drive the students to be ambitious, capable learners by ensuring that they are active in their own learning.</w:t>
      </w:r>
      <w:r>
        <w:t xml:space="preserve"> This experience has shown that on reflection of teaching practices</w:t>
      </w:r>
      <w:r w:rsidR="00E96383">
        <w:t>,</w:t>
      </w:r>
      <w:r>
        <w:t xml:space="preserve"> it might be more useful to view </w:t>
      </w:r>
      <w:r w:rsidR="00E96383">
        <w:t xml:space="preserve">them </w:t>
      </w:r>
      <w:r>
        <w:t xml:space="preserve">as interchangeable and not as separate methods to be used at different points in teaching. In the future, when researching different methods for learning I will consider what other known practices I could use alongside each method to ensure that I am utilising the practice’s full potential as a </w:t>
      </w:r>
      <w:r w:rsidR="0091579A">
        <w:t>learning strategy</w:t>
      </w:r>
      <w:r>
        <w:t>.</w:t>
      </w:r>
    </w:p>
    <w:p w14:paraId="0A93BBDD" w14:textId="77777777" w:rsidR="001F7937" w:rsidRPr="001F7937" w:rsidRDefault="001F7937" w:rsidP="001F7937">
      <w:pPr>
        <w:spacing w:line="360" w:lineRule="auto"/>
      </w:pPr>
    </w:p>
    <w:p w14:paraId="57D3FED1" w14:textId="1FD69826" w:rsidR="002413AB" w:rsidRDefault="0091579A" w:rsidP="001F7937">
      <w:pPr>
        <w:spacing w:line="360" w:lineRule="auto"/>
      </w:pPr>
      <w:r>
        <w:t>I have used Tripp’s model of critical reflection to identify a critical incident that</w:t>
      </w:r>
      <w:r w:rsidR="00E96383">
        <w:t xml:space="preserve"> stood out to me as a possible avenue for research</w:t>
      </w:r>
      <w:r>
        <w:t xml:space="preserve">. </w:t>
      </w:r>
      <w:r w:rsidR="00FC4F80">
        <w:t xml:space="preserve">On observation of the use of retrieval practice through a reminder of the previous lesson’s work on nouns, I decided to undertake some research into the different methods of retrieval and their different benefits. This research led me into an understanding that retrieval works in lots of different ways and the appropriate method should be chosen for a particular class or topic. By reflecting on my research, I saw a link between retrieval practice and assessment for learning, which I then decided to research further. Having done this research, I later realised that the retrieval practice that had been performed by the teacher, was also an example of assessment for learning. I then reflected on the incident and have concluded that often, these two vital </w:t>
      </w:r>
      <w:r w:rsidR="00FC4F80">
        <w:lastRenderedPageBreak/>
        <w:t xml:space="preserve">methods of teaching work together and </w:t>
      </w:r>
      <w:r w:rsidR="00E96383">
        <w:t>are</w:t>
      </w:r>
      <w:r w:rsidR="00FC4F80">
        <w:t xml:space="preserve"> used as a resource, not only to recall previously learnt information, but also to measure student’s learning. This experience has shown me that first observation of an event is not enough to properly understand the reasoning behind it. Observation of an incident must be followed by research</w:t>
      </w:r>
      <w:r w:rsidR="00E96383">
        <w:t>.</w:t>
      </w:r>
      <w:r w:rsidR="00FC4F80">
        <w:t xml:space="preserve"> </w:t>
      </w:r>
      <w:r w:rsidR="00E96383">
        <w:t>R</w:t>
      </w:r>
      <w:r w:rsidR="00FC4F80">
        <w:t xml:space="preserve">e-evaluation of the incident with the knowledge attained from research must </w:t>
      </w:r>
      <w:r w:rsidR="00E96383">
        <w:t xml:space="preserve">then </w:t>
      </w:r>
      <w:r w:rsidR="00FC4F80">
        <w:t>occur in order to be properly reflective</w:t>
      </w:r>
      <w:r w:rsidR="00E96383">
        <w:t>.</w:t>
      </w:r>
      <w:r w:rsidR="00FC4F80">
        <w:t xml:space="preserve"> </w:t>
      </w:r>
      <w:r w:rsidR="00E96383">
        <w:t>I</w:t>
      </w:r>
      <w:r w:rsidR="00FC4F80">
        <w:t>n order to be a reflective practitioner, I must combine my evaluations of observation and research to</w:t>
      </w:r>
      <w:r w:rsidR="00E96383">
        <w:t xml:space="preserve"> continue my professional learning throughout my career. </w:t>
      </w:r>
      <w:r w:rsidR="00FC4F80">
        <w:t xml:space="preserve">If I reflect in this way throughout my practice and therefore extend my knowledge and understanding of the teaching profession, I believe I will be an effective practitioner open to challenge and professional growth. </w:t>
      </w:r>
    </w:p>
    <w:p w14:paraId="66AD5434" w14:textId="7E0DE2A5" w:rsidR="00B407B8" w:rsidRDefault="00B407B8" w:rsidP="001F7937">
      <w:pPr>
        <w:spacing w:line="360" w:lineRule="auto"/>
      </w:pPr>
    </w:p>
    <w:p w14:paraId="75BCC741" w14:textId="77777777" w:rsidR="00B407B8" w:rsidRDefault="00B407B8">
      <w:r>
        <w:br w:type="page"/>
      </w:r>
    </w:p>
    <w:p w14:paraId="5834D64B" w14:textId="4A1E7678" w:rsidR="002413AB" w:rsidRDefault="00B407B8" w:rsidP="00DC6D91">
      <w:pPr>
        <w:rPr>
          <w:b/>
          <w:bCs/>
          <w:u w:val="single"/>
        </w:rPr>
      </w:pPr>
      <w:r w:rsidRPr="00B407B8">
        <w:rPr>
          <w:b/>
          <w:bCs/>
          <w:u w:val="single"/>
        </w:rPr>
        <w:lastRenderedPageBreak/>
        <w:t>Reference List</w:t>
      </w:r>
    </w:p>
    <w:p w14:paraId="0DB3B9BB" w14:textId="42E8F022" w:rsidR="00B407B8" w:rsidRDefault="00B407B8" w:rsidP="00DC6D91">
      <w:pPr>
        <w:rPr>
          <w:b/>
          <w:bCs/>
          <w:u w:val="single"/>
        </w:rPr>
      </w:pPr>
    </w:p>
    <w:p w14:paraId="41B8FC1D" w14:textId="2EF3280F"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British Educational Research Association (2018). </w:t>
      </w:r>
      <w:r w:rsidRPr="001F7937">
        <w:rPr>
          <w:rFonts w:asciiTheme="minorHAnsi" w:hAnsiTheme="minorHAnsi" w:cstheme="minorHAnsi"/>
          <w:i/>
          <w:iCs/>
          <w:color w:val="000000" w:themeColor="text1"/>
        </w:rPr>
        <w:t>Ethical guidelines for educational research</w:t>
      </w:r>
      <w:r w:rsidRPr="001F7937">
        <w:rPr>
          <w:rFonts w:asciiTheme="minorHAnsi" w:hAnsiTheme="minorHAnsi" w:cstheme="minorHAnsi"/>
          <w:color w:val="000000" w:themeColor="text1"/>
        </w:rPr>
        <w:t>. London: B</w:t>
      </w:r>
      <w:r w:rsidR="00325EDA" w:rsidRPr="001F7937">
        <w:rPr>
          <w:rFonts w:asciiTheme="minorHAnsi" w:hAnsiTheme="minorHAnsi" w:cstheme="minorHAnsi"/>
          <w:color w:val="000000" w:themeColor="text1"/>
        </w:rPr>
        <w:t>ERA</w:t>
      </w:r>
      <w:r w:rsidRPr="001F7937">
        <w:rPr>
          <w:rFonts w:asciiTheme="minorHAnsi" w:hAnsiTheme="minorHAnsi" w:cstheme="minorHAnsi"/>
          <w:color w:val="000000" w:themeColor="text1"/>
        </w:rPr>
        <w:t>.</w:t>
      </w:r>
    </w:p>
    <w:p w14:paraId="709B0B8A" w14:textId="40D72DC3"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Black, P</w:t>
      </w:r>
      <w:r w:rsidR="00325EDA" w:rsidRPr="001F7937">
        <w:rPr>
          <w:rFonts w:asciiTheme="minorHAnsi" w:hAnsiTheme="minorHAnsi" w:cstheme="minorHAnsi"/>
          <w:color w:val="000000" w:themeColor="text1"/>
        </w:rPr>
        <w:t xml:space="preserve">. </w:t>
      </w:r>
      <w:r w:rsidR="00325EDA" w:rsidRPr="001F7937">
        <w:rPr>
          <w:rFonts w:asciiTheme="minorHAnsi" w:hAnsiTheme="minorHAnsi" w:cstheme="minorHAnsi"/>
          <w:i/>
          <w:iCs/>
          <w:color w:val="000000" w:themeColor="text1"/>
        </w:rPr>
        <w:t xml:space="preserve">et al. </w:t>
      </w:r>
      <w:r w:rsidRPr="001F7937">
        <w:rPr>
          <w:rFonts w:asciiTheme="minorHAnsi" w:hAnsiTheme="minorHAnsi" w:cstheme="minorHAnsi"/>
          <w:color w:val="000000" w:themeColor="text1"/>
        </w:rPr>
        <w:t xml:space="preserve"> (2003). </w:t>
      </w:r>
      <w:r w:rsidRPr="001F7937">
        <w:rPr>
          <w:rFonts w:asciiTheme="minorHAnsi" w:hAnsiTheme="minorHAnsi" w:cstheme="minorHAnsi"/>
          <w:i/>
          <w:iCs/>
          <w:color w:val="000000" w:themeColor="text1"/>
        </w:rPr>
        <w:t>Assessment for learning putting it into practice</w:t>
      </w:r>
      <w:r w:rsidRPr="001F7937">
        <w:rPr>
          <w:rFonts w:asciiTheme="minorHAnsi" w:hAnsiTheme="minorHAnsi" w:cstheme="minorHAnsi"/>
          <w:color w:val="000000" w:themeColor="text1"/>
        </w:rPr>
        <w:t>. Berkshire</w:t>
      </w:r>
      <w:r w:rsidR="00325EDA" w:rsidRPr="001F7937">
        <w:rPr>
          <w:rFonts w:asciiTheme="minorHAnsi" w:hAnsiTheme="minorHAnsi" w:cstheme="minorHAnsi"/>
          <w:color w:val="000000" w:themeColor="text1"/>
        </w:rPr>
        <w:t>:</w:t>
      </w:r>
      <w:r w:rsidRPr="001F7937">
        <w:rPr>
          <w:rFonts w:asciiTheme="minorHAnsi" w:hAnsiTheme="minorHAnsi" w:cstheme="minorHAnsi"/>
          <w:color w:val="000000" w:themeColor="text1"/>
        </w:rPr>
        <w:t xml:space="preserve"> Open University Press.</w:t>
      </w:r>
    </w:p>
    <w:p w14:paraId="01B5D68B" w14:textId="6BF36C74" w:rsidR="002B1CBB" w:rsidRPr="001F7937" w:rsidRDefault="002B1CBB" w:rsidP="002B1CBB">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Bloom, B.S. (1956). </w:t>
      </w:r>
      <w:r w:rsidRPr="001F7937">
        <w:rPr>
          <w:rFonts w:asciiTheme="minorHAnsi" w:hAnsiTheme="minorHAnsi" w:cstheme="minorHAnsi"/>
          <w:i/>
          <w:iCs/>
          <w:color w:val="000000" w:themeColor="text1"/>
        </w:rPr>
        <w:t>Taxonomy of Educational Objectives: The Classification of Educational goals. Handbook 1, Cognitive Domain</w:t>
      </w:r>
      <w:r w:rsidRPr="001F7937">
        <w:rPr>
          <w:rFonts w:asciiTheme="minorHAnsi" w:hAnsiTheme="minorHAnsi" w:cstheme="minorHAnsi"/>
          <w:color w:val="000000" w:themeColor="text1"/>
        </w:rPr>
        <w:t>. New York: Longman.</w:t>
      </w:r>
    </w:p>
    <w:p w14:paraId="283937BA" w14:textId="28954647" w:rsidR="00B407B8" w:rsidRPr="001F7937" w:rsidRDefault="00B407B8" w:rsidP="00170DF1">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Brookfield, S. (1998). </w:t>
      </w:r>
      <w:r w:rsidR="00325EDA" w:rsidRPr="001F7937">
        <w:rPr>
          <w:rFonts w:asciiTheme="minorHAnsi" w:hAnsiTheme="minorHAnsi" w:cstheme="minorHAnsi"/>
          <w:color w:val="000000" w:themeColor="text1"/>
        </w:rPr>
        <w:t>‘</w:t>
      </w:r>
      <w:r w:rsidRPr="001F7937">
        <w:rPr>
          <w:rFonts w:asciiTheme="minorHAnsi" w:hAnsiTheme="minorHAnsi" w:cstheme="minorHAnsi"/>
          <w:color w:val="000000" w:themeColor="text1"/>
        </w:rPr>
        <w:t>Critically reflective practice</w:t>
      </w:r>
      <w:r w:rsidR="00325EDA" w:rsidRPr="001F7937">
        <w:rPr>
          <w:rFonts w:asciiTheme="minorHAnsi" w:hAnsiTheme="minorHAnsi" w:cstheme="minorHAnsi"/>
          <w:color w:val="000000" w:themeColor="text1"/>
        </w:rPr>
        <w:t xml:space="preserve">’, </w:t>
      </w:r>
      <w:r w:rsidRPr="001F7937">
        <w:rPr>
          <w:rFonts w:asciiTheme="minorHAnsi" w:hAnsiTheme="minorHAnsi" w:cstheme="minorHAnsi"/>
          <w:i/>
          <w:iCs/>
          <w:color w:val="000000" w:themeColor="text1"/>
        </w:rPr>
        <w:t>Journal of Continuing Education in the Health Professions</w:t>
      </w:r>
      <w:r w:rsidRPr="001F7937">
        <w:rPr>
          <w:rFonts w:asciiTheme="minorHAnsi" w:hAnsiTheme="minorHAnsi" w:cstheme="minorHAnsi"/>
          <w:color w:val="000000" w:themeColor="text1"/>
        </w:rPr>
        <w:t xml:space="preserve">, 18(4), pp.197–205. </w:t>
      </w:r>
    </w:p>
    <w:p w14:paraId="73436AC8" w14:textId="072C9118"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Brown, P.C. (2014). </w:t>
      </w:r>
      <w:r w:rsidRPr="001F7937">
        <w:rPr>
          <w:rFonts w:asciiTheme="minorHAnsi" w:hAnsiTheme="minorHAnsi" w:cstheme="minorHAnsi"/>
          <w:i/>
          <w:iCs/>
          <w:color w:val="000000" w:themeColor="text1"/>
        </w:rPr>
        <w:t>MAKE IT STICK: the science of successful learning.</w:t>
      </w:r>
      <w:r w:rsidRPr="001F7937">
        <w:rPr>
          <w:rFonts w:asciiTheme="minorHAnsi" w:hAnsiTheme="minorHAnsi" w:cstheme="minorHAnsi"/>
          <w:color w:val="000000" w:themeColor="text1"/>
        </w:rPr>
        <w:t xml:space="preserve"> Harvard University Press.</w:t>
      </w:r>
    </w:p>
    <w:p w14:paraId="485351D9" w14:textId="6597016F"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shd w:val="clear" w:color="auto" w:fill="FFFFFF"/>
        </w:rPr>
        <w:t>Donaldson, G. (2015). </w:t>
      </w:r>
      <w:r w:rsidRPr="001F7937">
        <w:rPr>
          <w:rFonts w:asciiTheme="minorHAnsi" w:hAnsiTheme="minorHAnsi" w:cstheme="minorHAnsi"/>
          <w:i/>
          <w:iCs/>
          <w:color w:val="000000" w:themeColor="text1"/>
          <w:shd w:val="clear" w:color="auto" w:fill="FFFFFF"/>
        </w:rPr>
        <w:t>Successful Futures: Independent review of curriculum and assessment arrangements in Wales</w:t>
      </w:r>
      <w:r w:rsidRPr="001F7937">
        <w:rPr>
          <w:rFonts w:asciiTheme="minorHAnsi" w:hAnsiTheme="minorHAnsi" w:cstheme="minorHAnsi"/>
          <w:color w:val="000000" w:themeColor="text1"/>
          <w:shd w:val="clear" w:color="auto" w:fill="FFFFFF"/>
        </w:rPr>
        <w:t xml:space="preserve">. </w:t>
      </w:r>
      <w:proofErr w:type="spellStart"/>
      <w:r w:rsidRPr="001F7937">
        <w:rPr>
          <w:rFonts w:asciiTheme="minorHAnsi" w:hAnsiTheme="minorHAnsi" w:cstheme="minorHAnsi"/>
          <w:color w:val="000000" w:themeColor="text1"/>
          <w:shd w:val="clear" w:color="auto" w:fill="FFFFFF"/>
        </w:rPr>
        <w:t>Caerdydd</w:t>
      </w:r>
      <w:proofErr w:type="spellEnd"/>
      <w:r w:rsidRPr="001F7937">
        <w:rPr>
          <w:rFonts w:asciiTheme="minorHAnsi" w:hAnsiTheme="minorHAnsi" w:cstheme="minorHAnsi"/>
          <w:color w:val="000000" w:themeColor="text1"/>
          <w:shd w:val="clear" w:color="auto" w:fill="FFFFFF"/>
        </w:rPr>
        <w:t xml:space="preserve">: </w:t>
      </w:r>
      <w:proofErr w:type="spellStart"/>
      <w:r w:rsidRPr="001F7937">
        <w:rPr>
          <w:rFonts w:asciiTheme="minorHAnsi" w:hAnsiTheme="minorHAnsi" w:cstheme="minorHAnsi"/>
          <w:color w:val="000000" w:themeColor="text1"/>
          <w:shd w:val="clear" w:color="auto" w:fill="FFFFFF"/>
        </w:rPr>
        <w:t>Llywodraeth</w:t>
      </w:r>
      <w:proofErr w:type="spellEnd"/>
      <w:r w:rsidRPr="001F7937">
        <w:rPr>
          <w:rFonts w:asciiTheme="minorHAnsi" w:hAnsiTheme="minorHAnsi" w:cstheme="minorHAnsi"/>
          <w:color w:val="000000" w:themeColor="text1"/>
          <w:shd w:val="clear" w:color="auto" w:fill="FFFFFF"/>
        </w:rPr>
        <w:t xml:space="preserve"> </w:t>
      </w:r>
      <w:proofErr w:type="spellStart"/>
      <w:r w:rsidRPr="001F7937">
        <w:rPr>
          <w:rFonts w:asciiTheme="minorHAnsi" w:hAnsiTheme="minorHAnsi" w:cstheme="minorHAnsi"/>
          <w:color w:val="000000" w:themeColor="text1"/>
          <w:shd w:val="clear" w:color="auto" w:fill="FFFFFF"/>
        </w:rPr>
        <w:t>Cenedlaethol</w:t>
      </w:r>
      <w:proofErr w:type="spellEnd"/>
      <w:r w:rsidRPr="001F7937">
        <w:rPr>
          <w:rFonts w:asciiTheme="minorHAnsi" w:hAnsiTheme="minorHAnsi" w:cstheme="minorHAnsi"/>
          <w:color w:val="000000" w:themeColor="text1"/>
          <w:shd w:val="clear" w:color="auto" w:fill="FFFFFF"/>
        </w:rPr>
        <w:t xml:space="preserve"> Cymru.</w:t>
      </w:r>
    </w:p>
    <w:p w14:paraId="6D1EDA82" w14:textId="57967201"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shd w:val="clear" w:color="auto" w:fill="FFFFFF"/>
        </w:rPr>
        <w:t>Endres, T. </w:t>
      </w:r>
      <w:r w:rsidRPr="001F7937">
        <w:rPr>
          <w:rFonts w:asciiTheme="minorHAnsi" w:hAnsiTheme="minorHAnsi" w:cstheme="minorHAnsi"/>
          <w:i/>
          <w:iCs/>
          <w:color w:val="000000" w:themeColor="text1"/>
          <w:shd w:val="clear" w:color="auto" w:fill="FFFFFF"/>
        </w:rPr>
        <w:t>et al.</w:t>
      </w:r>
      <w:r w:rsidRPr="001F7937">
        <w:rPr>
          <w:rFonts w:asciiTheme="minorHAnsi" w:hAnsiTheme="minorHAnsi" w:cstheme="minorHAnsi"/>
          <w:color w:val="000000" w:themeColor="text1"/>
          <w:shd w:val="clear" w:color="auto" w:fill="FFFFFF"/>
        </w:rPr>
        <w:t> (2020) ‘It matters how to recall – task differences in retrieval practice’, </w:t>
      </w:r>
      <w:r w:rsidRPr="001F7937">
        <w:rPr>
          <w:rFonts w:asciiTheme="minorHAnsi" w:hAnsiTheme="minorHAnsi" w:cstheme="minorHAnsi"/>
          <w:i/>
          <w:iCs/>
          <w:color w:val="000000" w:themeColor="text1"/>
          <w:shd w:val="clear" w:color="auto" w:fill="FFFFFF"/>
        </w:rPr>
        <w:t>Instructional science</w:t>
      </w:r>
      <w:r w:rsidRPr="001F7937">
        <w:rPr>
          <w:rFonts w:asciiTheme="minorHAnsi" w:hAnsiTheme="minorHAnsi" w:cstheme="minorHAnsi"/>
          <w:color w:val="000000" w:themeColor="text1"/>
          <w:shd w:val="clear" w:color="auto" w:fill="FFFFFF"/>
        </w:rPr>
        <w:t>, 48(6), pp. 699–728.</w:t>
      </w:r>
    </w:p>
    <w:p w14:paraId="08EBC2A2" w14:textId="175A372A"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ESTYN (2018) </w:t>
      </w:r>
      <w:r w:rsidRPr="001F7937">
        <w:rPr>
          <w:rFonts w:asciiTheme="minorHAnsi" w:hAnsiTheme="minorHAnsi" w:cstheme="minorHAnsi"/>
          <w:i/>
          <w:iCs/>
          <w:color w:val="000000" w:themeColor="text1"/>
        </w:rPr>
        <w:t xml:space="preserve">A report on [Placement School]. </w:t>
      </w:r>
      <w:r w:rsidRPr="001F7937">
        <w:rPr>
          <w:rFonts w:asciiTheme="minorHAnsi" w:hAnsiTheme="minorHAnsi" w:cstheme="minorHAnsi"/>
          <w:color w:val="000000" w:themeColor="text1"/>
        </w:rPr>
        <w:t>Cardiff: [Placement School].</w:t>
      </w:r>
    </w:p>
    <w:p w14:paraId="448E4D81" w14:textId="3AB6E4A3"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Frankenstein, A.N</w:t>
      </w:r>
      <w:r w:rsidR="00325EDA" w:rsidRPr="001F7937">
        <w:rPr>
          <w:rFonts w:asciiTheme="minorHAnsi" w:hAnsiTheme="minorHAnsi" w:cstheme="minorHAnsi"/>
          <w:color w:val="000000" w:themeColor="text1"/>
        </w:rPr>
        <w:t xml:space="preserve">. </w:t>
      </w:r>
      <w:r w:rsidR="00325EDA" w:rsidRPr="001F7937">
        <w:rPr>
          <w:rFonts w:asciiTheme="minorHAnsi" w:hAnsiTheme="minorHAnsi" w:cstheme="minorHAnsi"/>
          <w:i/>
          <w:iCs/>
          <w:color w:val="000000" w:themeColor="text1"/>
        </w:rPr>
        <w:t xml:space="preserve">et al. </w:t>
      </w:r>
      <w:r w:rsidRPr="001F7937">
        <w:rPr>
          <w:rFonts w:asciiTheme="minorHAnsi" w:hAnsiTheme="minorHAnsi" w:cstheme="minorHAnsi"/>
          <w:color w:val="000000" w:themeColor="text1"/>
        </w:rPr>
        <w:t xml:space="preserve"> (2022). </w:t>
      </w:r>
      <w:r w:rsidR="00325EDA" w:rsidRPr="001F7937">
        <w:rPr>
          <w:rFonts w:asciiTheme="minorHAnsi" w:hAnsiTheme="minorHAnsi" w:cstheme="minorHAnsi"/>
          <w:color w:val="000000" w:themeColor="text1"/>
        </w:rPr>
        <w:t>‘</w:t>
      </w:r>
      <w:r w:rsidRPr="001F7937">
        <w:rPr>
          <w:rFonts w:asciiTheme="minorHAnsi" w:hAnsiTheme="minorHAnsi" w:cstheme="minorHAnsi"/>
          <w:color w:val="000000" w:themeColor="text1"/>
        </w:rPr>
        <w:t>Exploring the relationship between retrieval practice, self-efficacy, and memory</w:t>
      </w:r>
      <w:r w:rsidR="00325EDA" w:rsidRPr="001F7937">
        <w:rPr>
          <w:rFonts w:asciiTheme="minorHAnsi" w:hAnsiTheme="minorHAnsi" w:cstheme="minorHAnsi"/>
          <w:color w:val="000000" w:themeColor="text1"/>
        </w:rPr>
        <w:t>’,</w:t>
      </w:r>
      <w:r w:rsidRPr="001F7937">
        <w:rPr>
          <w:rFonts w:asciiTheme="minorHAnsi" w:hAnsiTheme="minorHAnsi" w:cstheme="minorHAnsi"/>
          <w:color w:val="000000" w:themeColor="text1"/>
        </w:rPr>
        <w:t xml:space="preserve"> </w:t>
      </w:r>
      <w:r w:rsidRPr="001F7937">
        <w:rPr>
          <w:rFonts w:asciiTheme="minorHAnsi" w:hAnsiTheme="minorHAnsi" w:cstheme="minorHAnsi"/>
          <w:i/>
          <w:iCs/>
          <w:color w:val="000000" w:themeColor="text1"/>
        </w:rPr>
        <w:t>Memory &amp; Cognition</w:t>
      </w:r>
      <w:r w:rsidRPr="001F7937">
        <w:rPr>
          <w:rFonts w:asciiTheme="minorHAnsi" w:hAnsiTheme="minorHAnsi" w:cstheme="minorHAnsi"/>
          <w:color w:val="000000" w:themeColor="text1"/>
        </w:rPr>
        <w:t>, 50(6), pp.1299–1318.</w:t>
      </w:r>
    </w:p>
    <w:p w14:paraId="7B02F203" w14:textId="0AE921BE"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 </w:t>
      </w:r>
      <w:r w:rsidRPr="001F7937">
        <w:rPr>
          <w:rFonts w:asciiTheme="minorHAnsi" w:hAnsiTheme="minorHAnsi" w:cstheme="minorHAnsi"/>
          <w:color w:val="000000" w:themeColor="text1"/>
          <w:shd w:val="clear" w:color="auto" w:fill="FFFFFF"/>
        </w:rPr>
        <w:t>Heritage, M. and Wylie, C. (2018) ‘Reaping the benefits of assessment for learning: achievement, identity, and equity’, </w:t>
      </w:r>
      <w:r w:rsidRPr="001F7937">
        <w:rPr>
          <w:rFonts w:asciiTheme="minorHAnsi" w:hAnsiTheme="minorHAnsi" w:cstheme="minorHAnsi"/>
          <w:i/>
          <w:iCs/>
          <w:color w:val="000000" w:themeColor="text1"/>
          <w:shd w:val="clear" w:color="auto" w:fill="FFFFFF"/>
        </w:rPr>
        <w:t>ZDM</w:t>
      </w:r>
      <w:r w:rsidRPr="001F7937">
        <w:rPr>
          <w:rFonts w:asciiTheme="minorHAnsi" w:hAnsiTheme="minorHAnsi" w:cstheme="minorHAnsi"/>
          <w:color w:val="000000" w:themeColor="text1"/>
          <w:shd w:val="clear" w:color="auto" w:fill="FFFFFF"/>
        </w:rPr>
        <w:t>, 50(4), pp. 729–741.</w:t>
      </w:r>
    </w:p>
    <w:p w14:paraId="2CC036C3" w14:textId="77CEEC79"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 </w:t>
      </w:r>
      <w:r w:rsidRPr="001F7937">
        <w:rPr>
          <w:rFonts w:asciiTheme="minorHAnsi" w:hAnsiTheme="minorHAnsi" w:cstheme="minorHAnsi"/>
          <w:color w:val="000000" w:themeColor="text1"/>
          <w:shd w:val="clear" w:color="auto" w:fill="FFFFFF"/>
        </w:rPr>
        <w:t xml:space="preserve">Joshi, K. R. (2018) </w:t>
      </w:r>
      <w:r w:rsidR="00325EDA" w:rsidRPr="001F7937">
        <w:rPr>
          <w:rFonts w:asciiTheme="minorHAnsi" w:hAnsiTheme="minorHAnsi" w:cstheme="minorHAnsi"/>
          <w:color w:val="000000" w:themeColor="text1"/>
          <w:shd w:val="clear" w:color="auto" w:fill="FFFFFF"/>
        </w:rPr>
        <w:t>‘</w:t>
      </w:r>
      <w:r w:rsidRPr="001F7937">
        <w:rPr>
          <w:rFonts w:asciiTheme="minorHAnsi" w:hAnsiTheme="minorHAnsi" w:cstheme="minorHAnsi"/>
          <w:color w:val="000000" w:themeColor="text1"/>
          <w:shd w:val="clear" w:color="auto" w:fill="FFFFFF"/>
        </w:rPr>
        <w:t>Critical Incidents for Teachers’ Professional Development</w:t>
      </w:r>
      <w:r w:rsidR="00325EDA" w:rsidRPr="001F7937">
        <w:rPr>
          <w:rFonts w:asciiTheme="minorHAnsi" w:hAnsiTheme="minorHAnsi" w:cstheme="minorHAnsi"/>
          <w:color w:val="000000" w:themeColor="text1"/>
          <w:shd w:val="clear" w:color="auto" w:fill="FFFFFF"/>
        </w:rPr>
        <w:t>’</w:t>
      </w:r>
      <w:r w:rsidRPr="001F7937">
        <w:rPr>
          <w:rFonts w:asciiTheme="minorHAnsi" w:hAnsiTheme="minorHAnsi" w:cstheme="minorHAnsi"/>
          <w:color w:val="000000" w:themeColor="text1"/>
          <w:shd w:val="clear" w:color="auto" w:fill="FFFFFF"/>
        </w:rPr>
        <w:t>, </w:t>
      </w:r>
      <w:r w:rsidRPr="001F7937">
        <w:rPr>
          <w:rFonts w:asciiTheme="minorHAnsi" w:hAnsiTheme="minorHAnsi" w:cstheme="minorHAnsi"/>
          <w:i/>
          <w:iCs/>
          <w:color w:val="000000" w:themeColor="text1"/>
          <w:shd w:val="clear" w:color="auto" w:fill="FFFFFF"/>
        </w:rPr>
        <w:t xml:space="preserve">Journal of NELTA </w:t>
      </w:r>
      <w:proofErr w:type="spellStart"/>
      <w:r w:rsidRPr="001F7937">
        <w:rPr>
          <w:rFonts w:asciiTheme="minorHAnsi" w:hAnsiTheme="minorHAnsi" w:cstheme="minorHAnsi"/>
          <w:i/>
          <w:iCs/>
          <w:color w:val="000000" w:themeColor="text1"/>
          <w:shd w:val="clear" w:color="auto" w:fill="FFFFFF"/>
        </w:rPr>
        <w:t>Surkhet</w:t>
      </w:r>
      <w:proofErr w:type="spellEnd"/>
      <w:r w:rsidRPr="001F7937">
        <w:rPr>
          <w:rFonts w:asciiTheme="minorHAnsi" w:hAnsiTheme="minorHAnsi" w:cstheme="minorHAnsi"/>
          <w:color w:val="000000" w:themeColor="text1"/>
          <w:shd w:val="clear" w:color="auto" w:fill="FFFFFF"/>
        </w:rPr>
        <w:t>, 5, pp. 82–88.</w:t>
      </w:r>
    </w:p>
    <w:p w14:paraId="16C85845" w14:textId="11A6B116"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 </w:t>
      </w:r>
      <w:r w:rsidRPr="001F7937">
        <w:rPr>
          <w:rFonts w:asciiTheme="minorHAnsi" w:hAnsiTheme="minorHAnsi" w:cstheme="minorHAnsi"/>
          <w:color w:val="000000" w:themeColor="text1"/>
          <w:shd w:val="clear" w:color="auto" w:fill="FFFFFF"/>
        </w:rPr>
        <w:t>Karpicke</w:t>
      </w:r>
      <w:r w:rsidR="00325EDA" w:rsidRPr="001F7937">
        <w:rPr>
          <w:rFonts w:asciiTheme="minorHAnsi" w:hAnsiTheme="minorHAnsi" w:cstheme="minorHAnsi"/>
          <w:color w:val="000000" w:themeColor="text1"/>
          <w:shd w:val="clear" w:color="auto" w:fill="FFFFFF"/>
        </w:rPr>
        <w:t>, J</w:t>
      </w:r>
      <w:r w:rsidRPr="001F7937">
        <w:rPr>
          <w:rFonts w:asciiTheme="minorHAnsi" w:hAnsiTheme="minorHAnsi" w:cstheme="minorHAnsi"/>
          <w:color w:val="000000" w:themeColor="text1"/>
          <w:shd w:val="clear" w:color="auto" w:fill="FFFFFF"/>
        </w:rPr>
        <w:t xml:space="preserve">. (2009) </w:t>
      </w:r>
      <w:r w:rsidR="00325EDA" w:rsidRPr="001F7937">
        <w:rPr>
          <w:rFonts w:asciiTheme="minorHAnsi" w:hAnsiTheme="minorHAnsi" w:cstheme="minorHAnsi"/>
          <w:color w:val="000000" w:themeColor="text1"/>
          <w:shd w:val="clear" w:color="auto" w:fill="FFFFFF"/>
        </w:rPr>
        <w:t>‘</w:t>
      </w:r>
      <w:r w:rsidRPr="001F7937">
        <w:rPr>
          <w:rFonts w:asciiTheme="minorHAnsi" w:hAnsiTheme="minorHAnsi" w:cstheme="minorHAnsi"/>
          <w:color w:val="000000" w:themeColor="text1"/>
          <w:shd w:val="clear" w:color="auto" w:fill="FFFFFF"/>
        </w:rPr>
        <w:t>Metacognitive Control and Strategy Selection: Deciding to Practice Retrieval During Learning</w:t>
      </w:r>
      <w:r w:rsidR="00325EDA" w:rsidRPr="001F7937">
        <w:rPr>
          <w:rFonts w:asciiTheme="minorHAnsi" w:hAnsiTheme="minorHAnsi" w:cstheme="minorHAnsi"/>
          <w:color w:val="000000" w:themeColor="text1"/>
          <w:shd w:val="clear" w:color="auto" w:fill="FFFFFF"/>
        </w:rPr>
        <w:t>’,</w:t>
      </w:r>
      <w:r w:rsidRPr="001F7937">
        <w:rPr>
          <w:rFonts w:asciiTheme="minorHAnsi" w:hAnsiTheme="minorHAnsi" w:cstheme="minorHAnsi"/>
          <w:color w:val="000000" w:themeColor="text1"/>
          <w:shd w:val="clear" w:color="auto" w:fill="FFFFFF"/>
        </w:rPr>
        <w:t> </w:t>
      </w:r>
      <w:r w:rsidRPr="001F7937">
        <w:rPr>
          <w:rFonts w:asciiTheme="minorHAnsi" w:hAnsiTheme="minorHAnsi" w:cstheme="minorHAnsi"/>
          <w:i/>
          <w:iCs/>
          <w:color w:val="000000" w:themeColor="text1"/>
          <w:shd w:val="clear" w:color="auto" w:fill="FFFFFF"/>
        </w:rPr>
        <w:t>Journal of Experimental Psychology. General</w:t>
      </w:r>
      <w:r w:rsidRPr="001F7937">
        <w:rPr>
          <w:rFonts w:asciiTheme="minorHAnsi" w:hAnsiTheme="minorHAnsi" w:cstheme="minorHAnsi"/>
          <w:color w:val="000000" w:themeColor="text1"/>
          <w:shd w:val="clear" w:color="auto" w:fill="FFFFFF"/>
        </w:rPr>
        <w:t>, </w:t>
      </w:r>
      <w:r w:rsidRPr="001F7937">
        <w:rPr>
          <w:rFonts w:asciiTheme="minorHAnsi" w:hAnsiTheme="minorHAnsi" w:cstheme="minorHAnsi"/>
          <w:i/>
          <w:iCs/>
          <w:color w:val="000000" w:themeColor="text1"/>
          <w:shd w:val="clear" w:color="auto" w:fill="FFFFFF"/>
        </w:rPr>
        <w:t>138</w:t>
      </w:r>
      <w:r w:rsidRPr="001F7937">
        <w:rPr>
          <w:rFonts w:asciiTheme="minorHAnsi" w:hAnsiTheme="minorHAnsi" w:cstheme="minorHAnsi"/>
          <w:color w:val="000000" w:themeColor="text1"/>
          <w:shd w:val="clear" w:color="auto" w:fill="FFFFFF"/>
        </w:rPr>
        <w:t xml:space="preserve">(4), </w:t>
      </w:r>
      <w:r w:rsidR="00325EDA" w:rsidRPr="001F7937">
        <w:rPr>
          <w:rFonts w:asciiTheme="minorHAnsi" w:hAnsiTheme="minorHAnsi" w:cstheme="minorHAnsi"/>
          <w:color w:val="000000" w:themeColor="text1"/>
          <w:shd w:val="clear" w:color="auto" w:fill="FFFFFF"/>
        </w:rPr>
        <w:t xml:space="preserve">pp. </w:t>
      </w:r>
      <w:r w:rsidRPr="001F7937">
        <w:rPr>
          <w:rFonts w:asciiTheme="minorHAnsi" w:hAnsiTheme="minorHAnsi" w:cstheme="minorHAnsi"/>
          <w:color w:val="000000" w:themeColor="text1"/>
          <w:shd w:val="clear" w:color="auto" w:fill="FFFFFF"/>
        </w:rPr>
        <w:t>469–486.</w:t>
      </w:r>
    </w:p>
    <w:p w14:paraId="6DD44C98" w14:textId="22AFCF19" w:rsidR="00B407B8" w:rsidRPr="001F7937" w:rsidRDefault="00B407B8" w:rsidP="00B407B8">
      <w:pPr>
        <w:pStyle w:val="ListParagraph"/>
        <w:numPr>
          <w:ilvl w:val="0"/>
          <w:numId w:val="7"/>
        </w:numPr>
        <w:rPr>
          <w:rFonts w:cstheme="minorHAnsi"/>
          <w:color w:val="000000" w:themeColor="text1"/>
          <w:shd w:val="clear" w:color="auto" w:fill="FFFFFF"/>
        </w:rPr>
      </w:pPr>
      <w:r w:rsidRPr="001F7937">
        <w:rPr>
          <w:rFonts w:cstheme="minorHAnsi"/>
          <w:color w:val="000000" w:themeColor="text1"/>
        </w:rPr>
        <w:lastRenderedPageBreak/>
        <w:t xml:space="preserve"> </w:t>
      </w:r>
      <w:r w:rsidRPr="001F7937">
        <w:rPr>
          <w:rFonts w:cstheme="minorHAnsi"/>
          <w:color w:val="000000" w:themeColor="text1"/>
          <w:shd w:val="clear" w:color="auto" w:fill="FFFFFF"/>
        </w:rPr>
        <w:t>Mohammed</w:t>
      </w:r>
      <w:r w:rsidR="00325EDA" w:rsidRPr="001F7937">
        <w:rPr>
          <w:rFonts w:cstheme="minorHAnsi"/>
          <w:color w:val="000000" w:themeColor="text1"/>
          <w:shd w:val="clear" w:color="auto" w:fill="FFFFFF"/>
        </w:rPr>
        <w:t>, R</w:t>
      </w:r>
      <w:r w:rsidRPr="001F7937">
        <w:rPr>
          <w:rFonts w:cstheme="minorHAnsi"/>
          <w:color w:val="000000" w:themeColor="text1"/>
          <w:shd w:val="clear" w:color="auto" w:fill="FFFFFF"/>
        </w:rPr>
        <w:t>. (2016) ‘Critical Incident analysis: reflections of a teacher educator</w:t>
      </w:r>
      <w:r w:rsidR="002B1CBB" w:rsidRPr="001F7937">
        <w:rPr>
          <w:rFonts w:cstheme="minorHAnsi"/>
          <w:color w:val="000000" w:themeColor="text1"/>
          <w:shd w:val="clear" w:color="auto" w:fill="FFFFFF"/>
        </w:rPr>
        <w:t xml:space="preserve">’, </w:t>
      </w:r>
      <w:r w:rsidR="002B1CBB" w:rsidRPr="001F7937">
        <w:rPr>
          <w:rFonts w:cstheme="minorHAnsi"/>
          <w:i/>
          <w:iCs/>
          <w:color w:val="000000" w:themeColor="text1"/>
          <w:shd w:val="clear" w:color="auto" w:fill="FFFFFF"/>
        </w:rPr>
        <w:t>Research</w:t>
      </w:r>
      <w:r w:rsidRPr="001F7937">
        <w:rPr>
          <w:rFonts w:cstheme="minorHAnsi"/>
          <w:i/>
          <w:iCs/>
          <w:color w:val="000000" w:themeColor="text1"/>
          <w:shd w:val="clear" w:color="auto" w:fill="FFFFFF"/>
        </w:rPr>
        <w:t xml:space="preserve"> in Teacher Education,</w:t>
      </w:r>
      <w:r w:rsidRPr="001F7937">
        <w:rPr>
          <w:rFonts w:cstheme="minorHAnsi"/>
          <w:color w:val="000000" w:themeColor="text1"/>
          <w:shd w:val="clear" w:color="auto" w:fill="FFFFFF"/>
        </w:rPr>
        <w:t xml:space="preserve"> 6(1),</w:t>
      </w:r>
      <w:r w:rsidR="00325EDA" w:rsidRPr="001F7937">
        <w:rPr>
          <w:rFonts w:cstheme="minorHAnsi"/>
          <w:color w:val="000000" w:themeColor="text1"/>
          <w:shd w:val="clear" w:color="auto" w:fill="FFFFFF"/>
        </w:rPr>
        <w:t xml:space="preserve"> pp.</w:t>
      </w:r>
      <w:r w:rsidRPr="001F7937">
        <w:rPr>
          <w:rFonts w:cstheme="minorHAnsi"/>
          <w:color w:val="000000" w:themeColor="text1"/>
          <w:shd w:val="clear" w:color="auto" w:fill="FFFFFF"/>
        </w:rPr>
        <w:t xml:space="preserve"> 25-29.</w:t>
      </w:r>
    </w:p>
    <w:p w14:paraId="61F4BA2E" w14:textId="349E64EC" w:rsidR="00B407B8" w:rsidRPr="001F7937" w:rsidRDefault="00B407B8" w:rsidP="00B407B8">
      <w:pPr>
        <w:rPr>
          <w:rFonts w:cstheme="minorHAnsi"/>
          <w:color w:val="000000" w:themeColor="text1"/>
          <w:shd w:val="clear" w:color="auto" w:fill="FFFFFF"/>
        </w:rPr>
      </w:pPr>
    </w:p>
    <w:p w14:paraId="4DC2F399" w14:textId="77777777" w:rsidR="00B407B8" w:rsidRPr="001F7937" w:rsidRDefault="00B407B8" w:rsidP="00B407B8">
      <w:pPr>
        <w:pStyle w:val="ListParagraph"/>
        <w:rPr>
          <w:rFonts w:cstheme="minorHAnsi"/>
          <w:color w:val="000000" w:themeColor="text1"/>
          <w:shd w:val="clear" w:color="auto" w:fill="FFFFFF"/>
        </w:rPr>
      </w:pPr>
    </w:p>
    <w:p w14:paraId="1E028045" w14:textId="77777777" w:rsidR="00B407B8" w:rsidRPr="001F7937" w:rsidRDefault="00B407B8" w:rsidP="00B407B8">
      <w:pPr>
        <w:pStyle w:val="ListParagraph"/>
        <w:numPr>
          <w:ilvl w:val="0"/>
          <w:numId w:val="7"/>
        </w:numPr>
        <w:rPr>
          <w:rFonts w:cstheme="minorHAnsi"/>
          <w:color w:val="000000" w:themeColor="text1"/>
          <w:shd w:val="clear" w:color="auto" w:fill="FFFFFF"/>
        </w:rPr>
      </w:pPr>
      <w:r w:rsidRPr="001F7937">
        <w:rPr>
          <w:rFonts w:cstheme="minorHAnsi"/>
          <w:color w:val="000000" w:themeColor="text1"/>
          <w:shd w:val="clear" w:color="auto" w:fill="FFFFFF"/>
        </w:rPr>
        <w:t>Smith, M.A. and Karpicke, J.D. (2014) ‘Retrieval practice with short-answer, multiple-choice, and hybrid tests’, </w:t>
      </w:r>
      <w:r w:rsidRPr="001F7937">
        <w:rPr>
          <w:rFonts w:cstheme="minorHAnsi"/>
          <w:i/>
          <w:iCs/>
          <w:color w:val="000000" w:themeColor="text1"/>
          <w:shd w:val="clear" w:color="auto" w:fill="FFFFFF"/>
        </w:rPr>
        <w:t>Memory (Hove)</w:t>
      </w:r>
      <w:r w:rsidRPr="001F7937">
        <w:rPr>
          <w:rFonts w:cstheme="minorHAnsi"/>
          <w:color w:val="000000" w:themeColor="text1"/>
          <w:shd w:val="clear" w:color="auto" w:fill="FFFFFF"/>
        </w:rPr>
        <w:t>, 22(7), pp. 784–802.</w:t>
      </w:r>
    </w:p>
    <w:p w14:paraId="77031ED6" w14:textId="1EEBDCFC" w:rsidR="00B407B8" w:rsidRPr="001F7937" w:rsidRDefault="00B407B8" w:rsidP="00B407B8">
      <w:pPr>
        <w:rPr>
          <w:rFonts w:cstheme="minorHAnsi"/>
          <w:color w:val="000000" w:themeColor="text1"/>
          <w:shd w:val="clear" w:color="auto" w:fill="FFFFFF"/>
        </w:rPr>
      </w:pPr>
    </w:p>
    <w:p w14:paraId="5989693E" w14:textId="4AD4874B" w:rsidR="00B407B8" w:rsidRPr="001F7937" w:rsidRDefault="00B407B8" w:rsidP="00B407B8">
      <w:pPr>
        <w:pStyle w:val="ListParagraph"/>
        <w:numPr>
          <w:ilvl w:val="0"/>
          <w:numId w:val="7"/>
        </w:numPr>
        <w:rPr>
          <w:rFonts w:cstheme="minorHAnsi"/>
          <w:color w:val="000000" w:themeColor="text1"/>
          <w:shd w:val="clear" w:color="auto" w:fill="FFFFFF"/>
        </w:rPr>
      </w:pPr>
      <w:proofErr w:type="spellStart"/>
      <w:r w:rsidRPr="001F7937">
        <w:rPr>
          <w:rFonts w:cstheme="minorHAnsi"/>
          <w:color w:val="000000" w:themeColor="text1"/>
        </w:rPr>
        <w:t>Spendlove</w:t>
      </w:r>
      <w:proofErr w:type="spellEnd"/>
      <w:r w:rsidRPr="001F7937">
        <w:rPr>
          <w:rFonts w:cstheme="minorHAnsi"/>
          <w:color w:val="000000" w:themeColor="text1"/>
        </w:rPr>
        <w:t xml:space="preserve">, D. (2009). </w:t>
      </w:r>
      <w:r w:rsidRPr="001F7937">
        <w:rPr>
          <w:rFonts w:cstheme="minorHAnsi"/>
          <w:i/>
          <w:iCs/>
          <w:color w:val="000000" w:themeColor="text1"/>
        </w:rPr>
        <w:t>Putting assessment for learning into practice</w:t>
      </w:r>
      <w:r w:rsidRPr="001F7937">
        <w:rPr>
          <w:rFonts w:cstheme="minorHAnsi"/>
          <w:color w:val="000000" w:themeColor="text1"/>
        </w:rPr>
        <w:t xml:space="preserve">. </w:t>
      </w:r>
      <w:r w:rsidR="00325EDA" w:rsidRPr="001F7937">
        <w:rPr>
          <w:rFonts w:cstheme="minorHAnsi"/>
          <w:color w:val="000000" w:themeColor="text1"/>
        </w:rPr>
        <w:t>London;</w:t>
      </w:r>
      <w:r w:rsidRPr="001F7937">
        <w:rPr>
          <w:rFonts w:cstheme="minorHAnsi"/>
          <w:color w:val="000000" w:themeColor="text1"/>
        </w:rPr>
        <w:t xml:space="preserve"> New York: Continuum International Publishing Group.</w:t>
      </w:r>
    </w:p>
    <w:p w14:paraId="59477122" w14:textId="77777777" w:rsidR="00B407B8" w:rsidRPr="001F7937" w:rsidRDefault="00B407B8" w:rsidP="00B407B8">
      <w:pPr>
        <w:pStyle w:val="ListParagraph"/>
        <w:rPr>
          <w:rFonts w:cstheme="minorHAnsi"/>
          <w:color w:val="000000" w:themeColor="text1"/>
          <w:shd w:val="clear" w:color="auto" w:fill="FFFFFF"/>
        </w:rPr>
      </w:pPr>
    </w:p>
    <w:p w14:paraId="1D802CE8" w14:textId="26689766" w:rsidR="00B407B8" w:rsidRPr="001F7937" w:rsidRDefault="00B407B8" w:rsidP="00B407B8">
      <w:pPr>
        <w:pStyle w:val="ListParagraph"/>
        <w:numPr>
          <w:ilvl w:val="0"/>
          <w:numId w:val="7"/>
        </w:numPr>
        <w:rPr>
          <w:rFonts w:cstheme="minorHAnsi"/>
          <w:color w:val="000000" w:themeColor="text1"/>
          <w:shd w:val="clear" w:color="auto" w:fill="FFFFFF"/>
        </w:rPr>
      </w:pPr>
      <w:r w:rsidRPr="001F7937">
        <w:rPr>
          <w:rFonts w:cstheme="minorHAnsi"/>
          <w:color w:val="000000" w:themeColor="text1"/>
        </w:rPr>
        <w:t xml:space="preserve">Tripp, D. (2012). </w:t>
      </w:r>
      <w:r w:rsidRPr="001F7937">
        <w:rPr>
          <w:rFonts w:cstheme="minorHAnsi"/>
          <w:i/>
          <w:iCs/>
          <w:color w:val="000000" w:themeColor="text1"/>
        </w:rPr>
        <w:t>Critical incidents in teaching: developing professional judgement</w:t>
      </w:r>
      <w:r w:rsidRPr="001F7937">
        <w:rPr>
          <w:rFonts w:cstheme="minorHAnsi"/>
          <w:color w:val="000000" w:themeColor="text1"/>
        </w:rPr>
        <w:t>. London; New York: Routledge.</w:t>
      </w:r>
    </w:p>
    <w:p w14:paraId="269A9391" w14:textId="77777777" w:rsidR="00B407B8" w:rsidRPr="001F7937" w:rsidRDefault="00B407B8" w:rsidP="00B407B8">
      <w:pPr>
        <w:pStyle w:val="ListParagraph"/>
        <w:rPr>
          <w:rFonts w:cstheme="minorHAnsi"/>
          <w:color w:val="000000" w:themeColor="text1"/>
          <w:shd w:val="clear" w:color="auto" w:fill="FFFFFF"/>
        </w:rPr>
      </w:pPr>
    </w:p>
    <w:p w14:paraId="1584E6E5" w14:textId="14542225" w:rsidR="00B407B8" w:rsidRPr="001F7937" w:rsidRDefault="00B407B8" w:rsidP="00B407B8">
      <w:pPr>
        <w:pStyle w:val="ListParagraph"/>
        <w:numPr>
          <w:ilvl w:val="0"/>
          <w:numId w:val="7"/>
        </w:numPr>
        <w:rPr>
          <w:rStyle w:val="Hyperlink"/>
          <w:rFonts w:cstheme="minorHAnsi"/>
          <w:color w:val="000000" w:themeColor="text1"/>
          <w:u w:val="none"/>
          <w:shd w:val="clear" w:color="auto" w:fill="FFFFFF"/>
        </w:rPr>
      </w:pPr>
      <w:r w:rsidRPr="001F7937">
        <w:rPr>
          <w:rFonts w:cstheme="minorHAnsi"/>
          <w:color w:val="000000" w:themeColor="text1"/>
        </w:rPr>
        <w:t>Welsh Government (2017)</w:t>
      </w:r>
      <w:r w:rsidRPr="001F7937">
        <w:rPr>
          <w:rFonts w:cstheme="minorHAnsi"/>
          <w:i/>
          <w:iCs/>
          <w:color w:val="000000" w:themeColor="text1"/>
        </w:rPr>
        <w:t xml:space="preserve"> Professional standards – Hwb</w:t>
      </w:r>
      <w:r w:rsidRPr="001F7937">
        <w:rPr>
          <w:rFonts w:cstheme="minorHAnsi"/>
          <w:color w:val="000000" w:themeColor="text1"/>
        </w:rPr>
        <w:t xml:space="preserve">. Available at: </w:t>
      </w:r>
      <w:hyperlink r:id="rId7" w:history="1">
        <w:r w:rsidRPr="001F7937">
          <w:rPr>
            <w:rStyle w:val="Hyperlink"/>
            <w:rFonts w:cstheme="minorHAnsi"/>
            <w:color w:val="000000" w:themeColor="text1"/>
          </w:rPr>
          <w:t>https://hwb.gov.wales/professional-development/professional-standards</w:t>
        </w:r>
      </w:hyperlink>
    </w:p>
    <w:p w14:paraId="1B0734B0" w14:textId="77777777" w:rsidR="00B407B8" w:rsidRPr="001F7937" w:rsidRDefault="00B407B8" w:rsidP="00B407B8">
      <w:pPr>
        <w:pStyle w:val="ListParagraph"/>
        <w:rPr>
          <w:rFonts w:cstheme="minorHAnsi"/>
          <w:color w:val="000000" w:themeColor="text1"/>
          <w:shd w:val="clear" w:color="auto" w:fill="FFFFFF"/>
        </w:rPr>
      </w:pPr>
    </w:p>
    <w:p w14:paraId="32AACBD1" w14:textId="77777777"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Wiliam, D. (2017). </w:t>
      </w:r>
      <w:r w:rsidRPr="001F7937">
        <w:rPr>
          <w:rFonts w:asciiTheme="minorHAnsi" w:hAnsiTheme="minorHAnsi" w:cstheme="minorHAnsi"/>
          <w:i/>
          <w:iCs/>
          <w:color w:val="000000" w:themeColor="text1"/>
        </w:rPr>
        <w:t>Embedded Formative Assessment</w:t>
      </w:r>
      <w:r w:rsidRPr="001F7937">
        <w:rPr>
          <w:rFonts w:asciiTheme="minorHAnsi" w:hAnsiTheme="minorHAnsi" w:cstheme="minorHAnsi"/>
          <w:color w:val="000000" w:themeColor="text1"/>
        </w:rPr>
        <w:t>. 2nd ed. Bloomington, Indiana Solution Tree Press.</w:t>
      </w:r>
    </w:p>
    <w:p w14:paraId="7AAEB29D" w14:textId="75EE6437" w:rsidR="00B407B8" w:rsidRPr="001F7937" w:rsidRDefault="00B407B8" w:rsidP="00B407B8">
      <w:pPr>
        <w:pStyle w:val="ListParagraph"/>
        <w:numPr>
          <w:ilvl w:val="0"/>
          <w:numId w:val="7"/>
        </w:numPr>
        <w:rPr>
          <w:rFonts w:cstheme="minorHAnsi"/>
          <w:color w:val="000000" w:themeColor="text1"/>
          <w:shd w:val="clear" w:color="auto" w:fill="FFFFFF"/>
        </w:rPr>
      </w:pPr>
      <w:proofErr w:type="spellStart"/>
      <w:r w:rsidRPr="001F7937">
        <w:rPr>
          <w:rFonts w:cstheme="minorHAnsi"/>
          <w:color w:val="000000" w:themeColor="text1"/>
          <w:shd w:val="clear" w:color="auto" w:fill="FFFFFF"/>
        </w:rPr>
        <w:t>Zwozdiak</w:t>
      </w:r>
      <w:proofErr w:type="spellEnd"/>
      <w:r w:rsidRPr="001F7937">
        <w:rPr>
          <w:rFonts w:cstheme="minorHAnsi"/>
          <w:color w:val="000000" w:themeColor="text1"/>
          <w:shd w:val="clear" w:color="auto" w:fill="FFFFFF"/>
        </w:rPr>
        <w:t>-Myers, P. (2012)</w:t>
      </w:r>
      <w:r w:rsidR="00325EDA" w:rsidRPr="001F7937">
        <w:rPr>
          <w:rFonts w:cstheme="minorHAnsi"/>
          <w:color w:val="000000" w:themeColor="text1"/>
          <w:shd w:val="clear" w:color="auto" w:fill="FFFFFF"/>
        </w:rPr>
        <w:t>.</w:t>
      </w:r>
      <w:r w:rsidRPr="001F7937">
        <w:rPr>
          <w:rFonts w:cstheme="minorHAnsi"/>
          <w:color w:val="000000" w:themeColor="text1"/>
          <w:shd w:val="clear" w:color="auto" w:fill="FFFFFF"/>
        </w:rPr>
        <w:t> </w:t>
      </w:r>
      <w:r w:rsidRPr="001F7937">
        <w:rPr>
          <w:rFonts w:cstheme="minorHAnsi"/>
          <w:i/>
          <w:iCs/>
          <w:color w:val="000000" w:themeColor="text1"/>
          <w:shd w:val="clear" w:color="auto" w:fill="FFFFFF"/>
        </w:rPr>
        <w:t xml:space="preserve">The teacher’s reflective practice </w:t>
      </w:r>
      <w:r w:rsidR="00325EDA" w:rsidRPr="001F7937">
        <w:rPr>
          <w:rFonts w:cstheme="minorHAnsi"/>
          <w:i/>
          <w:iCs/>
          <w:color w:val="000000" w:themeColor="text1"/>
          <w:shd w:val="clear" w:color="auto" w:fill="FFFFFF"/>
        </w:rPr>
        <w:t>handbook:</w:t>
      </w:r>
      <w:r w:rsidRPr="001F7937">
        <w:rPr>
          <w:rFonts w:cstheme="minorHAnsi"/>
          <w:i/>
          <w:iCs/>
          <w:color w:val="000000" w:themeColor="text1"/>
          <w:shd w:val="clear" w:color="auto" w:fill="FFFFFF"/>
        </w:rPr>
        <w:t xml:space="preserve"> becoming an extended professional through capturing evidence-informed practice</w:t>
      </w:r>
      <w:r w:rsidRPr="001F7937">
        <w:rPr>
          <w:rFonts w:cstheme="minorHAnsi"/>
          <w:color w:val="000000" w:themeColor="text1"/>
          <w:shd w:val="clear" w:color="auto" w:fill="FFFFFF"/>
        </w:rPr>
        <w:t>. London: Routledge.</w:t>
      </w:r>
    </w:p>
    <w:p w14:paraId="4386C098" w14:textId="77777777" w:rsidR="00B407B8" w:rsidRPr="00B407B8" w:rsidRDefault="00B407B8" w:rsidP="00B407B8">
      <w:pPr>
        <w:pStyle w:val="NormalWeb"/>
        <w:spacing w:before="0" w:beforeAutospacing="0" w:after="240" w:afterAutospacing="0" w:line="360" w:lineRule="auto"/>
        <w:ind w:left="720"/>
        <w:rPr>
          <w:rFonts w:ascii="Times" w:hAnsi="Times"/>
          <w:color w:val="000000" w:themeColor="text1"/>
          <w:sz w:val="36"/>
          <w:szCs w:val="36"/>
        </w:rPr>
      </w:pPr>
    </w:p>
    <w:p w14:paraId="7D5120D7" w14:textId="7AF8321E" w:rsidR="00B407B8" w:rsidRPr="00B407B8" w:rsidRDefault="00B407B8" w:rsidP="00B407B8"/>
    <w:sectPr w:rsidR="00B407B8" w:rsidRPr="00B407B8">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34BEE" w14:textId="77777777" w:rsidR="00E4167B" w:rsidRDefault="00E4167B" w:rsidP="001F7937">
      <w:r>
        <w:separator/>
      </w:r>
    </w:p>
  </w:endnote>
  <w:endnote w:type="continuationSeparator" w:id="0">
    <w:p w14:paraId="408595F8" w14:textId="77777777" w:rsidR="00E4167B" w:rsidRDefault="00E4167B" w:rsidP="001F7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939CD" w14:textId="77777777" w:rsidR="00E4167B" w:rsidRDefault="00E4167B" w:rsidP="001F7937">
      <w:r>
        <w:separator/>
      </w:r>
    </w:p>
  </w:footnote>
  <w:footnote w:type="continuationSeparator" w:id="0">
    <w:p w14:paraId="7D95FB19" w14:textId="77777777" w:rsidR="00E4167B" w:rsidRDefault="00E4167B" w:rsidP="001F79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3992599"/>
      <w:docPartObj>
        <w:docPartGallery w:val="Page Numbers (Top of Page)"/>
        <w:docPartUnique/>
      </w:docPartObj>
    </w:sdtPr>
    <w:sdtContent>
      <w:p w14:paraId="579AB6C6" w14:textId="17E1D3B8" w:rsidR="001F7937" w:rsidRDefault="001F7937" w:rsidP="00BE3D1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150CDA" w14:textId="77777777" w:rsidR="001F7937" w:rsidRDefault="001F7937" w:rsidP="001F793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1079796"/>
      <w:docPartObj>
        <w:docPartGallery w:val="Page Numbers (Top of Page)"/>
        <w:docPartUnique/>
      </w:docPartObj>
    </w:sdtPr>
    <w:sdtContent>
      <w:p w14:paraId="14CB87C6" w14:textId="2F48F163" w:rsidR="001F7937" w:rsidRDefault="001F7937" w:rsidP="00BE3D1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C0AD77" w14:textId="77777777" w:rsidR="001F7937" w:rsidRDefault="001F7937" w:rsidP="001F793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94D54"/>
    <w:multiLevelType w:val="hybridMultilevel"/>
    <w:tmpl w:val="B81ECA1C"/>
    <w:lvl w:ilvl="0" w:tplc="F7309A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A44367"/>
    <w:multiLevelType w:val="hybridMultilevel"/>
    <w:tmpl w:val="4C4083C8"/>
    <w:lvl w:ilvl="0" w:tplc="3B8CEB44">
      <w:start w:val="1"/>
      <w:numFmt w:val="decimal"/>
      <w:lvlText w:val="%1)"/>
      <w:lvlJc w:val="left"/>
      <w:pPr>
        <w:ind w:left="1440" w:hanging="360"/>
      </w:pPr>
      <w:rPr>
        <w:rFonts w:hint="default"/>
        <w:b w:val="0"/>
        <w:u w:val="none"/>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0A25A7E"/>
    <w:multiLevelType w:val="hybridMultilevel"/>
    <w:tmpl w:val="C5E8CB0E"/>
    <w:lvl w:ilvl="0" w:tplc="5CD02DAC">
      <w:start w:val="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8A4E6A"/>
    <w:multiLevelType w:val="hybridMultilevel"/>
    <w:tmpl w:val="7AEAE0A6"/>
    <w:lvl w:ilvl="0" w:tplc="85C2CE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367450"/>
    <w:multiLevelType w:val="hybridMultilevel"/>
    <w:tmpl w:val="CE04EC24"/>
    <w:lvl w:ilvl="0" w:tplc="DADA64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883E3E"/>
    <w:multiLevelType w:val="hybridMultilevel"/>
    <w:tmpl w:val="9FFAB316"/>
    <w:lvl w:ilvl="0" w:tplc="EB36FB42">
      <w:start w:val="1"/>
      <w:numFmt w:val="decimal"/>
      <w:lvlText w:val="%1)"/>
      <w:lvlJc w:val="left"/>
      <w:pPr>
        <w:ind w:left="786"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003989"/>
    <w:multiLevelType w:val="hybridMultilevel"/>
    <w:tmpl w:val="3272B05E"/>
    <w:lvl w:ilvl="0" w:tplc="9948EF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8407445">
    <w:abstractNumId w:val="2"/>
  </w:num>
  <w:num w:numId="2" w16cid:durableId="1521578019">
    <w:abstractNumId w:val="3"/>
  </w:num>
  <w:num w:numId="3" w16cid:durableId="985013711">
    <w:abstractNumId w:val="6"/>
  </w:num>
  <w:num w:numId="4" w16cid:durableId="1800756143">
    <w:abstractNumId w:val="1"/>
  </w:num>
  <w:num w:numId="5" w16cid:durableId="2030133096">
    <w:abstractNumId w:val="4"/>
  </w:num>
  <w:num w:numId="6" w16cid:durableId="1348679889">
    <w:abstractNumId w:val="0"/>
  </w:num>
  <w:num w:numId="7" w16cid:durableId="9724393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754"/>
    <w:rsid w:val="00047CEA"/>
    <w:rsid w:val="00172B86"/>
    <w:rsid w:val="001B3B8C"/>
    <w:rsid w:val="001F2443"/>
    <w:rsid w:val="001F7937"/>
    <w:rsid w:val="00223421"/>
    <w:rsid w:val="002413AB"/>
    <w:rsid w:val="002B1CBB"/>
    <w:rsid w:val="00325EDA"/>
    <w:rsid w:val="0038184D"/>
    <w:rsid w:val="003F46BA"/>
    <w:rsid w:val="004011FB"/>
    <w:rsid w:val="00442096"/>
    <w:rsid w:val="0048237F"/>
    <w:rsid w:val="004C3B5F"/>
    <w:rsid w:val="004E4C4D"/>
    <w:rsid w:val="005110DC"/>
    <w:rsid w:val="0064031B"/>
    <w:rsid w:val="00650185"/>
    <w:rsid w:val="00662289"/>
    <w:rsid w:val="00766A02"/>
    <w:rsid w:val="007D1972"/>
    <w:rsid w:val="00810043"/>
    <w:rsid w:val="00860960"/>
    <w:rsid w:val="00914CCC"/>
    <w:rsid w:val="0091579A"/>
    <w:rsid w:val="009456E2"/>
    <w:rsid w:val="00947276"/>
    <w:rsid w:val="00957585"/>
    <w:rsid w:val="00B174B9"/>
    <w:rsid w:val="00B407B8"/>
    <w:rsid w:val="00B81CBE"/>
    <w:rsid w:val="00BB2AAF"/>
    <w:rsid w:val="00BB4852"/>
    <w:rsid w:val="00C41DE6"/>
    <w:rsid w:val="00C55FE9"/>
    <w:rsid w:val="00C95EE5"/>
    <w:rsid w:val="00CA1D95"/>
    <w:rsid w:val="00DC6D91"/>
    <w:rsid w:val="00E22029"/>
    <w:rsid w:val="00E4167B"/>
    <w:rsid w:val="00E96383"/>
    <w:rsid w:val="00EF0DB3"/>
    <w:rsid w:val="00EF15BB"/>
    <w:rsid w:val="00EF3D3E"/>
    <w:rsid w:val="00EF7754"/>
    <w:rsid w:val="00F146D3"/>
    <w:rsid w:val="00F217CC"/>
    <w:rsid w:val="00F53358"/>
    <w:rsid w:val="00F54F52"/>
    <w:rsid w:val="00FC4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09F87"/>
  <w15:chartTrackingRefBased/>
  <w15:docId w15:val="{10182632-E9D5-F942-9DC2-3FBA190AE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6D91"/>
    <w:pPr>
      <w:ind w:left="720"/>
      <w:contextualSpacing/>
    </w:pPr>
  </w:style>
  <w:style w:type="paragraph" w:styleId="NormalWeb">
    <w:name w:val="Normal (Web)"/>
    <w:basedOn w:val="Normal"/>
    <w:uiPriority w:val="99"/>
    <w:semiHidden/>
    <w:unhideWhenUsed/>
    <w:rsid w:val="00B407B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407B8"/>
    <w:rPr>
      <w:color w:val="0563C1" w:themeColor="hyperlink"/>
      <w:u w:val="single"/>
    </w:rPr>
  </w:style>
  <w:style w:type="character" w:styleId="Emphasis">
    <w:name w:val="Emphasis"/>
    <w:basedOn w:val="DefaultParagraphFont"/>
    <w:uiPriority w:val="20"/>
    <w:qFormat/>
    <w:rsid w:val="002B1CBB"/>
    <w:rPr>
      <w:i/>
      <w:iCs/>
    </w:rPr>
  </w:style>
  <w:style w:type="paragraph" w:styleId="Header">
    <w:name w:val="header"/>
    <w:basedOn w:val="Normal"/>
    <w:link w:val="HeaderChar"/>
    <w:uiPriority w:val="99"/>
    <w:unhideWhenUsed/>
    <w:rsid w:val="001F7937"/>
    <w:pPr>
      <w:tabs>
        <w:tab w:val="center" w:pos="4513"/>
        <w:tab w:val="right" w:pos="9026"/>
      </w:tabs>
    </w:pPr>
  </w:style>
  <w:style w:type="character" w:customStyle="1" w:styleId="HeaderChar">
    <w:name w:val="Header Char"/>
    <w:basedOn w:val="DefaultParagraphFont"/>
    <w:link w:val="Header"/>
    <w:uiPriority w:val="99"/>
    <w:rsid w:val="001F7937"/>
  </w:style>
  <w:style w:type="character" w:styleId="PageNumber">
    <w:name w:val="page number"/>
    <w:basedOn w:val="DefaultParagraphFont"/>
    <w:uiPriority w:val="99"/>
    <w:semiHidden/>
    <w:unhideWhenUsed/>
    <w:rsid w:val="001F79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983951">
      <w:bodyDiv w:val="1"/>
      <w:marLeft w:val="0"/>
      <w:marRight w:val="0"/>
      <w:marTop w:val="0"/>
      <w:marBottom w:val="0"/>
      <w:divBdr>
        <w:top w:val="none" w:sz="0" w:space="0" w:color="auto"/>
        <w:left w:val="none" w:sz="0" w:space="0" w:color="auto"/>
        <w:bottom w:val="none" w:sz="0" w:space="0" w:color="auto"/>
        <w:right w:val="none" w:sz="0" w:space="0" w:color="auto"/>
      </w:divBdr>
      <w:divsChild>
        <w:div w:id="35669131">
          <w:marLeft w:val="0"/>
          <w:marRight w:val="0"/>
          <w:marTop w:val="0"/>
          <w:marBottom w:val="0"/>
          <w:divBdr>
            <w:top w:val="none" w:sz="0" w:space="0" w:color="auto"/>
            <w:left w:val="none" w:sz="0" w:space="0" w:color="auto"/>
            <w:bottom w:val="none" w:sz="0" w:space="0" w:color="auto"/>
            <w:right w:val="none" w:sz="0" w:space="0" w:color="auto"/>
          </w:divBdr>
        </w:div>
      </w:divsChild>
    </w:div>
    <w:div w:id="543753654">
      <w:bodyDiv w:val="1"/>
      <w:marLeft w:val="0"/>
      <w:marRight w:val="0"/>
      <w:marTop w:val="0"/>
      <w:marBottom w:val="0"/>
      <w:divBdr>
        <w:top w:val="none" w:sz="0" w:space="0" w:color="auto"/>
        <w:left w:val="none" w:sz="0" w:space="0" w:color="auto"/>
        <w:bottom w:val="none" w:sz="0" w:space="0" w:color="auto"/>
        <w:right w:val="none" w:sz="0" w:space="0" w:color="auto"/>
      </w:divBdr>
      <w:divsChild>
        <w:div w:id="1202216">
          <w:marLeft w:val="0"/>
          <w:marRight w:val="0"/>
          <w:marTop w:val="0"/>
          <w:marBottom w:val="0"/>
          <w:divBdr>
            <w:top w:val="none" w:sz="0" w:space="0" w:color="auto"/>
            <w:left w:val="none" w:sz="0" w:space="0" w:color="auto"/>
            <w:bottom w:val="none" w:sz="0" w:space="0" w:color="auto"/>
            <w:right w:val="none" w:sz="0" w:space="0" w:color="auto"/>
          </w:divBdr>
        </w:div>
      </w:divsChild>
    </w:div>
    <w:div w:id="792135628">
      <w:bodyDiv w:val="1"/>
      <w:marLeft w:val="0"/>
      <w:marRight w:val="0"/>
      <w:marTop w:val="0"/>
      <w:marBottom w:val="0"/>
      <w:divBdr>
        <w:top w:val="none" w:sz="0" w:space="0" w:color="auto"/>
        <w:left w:val="none" w:sz="0" w:space="0" w:color="auto"/>
        <w:bottom w:val="none" w:sz="0" w:space="0" w:color="auto"/>
        <w:right w:val="none" w:sz="0" w:space="0" w:color="auto"/>
      </w:divBdr>
    </w:div>
    <w:div w:id="1086850248">
      <w:bodyDiv w:val="1"/>
      <w:marLeft w:val="0"/>
      <w:marRight w:val="0"/>
      <w:marTop w:val="0"/>
      <w:marBottom w:val="0"/>
      <w:divBdr>
        <w:top w:val="none" w:sz="0" w:space="0" w:color="auto"/>
        <w:left w:val="none" w:sz="0" w:space="0" w:color="auto"/>
        <w:bottom w:val="none" w:sz="0" w:space="0" w:color="auto"/>
        <w:right w:val="none" w:sz="0" w:space="0" w:color="auto"/>
      </w:divBdr>
      <w:divsChild>
        <w:div w:id="1827432060">
          <w:marLeft w:val="0"/>
          <w:marRight w:val="0"/>
          <w:marTop w:val="0"/>
          <w:marBottom w:val="0"/>
          <w:divBdr>
            <w:top w:val="none" w:sz="0" w:space="0" w:color="auto"/>
            <w:left w:val="none" w:sz="0" w:space="0" w:color="auto"/>
            <w:bottom w:val="none" w:sz="0" w:space="0" w:color="auto"/>
            <w:right w:val="none" w:sz="0" w:space="0" w:color="auto"/>
          </w:divBdr>
        </w:div>
      </w:divsChild>
    </w:div>
    <w:div w:id="1248995834">
      <w:bodyDiv w:val="1"/>
      <w:marLeft w:val="0"/>
      <w:marRight w:val="0"/>
      <w:marTop w:val="0"/>
      <w:marBottom w:val="0"/>
      <w:divBdr>
        <w:top w:val="none" w:sz="0" w:space="0" w:color="auto"/>
        <w:left w:val="none" w:sz="0" w:space="0" w:color="auto"/>
        <w:bottom w:val="none" w:sz="0" w:space="0" w:color="auto"/>
        <w:right w:val="none" w:sz="0" w:space="0" w:color="auto"/>
      </w:divBdr>
      <w:divsChild>
        <w:div w:id="1654143309">
          <w:marLeft w:val="0"/>
          <w:marRight w:val="0"/>
          <w:marTop w:val="0"/>
          <w:marBottom w:val="0"/>
          <w:divBdr>
            <w:top w:val="none" w:sz="0" w:space="0" w:color="auto"/>
            <w:left w:val="none" w:sz="0" w:space="0" w:color="auto"/>
            <w:bottom w:val="none" w:sz="0" w:space="0" w:color="auto"/>
            <w:right w:val="none" w:sz="0" w:space="0" w:color="auto"/>
          </w:divBdr>
        </w:div>
      </w:divsChild>
    </w:div>
    <w:div w:id="1344555948">
      <w:bodyDiv w:val="1"/>
      <w:marLeft w:val="0"/>
      <w:marRight w:val="0"/>
      <w:marTop w:val="0"/>
      <w:marBottom w:val="0"/>
      <w:divBdr>
        <w:top w:val="none" w:sz="0" w:space="0" w:color="auto"/>
        <w:left w:val="none" w:sz="0" w:space="0" w:color="auto"/>
        <w:bottom w:val="none" w:sz="0" w:space="0" w:color="auto"/>
        <w:right w:val="none" w:sz="0" w:space="0" w:color="auto"/>
      </w:divBdr>
      <w:divsChild>
        <w:div w:id="405037979">
          <w:marLeft w:val="0"/>
          <w:marRight w:val="0"/>
          <w:marTop w:val="0"/>
          <w:marBottom w:val="0"/>
          <w:divBdr>
            <w:top w:val="none" w:sz="0" w:space="0" w:color="auto"/>
            <w:left w:val="none" w:sz="0" w:space="0" w:color="auto"/>
            <w:bottom w:val="none" w:sz="0" w:space="0" w:color="auto"/>
            <w:right w:val="none" w:sz="0" w:space="0" w:color="auto"/>
          </w:divBdr>
        </w:div>
      </w:divsChild>
    </w:div>
    <w:div w:id="1719548445">
      <w:bodyDiv w:val="1"/>
      <w:marLeft w:val="0"/>
      <w:marRight w:val="0"/>
      <w:marTop w:val="0"/>
      <w:marBottom w:val="0"/>
      <w:divBdr>
        <w:top w:val="none" w:sz="0" w:space="0" w:color="auto"/>
        <w:left w:val="none" w:sz="0" w:space="0" w:color="auto"/>
        <w:bottom w:val="none" w:sz="0" w:space="0" w:color="auto"/>
        <w:right w:val="none" w:sz="0" w:space="0" w:color="auto"/>
      </w:divBdr>
      <w:divsChild>
        <w:div w:id="1678919614">
          <w:marLeft w:val="0"/>
          <w:marRight w:val="0"/>
          <w:marTop w:val="0"/>
          <w:marBottom w:val="0"/>
          <w:divBdr>
            <w:top w:val="none" w:sz="0" w:space="0" w:color="auto"/>
            <w:left w:val="none" w:sz="0" w:space="0" w:color="auto"/>
            <w:bottom w:val="none" w:sz="0" w:space="0" w:color="auto"/>
            <w:right w:val="none" w:sz="0" w:space="0" w:color="auto"/>
          </w:divBdr>
        </w:div>
      </w:divsChild>
    </w:div>
    <w:div w:id="2099793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hwb.gov.wales/professional-development/professional-standar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668</TotalTime>
  <Pages>13</Pages>
  <Words>4195</Words>
  <Characters>23917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Bowles (2200052)</dc:creator>
  <cp:keywords/>
  <dc:description/>
  <cp:lastModifiedBy>Esther Bowles (2200052)</cp:lastModifiedBy>
  <cp:revision>29</cp:revision>
  <dcterms:created xsi:type="dcterms:W3CDTF">2022-10-07T19:23:00Z</dcterms:created>
  <dcterms:modified xsi:type="dcterms:W3CDTF">2022-11-02T13:37:00Z</dcterms:modified>
</cp:coreProperties>
</file>