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bidi w:val="0"/>
      </w:pPr>
      <w:r>
        <mc:AlternateContent>
          <mc:Choice Requires="wpg">
            <w:drawing>
              <wp:anchor distT="152400" distB="152400" distL="152400" distR="152400" simplePos="0" relativeHeight="251659264" behindDoc="0" locked="0" layoutInCell="1" allowOverlap="1">
                <wp:simplePos x="0" y="0"/>
                <wp:positionH relativeFrom="page">
                  <wp:posOffset>532063</wp:posOffset>
                </wp:positionH>
                <wp:positionV relativeFrom="page">
                  <wp:posOffset>87112</wp:posOffset>
                </wp:positionV>
                <wp:extent cx="6664663" cy="9579342"/>
                <wp:effectExtent l="0" t="0" r="0" b="0"/>
                <wp:wrapTopAndBottom distT="152400" distB="152400"/>
                <wp:docPr id="1073741827" name="officeArt object"/>
                <wp:cNvGraphicFramePr/>
                <a:graphic xmlns:a="http://schemas.openxmlformats.org/drawingml/2006/main">
                  <a:graphicData uri="http://schemas.microsoft.com/office/word/2010/wordprocessingGroup">
                    <wpg:wgp>
                      <wpg:cNvGrpSpPr/>
                      <wpg:grpSpPr>
                        <a:xfrm>
                          <a:off x="0" y="0"/>
                          <a:ext cx="6664663" cy="9579342"/>
                          <a:chOff x="188895" y="-83019"/>
                          <a:chExt cx="6664662" cy="9579341"/>
                        </a:xfrm>
                      </wpg:grpSpPr>
                      <pic:pic xmlns:pic="http://schemas.openxmlformats.org/drawingml/2006/picture">
                        <pic:nvPicPr>
                          <pic:cNvPr id="1073741825" name="pasted-image.tiff"/>
                          <pic:cNvPicPr>
                            <a:picLocks noChangeAspect="1"/>
                          </pic:cNvPicPr>
                        </pic:nvPicPr>
                        <pic:blipFill>
                          <a:blip r:embed="rId4">
                            <a:extLst/>
                          </a:blip>
                          <a:srcRect l="0" t="0" r="0" b="0"/>
                          <a:stretch>
                            <a:fillRect/>
                          </a:stretch>
                        </pic:blipFill>
                        <pic:spPr>
                          <a:xfrm>
                            <a:off x="188895" y="-83020"/>
                            <a:ext cx="6664663" cy="9579342"/>
                          </a:xfrm>
                          <a:prstGeom prst="rect">
                            <a:avLst/>
                          </a:prstGeom>
                          <a:ln w="12700" cap="flat">
                            <a:noFill/>
                            <a:miter lim="400000"/>
                          </a:ln>
                          <a:effectLst/>
                        </pic:spPr>
                      </pic:pic>
                      <wps:wsp>
                        <wps:cNvPr id="1073741826" name="Shape 1073741826"/>
                        <wps:cNvSpPr/>
                        <wps:spPr>
                          <a:xfrm>
                            <a:off x="3476037" y="8995111"/>
                            <a:ext cx="3377432" cy="356068"/>
                          </a:xfrm>
                          <a:prstGeom prst="rect">
                            <a:avLst/>
                          </a:prstGeom>
                          <a:solidFill>
                            <a:srgbClr val="000000">
                              <a:alpha val="62987"/>
                            </a:srgbClr>
                          </a:solidFill>
                          <a:ln w="12700" cap="flat">
                            <a:noFill/>
                            <a:miter lim="400000"/>
                          </a:ln>
                          <a:effectLst/>
                        </wps:spPr>
                        <wps:txbx>
                          <w:txbxContent>
                            <w:p>
                              <w:pPr>
                                <w:pStyle w:val="Label"/>
                              </w:pPr>
                              <w:r>
                                <w:rPr>
                                  <w:rFonts w:ascii="Times New Roman" w:hAnsi="Times New Roman"/>
                                  <w:sz w:val="22"/>
                                  <w:szCs w:val="22"/>
                                  <w:rtl w:val="0"/>
                                  <w:lang w:val="de-DE"/>
                                </w:rPr>
                                <w:t>Figure</w:t>
                              </w:r>
                              <w:r>
                                <w:rPr>
                                  <w:rFonts w:ascii="Times New Roman" w:hAnsi="Times New Roman"/>
                                  <w:sz w:val="22"/>
                                  <w:szCs w:val="22"/>
                                  <w:rtl w:val="0"/>
                                  <w:lang w:val="en-US"/>
                                </w:rPr>
                                <w:t xml:space="preserve"> 1:  Ottoman Empire, 1550-1560</w:t>
                              </w:r>
                            </w:p>
                          </w:txbxContent>
                        </wps:txbx>
                        <wps:bodyPr wrap="square" lIns="101600" tIns="101600" rIns="101600" bIns="101600" numCol="1" anchor="ctr">
                          <a:noAutofit/>
                        </wps:bodyPr>
                      </wps:wsp>
                    </wpg:wgp>
                  </a:graphicData>
                </a:graphic>
              </wp:anchor>
            </w:drawing>
          </mc:Choice>
          <mc:Fallback>
            <w:pict>
              <v:group id="_x0000_s1026" style="visibility:visible;position:absolute;margin-left:41.9pt;margin-top:6.9pt;width:524.8pt;height:754.3pt;z-index:251659264;mso-position-horizontal:absolute;mso-position-horizontal-relative:page;mso-position-vertical:absolute;mso-position-vertical-relative:page;mso-wrap-distance-left:12.0pt;mso-wrap-distance-top:12.0pt;mso-wrap-distance-right:12.0pt;mso-wrap-distance-bottom:12.0pt;" coordorigin="188895,-83020" coordsize="6664662,9579342">
                <w10:wrap type="topAndBottom" side="bothSides" anchorx="page" anchory="page"/>
                <v:shape id="_x0000_s1027" type="#_x0000_t75" style="position:absolute;left:188895;top:-83020;width:6664662;height:9579342;">
                  <v:imagedata r:id="rId4" o:title="pasted-image.tiff" cropleft="0.0%"/>
                </v:shape>
                <v:rect id="_x0000_s1028" style="position:absolute;left:3476038;top:8995111;width:3377431;height:356067;">
                  <v:fill color="#000000" opacity="63.0%"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Fonts w:ascii="Times New Roman" w:hAnsi="Times New Roman"/>
                            <w:sz w:val="22"/>
                            <w:szCs w:val="22"/>
                            <w:rtl w:val="0"/>
                            <w:lang w:val="de-DE"/>
                          </w:rPr>
                          <w:t>Figure</w:t>
                        </w:r>
                        <w:r>
                          <w:rPr>
                            <w:rFonts w:ascii="Times New Roman" w:hAnsi="Times New Roman"/>
                            <w:sz w:val="22"/>
                            <w:szCs w:val="22"/>
                            <w:rtl w:val="0"/>
                            <w:lang w:val="en-US"/>
                          </w:rPr>
                          <w:t xml:space="preserve"> 1:  Ottoman Empire, 1550-1560</w:t>
                        </w:r>
                      </w:p>
                    </w:txbxContent>
                  </v:textbox>
                </v:rect>
              </v:group>
            </w:pict>
          </mc:Fallback>
        </mc:AlternateContent>
      </w:r>
    </w:p>
    <w:p>
      <w:pPr>
        <w:pStyle w:val="Body"/>
        <w:jc w:val="both"/>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 Ottoman Empire spanned from 1300 to 1923, each century bringing new challenges but also a new dynamic to the cultural identity of the Ottomans. Their origins as nomadic tribes from the middle east was soon dominated by new religious and regional factors as the Ottomans moved westward. The predominant influences were the adoption of Sunni Islam and the conquest of Constantinople in 1453, a foothold in the expansion into Eastern Europe. However, it is perhaps more the change from nomadic tribe to an established and centralised government that triggered the desire to define a collective Ottoman identity in order to solidify political power and aid the indoctrination of conquered land. An interesting artefact that provides insight into Ottoman identity is a miniature cut from a manuscript within the British Museum (</w:t>
      </w:r>
      <w:r>
        <w:rPr>
          <w:rFonts w:ascii="Times New Roman" w:hAnsi="Times New Roman"/>
          <w:sz w:val="24"/>
          <w:szCs w:val="24"/>
          <w:rtl w:val="0"/>
          <w:lang w:val="de-DE"/>
        </w:rPr>
        <w:t>Figure</w:t>
      </w:r>
      <w:r>
        <w:rPr>
          <w:rFonts w:ascii="Times New Roman" w:hAnsi="Times New Roman"/>
          <w:sz w:val="24"/>
          <w:szCs w:val="24"/>
          <w:rtl w:val="0"/>
          <w:lang w:val="en-US"/>
        </w:rPr>
        <w:t xml:space="preserve"> 1) depicting an Arabic legend that was widely popular within Islamic societies despite its secular origin.</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 aforementioned miniature was painted between 1550-1560 in Turkey and is a part of a collection not on display at the British Museum that was acquired during the 1960s through a private collector, therefore it has been cut from its original page, losing any further information the full manuscript could provide. Nonetheless, the nature of the image and its execution provide valuable insight into the Ottoman Empire during the mid-1500s, when this was painted, as the curator</w:t>
      </w:r>
      <w:r>
        <w:rPr>
          <w:rFonts w:ascii="Times New Roman" w:hAnsi="Times New Roman" w:hint="default"/>
          <w:sz w:val="24"/>
          <w:szCs w:val="24"/>
          <w:rtl w:val="0"/>
          <w:lang w:val="en-US"/>
        </w:rPr>
        <w:t>’</w:t>
      </w:r>
      <w:r>
        <w:rPr>
          <w:rFonts w:ascii="Times New Roman" w:hAnsi="Times New Roman"/>
          <w:sz w:val="24"/>
          <w:szCs w:val="24"/>
          <w:rtl w:val="0"/>
          <w:lang w:val="en-US"/>
        </w:rPr>
        <w:t xml:space="preserve">s notes state, the image displays the stylistic rendering similar to illustrations from Shiraz, a Persian city, however the tree distinguishes it as Ottoman (British Museum, 2017).  Using mediums of opaque watercolours and ink, the miniature is dominated by prominent blues and reds on a soft green background, using typically strong colours, </w:t>
      </w:r>
      <w:r>
        <w:rPr>
          <w:rFonts w:ascii="Times New Roman" w:hAnsi="Times New Roman"/>
          <w:sz w:val="24"/>
          <w:szCs w:val="24"/>
          <w:rtl w:val="0"/>
          <w:lang w:val="en-US"/>
        </w:rPr>
        <w:t>as well as contrasting complex patterns and bl</w:t>
      </w:r>
      <w:r>
        <w:rPr>
          <w:rFonts w:ascii="Times New Roman" w:hAnsi="Times New Roman"/>
          <w:sz w:val="24"/>
          <w:szCs w:val="24"/>
          <w:rtl w:val="0"/>
          <w:lang w:val="en-US"/>
        </w:rPr>
        <w:t xml:space="preserve">ocks of solid colour that feature in Ottoman art and calligraphy (Levey, 1975). Gold leaf is also used to illuminate the miniature, used in both the sky and the individual </w:t>
      </w:r>
      <w:r>
        <w:rPr>
          <w:rFonts w:ascii="Times New Roman" w:hAnsi="Times New Roman"/>
          <w:sz w:val="24"/>
          <w:szCs w:val="24"/>
          <w:rtl w:val="0"/>
          <w:lang w:val="de-DE"/>
        </w:rPr>
        <w:t>Figure</w:t>
      </w:r>
      <w:r>
        <w:rPr>
          <w:rFonts w:ascii="Times New Roman" w:hAnsi="Times New Roman"/>
          <w:sz w:val="24"/>
          <w:szCs w:val="24"/>
          <w:rtl w:val="0"/>
          <w:lang w:val="en-US"/>
        </w:rPr>
        <w:t xml:space="preserve">s, playing on the Persian motif of light (Seyed-Gohrab, 2009) whilst also demonstrating both the wealth and grandeur of whoever commissioned this piece, most likely a member of the Imperial Ottoman court.  The Persian motif of light would have complimented the Shamanistic ancestral religion of the Ottomans, who had worshipped the god of the sky. Although Islam was the official religion of the Ottomans, a reverence for the sky and light remains an important factor in their architecture and art. As part of a larger manuscript, the miniature depicts a single scene from the story, a battle between two tribes, believed to belong to the literary </w:t>
      </w:r>
      <w:r>
        <w:rPr>
          <w:rFonts w:ascii="Times New Roman" w:hAnsi="Times New Roman"/>
          <w:sz w:val="24"/>
          <w:szCs w:val="24"/>
          <w:rtl w:val="0"/>
          <w:lang w:val="de-DE"/>
        </w:rPr>
        <w:t>Figure</w:t>
      </w:r>
      <w:r>
        <w:rPr>
          <w:rFonts w:ascii="Times New Roman" w:hAnsi="Times New Roman"/>
          <w:sz w:val="24"/>
          <w:szCs w:val="24"/>
          <w:rtl w:val="0"/>
          <w:lang w:val="en-US"/>
        </w:rPr>
        <w:t xml:space="preserve">s Naufal and Laila (British Museum, 2017) from the old Arabic folk tale, the love story of Qays and Laila, otherwise known as the </w:t>
      </w:r>
      <w:r>
        <w:rPr>
          <w:rFonts w:ascii="Times New Roman" w:hAnsi="Times New Roman" w:hint="default"/>
          <w:sz w:val="24"/>
          <w:szCs w:val="24"/>
          <w:rtl w:val="0"/>
          <w:lang w:val="en-US"/>
        </w:rPr>
        <w:t>‘</w:t>
      </w:r>
      <w:r>
        <w:rPr>
          <w:rFonts w:ascii="Times New Roman" w:hAnsi="Times New Roman"/>
          <w:sz w:val="24"/>
          <w:szCs w:val="24"/>
          <w:rtl w:val="0"/>
          <w:lang w:val="en-US"/>
        </w:rPr>
        <w:t>Laila and Majnun</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The painting is on a page measuring 16 </w:t>
      </w:r>
      <w:r>
        <w:rPr>
          <w:rFonts w:ascii="Times New Roman" w:hAnsi="Times New Roman"/>
          <w:sz w:val="24"/>
          <w:szCs w:val="24"/>
          <w:rtl w:val="0"/>
          <w:lang w:val="en-US"/>
        </w:rPr>
        <w:t xml:space="preserve">centimetres </w:t>
      </w:r>
      <w:r>
        <w:rPr>
          <w:rFonts w:ascii="Times New Roman" w:hAnsi="Times New Roman"/>
          <w:sz w:val="24"/>
          <w:szCs w:val="24"/>
          <w:rtl w:val="0"/>
          <w:lang w:val="en-US"/>
        </w:rPr>
        <w:t>by 28.5 centimetres, however the image itself is only 10.5</w:t>
      </w:r>
      <w:r>
        <w:rPr>
          <w:rFonts w:ascii="Times New Roman" w:hAnsi="Times New Roman"/>
          <w:sz w:val="24"/>
          <w:szCs w:val="24"/>
          <w:rtl w:val="0"/>
          <w:lang w:val="en-US"/>
        </w:rPr>
        <w:t xml:space="preserve"> centimetres</w:t>
      </w:r>
      <w:r>
        <w:rPr>
          <w:rFonts w:ascii="Times New Roman" w:hAnsi="Times New Roman"/>
          <w:sz w:val="24"/>
          <w:szCs w:val="24"/>
          <w:rtl w:val="0"/>
          <w:lang w:val="de-DE"/>
        </w:rPr>
        <w:t xml:space="preserve"> by 21 centimetres (British Museum 2017)</w:t>
      </w:r>
      <w:r>
        <w:rPr>
          <w:rFonts w:ascii="Times New Roman" w:hAnsi="Times New Roman"/>
          <w:sz w:val="24"/>
          <w:szCs w:val="24"/>
          <w:rtl w:val="0"/>
          <w:lang w:val="en-US"/>
        </w:rPr>
        <w:t>, nonetheless it is highly detailed and features many items of interest, including an accompanying line of text at the top, which was most likely to be Persian, however it is not specified. A semi naked and emaciated Qays can be seen on the right hand side throwing rocks at what is presumed to be Laila</w:t>
      </w:r>
      <w:r>
        <w:rPr>
          <w:rFonts w:ascii="Times New Roman" w:hAnsi="Times New Roman" w:hint="default"/>
          <w:sz w:val="24"/>
          <w:szCs w:val="24"/>
          <w:rtl w:val="0"/>
          <w:lang w:val="en-US"/>
        </w:rPr>
        <w:t>’</w:t>
      </w:r>
      <w:r>
        <w:rPr>
          <w:rFonts w:ascii="Times New Roman" w:hAnsi="Times New Roman"/>
          <w:sz w:val="24"/>
          <w:szCs w:val="24"/>
          <w:rtl w:val="0"/>
          <w:lang w:val="en-US"/>
        </w:rPr>
        <w:t xml:space="preserve">s tribesmen whilst below in the centre one man kills another, although it is impossible to tell which respective tribe they each belong to. Another man is decapitated on horseback whilst a second is impaled on an arrow, adhering to the Ottomans love of active imagery, such as hunting and warfare (Levey, 1975). The stylistic rendering of the horses and the people is more sympathetic with the Mongolian and Chinese style, which favours a more calligraphic approach that remains semi-realistic, for example each face within the miniature has its own expression. Finally, the attention to detail to the movement of fabric in the lower legs of the three riders in the foreground appears to be a highly detailed attempt at realism within such a small scale and would probably have been executed by a court painter whom was potentially Persian in origin. The miniature presents so many different styles within a single image that it provides valuable insight into the composition of the Ottoman artistic circles whilst the subject of the painting opens the concept of cultural identity to discussion.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 The depiction of the battle itself alludes to a particular account of the folk tale told by the Nezami of Ganja from 1188, due to the presence of the character Naufal and the battle between him and Laila</w:t>
      </w:r>
      <w:r>
        <w:rPr>
          <w:rFonts w:ascii="Times New Roman" w:hAnsi="Times New Roman" w:hint="default"/>
          <w:sz w:val="24"/>
          <w:szCs w:val="24"/>
          <w:rtl w:val="0"/>
          <w:lang w:val="en-US"/>
        </w:rPr>
        <w:t>’</w:t>
      </w:r>
      <w:r>
        <w:rPr>
          <w:rFonts w:ascii="Times New Roman" w:hAnsi="Times New Roman"/>
          <w:sz w:val="24"/>
          <w:szCs w:val="24"/>
          <w:rtl w:val="0"/>
          <w:lang w:val="en-US"/>
        </w:rPr>
        <w:t>s tribe (</w:t>
      </w:r>
      <w:r>
        <w:rPr>
          <w:rFonts w:ascii="Times New Roman" w:hAnsi="Times New Roman"/>
          <w:sz w:val="24"/>
          <w:szCs w:val="24"/>
          <w:rtl w:val="0"/>
        </w:rPr>
        <w:t>Seyed-Gohrab</w:t>
      </w:r>
      <w:r>
        <w:rPr>
          <w:rFonts w:ascii="Times New Roman" w:hAnsi="Times New Roman"/>
          <w:sz w:val="24"/>
          <w:szCs w:val="24"/>
          <w:rtl w:val="0"/>
          <w:lang w:val="en-US"/>
        </w:rPr>
        <w:t xml:space="preserve">, 2009). The tale of the </w:t>
      </w:r>
      <w:r>
        <w:rPr>
          <w:rFonts w:ascii="Times New Roman" w:hAnsi="Times New Roman"/>
          <w:sz w:val="24"/>
          <w:szCs w:val="24"/>
          <w:rtl w:val="0"/>
        </w:rPr>
        <w:t>Majnun</w:t>
      </w:r>
      <w:r>
        <w:rPr>
          <w:rFonts w:ascii="Times New Roman" w:hAnsi="Times New Roman"/>
          <w:sz w:val="24"/>
          <w:szCs w:val="24"/>
          <w:rtl w:val="0"/>
          <w:lang w:val="en-US"/>
        </w:rPr>
        <w:t xml:space="preserve"> of Laila varies due to its origin as an anecdotal legend, however it follows the classic form of </w:t>
      </w:r>
      <w:r>
        <w:rPr>
          <w:rFonts w:ascii="Times New Roman" w:hAnsi="Times New Roman" w:hint="default"/>
          <w:sz w:val="24"/>
          <w:szCs w:val="24"/>
          <w:rtl w:val="0"/>
          <w:lang w:val="en-US"/>
        </w:rPr>
        <w:t>‘</w:t>
      </w:r>
      <w:r>
        <w:rPr>
          <w:rFonts w:ascii="Times New Roman" w:hAnsi="Times New Roman"/>
          <w:sz w:val="24"/>
          <w:szCs w:val="24"/>
          <w:rtl w:val="0"/>
          <w:lang w:val="en-US"/>
        </w:rPr>
        <w:t>Udri, a simple tale revolving around unrequited love between two semi-historical characters. The basic structure is that the lovers, usually cousins, fall for each other young, but the girl</w:t>
      </w:r>
      <w:r>
        <w:rPr>
          <w:rFonts w:ascii="Times New Roman" w:hAnsi="Times New Roman" w:hint="default"/>
          <w:sz w:val="24"/>
          <w:szCs w:val="24"/>
          <w:rtl w:val="0"/>
          <w:lang w:val="en-US"/>
        </w:rPr>
        <w:t>’</w:t>
      </w:r>
      <w:r>
        <w:rPr>
          <w:rFonts w:ascii="Times New Roman" w:hAnsi="Times New Roman"/>
          <w:sz w:val="24"/>
          <w:szCs w:val="24"/>
          <w:rtl w:val="0"/>
          <w:lang w:val="en-US"/>
        </w:rPr>
        <w:t xml:space="preserve">s father forbids the marriage, often swiftly marrying her off to another man leaving the lovers distraught, who then confess their love through poetry (Seyed- Gohrab, 2009). In the instance of Laila and </w:t>
      </w:r>
      <w:r>
        <w:rPr>
          <w:rFonts w:ascii="Times New Roman" w:hAnsi="Times New Roman"/>
          <w:sz w:val="24"/>
          <w:szCs w:val="24"/>
          <w:rtl w:val="0"/>
          <w:lang w:val="en-US"/>
        </w:rPr>
        <w:t>Qays</w:t>
      </w:r>
      <w:r>
        <w:rPr>
          <w:rFonts w:ascii="Times New Roman" w:hAnsi="Times New Roman"/>
          <w:sz w:val="24"/>
          <w:szCs w:val="24"/>
          <w:rtl w:val="0"/>
          <w:lang w:val="en-US"/>
        </w:rPr>
        <w:t xml:space="preserve">, upon the forbidding of their union, </w:t>
      </w:r>
      <w:r>
        <w:rPr>
          <w:rFonts w:ascii="Times New Roman" w:hAnsi="Times New Roman"/>
          <w:sz w:val="24"/>
          <w:szCs w:val="24"/>
          <w:rtl w:val="0"/>
          <w:lang w:val="en-US"/>
        </w:rPr>
        <w:t>Qays</w:t>
      </w:r>
      <w:r>
        <w:rPr>
          <w:rFonts w:ascii="Times New Roman" w:hAnsi="Times New Roman"/>
          <w:sz w:val="24"/>
          <w:szCs w:val="24"/>
          <w:rtl w:val="0"/>
          <w:lang w:val="en-US"/>
        </w:rPr>
        <w:t xml:space="preserve"> separates himself from society and becomes focused on his love for Laila, composing poetry and valuing the world in comparison to Laila, supposedly whilst wandering the desert naked and amongst the beasts. Laila herself acts upon her love of </w:t>
      </w:r>
      <w:r>
        <w:rPr>
          <w:rFonts w:ascii="Times New Roman" w:hAnsi="Times New Roman"/>
          <w:sz w:val="24"/>
          <w:szCs w:val="24"/>
          <w:rtl w:val="0"/>
          <w:lang w:val="en-US"/>
        </w:rPr>
        <w:t>Qays</w:t>
      </w:r>
      <w:r>
        <w:rPr>
          <w:rFonts w:ascii="Times New Roman" w:hAnsi="Times New Roman"/>
          <w:sz w:val="24"/>
          <w:szCs w:val="24"/>
          <w:rtl w:val="0"/>
          <w:lang w:val="en-US"/>
        </w:rPr>
        <w:t>, resisting her husband</w:t>
      </w:r>
      <w:r>
        <w:rPr>
          <w:rFonts w:ascii="Times New Roman" w:hAnsi="Times New Roman" w:hint="default"/>
          <w:sz w:val="24"/>
          <w:szCs w:val="24"/>
          <w:rtl w:val="0"/>
          <w:lang w:val="en-US"/>
        </w:rPr>
        <w:t>’</w:t>
      </w:r>
      <w:r>
        <w:rPr>
          <w:rFonts w:ascii="Times New Roman" w:hAnsi="Times New Roman"/>
          <w:sz w:val="24"/>
          <w:szCs w:val="24"/>
          <w:rtl w:val="0"/>
          <w:lang w:val="en-US"/>
        </w:rPr>
        <w:t>s advances and remaining virtuous until they escape  from their lives and meet in the desert where they proclaim their love for each other through the recital of poetry. Eventually Laila</w:t>
      </w:r>
      <w:r>
        <w:rPr>
          <w:rFonts w:ascii="Times New Roman" w:hAnsi="Times New Roman" w:hint="default"/>
          <w:sz w:val="24"/>
          <w:szCs w:val="24"/>
          <w:rtl w:val="0"/>
          <w:lang w:val="en-US"/>
        </w:rPr>
        <w:t>’</w:t>
      </w:r>
      <w:r>
        <w:rPr>
          <w:rFonts w:ascii="Times New Roman" w:hAnsi="Times New Roman"/>
          <w:sz w:val="24"/>
          <w:szCs w:val="24"/>
          <w:rtl w:val="0"/>
          <w:lang w:val="en-US"/>
        </w:rPr>
        <w:t xml:space="preserve">s husband dies, allowing them to legally marry, however </w:t>
      </w:r>
      <w:r>
        <w:rPr>
          <w:rFonts w:ascii="Times New Roman" w:hAnsi="Times New Roman"/>
          <w:sz w:val="24"/>
          <w:szCs w:val="24"/>
          <w:rtl w:val="0"/>
          <w:lang w:val="en-US"/>
        </w:rPr>
        <w:t>Qays</w:t>
      </w:r>
      <w:r>
        <w:rPr>
          <w:rFonts w:ascii="Times New Roman" w:hAnsi="Times New Roman"/>
          <w:sz w:val="24"/>
          <w:szCs w:val="24"/>
          <w:rtl w:val="0"/>
          <w:lang w:val="en-US"/>
        </w:rPr>
        <w:t xml:space="preserve"> is so overcome by his infatuation, hence the name </w:t>
      </w:r>
      <w:r>
        <w:rPr>
          <w:rFonts w:ascii="Times New Roman" w:hAnsi="Times New Roman" w:hint="default"/>
          <w:sz w:val="24"/>
          <w:szCs w:val="24"/>
          <w:rtl w:val="0"/>
          <w:lang w:val="en-US"/>
        </w:rPr>
        <w:t>‘</w:t>
      </w:r>
      <w:r>
        <w:rPr>
          <w:rFonts w:ascii="Times New Roman" w:hAnsi="Times New Roman"/>
          <w:sz w:val="24"/>
          <w:szCs w:val="24"/>
          <w:rtl w:val="0"/>
        </w:rPr>
        <w:t>Majnun</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or </w:t>
      </w:r>
      <w:r>
        <w:rPr>
          <w:rFonts w:ascii="Times New Roman" w:hAnsi="Times New Roman" w:hint="default"/>
          <w:sz w:val="24"/>
          <w:szCs w:val="24"/>
          <w:rtl w:val="0"/>
          <w:lang w:val="en-US"/>
        </w:rPr>
        <w:t>‘</w:t>
      </w:r>
      <w:r>
        <w:rPr>
          <w:rFonts w:ascii="Times New Roman" w:hAnsi="Times New Roman"/>
          <w:sz w:val="24"/>
          <w:szCs w:val="24"/>
          <w:rtl w:val="0"/>
          <w:lang w:val="en-US"/>
        </w:rPr>
        <w:t>possessed</w:t>
      </w:r>
      <w:r>
        <w:rPr>
          <w:rFonts w:ascii="Times New Roman" w:hAnsi="Times New Roman" w:hint="default"/>
          <w:sz w:val="24"/>
          <w:szCs w:val="24"/>
          <w:rtl w:val="0"/>
          <w:lang w:val="en-US"/>
        </w:rPr>
        <w:t>’</w:t>
      </w:r>
      <w:r>
        <w:rPr>
          <w:rFonts w:ascii="Times New Roman" w:hAnsi="Times New Roman"/>
          <w:sz w:val="24"/>
          <w:szCs w:val="24"/>
          <w:rtl w:val="0"/>
          <w:lang w:val="en-US"/>
        </w:rPr>
        <w:t>, that he runs into the desert leaving Laila so heartbroken she dies. Upon hearing the news he goes to her grave and promptly dies, being buried beside her, much like Romeo and Juliet. The Persian elements within this tale appear through the existence of the character Naufal, whom Nezami portrays as a classical Persian hero, who risks his life to unite the lovers, as well as the urbanisation of an otherwise bedouin legend (</w:t>
      </w:r>
      <w:r>
        <w:rPr>
          <w:rFonts w:ascii="Times New Roman" w:hAnsi="Times New Roman"/>
          <w:sz w:val="24"/>
          <w:szCs w:val="24"/>
          <w:rtl w:val="0"/>
        </w:rPr>
        <w:t>Seyed-Gohrab</w:t>
      </w:r>
      <w:r>
        <w:rPr>
          <w:rFonts w:ascii="Times New Roman" w:hAnsi="Times New Roman"/>
          <w:sz w:val="24"/>
          <w:szCs w:val="24"/>
          <w:rtl w:val="0"/>
          <w:lang w:val="en-US"/>
        </w:rPr>
        <w:t>, 2009). Furthermore, it is known that the majority of those within the artist circles at Ottoman court were of Persian origins, as many of the early painters were imported from conquered lands. Although some of which had had an existing Persian presence prior to Ottoman occupation, this can account for many of the other influences on Ottoman art such as Timurid and Chinese (Levey 1975). Although, as previously stated, there are many adaptations of the tale, Nezami</w:t>
      </w:r>
      <w:r>
        <w:rPr>
          <w:rFonts w:ascii="Times New Roman" w:hAnsi="Times New Roman" w:hint="default"/>
          <w:sz w:val="24"/>
          <w:szCs w:val="24"/>
          <w:rtl w:val="0"/>
          <w:lang w:val="en-US"/>
        </w:rPr>
        <w:t>’</w:t>
      </w:r>
      <w:r>
        <w:rPr>
          <w:rFonts w:ascii="Times New Roman" w:hAnsi="Times New Roman"/>
          <w:sz w:val="24"/>
          <w:szCs w:val="24"/>
          <w:rtl w:val="0"/>
          <w:lang w:val="en-US"/>
        </w:rPr>
        <w:t>s is the most widely accepted and popularised and was probably the one being communicated through the illustration due to the inclusion of a battle between the two tribes. Strong Islamic connotations are also presented through the graves of the lovers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becoming a site of pilgrimage, this may be due to the fact that the poem was commissioned by the Islamic ruler of Azerbaijan (Seyed-Gohrab, 2009). Nonetheless, the story is originally secular and holds no religious precedent. This can provide insight into the Ottomans</w:t>
      </w:r>
      <w:r>
        <w:rPr>
          <w:rFonts w:ascii="Times New Roman" w:hAnsi="Times New Roman" w:hint="default"/>
          <w:sz w:val="24"/>
          <w:szCs w:val="24"/>
          <w:rtl w:val="0"/>
          <w:lang w:val="en-US"/>
        </w:rPr>
        <w:t xml:space="preserve">’ </w:t>
      </w:r>
      <w:r>
        <w:rPr>
          <w:rFonts w:ascii="Times New Roman" w:hAnsi="Times New Roman"/>
          <w:sz w:val="24"/>
          <w:szCs w:val="24"/>
          <w:rtl w:val="0"/>
          <w:lang w:val="en-US"/>
        </w:rPr>
        <w:t>sense of identity in that they encouraged arts that linked them to other Islamic states, whilst there is still a Persian bias within the court, it ultimately portrays an Arabic tale.</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manuscript was created within the reign of Suleyman I (1520 - 1566) who brought the Ottoman into a </w:t>
      </w:r>
      <w:r>
        <w:rPr>
          <w:rFonts w:ascii="Times New Roman" w:hAnsi="Times New Roman" w:hint="default"/>
          <w:sz w:val="24"/>
          <w:szCs w:val="24"/>
          <w:rtl w:val="0"/>
          <w:lang w:val="en-US"/>
        </w:rPr>
        <w:t>‘</w:t>
      </w:r>
      <w:r>
        <w:rPr>
          <w:rFonts w:ascii="Times New Roman" w:hAnsi="Times New Roman"/>
          <w:sz w:val="24"/>
          <w:szCs w:val="24"/>
          <w:rtl w:val="0"/>
          <w:lang w:val="en-US"/>
        </w:rPr>
        <w:t>golden age</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was known for demonstrating his magnificence in his later years through impersonal acts such as patronising the arts (Finkel, 2005). Although </w:t>
      </w:r>
      <w:r>
        <w:rPr>
          <w:rFonts w:ascii="Times New Roman" w:hAnsi="Times New Roman"/>
          <w:sz w:val="24"/>
          <w:szCs w:val="24"/>
          <w:rtl w:val="0"/>
          <w:lang w:val="de-DE"/>
        </w:rPr>
        <w:t>Figure</w:t>
      </w:r>
      <w:r>
        <w:rPr>
          <w:rFonts w:ascii="Times New Roman" w:hAnsi="Times New Roman"/>
          <w:sz w:val="24"/>
          <w:szCs w:val="24"/>
          <w:rtl w:val="0"/>
          <w:lang w:val="en-US"/>
        </w:rPr>
        <w:t xml:space="preserve"> 1 is based in fiction, the majority of manuscripts were more political and focussed upon the documentation of the Sultan</w:t>
      </w:r>
      <w:r>
        <w:rPr>
          <w:rFonts w:ascii="Times New Roman" w:hAnsi="Times New Roman" w:hint="default"/>
          <w:sz w:val="24"/>
          <w:szCs w:val="24"/>
          <w:rtl w:val="0"/>
          <w:lang w:val="en-US"/>
        </w:rPr>
        <w:t>’</w:t>
      </w:r>
      <w:r>
        <w:rPr>
          <w:rFonts w:ascii="Times New Roman" w:hAnsi="Times New Roman"/>
          <w:sz w:val="24"/>
          <w:szCs w:val="24"/>
          <w:rtl w:val="0"/>
          <w:lang w:val="en-US"/>
        </w:rPr>
        <w:t>s exploits (Levey 1975), however they were presented in a more glorified manner. The establishment of a permanent court meant more luxury items could be commissioned and published in relation to the imperial palace, including manuscripts with a focus on military campaigns and conquests. These manuscripts would only be relevant to those who could read and were therefore presented to ruling and powerful families who served the Sultan. These manuscripts would often be used as propaganda for the support of the sultan as the families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loyalties were never garunteed (Finkel, 2005). This particular miniature, however, communicates no political support for the Sultan and his court, therefore it may have been intended for someone within the court itself or even for another imperial </w:t>
      </w:r>
      <w:r>
        <w:rPr>
          <w:rFonts w:ascii="Times New Roman" w:hAnsi="Times New Roman"/>
          <w:sz w:val="24"/>
          <w:szCs w:val="24"/>
          <w:rtl w:val="0"/>
          <w:lang w:val="de-DE"/>
        </w:rPr>
        <w:t>Figure</w:t>
      </w:r>
      <w:r>
        <w:rPr>
          <w:rFonts w:ascii="Times New Roman" w:hAnsi="Times New Roman"/>
          <w:sz w:val="24"/>
          <w:szCs w:val="24"/>
          <w:rtl w:val="0"/>
          <w:lang w:val="en-US"/>
        </w:rPr>
        <w:t xml:space="preserve">. In 1555 the Treaty of Amasya was signed between the Ottomans and the Safavids, an Islamic Empire that emerged from the Persians, ending the series of campaigns to gain control of the Caucasus (Finkel, 2005). The manuscript may have been created as a gift of good will from one Empire to the other, focussing on the shared Islamic faiths, this would explain the nature of the text as change from political propaganda. The story of Qays and Laila was widely popular and therefore its manuscript may have been meant as a gift as well as an expression of Ottoman culture. The Ottoman miniatures are an interesting reflection of the different cultures that contributed to the formation of an </w:t>
      </w:r>
      <w:r>
        <w:rPr>
          <w:rFonts w:ascii="Times New Roman" w:hAnsi="Times New Roman" w:hint="default"/>
          <w:sz w:val="24"/>
          <w:szCs w:val="24"/>
          <w:rtl w:val="0"/>
          <w:lang w:val="en-US"/>
        </w:rPr>
        <w:t>‘</w:t>
      </w:r>
      <w:r>
        <w:rPr>
          <w:rFonts w:ascii="Times New Roman" w:hAnsi="Times New Roman"/>
          <w:sz w:val="24"/>
          <w:szCs w:val="24"/>
          <w:rtl w:val="0"/>
          <w:lang w:val="en-US"/>
        </w:rPr>
        <w:t>Ottoman Identity</w:t>
      </w:r>
      <w:r>
        <w:rPr>
          <w:rFonts w:ascii="Times New Roman" w:hAnsi="Times New Roman" w:hint="default"/>
          <w:sz w:val="24"/>
          <w:szCs w:val="24"/>
          <w:rtl w:val="0"/>
          <w:lang w:val="en-US"/>
        </w:rPr>
        <w:t>’</w:t>
      </w:r>
      <w:r>
        <w:rPr>
          <w:rFonts w:ascii="Times New Roman" w:hAnsi="Times New Roman"/>
          <w:sz w:val="24"/>
          <w:szCs w:val="24"/>
          <w:rtl w:val="0"/>
          <w:lang w:val="en-US"/>
        </w:rPr>
        <w:t>. Firstly, the strong Islamic and Arabic influences can be noted due to the nature of the story told, which was originally an arabic akhbar, told in anecdotal form and then eventually written down (</w:t>
      </w:r>
      <w:r>
        <w:rPr>
          <w:rFonts w:ascii="Times New Roman" w:hAnsi="Times New Roman"/>
          <w:sz w:val="24"/>
          <w:szCs w:val="24"/>
          <w:rtl w:val="0"/>
        </w:rPr>
        <w:t>Seyed-Gohrab</w:t>
      </w:r>
      <w:r>
        <w:rPr>
          <w:rFonts w:ascii="Times New Roman" w:hAnsi="Times New Roman"/>
          <w:sz w:val="24"/>
          <w:szCs w:val="24"/>
          <w:rtl w:val="0"/>
          <w:lang w:val="en-US"/>
        </w:rPr>
        <w:t>, 2009). The characters within the miniature, in particular the use of both horses and camels in battle, reminds the viewer of the Ottomans</w:t>
      </w:r>
      <w:r>
        <w:rPr>
          <w:rFonts w:ascii="Times New Roman" w:hAnsi="Times New Roman" w:hint="default"/>
          <w:sz w:val="24"/>
          <w:szCs w:val="24"/>
          <w:rtl w:val="0"/>
          <w:lang w:val="en-US"/>
        </w:rPr>
        <w:t xml:space="preserve">’ </w:t>
      </w:r>
      <w:r>
        <w:rPr>
          <w:rFonts w:ascii="Times New Roman" w:hAnsi="Times New Roman"/>
          <w:sz w:val="24"/>
          <w:szCs w:val="24"/>
          <w:rtl w:val="0"/>
          <w:lang w:val="en-US"/>
        </w:rPr>
        <w:t>roots within the Middle East and their progression westward; the camels were a predominantly eastern mount, whilst the horses, and in particular the presence of caparisons (the cloth armour worn by horses), is reminiscent of medieval Europe</w:t>
      </w:r>
      <w:r>
        <w:rPr>
          <w:rFonts w:ascii="Times New Roman" w:hAnsi="Times New Roman" w:hint="default"/>
          <w:sz w:val="24"/>
          <w:szCs w:val="24"/>
          <w:rtl w:val="0"/>
          <w:lang w:val="en-US"/>
        </w:rPr>
        <w:t>’</w:t>
      </w:r>
      <w:r>
        <w:rPr>
          <w:rFonts w:ascii="Times New Roman" w:hAnsi="Times New Roman"/>
          <w:sz w:val="24"/>
          <w:szCs w:val="24"/>
          <w:rtl w:val="0"/>
          <w:lang w:val="en-US"/>
        </w:rPr>
        <w:t>s presence in the East, in particular during the Crusades. However, perhaps an interesting feature is the speculated alignment of the Ottomans with Laila</w:t>
      </w:r>
      <w:r>
        <w:rPr>
          <w:rFonts w:ascii="Times New Roman" w:hAnsi="Times New Roman" w:hint="default"/>
          <w:sz w:val="24"/>
          <w:szCs w:val="24"/>
          <w:rtl w:val="0"/>
          <w:lang w:val="en-US"/>
        </w:rPr>
        <w:t>’</w:t>
      </w:r>
      <w:r>
        <w:rPr>
          <w:rFonts w:ascii="Times New Roman" w:hAnsi="Times New Roman"/>
          <w:sz w:val="24"/>
          <w:szCs w:val="24"/>
          <w:rtl w:val="0"/>
          <w:lang w:val="en-US"/>
        </w:rPr>
        <w:t>s tribe, or at least sympathetic portrayal. The caparisons of the horses within Laila</w:t>
      </w:r>
      <w:r>
        <w:rPr>
          <w:rFonts w:ascii="Times New Roman" w:hAnsi="Times New Roman" w:hint="default"/>
          <w:sz w:val="24"/>
          <w:szCs w:val="24"/>
          <w:rtl w:val="0"/>
          <w:lang w:val="en-US"/>
        </w:rPr>
        <w:t>’</w:t>
      </w:r>
      <w:r>
        <w:rPr>
          <w:rFonts w:ascii="Times New Roman" w:hAnsi="Times New Roman"/>
          <w:sz w:val="24"/>
          <w:szCs w:val="24"/>
          <w:rtl w:val="0"/>
          <w:lang w:val="en-US"/>
        </w:rPr>
        <w:t>s tribe are more highly detailed with floral patterns similar to those adopted by and circulated in relation to the imperial palace of the Ottoman empire. Furthermore, Laila</w:t>
      </w:r>
      <w:r>
        <w:rPr>
          <w:rFonts w:ascii="Times New Roman" w:hAnsi="Times New Roman" w:hint="default"/>
          <w:sz w:val="24"/>
          <w:szCs w:val="24"/>
          <w:rtl w:val="0"/>
          <w:lang w:val="en-US"/>
        </w:rPr>
        <w:t>’</w:t>
      </w:r>
      <w:r>
        <w:rPr>
          <w:rFonts w:ascii="Times New Roman" w:hAnsi="Times New Roman"/>
          <w:sz w:val="24"/>
          <w:szCs w:val="24"/>
          <w:rtl w:val="0"/>
          <w:lang w:val="en-US"/>
        </w:rPr>
        <w:t>s tribe is portrayed as having more success upon the battle field, with one of the archers successfully shooting a rival, and the characters taking precedent over those of the other tribe when the two share</w:t>
      </w:r>
      <w:r>
        <w:rPr>
          <w:rFonts w:ascii="Times New Roman" w:cs="Times New Roman" w:hAnsi="Times New Roman" w:eastAsia="Times New Roman"/>
          <w:sz w:val="24"/>
          <w:szCs w:val="24"/>
        </w:rPr>
        <mc:AlternateContent>
          <mc:Choice Requires="wpg">
            <w:drawing>
              <wp:anchor distT="152400" distB="152400" distL="152400" distR="152400" simplePos="0" relativeHeight="251661312" behindDoc="0" locked="0" layoutInCell="1" allowOverlap="1">
                <wp:simplePos x="0" y="0"/>
                <wp:positionH relativeFrom="margin">
                  <wp:posOffset>2731611</wp:posOffset>
                </wp:positionH>
                <wp:positionV relativeFrom="line">
                  <wp:posOffset>350779</wp:posOffset>
                </wp:positionV>
                <wp:extent cx="3678549" cy="5578644"/>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microsoft.com/office/word/2010/wordprocessingGroup">
                    <wpg:wgp>
                      <wpg:cNvGrpSpPr/>
                      <wpg:grpSpPr>
                        <a:xfrm>
                          <a:off x="0" y="0"/>
                          <a:ext cx="3678549" cy="5578644"/>
                          <a:chOff x="0" y="0"/>
                          <a:chExt cx="3678548" cy="5578643"/>
                        </a:xfrm>
                      </wpg:grpSpPr>
                      <pic:pic xmlns:pic="http://schemas.openxmlformats.org/drawingml/2006/picture">
                        <pic:nvPicPr>
                          <pic:cNvPr id="1073741828" name="pasted-image.tiff"/>
                          <pic:cNvPicPr>
                            <a:picLocks noChangeAspect="1"/>
                          </pic:cNvPicPr>
                        </pic:nvPicPr>
                        <pic:blipFill>
                          <a:blip r:embed="rId5">
                            <a:extLst/>
                          </a:blip>
                          <a:stretch>
                            <a:fillRect/>
                          </a:stretch>
                        </pic:blipFill>
                        <pic:spPr>
                          <a:xfrm>
                            <a:off x="0" y="0"/>
                            <a:ext cx="3650090" cy="5578644"/>
                          </a:xfrm>
                          <a:prstGeom prst="rect">
                            <a:avLst/>
                          </a:prstGeom>
                          <a:ln w="12700" cap="flat">
                            <a:noFill/>
                            <a:miter lim="400000"/>
                          </a:ln>
                          <a:effectLst/>
                        </pic:spPr>
                      </pic:pic>
                      <wps:wsp>
                        <wps:cNvPr id="1073741829" name="Shape 1073741829"/>
                        <wps:cNvSpPr/>
                        <wps:spPr>
                          <a:xfrm>
                            <a:off x="1299356" y="5190138"/>
                            <a:ext cx="2379193" cy="345311"/>
                          </a:xfrm>
                          <a:prstGeom prst="rect">
                            <a:avLst/>
                          </a:prstGeom>
                          <a:solidFill>
                            <a:srgbClr val="000000">
                              <a:alpha val="50191"/>
                            </a:srgbClr>
                          </a:solidFill>
                          <a:ln w="12700" cap="flat">
                            <a:noFill/>
                            <a:miter lim="400000"/>
                          </a:ln>
                          <a:effectLst/>
                        </wps:spPr>
                        <wps:txbx>
                          <w:txbxContent>
                            <w:p>
                              <w:pPr>
                                <w:pStyle w:val="Label"/>
                              </w:pPr>
                              <w:r>
                                <w:rPr>
                                  <w:rFonts w:ascii="Times New Roman" w:hAnsi="Times New Roman"/>
                                  <w:sz w:val="22"/>
                                  <w:szCs w:val="22"/>
                                  <w:rtl w:val="0"/>
                                  <w:lang w:val="de-DE"/>
                                </w:rPr>
                                <w:t>Figure</w:t>
                              </w:r>
                              <w:r>
                                <w:rPr>
                                  <w:rFonts w:ascii="Times New Roman" w:hAnsi="Times New Roman"/>
                                  <w:sz w:val="22"/>
                                  <w:szCs w:val="22"/>
                                  <w:rtl w:val="0"/>
                                  <w:lang w:val="en-US"/>
                                </w:rPr>
                                <w:t xml:space="preserve"> 2: Pasha</w:t>
                              </w:r>
                              <w:r>
                                <w:rPr>
                                  <w:rFonts w:ascii="Times New Roman" w:hAnsi="Times New Roman" w:hint="default"/>
                                  <w:sz w:val="22"/>
                                  <w:szCs w:val="22"/>
                                  <w:rtl w:val="0"/>
                                  <w:lang w:val="en-US"/>
                                </w:rPr>
                                <w:t>’</w:t>
                              </w:r>
                              <w:r>
                                <w:rPr>
                                  <w:rFonts w:ascii="Times New Roman" w:hAnsi="Times New Roman"/>
                                  <w:sz w:val="22"/>
                                  <w:szCs w:val="22"/>
                                  <w:rtl w:val="0"/>
                                  <w:lang w:val="en-US"/>
                                </w:rPr>
                                <w:t>s Manuscript, 1579</w:t>
                              </w:r>
                            </w:p>
                          </w:txbxContent>
                        </wps:txbx>
                        <wps:bodyPr wrap="square" lIns="101600" tIns="101600" rIns="101600" bIns="101600" numCol="1" anchor="ctr">
                          <a:noAutofit/>
                        </wps:bodyPr>
                      </wps:wsp>
                    </wpg:wgp>
                  </a:graphicData>
                </a:graphic>
              </wp:anchor>
            </w:drawing>
          </mc:Choice>
          <mc:Fallback>
            <w:pict>
              <v:group id="_x0000_s1029" style="visibility:visible;position:absolute;margin-left:215.1pt;margin-top:27.6pt;width:289.6pt;height:439.3pt;z-index:251661312;mso-position-horizontal:absolute;mso-position-horizontal-relative:margin;mso-position-vertical:absolute;mso-position-vertical-relative:line;mso-wrap-distance-left:12.0pt;mso-wrap-distance-top:12.0pt;mso-wrap-distance-right:12.0pt;mso-wrap-distance-bottom:12.0pt;" coordorigin="0,0" coordsize="3678549,5578644">
                <w10:wrap type="through" side="bothSides" anchorx="margin"/>
                <v:shape id="_x0000_s1030" type="#_x0000_t75" style="position:absolute;left:0;top:0;width:3650089;height:5578644;">
                  <v:imagedata r:id="rId5" o:title="pasted-image.tiff"/>
                </v:shape>
                <v:rect id="_x0000_s1031" style="position:absolute;left:1299356;top:5190139;width:2379193;height:345310;">
                  <v:fill color="#000000" opacity="50.2%"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Fonts w:ascii="Times New Roman" w:hAnsi="Times New Roman"/>
                            <w:sz w:val="22"/>
                            <w:szCs w:val="22"/>
                            <w:rtl w:val="0"/>
                            <w:lang w:val="de-DE"/>
                          </w:rPr>
                          <w:t>Figure</w:t>
                        </w:r>
                        <w:r>
                          <w:rPr>
                            <w:rFonts w:ascii="Times New Roman" w:hAnsi="Times New Roman"/>
                            <w:sz w:val="22"/>
                            <w:szCs w:val="22"/>
                            <w:rtl w:val="0"/>
                            <w:lang w:val="en-US"/>
                          </w:rPr>
                          <w:t xml:space="preserve"> 2: Pasha</w:t>
                        </w:r>
                        <w:r>
                          <w:rPr>
                            <w:rFonts w:ascii="Times New Roman" w:hAnsi="Times New Roman" w:hint="default"/>
                            <w:sz w:val="22"/>
                            <w:szCs w:val="22"/>
                            <w:rtl w:val="0"/>
                            <w:lang w:val="en-US"/>
                          </w:rPr>
                          <w:t>’</w:t>
                        </w:r>
                        <w:r>
                          <w:rPr>
                            <w:rFonts w:ascii="Times New Roman" w:hAnsi="Times New Roman"/>
                            <w:sz w:val="22"/>
                            <w:szCs w:val="22"/>
                            <w:rtl w:val="0"/>
                            <w:lang w:val="en-US"/>
                          </w:rPr>
                          <w:t>s Manuscript, 1579</w:t>
                        </w:r>
                      </w:p>
                    </w:txbxContent>
                  </v:textbox>
                </v:rect>
              </v:group>
            </w:pict>
          </mc:Fallback>
        </mc:AlternateContent>
      </w:r>
      <w:r>
        <w:rPr>
          <w:rFonts w:ascii="Times New Roman" w:hAnsi="Times New Roman"/>
          <w:sz w:val="24"/>
          <w:szCs w:val="24"/>
          <w:rtl w:val="0"/>
          <w:lang w:val="en-US"/>
        </w:rPr>
        <w:t xml:space="preserve"> space. It has been suggested that the Islamic connotations of the story do bear sympathy towards the authority of Laila</w:t>
      </w:r>
      <w:r>
        <w:rPr>
          <w:rFonts w:ascii="Times New Roman" w:hAnsi="Times New Roman" w:hint="default"/>
          <w:sz w:val="24"/>
          <w:szCs w:val="24"/>
          <w:rtl w:val="0"/>
          <w:lang w:val="en-US"/>
        </w:rPr>
        <w:t>’</w:t>
      </w:r>
      <w:r>
        <w:rPr>
          <w:rFonts w:ascii="Times New Roman" w:hAnsi="Times New Roman"/>
          <w:sz w:val="24"/>
          <w:szCs w:val="24"/>
          <w:rtl w:val="0"/>
          <w:lang w:val="en-US"/>
        </w:rPr>
        <w:t>s father as the patriarch of the household. This can also be expressed by the lovers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choice of sentiment over action, choosing supplication to god over dissenting her father (Seyed - Gohrab, 2009).</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An significant piece for comparison is a manuscript from 1579 (</w:t>
      </w:r>
      <w:r>
        <w:rPr>
          <w:rFonts w:ascii="Times New Roman" w:hAnsi="Times New Roman"/>
          <w:sz w:val="24"/>
          <w:szCs w:val="24"/>
          <w:rtl w:val="0"/>
          <w:lang w:val="de-DE"/>
        </w:rPr>
        <w:t>Figure</w:t>
      </w:r>
      <w:r>
        <w:rPr>
          <w:rFonts w:ascii="Times New Roman" w:hAnsi="Times New Roman"/>
          <w:sz w:val="24"/>
          <w:szCs w:val="24"/>
          <w:rtl w:val="0"/>
          <w:lang w:val="en-US"/>
        </w:rPr>
        <w:t xml:space="preserve"> 2), produced under Murad III, this manuscript also recounts the tale of the Laila and </w:t>
      </w:r>
      <w:r>
        <w:rPr>
          <w:rFonts w:ascii="Times New Roman" w:hAnsi="Times New Roman"/>
          <w:sz w:val="24"/>
          <w:szCs w:val="24"/>
          <w:rtl w:val="0"/>
        </w:rPr>
        <w:t>Majnun</w:t>
      </w:r>
      <w:r>
        <w:rPr>
          <w:rFonts w:ascii="Times New Roman" w:hAnsi="Times New Roman"/>
          <w:sz w:val="24"/>
          <w:szCs w:val="24"/>
          <w:rtl w:val="0"/>
          <w:lang w:val="en-US"/>
        </w:rPr>
        <w:t>, however unlike the piece in the British Museum, the full text is available with a series of other illustrations. This text is that it is based on a different poem from Nezami</w:t>
      </w:r>
      <w:r>
        <w:rPr>
          <w:rFonts w:ascii="Times New Roman" w:hAnsi="Times New Roman" w:hint="default"/>
          <w:sz w:val="24"/>
          <w:szCs w:val="24"/>
          <w:rtl w:val="0"/>
          <w:lang w:val="en-US"/>
        </w:rPr>
        <w:t>’</w:t>
      </w:r>
      <w:r>
        <w:rPr>
          <w:rFonts w:ascii="Times New Roman" w:hAnsi="Times New Roman"/>
          <w:sz w:val="24"/>
          <w:szCs w:val="24"/>
          <w:rtl w:val="0"/>
          <w:lang w:val="en-US"/>
        </w:rPr>
        <w:t xml:space="preserve">s, although it is argued that the poet, Hamdi, referenced the works of Hatifi in his poems, who in turn based his work on Nezami. Linguistically, however, this poem was originally written by Hamdi in Turkish in 1499, despite this manuscript still being written in </w:t>
      </w:r>
      <w:r>
        <w:rPr>
          <w:rFonts w:ascii="Times New Roman" w:hAnsi="Times New Roman"/>
          <w:sz w:val="24"/>
          <w:szCs w:val="24"/>
          <w:rtl w:val="0"/>
          <w:lang w:val="it-IT"/>
        </w:rPr>
        <w:t>nastaliq script</w:t>
      </w:r>
      <w:r>
        <w:rPr>
          <w:rFonts w:ascii="Times New Roman" w:hAnsi="Times New Roman"/>
          <w:sz w:val="24"/>
          <w:szCs w:val="24"/>
          <w:rtl w:val="0"/>
          <w:lang w:val="en-US"/>
        </w:rPr>
        <w:t xml:space="preserve">, a Perian style of calligraphy (Encylcopaedia Britanica, 2013). The development of the poem itself provides insight into the shift of an </w:t>
      </w:r>
      <w:r>
        <w:rPr>
          <w:rFonts w:ascii="Times New Roman" w:hAnsi="Times New Roman"/>
          <w:sz w:val="24"/>
          <w:szCs w:val="24"/>
          <w:rtl w:val="0"/>
        </w:rPr>
        <w:t>Ottoman</w:t>
      </w:r>
      <w:r>
        <w:rPr>
          <w:rFonts w:ascii="Times New Roman" w:hAnsi="Times New Roman"/>
          <w:sz w:val="24"/>
          <w:szCs w:val="24"/>
          <w:rtl w:val="0"/>
          <w:lang w:val="en-US"/>
        </w:rPr>
        <w:t xml:space="preserve"> identity away from previous Persian preferences, the changes in the narrative move away from the Persian motifs in </w:t>
      </w:r>
      <w:r>
        <w:rPr>
          <w:rFonts w:ascii="Times New Roman" w:hAnsi="Times New Roman"/>
          <w:sz w:val="24"/>
          <w:szCs w:val="24"/>
          <w:rtl w:val="0"/>
          <w:lang w:val="de-DE"/>
        </w:rPr>
        <w:t>Figure</w:t>
      </w:r>
      <w:r>
        <w:rPr>
          <w:rFonts w:ascii="Times New Roman" w:hAnsi="Times New Roman"/>
          <w:sz w:val="24"/>
          <w:szCs w:val="24"/>
          <w:rtl w:val="0"/>
          <w:lang w:val="en-US"/>
        </w:rPr>
        <w:t xml:space="preserve"> 1, removing the heroic image of Naufal and instead pitching a more direct battle between the tribes of Qays and Laila. Supposedly made for the Grand Vizier, </w:t>
      </w:r>
      <w:r>
        <w:rPr>
          <w:rFonts w:ascii="Times New Roman" w:hAnsi="Times New Roman"/>
          <w:sz w:val="24"/>
          <w:szCs w:val="24"/>
          <w:rtl w:val="0"/>
        </w:rPr>
        <w:t>Sokollu Mehmed Pasha</w:t>
      </w:r>
      <w:r>
        <w:rPr>
          <w:rFonts w:ascii="Times New Roman" w:hAnsi="Times New Roman"/>
          <w:sz w:val="24"/>
          <w:szCs w:val="24"/>
          <w:rtl w:val="0"/>
          <w:lang w:val="en-US"/>
        </w:rPr>
        <w:t xml:space="preserve">, the illustrations are set within an Ottoman context as opposed to the previously urbanised Persian version, despite the narrative still taking place within the Arab desert (Harvard Museum of Art).    A soft green background is still favoured for the majority of the miniatures and Qays is still presented at the battle, however in this depiction he takes more of an observatory role than previously. The colours within the miniatures are more subdued, with red and blue being prominent. The form of the characters is also more proportional than the previously stylised characters of </w:t>
      </w:r>
      <w:r>
        <w:rPr>
          <w:rFonts w:ascii="Times New Roman" w:hAnsi="Times New Roman"/>
          <w:sz w:val="24"/>
          <w:szCs w:val="24"/>
          <w:rtl w:val="0"/>
          <w:lang w:val="de-DE"/>
        </w:rPr>
        <w:t>Figure</w:t>
      </w:r>
      <w:r>
        <w:rPr>
          <w:rFonts w:ascii="Times New Roman" w:hAnsi="Times New Roman"/>
          <w:sz w:val="24"/>
          <w:szCs w:val="24"/>
          <w:rtl w:val="0"/>
          <w:lang w:val="en-US"/>
        </w:rPr>
        <w:t xml:space="preserve"> 1. Painted in ink and opaque watercolour on paper, this manuscript also features gold, however it is  subtly used, mainly highlighting metallic objects and embroidery. This use of gold is interesting for several reasons. Firstly its discontinuation of use from the sky marks a shift towards realism and away from Persian sentiment. Secondly, the lack of gold also distinguishes it as less grand than the previous manuscript, this could be for many reasons however it is known that Murad III was a keen patron of the arts who commissioned a series of manuscripts but also drove ottoman art towards contemporary realism (Finkel, 2005). Although the </w:t>
      </w:r>
      <w:r>
        <w:rPr>
          <w:rFonts w:ascii="Times New Roman" w:hAnsi="Times New Roman"/>
          <w:sz w:val="24"/>
          <w:szCs w:val="24"/>
          <w:rtl w:val="0"/>
          <w:lang w:val="de-DE"/>
        </w:rPr>
        <w:t>Figure</w:t>
      </w:r>
      <w:r>
        <w:rPr>
          <w:rFonts w:ascii="Times New Roman" w:hAnsi="Times New Roman"/>
          <w:sz w:val="24"/>
          <w:szCs w:val="24"/>
          <w:rtl w:val="0"/>
          <w:lang w:val="en-US"/>
        </w:rPr>
        <w:t xml:space="preserve">s are more simplified than the earlier miniatures, the faces still retain features similar to Mongolian art (as seen in </w:t>
      </w:r>
      <w:r>
        <w:rPr>
          <w:rFonts w:ascii="Times New Roman" w:hAnsi="Times New Roman"/>
          <w:sz w:val="24"/>
          <w:szCs w:val="24"/>
          <w:rtl w:val="0"/>
          <w:lang w:val="de-DE"/>
        </w:rPr>
        <w:t>Figure</w:t>
      </w:r>
      <w:r>
        <w:rPr>
          <w:rFonts w:ascii="Times New Roman" w:hAnsi="Times New Roman"/>
          <w:sz w:val="24"/>
          <w:szCs w:val="24"/>
          <w:rtl w:val="0"/>
          <w:lang w:val="en-US"/>
        </w:rPr>
        <w:t xml:space="preserve"> 3 for comparison). Therefore, the cultural influences within early Ottoman art were later adopted and inco</w:t>
      </w:r>
      <w:r>
        <mc:AlternateContent>
          <mc:Choice Requires="wpg">
            <w:drawing>
              <wp:anchor distT="152400" distB="152400" distL="152400" distR="152400" simplePos="0" relativeHeight="251660288" behindDoc="0" locked="0" layoutInCell="1" allowOverlap="1">
                <wp:simplePos x="0" y="0"/>
                <wp:positionH relativeFrom="page">
                  <wp:posOffset>3429173</wp:posOffset>
                </wp:positionH>
                <wp:positionV relativeFrom="page">
                  <wp:posOffset>826322</wp:posOffset>
                </wp:positionV>
                <wp:extent cx="3473089" cy="2127695"/>
                <wp:effectExtent l="0" t="0" r="0" b="0"/>
                <wp:wrapThrough wrapText="bothSides" distL="152400" distR="152400">
                  <wp:wrapPolygon edited="1">
                    <wp:start x="0" y="0"/>
                    <wp:lineTo x="38062" y="0"/>
                    <wp:lineTo x="38062" y="37072"/>
                    <wp:lineTo x="0" y="37072"/>
                    <wp:lineTo x="0" y="0"/>
                  </wp:wrapPolygon>
                </wp:wrapThrough>
                <wp:docPr id="1073741833" name="officeArt object"/>
                <wp:cNvGraphicFramePr/>
                <a:graphic xmlns:a="http://schemas.openxmlformats.org/drawingml/2006/main">
                  <a:graphicData uri="http://schemas.microsoft.com/office/word/2010/wordprocessingGroup">
                    <wpg:wgp>
                      <wpg:cNvGrpSpPr/>
                      <wpg:grpSpPr>
                        <a:xfrm>
                          <a:off x="0" y="0"/>
                          <a:ext cx="3473089" cy="2127695"/>
                          <a:chOff x="677462" y="762009"/>
                          <a:chExt cx="3473088" cy="2127694"/>
                        </a:xfrm>
                      </wpg:grpSpPr>
                      <pic:pic xmlns:pic="http://schemas.openxmlformats.org/drawingml/2006/picture">
                        <pic:nvPicPr>
                          <pic:cNvPr id="1073741831" name="pasted-image.tiff"/>
                          <pic:cNvPicPr>
                            <a:picLocks noChangeAspect="1"/>
                          </pic:cNvPicPr>
                        </pic:nvPicPr>
                        <pic:blipFill>
                          <a:blip r:embed="rId6">
                            <a:extLst/>
                          </a:blip>
                          <a:srcRect l="0" t="25404" r="43316" b="16330"/>
                          <a:stretch>
                            <a:fillRect/>
                          </a:stretch>
                        </pic:blipFill>
                        <pic:spPr>
                          <a:xfrm>
                            <a:off x="677462" y="762009"/>
                            <a:ext cx="3469042" cy="2127695"/>
                          </a:xfrm>
                          <a:prstGeom prst="rect">
                            <a:avLst/>
                          </a:prstGeom>
                          <a:ln w="12700" cap="flat">
                            <a:noFill/>
                            <a:miter lim="400000"/>
                          </a:ln>
                          <a:effectLst/>
                        </pic:spPr>
                      </pic:pic>
                      <wps:wsp>
                        <wps:cNvPr id="1073741832" name="Shape 1073741832"/>
                        <wps:cNvSpPr/>
                        <wps:spPr>
                          <a:xfrm>
                            <a:off x="677462" y="2473757"/>
                            <a:ext cx="3473090" cy="415900"/>
                          </a:xfrm>
                          <a:prstGeom prst="rect">
                            <a:avLst/>
                          </a:prstGeom>
                          <a:solidFill>
                            <a:srgbClr val="000000">
                              <a:alpha val="50290"/>
                            </a:srgbClr>
                          </a:solidFill>
                          <a:ln w="12700" cap="flat">
                            <a:noFill/>
                            <a:miter lim="400000"/>
                          </a:ln>
                          <a:effectLst/>
                        </wps:spPr>
                        <wps:txbx>
                          <w:txbxContent>
                            <w:p>
                              <w:pPr>
                                <w:pStyle w:val="Label"/>
                              </w:pPr>
                              <w:r>
                                <w:rPr>
                                  <w:rFonts w:ascii="Times New Roman" w:hAnsi="Times New Roman"/>
                                  <w:sz w:val="22"/>
                                  <w:szCs w:val="22"/>
                                  <w:rtl w:val="0"/>
                                  <w:lang w:val="de-DE"/>
                                </w:rPr>
                                <w:t>Figure</w:t>
                              </w:r>
                              <w:r>
                                <w:rPr>
                                  <w:rFonts w:ascii="Times New Roman" w:hAnsi="Times New Roman"/>
                                  <w:sz w:val="22"/>
                                  <w:szCs w:val="22"/>
                                  <w:rtl w:val="0"/>
                                  <w:lang w:val="en-US"/>
                                </w:rPr>
                                <w:t xml:space="preserve"> 3: </w:t>
                              </w:r>
                              <w:r>
                                <w:rPr>
                                  <w:rFonts w:ascii="Times New Roman" w:hAnsi="Times New Roman"/>
                                  <w:sz w:val="22"/>
                                  <w:szCs w:val="22"/>
                                  <w:rtl w:val="0"/>
                                  <w:lang w:val="en-US"/>
                                </w:rPr>
                                <w:t>Night Attack on the Sanj</w:t>
                              </w:r>
                              <w:r>
                                <w:rPr>
                                  <w:rFonts w:ascii="Times New Roman" w:hAnsi="Times New Roman" w:hint="default"/>
                                  <w:sz w:val="22"/>
                                  <w:szCs w:val="22"/>
                                  <w:rtl w:val="0"/>
                                </w:rPr>
                                <w:t xml:space="preserve">ô </w:t>
                              </w:r>
                              <w:r>
                                <w:rPr>
                                  <w:rFonts w:ascii="Times New Roman" w:hAnsi="Times New Roman"/>
                                  <w:sz w:val="22"/>
                                  <w:szCs w:val="22"/>
                                  <w:rtl w:val="0"/>
                                  <w:lang w:val="es-ES_tradnl"/>
                                </w:rPr>
                                <w:t>Palace</w:t>
                              </w:r>
                              <w:r>
                                <w:rPr>
                                  <w:rFonts w:ascii="Times New Roman" w:hAnsi="Times New Roman"/>
                                  <w:sz w:val="22"/>
                                  <w:szCs w:val="22"/>
                                  <w:rtl w:val="0"/>
                                  <w:lang w:val="en-US"/>
                                </w:rPr>
                                <w:t>, c. Late 1300s.</w:t>
                              </w:r>
                            </w:p>
                          </w:txbxContent>
                        </wps:txbx>
                        <wps:bodyPr wrap="square" lIns="101600" tIns="101600" rIns="101600" bIns="101600" numCol="1" anchor="ctr">
                          <a:noAutofit/>
                        </wps:bodyPr>
                      </wps:wsp>
                    </wpg:wgp>
                  </a:graphicData>
                </a:graphic>
              </wp:anchor>
            </w:drawing>
          </mc:Choice>
          <mc:Fallback>
            <w:pict>
              <v:group id="_x0000_s1032" style="visibility:visible;position:absolute;margin-left:270.0pt;margin-top:65.1pt;width:273.5pt;height:167.5pt;z-index:251660288;mso-position-horizontal:absolute;mso-position-horizontal-relative:page;mso-position-vertical:absolute;mso-position-vertical-relative:page;mso-wrap-distance-left:12.0pt;mso-wrap-distance-top:12.0pt;mso-wrap-distance-right:12.0pt;mso-wrap-distance-bottom:12.0pt;" coordorigin="677462,762009" coordsize="3473089,2127695">
                <w10:wrap type="through" side="bothSides" anchorx="page" anchory="page"/>
                <v:shape id="_x0000_s1033" type="#_x0000_t75" style="position:absolute;left:677462;top:762009;width:3469041;height:2127694;">
                  <v:imagedata r:id="rId6" o:title="pasted-image.tiff" cropright="43.3%" croptop="25.4%" cropbottom="16.3%"/>
                </v:shape>
                <v:rect id="_x0000_s1034" style="position:absolute;left:677462;top:2473758;width:3473089;height:415898;">
                  <v:fill color="#000000" opacity="50.3%" type="solid"/>
                  <v:stroke on="f" weight="1.0pt" dashstyle="solid" endcap="flat" miterlimit="400.0%" joinstyle="miter" linestyle="single" startarrow="none" startarrowwidth="medium" startarrowlength="medium" endarrow="none" endarrowwidth="medium" endarrowlength="medium"/>
                  <v:textbox>
                    <w:txbxContent>
                      <w:p>
                        <w:pPr>
                          <w:pStyle w:val="Label"/>
                        </w:pPr>
                        <w:r>
                          <w:rPr>
                            <w:rFonts w:ascii="Times New Roman" w:hAnsi="Times New Roman"/>
                            <w:sz w:val="22"/>
                            <w:szCs w:val="22"/>
                            <w:rtl w:val="0"/>
                            <w:lang w:val="de-DE"/>
                          </w:rPr>
                          <w:t>Figure</w:t>
                        </w:r>
                        <w:r>
                          <w:rPr>
                            <w:rFonts w:ascii="Times New Roman" w:hAnsi="Times New Roman"/>
                            <w:sz w:val="22"/>
                            <w:szCs w:val="22"/>
                            <w:rtl w:val="0"/>
                            <w:lang w:val="en-US"/>
                          </w:rPr>
                          <w:t xml:space="preserve"> 3: </w:t>
                        </w:r>
                        <w:r>
                          <w:rPr>
                            <w:rFonts w:ascii="Times New Roman" w:hAnsi="Times New Roman"/>
                            <w:sz w:val="22"/>
                            <w:szCs w:val="22"/>
                            <w:rtl w:val="0"/>
                            <w:lang w:val="en-US"/>
                          </w:rPr>
                          <w:t>Night Attack on the Sanj</w:t>
                        </w:r>
                        <w:r>
                          <w:rPr>
                            <w:rFonts w:ascii="Times New Roman" w:hAnsi="Times New Roman" w:hint="default"/>
                            <w:sz w:val="22"/>
                            <w:szCs w:val="22"/>
                            <w:rtl w:val="0"/>
                          </w:rPr>
                          <w:t xml:space="preserve">ô </w:t>
                        </w:r>
                        <w:r>
                          <w:rPr>
                            <w:rFonts w:ascii="Times New Roman" w:hAnsi="Times New Roman"/>
                            <w:sz w:val="22"/>
                            <w:szCs w:val="22"/>
                            <w:rtl w:val="0"/>
                            <w:lang w:val="es-ES_tradnl"/>
                          </w:rPr>
                          <w:t>Palace</w:t>
                        </w:r>
                        <w:r>
                          <w:rPr>
                            <w:rFonts w:ascii="Times New Roman" w:hAnsi="Times New Roman"/>
                            <w:sz w:val="22"/>
                            <w:szCs w:val="22"/>
                            <w:rtl w:val="0"/>
                            <w:lang w:val="en-US"/>
                          </w:rPr>
                          <w:t>, c. Late 1300s.</w:t>
                        </w:r>
                      </w:p>
                    </w:txbxContent>
                  </v:textbox>
                </v:rect>
              </v:group>
            </w:pict>
          </mc:Fallback>
        </mc:AlternateContent>
      </w:r>
      <w:r>
        <w:rPr>
          <w:rFonts w:ascii="Times New Roman" w:hAnsi="Times New Roman"/>
          <w:sz w:val="24"/>
          <w:szCs w:val="24"/>
          <w:rtl w:val="0"/>
          <w:lang w:val="en-US"/>
        </w:rPr>
        <w:t xml:space="preserve">rporated even with the development of an individual Ottoman identity. </w:t>
      </w:r>
    </w:p>
    <w:p>
      <w:pPr>
        <w:pStyle w:val="Body"/>
        <w:jc w:val="both"/>
        <w:rPr>
          <w:rFonts w:ascii="Times New Roman" w:cs="Times New Roman" w:hAnsi="Times New Roman" w:eastAsia="Times New Roman"/>
          <w:sz w:val="24"/>
          <w:szCs w:val="24"/>
        </w:rPr>
      </w:pPr>
    </w:p>
    <w:p>
      <w:pPr>
        <w:pStyle w:val="Body"/>
        <w:jc w:val="both"/>
      </w:pPr>
      <w:r>
        <w:rPr>
          <w:rFonts w:ascii="Times New Roman" w:hAnsi="Times New Roman"/>
          <w:sz w:val="24"/>
          <w:szCs w:val="24"/>
          <w:rtl w:val="0"/>
          <w:lang w:val="en-US"/>
        </w:rPr>
        <w:t>To conclude, the Ottoman identity grew and changed with the expansion of the Empire, but never to an extent where it</w:t>
      </w:r>
      <w:r>
        <w:rPr>
          <w:rFonts w:ascii="Times New Roman" w:hAnsi="Times New Roman" w:hint="default"/>
          <w:sz w:val="24"/>
          <w:szCs w:val="24"/>
          <w:rtl w:val="0"/>
          <w:lang w:val="en-US"/>
        </w:rPr>
        <w:t>’</w:t>
      </w:r>
      <w:r>
        <w:rPr>
          <w:rFonts w:ascii="Times New Roman" w:hAnsi="Times New Roman"/>
          <w:sz w:val="24"/>
          <w:szCs w:val="24"/>
          <w:rtl w:val="0"/>
          <w:lang w:val="en-US"/>
        </w:rPr>
        <w:t xml:space="preserve">s roots as a Turkic tribe were forgotten. Whether it is through the emphasis of light or the natural gravitation towards Persian motifs, the involvement of other cultures was the foundation of the formation of an Ottoman identity. As seen through the miniature in </w:t>
      </w:r>
      <w:r>
        <w:rPr>
          <w:rFonts w:ascii="Times New Roman" w:hAnsi="Times New Roman"/>
          <w:sz w:val="24"/>
          <w:szCs w:val="24"/>
          <w:rtl w:val="0"/>
          <w:lang w:val="de-DE"/>
        </w:rPr>
        <w:t>Figure</w:t>
      </w:r>
      <w:r>
        <w:rPr>
          <w:rFonts w:ascii="Times New Roman" w:hAnsi="Times New Roman"/>
          <w:sz w:val="24"/>
          <w:szCs w:val="24"/>
          <w:rtl w:val="0"/>
          <w:lang w:val="en-US"/>
        </w:rPr>
        <w:t xml:space="preserve"> 1, colour and motion were key features in Ottoman art, whilst calligraphic elements such as highly detailed patterns were adopted as the standard for Ottoman art. This style is seen to be reproduced in later manuscripts, with minor changes refining it to a unique form that would become a standard for Ottoman miniatures. The exploration and adoption of other cultures shows the cosmopolitan nature of the Ottoman Empire, with multiple manuscripts produced depicting the same Arabic folk tale. The Islamic religion is, arguably, the catalyst in the development of a unique Ottoman style, it is through the communication and establishment of Islam within conquered lands that provided a platform from which art could be explored.  The creation a trademark Ottoman style is evident through later manuscripts, such as that in </w:t>
      </w:r>
      <w:r>
        <w:rPr>
          <w:rFonts w:ascii="Times New Roman" w:hAnsi="Times New Roman"/>
          <w:sz w:val="24"/>
          <w:szCs w:val="24"/>
          <w:rtl w:val="0"/>
          <w:lang w:val="de-DE"/>
        </w:rPr>
        <w:t>Figure</w:t>
      </w:r>
      <w:r>
        <w:rPr>
          <w:rFonts w:ascii="Times New Roman" w:hAnsi="Times New Roman"/>
          <w:sz w:val="24"/>
          <w:szCs w:val="24"/>
          <w:rtl w:val="0"/>
          <w:lang w:val="en-US"/>
        </w:rPr>
        <w:t xml:space="preserve"> 2,  where literary adaptations of the narrative were made and portrayed within an Ottoman context. Therefore, although the Ottoman Empire was founded upon the incorporation of different cultures, each with a strong, independent identity, the Ottomans managed to combine them and develop them into something unique that would eventually become iconic of the Ottoman Empire. </w:t>
      </w:r>
      <w:r>
        <w:rPr>
          <w:rFonts w:ascii="Arial Unicode MS" w:cs="Arial Unicode MS" w:hAnsi="Arial Unicode MS" w:eastAsia="Arial Unicode MS"/>
          <w:b w:val="0"/>
          <w:bCs w:val="0"/>
          <w:i w:val="0"/>
          <w:iCs w:val="0"/>
          <w:sz w:val="24"/>
          <w:szCs w:val="24"/>
        </w:rPr>
        <w:br w:type="page"/>
      </w:r>
    </w:p>
    <w:p>
      <w:pPr>
        <w:pStyle w:val="Body"/>
        <w:jc w:val="center"/>
        <w:rPr>
          <w:rFonts w:ascii="Times New Roman" w:cs="Times New Roman" w:hAnsi="Times New Roman" w:eastAsia="Times New Roman"/>
          <w:b w:val="1"/>
          <w:bCs w:val="1"/>
          <w:sz w:val="28"/>
          <w:szCs w:val="28"/>
          <w:u w:val="single"/>
        </w:rPr>
      </w:pPr>
      <w:r>
        <w:rPr>
          <w:rFonts w:ascii="Times New Roman" w:hAnsi="Times New Roman"/>
          <w:b w:val="1"/>
          <w:bCs w:val="1"/>
          <w:sz w:val="28"/>
          <w:szCs w:val="28"/>
          <w:u w:val="single"/>
          <w:rtl w:val="0"/>
          <w:lang w:val="en-US"/>
        </w:rPr>
        <w:t>Bibliography</w:t>
      </w:r>
    </w:p>
    <w:p>
      <w:pPr>
        <w:pStyle w:val="Body"/>
        <w:rPr>
          <w:rFonts w:ascii="Times New Roman" w:cs="Times New Roman" w:hAnsi="Times New Roman" w:eastAsia="Times New Roman"/>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Finkel, C. 2005. </w:t>
      </w:r>
      <w:r>
        <w:rPr>
          <w:rFonts w:ascii="Times New Roman" w:hAnsi="Times New Roman"/>
          <w:i w:val="1"/>
          <w:iCs w:val="1"/>
          <w:sz w:val="24"/>
          <w:szCs w:val="24"/>
          <w:rtl w:val="0"/>
          <w:lang w:val="en-US"/>
        </w:rPr>
        <w:t xml:space="preserve">Osmans Dream: The Story of the Ottoman Empire 1300-1923. </w:t>
      </w:r>
      <w:r>
        <w:rPr>
          <w:rFonts w:ascii="Times New Roman" w:hAnsi="Times New Roman"/>
          <w:sz w:val="24"/>
          <w:szCs w:val="24"/>
          <w:rtl w:val="0"/>
          <w:lang w:val="en-US"/>
        </w:rPr>
        <w:t>John Murray. London.</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Levey, M. 1975. </w:t>
      </w:r>
      <w:r>
        <w:rPr>
          <w:rFonts w:ascii="Times New Roman" w:hAnsi="Times New Roman"/>
          <w:i w:val="1"/>
          <w:iCs w:val="1"/>
          <w:sz w:val="24"/>
          <w:szCs w:val="24"/>
          <w:rtl w:val="0"/>
          <w:lang w:val="en-US"/>
        </w:rPr>
        <w:t xml:space="preserve">The World of Ottoman Art. </w:t>
      </w:r>
      <w:r>
        <w:rPr>
          <w:rFonts w:ascii="Times New Roman" w:hAnsi="Times New Roman"/>
          <w:sz w:val="24"/>
          <w:szCs w:val="24"/>
          <w:rtl w:val="0"/>
          <w:lang w:val="en-US"/>
        </w:rPr>
        <w:t>Thames and Hudson. London.</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Fonts w:ascii="Times New Roman" w:hAnsi="Times New Roman"/>
          <w:sz w:val="24"/>
          <w:szCs w:val="24"/>
          <w:shd w:val="clear" w:color="auto" w:fill="ffffff"/>
          <w:rtl w:val="0"/>
        </w:rPr>
        <w:t>Seyed-Gohrab,</w:t>
      </w:r>
      <w:r>
        <w:rPr>
          <w:rFonts w:ascii="Times New Roman" w:hAnsi="Times New Roman"/>
          <w:sz w:val="24"/>
          <w:szCs w:val="24"/>
          <w:shd w:val="clear" w:color="auto" w:fill="ffffff"/>
          <w:rtl w:val="0"/>
          <w:lang w:val="en-US"/>
        </w:rPr>
        <w:t xml:space="preserve"> A. A. (2009)</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rPr>
        <w:t>LEYLI O MAJNUN,</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lang w:val="en-US"/>
        </w:rPr>
        <w:t>Encyclop</w:t>
      </w:r>
      <w:r>
        <w:rPr>
          <w:rFonts w:ascii="Times New Roman" w:hAnsi="Times New Roman" w:hint="default"/>
          <w:sz w:val="24"/>
          <w:szCs w:val="24"/>
          <w:shd w:val="clear" w:color="auto" w:fill="ffffff"/>
          <w:rtl w:val="0"/>
          <w:lang w:val="da-DK"/>
        </w:rPr>
        <w:t>æ</w:t>
      </w:r>
      <w:r>
        <w:rPr>
          <w:rFonts w:ascii="Times New Roman" w:hAnsi="Times New Roman"/>
          <w:sz w:val="24"/>
          <w:szCs w:val="24"/>
          <w:shd w:val="clear" w:color="auto" w:fill="ffffff"/>
          <w:rtl w:val="0"/>
        </w:rPr>
        <w:t>dia Iranica,</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lang w:val="en-US"/>
        </w:rPr>
        <w:t>online edition</w:t>
      </w:r>
      <w:r>
        <w:rPr>
          <w:rFonts w:ascii="Times New Roman" w:hAnsi="Times New Roman"/>
          <w:sz w:val="24"/>
          <w:szCs w:val="24"/>
          <w:shd w:val="clear" w:color="auto" w:fill="ffffff"/>
          <w:rtl w:val="0"/>
          <w:lang w:val="en-US"/>
        </w:rPr>
        <w:t>. A</w:t>
      </w:r>
      <w:r>
        <w:rPr>
          <w:rFonts w:ascii="Times New Roman" w:hAnsi="Times New Roman"/>
          <w:sz w:val="24"/>
          <w:szCs w:val="24"/>
          <w:shd w:val="clear" w:color="auto" w:fill="ffffff"/>
          <w:rtl w:val="0"/>
          <w:lang w:val="en-US"/>
        </w:rPr>
        <w:t xml:space="preserve">vailable </w:t>
      </w:r>
      <w:r>
        <w:rPr>
          <w:rFonts w:ascii="Times New Roman" w:hAnsi="Times New Roman"/>
          <w:sz w:val="24"/>
          <w:szCs w:val="24"/>
          <w:shd w:val="clear" w:color="auto" w:fill="ffffff"/>
          <w:rtl w:val="0"/>
          <w:lang w:val="en-US"/>
        </w:rPr>
        <w:t>a</w:t>
      </w:r>
      <w:r>
        <w:rPr>
          <w:rFonts w:ascii="Times New Roman" w:hAnsi="Times New Roman"/>
          <w:sz w:val="24"/>
          <w:szCs w:val="24"/>
          <w:shd w:val="clear" w:color="auto" w:fill="ffffff"/>
          <w:rtl w:val="0"/>
        </w:rPr>
        <w:t>t</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xml:space="preserve"> </w:t>
      </w:r>
    </w:p>
    <w:p>
      <w:pPr>
        <w:pStyle w:val="Default"/>
        <w:bidi w:val="0"/>
        <w:ind w:left="0" w:right="0" w:firstLine="0"/>
        <w:jc w:val="left"/>
        <w:rPr>
          <w:rFonts w:ascii="Times New Roman" w:cs="Times New Roman" w:hAnsi="Times New Roman" w:eastAsia="Times New Roman"/>
          <w:sz w:val="24"/>
          <w:szCs w:val="24"/>
          <w:shd w:val="clear" w:color="auto" w:fill="ffffff"/>
          <w:rtl w:val="0"/>
        </w:rPr>
      </w:pPr>
      <w:r>
        <w:rPr>
          <w:rStyle w:val="Hyperlink.0"/>
          <w:rFonts w:ascii="Times New Roman" w:cs="Times New Roman" w:hAnsi="Times New Roman" w:eastAsia="Times New Roman"/>
          <w:sz w:val="24"/>
          <w:szCs w:val="24"/>
          <w:shd w:val="clear" w:color="auto" w:fill="ffffff"/>
          <w:rtl w:val="0"/>
        </w:rPr>
        <w:fldChar w:fldCharType="begin" w:fldLock="0"/>
      </w:r>
      <w:r>
        <w:rPr>
          <w:rStyle w:val="Hyperlink.0"/>
          <w:rFonts w:ascii="Times New Roman" w:cs="Times New Roman" w:hAnsi="Times New Roman" w:eastAsia="Times New Roman"/>
          <w:sz w:val="24"/>
          <w:szCs w:val="24"/>
          <w:shd w:val="clear" w:color="auto" w:fill="ffffff"/>
          <w:rtl w:val="0"/>
        </w:rPr>
        <w:instrText xml:space="preserve"> HYPERLINK "http://www.iranicaonline.org/articles/leyli-o-majnun-narrative-poem"</w:instrText>
      </w:r>
      <w:r>
        <w:rPr>
          <w:rStyle w:val="Hyperlink.0"/>
          <w:rFonts w:ascii="Times New Roman" w:cs="Times New Roman" w:hAnsi="Times New Roman" w:eastAsia="Times New Roman"/>
          <w:sz w:val="24"/>
          <w:szCs w:val="24"/>
          <w:shd w:val="clear" w:color="auto" w:fill="ffffff"/>
          <w:rtl w:val="0"/>
        </w:rPr>
        <w:fldChar w:fldCharType="separate" w:fldLock="0"/>
      </w:r>
      <w:r>
        <w:rPr>
          <w:rStyle w:val="Hyperlink.0"/>
          <w:rFonts w:ascii="Times New Roman" w:hAnsi="Times New Roman"/>
          <w:sz w:val="24"/>
          <w:szCs w:val="24"/>
          <w:shd w:val="clear" w:color="auto" w:fill="ffffff"/>
          <w:rtl w:val="0"/>
          <w:lang w:val="en-US"/>
        </w:rPr>
        <w:t>http://www.iranicaonline.org/articles/leyli-o-majnun-narrative-poem</w:t>
      </w:r>
      <w:r>
        <w:rPr>
          <w:rFonts w:ascii="Times New Roman" w:cs="Times New Roman" w:hAnsi="Times New Roman" w:eastAsia="Times New Roman"/>
          <w:sz w:val="24"/>
          <w:szCs w:val="24"/>
          <w:shd w:val="clear" w:color="auto" w:fill="ffffff"/>
          <w:rtl w:val="0"/>
        </w:rPr>
        <w:fldChar w:fldCharType="end" w:fldLock="0"/>
      </w:r>
      <w:r>
        <w:rPr>
          <w:rFonts w:ascii="Times New Roman" w:hAnsi="Times New Roman"/>
          <w:sz w:val="24"/>
          <w:szCs w:val="24"/>
          <w:shd w:val="clear" w:color="auto" w:fill="ffffff"/>
          <w:rtl w:val="0"/>
          <w:lang w:val="en-US"/>
        </w:rPr>
        <w:t xml:space="preserve"> [Last Accessed: 08/12/18]</w:t>
      </w:r>
    </w:p>
    <w:p>
      <w:pPr>
        <w:pStyle w:val="Default"/>
        <w:bidi w:val="0"/>
        <w:ind w:left="0" w:right="0" w:firstLine="0"/>
        <w:jc w:val="left"/>
        <w:rPr>
          <w:rFonts w:ascii="Times New Roman" w:cs="Times New Roman" w:hAnsi="Times New Roman" w:eastAsia="Times New Roman"/>
          <w:sz w:val="24"/>
          <w:szCs w:val="24"/>
          <w:shd w:val="clear" w:color="auto" w:fill="ffffff"/>
          <w:rtl w:val="0"/>
        </w:rPr>
      </w:pPr>
    </w:p>
    <w:p>
      <w:pPr>
        <w:pStyle w:val="Default"/>
        <w:bidi w:val="0"/>
        <w:ind w:left="0" w:right="0" w:firstLine="0"/>
        <w:jc w:val="left"/>
        <w:rPr>
          <w:rFonts w:ascii="Times New Roman" w:cs="Times New Roman" w:hAnsi="Times New Roman" w:eastAsia="Times New Roman"/>
          <w:i w:val="1"/>
          <w:iCs w:val="1"/>
          <w:sz w:val="24"/>
          <w:szCs w:val="24"/>
          <w:shd w:val="clear" w:color="auto" w:fill="ffffff"/>
          <w:rtl w:val="0"/>
        </w:rPr>
      </w:pPr>
      <w:r>
        <w:rPr>
          <w:rFonts w:ascii="Times New Roman" w:hAnsi="Times New Roman"/>
          <w:sz w:val="24"/>
          <w:szCs w:val="24"/>
          <w:shd w:val="clear" w:color="auto" w:fill="ffffff"/>
          <w:rtl w:val="0"/>
          <w:lang w:val="en-US"/>
        </w:rPr>
        <w:t xml:space="preserve">The Editors of Encyclopaedia Britannica. 2013. </w:t>
      </w:r>
      <w:r>
        <w:rPr>
          <w:rFonts w:ascii="Times New Roman" w:hAnsi="Times New Roman"/>
          <w:i w:val="1"/>
          <w:iCs w:val="1"/>
          <w:sz w:val="24"/>
          <w:szCs w:val="24"/>
          <w:shd w:val="clear" w:color="auto" w:fill="ffffff"/>
          <w:rtl w:val="0"/>
        </w:rPr>
        <w:t>Nasta</w:t>
      </w:r>
      <w:r>
        <w:rPr>
          <w:rFonts w:ascii="Times New Roman" w:hAnsi="Times New Roman" w:hint="default"/>
          <w:i w:val="1"/>
          <w:iCs w:val="1"/>
          <w:sz w:val="24"/>
          <w:szCs w:val="24"/>
          <w:shd w:val="clear" w:color="auto" w:fill="ffffff"/>
          <w:rtl w:val="0"/>
        </w:rPr>
        <w:t>ʿ</w:t>
      </w:r>
      <w:r>
        <w:rPr>
          <w:rFonts w:ascii="Times New Roman" w:hAnsi="Times New Roman"/>
          <w:i w:val="1"/>
          <w:iCs w:val="1"/>
          <w:sz w:val="24"/>
          <w:szCs w:val="24"/>
          <w:shd w:val="clear" w:color="auto" w:fill="ffffff"/>
          <w:rtl w:val="0"/>
        </w:rPr>
        <w:t>l</w:t>
      </w:r>
      <w:r>
        <w:rPr>
          <w:rFonts w:ascii="Times New Roman" w:hAnsi="Times New Roman" w:hint="default"/>
          <w:i w:val="1"/>
          <w:iCs w:val="1"/>
          <w:sz w:val="24"/>
          <w:szCs w:val="24"/>
          <w:shd w:val="clear" w:color="auto" w:fill="ffffff"/>
          <w:rtl w:val="0"/>
        </w:rPr>
        <w:t>ī</w:t>
      </w:r>
      <w:r>
        <w:rPr>
          <w:rFonts w:ascii="Times New Roman" w:hAnsi="Times New Roman"/>
          <w:i w:val="1"/>
          <w:iCs w:val="1"/>
          <w:sz w:val="24"/>
          <w:szCs w:val="24"/>
          <w:shd w:val="clear" w:color="auto" w:fill="ffffff"/>
          <w:rtl w:val="0"/>
          <w:lang w:val="it-IT"/>
        </w:rPr>
        <w:t>q script</w:t>
      </w:r>
      <w:r>
        <w:rPr>
          <w:rFonts w:ascii="Times New Roman" w:hAnsi="Times New Roman"/>
          <w:i w:val="1"/>
          <w:iCs w:val="1"/>
          <w:sz w:val="24"/>
          <w:szCs w:val="24"/>
          <w:shd w:val="clear" w:color="auto" w:fill="ffffff"/>
          <w:rtl w:val="0"/>
          <w:lang w:val="en-US"/>
        </w:rPr>
        <w:t xml:space="preserve">. </w:t>
      </w:r>
      <w:r>
        <w:rPr>
          <w:rFonts w:ascii="Times New Roman" w:cs="Times New Roman" w:hAnsi="Times New Roman" w:eastAsia="Times New Roman"/>
          <w:sz w:val="24"/>
          <w:szCs w:val="24"/>
          <w:shd w:val="clear" w:color="auto" w:fill="ffffff"/>
          <w:rtl w:val="0"/>
          <w:lang w:val="en-US"/>
        </w:rPr>
        <w:tab/>
        <w:t>Encyclop</w:t>
      </w:r>
      <w:r>
        <w:rPr>
          <w:rFonts w:ascii="Times New Roman" w:hAnsi="Times New Roman" w:hint="default"/>
          <w:sz w:val="24"/>
          <w:szCs w:val="24"/>
          <w:shd w:val="clear" w:color="auto" w:fill="ffffff"/>
          <w:rtl w:val="0"/>
          <w:lang w:val="da-DK"/>
        </w:rPr>
        <w:t>æ</w:t>
      </w:r>
      <w:r>
        <w:rPr>
          <w:rFonts w:ascii="Times New Roman" w:hAnsi="Times New Roman"/>
          <w:sz w:val="24"/>
          <w:szCs w:val="24"/>
          <w:shd w:val="clear" w:color="auto" w:fill="ffffff"/>
          <w:rtl w:val="0"/>
          <w:lang w:val="it-IT"/>
        </w:rPr>
        <w:t>dia Britannica</w:t>
      </w:r>
      <w:r>
        <w:rPr>
          <w:rFonts w:ascii="Times New Roman" w:hAnsi="Times New Roman"/>
          <w:b w:val="1"/>
          <w:bCs w:val="1"/>
          <w:sz w:val="24"/>
          <w:szCs w:val="24"/>
          <w:shd w:val="clear" w:color="auto" w:fill="ffffff"/>
          <w:rtl w:val="0"/>
          <w:lang w:val="en-US"/>
        </w:rPr>
        <w:t xml:space="preserve">. </w:t>
      </w:r>
      <w:r>
        <w:rPr>
          <w:rFonts w:ascii="Times New Roman" w:hAnsi="Times New Roman"/>
          <w:sz w:val="24"/>
          <w:szCs w:val="24"/>
          <w:shd w:val="clear" w:color="auto" w:fill="ffffff"/>
          <w:rtl w:val="0"/>
          <w:lang w:val="en-US"/>
        </w:rPr>
        <w:t>Encyclop</w:t>
      </w:r>
      <w:r>
        <w:rPr>
          <w:rFonts w:ascii="Times New Roman" w:hAnsi="Times New Roman" w:hint="default"/>
          <w:sz w:val="24"/>
          <w:szCs w:val="24"/>
          <w:shd w:val="clear" w:color="auto" w:fill="ffffff"/>
          <w:rtl w:val="0"/>
          <w:lang w:val="da-DK"/>
        </w:rPr>
        <w:t>æ</w:t>
      </w:r>
      <w:r>
        <w:rPr>
          <w:rFonts w:ascii="Times New Roman" w:hAnsi="Times New Roman"/>
          <w:sz w:val="24"/>
          <w:szCs w:val="24"/>
          <w:shd w:val="clear" w:color="auto" w:fill="ffffff"/>
          <w:rtl w:val="0"/>
          <w:lang w:val="it-IT"/>
        </w:rPr>
        <w:t>dia Britannica, inc.</w:t>
      </w:r>
      <w:r>
        <w:rPr>
          <w:rFonts w:ascii="Times New Roman" w:hAnsi="Times New Roman"/>
          <w:sz w:val="24"/>
          <w:szCs w:val="24"/>
          <w:shd w:val="clear" w:color="auto" w:fill="ffffff"/>
          <w:rtl w:val="0"/>
          <w:lang w:val="en-US"/>
        </w:rPr>
        <w:t xml:space="preserve"> </w:t>
      </w:r>
      <w:r>
        <w:rPr>
          <w:rStyle w:val="Link"/>
          <w:rFonts w:ascii="Times New Roman" w:cs="Times New Roman" w:hAnsi="Times New Roman" w:eastAsia="Times New Roman"/>
          <w:sz w:val="24"/>
          <w:szCs w:val="24"/>
          <w:shd w:val="clear" w:color="auto" w:fill="ffffff"/>
          <w:rtl w:val="0"/>
        </w:rPr>
        <w:fldChar w:fldCharType="begin" w:fldLock="0"/>
      </w:r>
      <w:r>
        <w:rPr>
          <w:rStyle w:val="Link"/>
          <w:rFonts w:ascii="Times New Roman" w:cs="Times New Roman" w:hAnsi="Times New Roman" w:eastAsia="Times New Roman"/>
          <w:sz w:val="24"/>
          <w:szCs w:val="24"/>
          <w:shd w:val="clear" w:color="auto" w:fill="ffffff"/>
          <w:rtl w:val="0"/>
        </w:rPr>
        <w:instrText xml:space="preserve"> HYPERLINK "https://www.britannica.com/topic/nastaliq-script"</w:instrText>
      </w:r>
      <w:r>
        <w:rPr>
          <w:rStyle w:val="Link"/>
          <w:rFonts w:ascii="Times New Roman" w:cs="Times New Roman" w:hAnsi="Times New Roman" w:eastAsia="Times New Roman"/>
          <w:sz w:val="24"/>
          <w:szCs w:val="24"/>
          <w:shd w:val="clear" w:color="auto" w:fill="ffffff"/>
          <w:rtl w:val="0"/>
        </w:rPr>
        <w:fldChar w:fldCharType="separate" w:fldLock="0"/>
      </w:r>
      <w:r>
        <w:rPr>
          <w:rStyle w:val="Link"/>
          <w:rFonts w:ascii="Times New Roman" w:hAnsi="Times New Roman"/>
          <w:sz w:val="24"/>
          <w:szCs w:val="24"/>
          <w:shd w:val="clear" w:color="auto" w:fill="ffffff"/>
          <w:rtl w:val="0"/>
          <w:lang w:val="en-US"/>
        </w:rPr>
        <w:t>https://www.britannica.com/topic/nastaliq-script</w:t>
      </w:r>
      <w:r>
        <w:rPr>
          <w:rFonts w:ascii="Times New Roman" w:cs="Times New Roman" w:hAnsi="Times New Roman" w:eastAsia="Times New Roman"/>
          <w:sz w:val="24"/>
          <w:szCs w:val="24"/>
          <w:shd w:val="clear" w:color="auto" w:fill="ffffff"/>
          <w:rtl w:val="0"/>
        </w:rPr>
        <w:fldChar w:fldCharType="end" w:fldLock="0"/>
      </w:r>
      <w:r>
        <w:rPr>
          <w:rFonts w:ascii="Times New Roman" w:hAnsi="Times New Roman"/>
          <w:sz w:val="24"/>
          <w:szCs w:val="24"/>
          <w:shd w:val="clear" w:color="auto" w:fill="ffffff"/>
          <w:rtl w:val="0"/>
          <w:lang w:val="en-US"/>
        </w:rPr>
        <w:t xml:space="preserve"> [Last Accessed: 10/12/18]</w:t>
      </w:r>
    </w:p>
    <w:p>
      <w:pPr>
        <w:pStyle w:val="Default"/>
        <w:bidi w:val="0"/>
        <w:ind w:left="0" w:right="0" w:firstLine="0"/>
        <w:jc w:val="left"/>
        <w:rPr>
          <w:rFonts w:ascii="Times New Roman" w:cs="Times New Roman" w:hAnsi="Times New Roman" w:eastAsia="Times New Roman"/>
          <w:i w:val="1"/>
          <w:iCs w:val="1"/>
          <w:sz w:val="24"/>
          <w:szCs w:val="24"/>
          <w:shd w:val="clear" w:color="auto" w:fill="ffffff"/>
          <w:rtl w:val="0"/>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 British Museum. (2017). </w:t>
      </w:r>
      <w:r>
        <w:rPr>
          <w:rFonts w:ascii="Times New Roman" w:hAnsi="Times New Roman"/>
          <w:i w:val="1"/>
          <w:iCs w:val="1"/>
          <w:sz w:val="24"/>
          <w:szCs w:val="24"/>
          <w:rtl w:val="0"/>
          <w:lang w:val="en-US"/>
        </w:rPr>
        <w:t xml:space="preserve">Painting/Miniature/Album.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"https://www.britishmuseum.org/research/collection_online/collection_object_details.aspx?objectId=231475&amp;partId=1&amp;searchText=ottoman+miniature&amp;page=1"</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https://www.britishmuseum.org/research/collection_online/collection_object_details.aspx?objectId=231475&amp;partId=1&amp;searchText=ottoman+miniature&amp;page=1</w:t>
      </w:r>
      <w:r>
        <w:rPr>
          <w:rFonts w:ascii="Times New Roman" w:cs="Times New Roman" w:hAnsi="Times New Roman" w:eastAsia="Times New Roman"/>
          <w:sz w:val="24"/>
          <w:szCs w:val="24"/>
        </w:rPr>
        <w:fldChar w:fldCharType="end" w:fldLock="0"/>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[Last Accessed: 04/12/18]</w:t>
      </w:r>
    </w:p>
    <w:p>
      <w:pPr>
        <w:pStyle w:val="Body"/>
        <w:rPr>
          <w:color w:val="b41700"/>
          <w:sz w:val="24"/>
          <w:szCs w:val="24"/>
        </w:rPr>
      </w:pPr>
    </w:p>
    <w:p>
      <w:pPr>
        <w:pStyle w:val="Body"/>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Images:</w:t>
      </w:r>
    </w:p>
    <w:p>
      <w:pPr>
        <w:pStyle w:val="Body"/>
        <w:rPr>
          <w:rFonts w:ascii="Times New Roman" w:cs="Times New Roman" w:hAnsi="Times New Roman" w:eastAsia="Times New Roman"/>
          <w:b w:val="1"/>
          <w:bCs w:val="1"/>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de-DE"/>
        </w:rPr>
        <w:t>Figure</w:t>
      </w:r>
      <w:r>
        <w:rPr>
          <w:rFonts w:ascii="Times New Roman" w:hAnsi="Times New Roman"/>
          <w:b w:val="1"/>
          <w:bCs w:val="1"/>
          <w:sz w:val="24"/>
          <w:szCs w:val="24"/>
          <w:rtl w:val="0"/>
          <w:lang w:val="en-US"/>
        </w:rPr>
        <w:t xml:space="preserve"> 1</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Unknown. (c.1550-1560). </w:t>
      </w:r>
      <w:r>
        <w:rPr>
          <w:rFonts w:ascii="Times New Roman" w:hAnsi="Times New Roman"/>
          <w:i w:val="1"/>
          <w:iCs w:val="1"/>
          <w:sz w:val="24"/>
          <w:szCs w:val="24"/>
          <w:rtl w:val="0"/>
          <w:lang w:val="en-US"/>
        </w:rPr>
        <w:t>Layla and Majnun.</w:t>
      </w:r>
      <w:r>
        <w:rPr>
          <w:rFonts w:ascii="Times New Roman" w:hAnsi="Times New Roman"/>
          <w:sz w:val="24"/>
          <w:szCs w:val="24"/>
          <w:rtl w:val="0"/>
          <w:lang w:val="en-US"/>
        </w:rPr>
        <w:t xml:space="preserve"> [ink and gold leaf on paper]. British Museum. London. Available at:</w:t>
      </w:r>
      <w:r>
        <w:rPr>
          <w:rStyle w:val="Link"/>
          <w:rFonts w:ascii="Times New Roman" w:cs="Times New Roman" w:hAnsi="Times New Roman" w:eastAsia="Times New Roman"/>
          <w:sz w:val="24"/>
          <w:szCs w:val="24"/>
        </w:rPr>
        <w:fldChar w:fldCharType="begin" w:fldLock="0"/>
      </w:r>
      <w:r>
        <w:rPr>
          <w:rStyle w:val="Link"/>
          <w:rFonts w:ascii="Times New Roman" w:cs="Times New Roman" w:hAnsi="Times New Roman" w:eastAsia="Times New Roman"/>
          <w:sz w:val="24"/>
          <w:szCs w:val="24"/>
        </w:rPr>
        <w:instrText xml:space="preserve"> HYPERLINK "https://www.britishmuseum.org/research/collection_online/collection_object_details.aspx?objectId=231475&amp;partId=1&amp;searchText=ottoman+miniature&amp;page=1"</w:instrText>
      </w:r>
      <w:r>
        <w:rPr>
          <w:rStyle w:val="Link"/>
          <w:rFonts w:ascii="Times New Roman" w:cs="Times New Roman" w:hAnsi="Times New Roman" w:eastAsia="Times New Roman"/>
          <w:sz w:val="24"/>
          <w:szCs w:val="24"/>
        </w:rPr>
        <w:fldChar w:fldCharType="separate" w:fldLock="0"/>
      </w:r>
      <w:r>
        <w:rPr>
          <w:rStyle w:val="Link"/>
          <w:rFonts w:ascii="Times New Roman" w:hAnsi="Times New Roman"/>
          <w:sz w:val="24"/>
          <w:szCs w:val="24"/>
          <w:rtl w:val="0"/>
          <w:lang w:val="en-US"/>
        </w:rPr>
        <w:t>https://www.britishmuseum.org/research/collection_online/collection_object_details.aspx?objectId=231475&amp;partId=1&amp;searchText=ottoman+miniature&amp;page=1</w:t>
      </w:r>
      <w:r>
        <w:rPr>
          <w:rFonts w:ascii="Times New Roman" w:cs="Times New Roman" w:hAnsi="Times New Roman" w:eastAsia="Times New Roman"/>
          <w:sz w:val="24"/>
          <w:szCs w:val="24"/>
        </w:rPr>
        <w:fldChar w:fldCharType="end" w:fldLock="0"/>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[Last Accessed: 10/12/12]</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de-DE"/>
        </w:rPr>
        <w:t>Figure</w:t>
      </w:r>
      <w:r>
        <w:rPr>
          <w:rFonts w:ascii="Times New Roman" w:hAnsi="Times New Roman"/>
          <w:b w:val="1"/>
          <w:bCs w:val="1"/>
          <w:sz w:val="24"/>
          <w:szCs w:val="24"/>
          <w:rtl w:val="0"/>
          <w:lang w:val="en-US"/>
        </w:rPr>
        <w:t xml:space="preserve"> 2</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Unknown. (1597). </w:t>
      </w:r>
      <w:r>
        <w:rPr>
          <w:rFonts w:ascii="Times New Roman" w:hAnsi="Times New Roman"/>
          <w:i w:val="1"/>
          <w:iCs w:val="1"/>
          <w:sz w:val="24"/>
          <w:szCs w:val="24"/>
          <w:rtl w:val="0"/>
          <w:lang w:val="en-US"/>
        </w:rPr>
        <w:t>Illustrated Manuscript of Layla and Majnun by Hamdi</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 xml:space="preserve">[ink and gold leaf on paper]. Harvard Art Museum. Cambridge (US). Available at: </w:t>
      </w:r>
      <w:r>
        <w:rPr>
          <w:rStyle w:val="Link"/>
          <w:rFonts w:ascii="Times New Roman" w:cs="Times New Roman" w:hAnsi="Times New Roman" w:eastAsia="Times New Roman"/>
          <w:sz w:val="24"/>
          <w:szCs w:val="24"/>
        </w:rPr>
        <w:fldChar w:fldCharType="begin" w:fldLock="0"/>
      </w:r>
      <w:r>
        <w:rPr>
          <w:rStyle w:val="Link"/>
          <w:rFonts w:ascii="Times New Roman" w:cs="Times New Roman" w:hAnsi="Times New Roman" w:eastAsia="Times New Roman"/>
          <w:sz w:val="24"/>
          <w:szCs w:val="24"/>
        </w:rPr>
        <w:instrText xml:space="preserve"> HYPERLINK "https://www.harvardartmuseums.org/art/215827"</w:instrText>
      </w:r>
      <w:r>
        <w:rPr>
          <w:rStyle w:val="Link"/>
          <w:rFonts w:ascii="Times New Roman" w:cs="Times New Roman" w:hAnsi="Times New Roman" w:eastAsia="Times New Roman"/>
          <w:sz w:val="24"/>
          <w:szCs w:val="24"/>
        </w:rPr>
        <w:fldChar w:fldCharType="separate" w:fldLock="0"/>
      </w:r>
      <w:r>
        <w:rPr>
          <w:rStyle w:val="Link"/>
          <w:rFonts w:ascii="Times New Roman" w:hAnsi="Times New Roman"/>
          <w:sz w:val="24"/>
          <w:szCs w:val="24"/>
          <w:rtl w:val="0"/>
          <w:lang w:val="en-US"/>
        </w:rPr>
        <w:t>https://www.harvardartmuseums.org/art/215827</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[Last Accessed: 12/12/12]</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de-DE"/>
        </w:rPr>
        <w:t>Figure</w:t>
      </w:r>
      <w:r>
        <w:rPr>
          <w:rFonts w:ascii="Times New Roman" w:hAnsi="Times New Roman"/>
          <w:b w:val="1"/>
          <w:bCs w:val="1"/>
          <w:sz w:val="24"/>
          <w:szCs w:val="24"/>
          <w:rtl w:val="0"/>
          <w:lang w:val="en-US"/>
        </w:rPr>
        <w:t xml:space="preserve"> 3 (mid section from:)</w:t>
      </w:r>
    </w:p>
    <w:p>
      <w:pPr>
        <w:pStyle w:val="Body"/>
      </w:pPr>
      <w:r>
        <w:rPr>
          <w:rFonts w:ascii="Times New Roman" w:hAnsi="Times New Roman"/>
          <w:sz w:val="24"/>
          <w:szCs w:val="24"/>
          <w:rtl w:val="0"/>
          <w:lang w:val="en-US"/>
        </w:rPr>
        <w:t xml:space="preserve">Unknown. (c. Late 1300s). </w:t>
      </w:r>
      <w:r>
        <w:rPr>
          <w:rFonts w:ascii="Times New Roman" w:hAnsi="Times New Roman"/>
          <w:i w:val="1"/>
          <w:iCs w:val="1"/>
          <w:sz w:val="24"/>
          <w:szCs w:val="24"/>
          <w:rtl w:val="0"/>
          <w:lang w:val="en-US"/>
        </w:rPr>
        <w:t>Night Attack on the Sanj</w:t>
      </w:r>
      <w:r>
        <w:rPr>
          <w:rFonts w:ascii="Times New Roman" w:hAnsi="Times New Roman" w:hint="default"/>
          <w:i w:val="1"/>
          <w:iCs w:val="1"/>
          <w:sz w:val="24"/>
          <w:szCs w:val="24"/>
          <w:rtl w:val="0"/>
        </w:rPr>
        <w:t xml:space="preserve">ô </w:t>
      </w:r>
      <w:r>
        <w:rPr>
          <w:rFonts w:ascii="Times New Roman" w:hAnsi="Times New Roman"/>
          <w:i w:val="1"/>
          <w:iCs w:val="1"/>
          <w:sz w:val="24"/>
          <w:szCs w:val="24"/>
          <w:rtl w:val="0"/>
          <w:lang w:val="es-ES_tradnl"/>
        </w:rPr>
        <w:t>Palace</w:t>
      </w:r>
      <w:r>
        <w:rPr>
          <w:rFonts w:ascii="Times New Roman" w:hAnsi="Times New Roman"/>
          <w:i w:val="1"/>
          <w:iCs w:val="1"/>
          <w:sz w:val="24"/>
          <w:szCs w:val="24"/>
          <w:rtl w:val="0"/>
          <w:lang w:val="en-US"/>
        </w:rPr>
        <w:t>.</w:t>
      </w:r>
      <w:r>
        <w:rPr>
          <w:rFonts w:ascii="Times New Roman" w:hAnsi="Times New Roman"/>
          <w:sz w:val="24"/>
          <w:szCs w:val="24"/>
          <w:rtl w:val="0"/>
          <w:lang w:val="en-US"/>
        </w:rPr>
        <w:t xml:space="preserve"> [Ink and Colour on Paper]. Museum of Fine Arts. Boston. Available at: </w:t>
      </w:r>
      <w:r>
        <w:rPr>
          <w:rStyle w:val="Link"/>
          <w:rFonts w:ascii="Times New Roman" w:cs="Times New Roman" w:hAnsi="Times New Roman" w:eastAsia="Times New Roman"/>
          <w:sz w:val="24"/>
          <w:szCs w:val="24"/>
        </w:rPr>
        <w:fldChar w:fldCharType="begin" w:fldLock="0"/>
      </w:r>
      <w:r>
        <w:rPr>
          <w:rStyle w:val="Link"/>
          <w:rFonts w:ascii="Times New Roman" w:cs="Times New Roman" w:hAnsi="Times New Roman" w:eastAsia="Times New Roman"/>
          <w:sz w:val="24"/>
          <w:szCs w:val="24"/>
        </w:rPr>
        <w:instrText xml:space="preserve"> HYPERLINK "https://www.mfa.org/collections/object/night-attack-on-the-sanj%C3%B4-palace-from-the-illustrated-scrolls-of-the-events-of-the-heiji-era-heiji-monogatari-emaki-24523"</w:instrText>
      </w:r>
      <w:r>
        <w:rPr>
          <w:rStyle w:val="Link"/>
          <w:rFonts w:ascii="Times New Roman" w:cs="Times New Roman" w:hAnsi="Times New Roman" w:eastAsia="Times New Roman"/>
          <w:sz w:val="24"/>
          <w:szCs w:val="24"/>
        </w:rPr>
        <w:fldChar w:fldCharType="separate" w:fldLock="0"/>
      </w:r>
      <w:r>
        <w:rPr>
          <w:rStyle w:val="Link"/>
          <w:rFonts w:ascii="Times New Roman" w:hAnsi="Times New Roman"/>
          <w:sz w:val="24"/>
          <w:szCs w:val="24"/>
          <w:rtl w:val="0"/>
          <w:lang w:val="en-US"/>
        </w:rPr>
        <w:t>https://www.mfa.org/collections/object/night-attack-on-the-sanj</w:t>
      </w:r>
      <w:r>
        <w:rPr>
          <w:rStyle w:val="Link"/>
          <w:rFonts w:ascii="Times New Roman" w:hAnsi="Times New Roman" w:hint="default"/>
          <w:sz w:val="24"/>
          <w:szCs w:val="24"/>
          <w:rtl w:val="0"/>
        </w:rPr>
        <w:t>ô</w:t>
      </w:r>
      <w:r>
        <w:rPr>
          <w:rStyle w:val="Link"/>
          <w:rFonts w:ascii="Times New Roman" w:hAnsi="Times New Roman"/>
          <w:sz w:val="24"/>
          <w:szCs w:val="24"/>
          <w:rtl w:val="0"/>
          <w:lang w:val="en-US"/>
        </w:rPr>
        <w:t>-palace-from-the-illustrated-scrolls-of-the-events-of-the-heiji-era-heiji-monogatari-emaki-24523</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[Last Accessed: 10/12/12]</w:t>
      </w:r>
    </w:p>
    <w:sectPr>
      <w:headerReference w:type="default" r:id="rId7"/>
      <w:footerReference w:type="default" r:id="rId8"/>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Label">
    <w:name w:val="Label"/>
    <w:next w:val="Label"/>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Neue" w:cs="Arial Unicode MS" w:hAnsi="Helvetica Neue" w:eastAsia="Arial Unicode MS"/>
      <w:b w:val="0"/>
      <w:bCs w:val="0"/>
      <w:i w:val="0"/>
      <w:iCs w:val="0"/>
      <w:caps w:val="0"/>
      <w:smallCaps w:val="0"/>
      <w:strike w:val="0"/>
      <w:dstrike w:val="0"/>
      <w:outline w:val="0"/>
      <w:color w:val="ffffff"/>
      <w:spacing w:val="0"/>
      <w:kern w:val="0"/>
      <w:position w:val="0"/>
      <w:sz w:val="24"/>
      <w:szCs w:val="24"/>
      <w:u w:val="none"/>
      <w:vertAlign w:val="baseline"/>
      <w:lang w:val="de-D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Link">
    <w:name w:val="Link"/>
    <w:rPr>
      <w:u w:val="single"/>
    </w:rPr>
  </w:style>
  <w:style w:type="character" w:styleId="Hyperlink.0">
    <w:name w:val="Hyperlink.0"/>
    <w:basedOn w:val="Link"/>
    <w:next w:val="Hyperlink.0"/>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