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02EB" w14:textId="77777777" w:rsidR="0011224D" w:rsidRDefault="0011224D" w:rsidP="0011224D">
      <w:pPr>
        <w:jc w:val="center"/>
        <w:rPr>
          <w:b/>
          <w:bCs/>
          <w:lang w:val="en-US"/>
        </w:rPr>
      </w:pPr>
    </w:p>
    <w:p w14:paraId="4E980D14" w14:textId="77777777" w:rsidR="0011224D" w:rsidRDefault="0011224D" w:rsidP="0011224D">
      <w:pPr>
        <w:jc w:val="center"/>
        <w:rPr>
          <w:b/>
          <w:bCs/>
          <w:lang w:val="en-US"/>
        </w:rPr>
      </w:pPr>
    </w:p>
    <w:p w14:paraId="7448E460" w14:textId="77777777" w:rsidR="0011224D" w:rsidRDefault="0011224D" w:rsidP="0011224D">
      <w:pPr>
        <w:jc w:val="center"/>
        <w:rPr>
          <w:b/>
          <w:bCs/>
          <w:lang w:val="en-US"/>
        </w:rPr>
      </w:pPr>
    </w:p>
    <w:p w14:paraId="3ADFB312" w14:textId="77777777" w:rsidR="0011224D" w:rsidRDefault="0011224D" w:rsidP="0011224D">
      <w:pPr>
        <w:jc w:val="center"/>
        <w:rPr>
          <w:b/>
          <w:bCs/>
          <w:lang w:val="en-US"/>
        </w:rPr>
      </w:pPr>
    </w:p>
    <w:p w14:paraId="5954FAEB" w14:textId="77777777" w:rsidR="0011224D" w:rsidRDefault="0011224D" w:rsidP="0011224D">
      <w:pPr>
        <w:jc w:val="center"/>
        <w:rPr>
          <w:b/>
          <w:bCs/>
          <w:sz w:val="32"/>
          <w:szCs w:val="32"/>
          <w:lang w:val="en-US"/>
        </w:rPr>
      </w:pPr>
    </w:p>
    <w:p w14:paraId="083833CE" w14:textId="77777777" w:rsidR="0011224D" w:rsidRDefault="0011224D" w:rsidP="0011224D">
      <w:pPr>
        <w:jc w:val="center"/>
        <w:rPr>
          <w:b/>
          <w:bCs/>
          <w:sz w:val="32"/>
          <w:szCs w:val="32"/>
          <w:lang w:val="en-US"/>
        </w:rPr>
      </w:pPr>
    </w:p>
    <w:p w14:paraId="7093A167" w14:textId="77777777" w:rsidR="0011224D" w:rsidRDefault="0011224D" w:rsidP="0011224D">
      <w:pPr>
        <w:jc w:val="center"/>
        <w:rPr>
          <w:b/>
          <w:bCs/>
          <w:sz w:val="32"/>
          <w:szCs w:val="32"/>
          <w:lang w:val="en-US"/>
        </w:rPr>
      </w:pPr>
    </w:p>
    <w:p w14:paraId="6FBA47D8" w14:textId="6F281AA8" w:rsidR="0011224D" w:rsidRPr="0011224D" w:rsidRDefault="0011224D" w:rsidP="0011224D">
      <w:pPr>
        <w:jc w:val="center"/>
        <w:rPr>
          <w:b/>
          <w:bCs/>
          <w:sz w:val="32"/>
          <w:szCs w:val="32"/>
        </w:rPr>
      </w:pPr>
      <w:r w:rsidRPr="0011224D">
        <w:rPr>
          <w:b/>
          <w:bCs/>
          <w:sz w:val="32"/>
          <w:szCs w:val="32"/>
          <w:lang w:val="en-US"/>
        </w:rPr>
        <w:t xml:space="preserve">Comparison of </w:t>
      </w:r>
      <w:r w:rsidRPr="0011224D">
        <w:rPr>
          <w:b/>
          <w:bCs/>
          <w:sz w:val="32"/>
          <w:szCs w:val="32"/>
        </w:rPr>
        <w:t xml:space="preserve">Intercontinental Hotels </w:t>
      </w:r>
      <w:r w:rsidRPr="0011224D">
        <w:rPr>
          <w:b/>
          <w:bCs/>
          <w:sz w:val="32"/>
          <w:szCs w:val="32"/>
          <w:lang w:val="en-US"/>
        </w:rPr>
        <w:t>G</w:t>
      </w:r>
      <w:r w:rsidRPr="0011224D">
        <w:rPr>
          <w:b/>
          <w:bCs/>
          <w:sz w:val="32"/>
          <w:szCs w:val="32"/>
        </w:rPr>
        <w:t>roup and Hyatt Hotels</w:t>
      </w:r>
    </w:p>
    <w:p w14:paraId="4DEC2C0D" w14:textId="68C2168E" w:rsidR="00153406" w:rsidRDefault="00153406"/>
    <w:p w14:paraId="78E82C89" w14:textId="7E0173A2" w:rsidR="0011224D" w:rsidRDefault="0011224D"/>
    <w:p w14:paraId="18BE1566" w14:textId="4F47B428" w:rsidR="0011224D" w:rsidRDefault="0011224D"/>
    <w:p w14:paraId="30EBB42B" w14:textId="77777777" w:rsidR="0011224D" w:rsidRPr="0011224D" w:rsidRDefault="0011224D" w:rsidP="0011224D">
      <w:pPr>
        <w:spacing w:after="160" w:line="360" w:lineRule="auto"/>
        <w:rPr>
          <w:rFonts w:ascii="Arial" w:hAnsi="Arial" w:cs="Arial"/>
          <w:color w:val="000000"/>
          <w:kern w:val="0"/>
          <w:shd w:val="clear" w:color="auto" w:fill="FFFFFF"/>
          <w:lang w:val="en-GB"/>
          <w14:ligatures w14:val="none"/>
        </w:rPr>
      </w:pPr>
    </w:p>
    <w:p w14:paraId="5D6B99BB" w14:textId="77777777" w:rsidR="0011224D" w:rsidRPr="0011224D" w:rsidRDefault="0011224D" w:rsidP="0011224D">
      <w:pPr>
        <w:spacing w:after="160" w:line="360" w:lineRule="auto"/>
        <w:jc w:val="both"/>
        <w:rPr>
          <w:rFonts w:ascii="Arial" w:hAnsi="Arial" w:cs="Arial"/>
          <w:color w:val="000000"/>
          <w:kern w:val="0"/>
          <w:shd w:val="clear" w:color="auto" w:fill="FFFFFF"/>
          <w:lang w:val="en-GB"/>
          <w14:ligatures w14:val="none"/>
        </w:rPr>
      </w:pPr>
      <w:r w:rsidRPr="0011224D">
        <w:rPr>
          <w:rFonts w:ascii="Arial" w:hAnsi="Arial" w:cs="Arial"/>
          <w:color w:val="000000"/>
          <w:kern w:val="0"/>
          <w:shd w:val="clear" w:color="auto" w:fill="FFFFFF"/>
          <w:lang w:val="en-GB"/>
          <w14:ligatures w14:val="none"/>
        </w:rPr>
        <w:t xml:space="preserve">Student Name:                      Danila Iulia </w:t>
      </w:r>
      <w:proofErr w:type="spellStart"/>
      <w:r w:rsidRPr="0011224D">
        <w:rPr>
          <w:rFonts w:ascii="Arial" w:hAnsi="Arial" w:cs="Arial"/>
          <w:color w:val="000000"/>
          <w:kern w:val="0"/>
          <w:shd w:val="clear" w:color="auto" w:fill="FFFFFF"/>
          <w:lang w:val="en-GB"/>
          <w14:ligatures w14:val="none"/>
        </w:rPr>
        <w:t>Lacramioara</w:t>
      </w:r>
      <w:proofErr w:type="spellEnd"/>
    </w:p>
    <w:p w14:paraId="03F5790C" w14:textId="77777777" w:rsidR="0011224D" w:rsidRPr="0011224D" w:rsidRDefault="0011224D" w:rsidP="0011224D">
      <w:pPr>
        <w:spacing w:after="160" w:line="360" w:lineRule="auto"/>
        <w:jc w:val="both"/>
        <w:rPr>
          <w:rFonts w:ascii="Arial" w:hAnsi="Arial" w:cs="Arial"/>
          <w:color w:val="000000"/>
          <w:kern w:val="0"/>
          <w:shd w:val="clear" w:color="auto" w:fill="FFFFFF"/>
          <w:lang w:val="en-GB"/>
          <w14:ligatures w14:val="none"/>
        </w:rPr>
      </w:pPr>
      <w:r w:rsidRPr="0011224D">
        <w:rPr>
          <w:rFonts w:ascii="Arial" w:hAnsi="Arial" w:cs="Arial"/>
          <w:color w:val="000000"/>
          <w:kern w:val="0"/>
          <w:shd w:val="clear" w:color="auto" w:fill="FFFFFF"/>
          <w:lang w:val="en-GB"/>
          <w14:ligatures w14:val="none"/>
        </w:rPr>
        <w:t>Student number:                   2108673</w:t>
      </w:r>
    </w:p>
    <w:p w14:paraId="7B317A3A" w14:textId="31896C7B" w:rsidR="0011224D" w:rsidRPr="0011224D" w:rsidRDefault="0011224D" w:rsidP="0011224D">
      <w:pPr>
        <w:spacing w:after="160" w:line="360" w:lineRule="auto"/>
        <w:jc w:val="both"/>
        <w:rPr>
          <w:rFonts w:ascii="Arial" w:hAnsi="Arial" w:cs="Arial"/>
          <w:color w:val="000000"/>
          <w:kern w:val="0"/>
          <w:shd w:val="clear" w:color="auto" w:fill="FFFFFF"/>
          <w:lang w:val="en-GB"/>
          <w14:ligatures w14:val="none"/>
        </w:rPr>
      </w:pPr>
      <w:r w:rsidRPr="0011224D">
        <w:rPr>
          <w:rFonts w:ascii="Arial" w:hAnsi="Arial" w:cs="Arial"/>
          <w:color w:val="000000"/>
          <w:kern w:val="0"/>
          <w:shd w:val="clear" w:color="auto" w:fill="FFFFFF"/>
          <w:lang w:val="en-GB"/>
          <w14:ligatures w14:val="none"/>
        </w:rPr>
        <w:t xml:space="preserve">Module:                                 </w:t>
      </w:r>
      <w:r>
        <w:rPr>
          <w:rFonts w:ascii="Arial" w:hAnsi="Arial" w:cs="Arial"/>
          <w:color w:val="000000"/>
          <w:kern w:val="0"/>
          <w:shd w:val="clear" w:color="auto" w:fill="FFFFFF"/>
          <w:lang w:val="en-GB"/>
          <w14:ligatures w14:val="none"/>
        </w:rPr>
        <w:t>Financial Management BMIH5007</w:t>
      </w:r>
    </w:p>
    <w:p w14:paraId="342AFE1B" w14:textId="00138859" w:rsidR="0011224D" w:rsidRDefault="0011224D" w:rsidP="0011224D">
      <w:pPr>
        <w:spacing w:after="160" w:line="360" w:lineRule="auto"/>
        <w:jc w:val="both"/>
        <w:rPr>
          <w:rFonts w:ascii="Arial" w:hAnsi="Arial" w:cs="Arial"/>
          <w:color w:val="000000"/>
          <w:kern w:val="0"/>
          <w:shd w:val="clear" w:color="auto" w:fill="FFFFFF"/>
          <w:lang w:val="en-GB"/>
          <w14:ligatures w14:val="none"/>
        </w:rPr>
      </w:pPr>
      <w:r w:rsidRPr="0011224D">
        <w:rPr>
          <w:rFonts w:ascii="Arial" w:hAnsi="Arial" w:cs="Arial"/>
          <w:color w:val="000000"/>
          <w:kern w:val="0"/>
          <w:shd w:val="clear" w:color="auto" w:fill="FFFFFF"/>
          <w:lang w:val="en-GB"/>
          <w14:ligatures w14:val="none"/>
        </w:rPr>
        <w:t xml:space="preserve">Lecturer:                                </w:t>
      </w:r>
      <w:r>
        <w:rPr>
          <w:rFonts w:ascii="Arial" w:hAnsi="Arial" w:cs="Arial"/>
          <w:color w:val="000000"/>
          <w:kern w:val="0"/>
          <w:shd w:val="clear" w:color="auto" w:fill="FFFFFF"/>
          <w:lang w:val="en-GB"/>
          <w14:ligatures w14:val="none"/>
        </w:rPr>
        <w:t>Dale Clarke</w:t>
      </w:r>
    </w:p>
    <w:p w14:paraId="086273C2" w14:textId="43FFA083"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40BD8A37" w14:textId="426C3254"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4BD38BE5" w14:textId="0DAA9FB2"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65BD186C" w14:textId="225EE03F"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2CCD91C7" w14:textId="655E3E4E"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6B892D52" w14:textId="089C8DB7"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3673B3BF" w14:textId="2C4F83F0"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01855B25" w14:textId="77777777" w:rsidR="00313956" w:rsidRDefault="00313956" w:rsidP="0011224D">
      <w:pPr>
        <w:spacing w:after="160" w:line="360" w:lineRule="auto"/>
        <w:jc w:val="both"/>
        <w:rPr>
          <w:rFonts w:ascii="Arial" w:hAnsi="Arial" w:cs="Arial"/>
          <w:color w:val="000000"/>
          <w:kern w:val="0"/>
          <w:shd w:val="clear" w:color="auto" w:fill="FFFFFF"/>
          <w:lang w:val="en-GB"/>
          <w14:ligatures w14:val="none"/>
        </w:rPr>
      </w:pPr>
    </w:p>
    <w:p w14:paraId="5854D72D" w14:textId="49CFB1B0"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3FE08CB2" w14:textId="248267C0"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51E94891" w14:textId="77777777" w:rsidR="0011224D" w:rsidRPr="0011224D" w:rsidRDefault="0011224D" w:rsidP="0011224D">
      <w:pPr>
        <w:spacing w:line="360" w:lineRule="auto"/>
        <w:ind w:firstLine="720"/>
        <w:jc w:val="both"/>
        <w:rPr>
          <w:rFonts w:ascii="Arial" w:hAnsi="Arial" w:cs="Arial"/>
        </w:rPr>
      </w:pPr>
      <w:r w:rsidRPr="0011224D">
        <w:rPr>
          <w:rFonts w:ascii="Arial" w:hAnsi="Arial" w:cs="Arial"/>
        </w:rPr>
        <w:t>The hospitality industry is one of the largest and fastest-growing industries in the world. It is an industry constantly evolving and adapting to the changing demands of consumers. With the increasing number of hotels, resorts, and other hospitality establishments, it is becoming increasingly difficult for companies to stand out from their competitors. Two of the largest and most successful players in the hospitality industry are Intercontinental Hotels Group (IHG) and Hyatt Hotels Corporation (Hyatt).</w:t>
      </w:r>
      <w:r w:rsidRPr="0011224D">
        <w:rPr>
          <w:rFonts w:ascii="Arial" w:hAnsi="Arial" w:cs="Arial"/>
          <w:lang w:val="en-US"/>
        </w:rPr>
        <w:t xml:space="preserve"> </w:t>
      </w:r>
      <w:r w:rsidRPr="0011224D">
        <w:rPr>
          <w:rFonts w:ascii="Arial" w:hAnsi="Arial" w:cs="Arial"/>
        </w:rPr>
        <w:t>IHG is one of the world's leading hotel companies, with a portfolio of over 5,800 hotels in almost 100 countries (</w:t>
      </w:r>
      <w:r w:rsidRPr="0011224D">
        <w:rPr>
          <w:rFonts w:ascii="Arial" w:hAnsi="Arial" w:cs="Arial"/>
          <w:color w:val="222222"/>
          <w:shd w:val="clear" w:color="auto" w:fill="FFFFFF"/>
        </w:rPr>
        <w:t>Suprapto et al., 2020)</w:t>
      </w:r>
      <w:r w:rsidRPr="0011224D">
        <w:rPr>
          <w:rFonts w:ascii="Arial" w:hAnsi="Arial" w:cs="Arial"/>
        </w:rPr>
        <w:t>. The company was founded in the United Kingdom in 1777 and has since grown to become one of the largest hotel companies in the world. IHG is known for its strong brand portfolio, which includes well-known brands such as InterContinental, Crowne Plaza, and Holiday Inn.</w:t>
      </w:r>
    </w:p>
    <w:p w14:paraId="7D91C594" w14:textId="77777777" w:rsidR="0011224D" w:rsidRPr="0011224D" w:rsidRDefault="0011224D" w:rsidP="0011224D">
      <w:pPr>
        <w:spacing w:line="360" w:lineRule="auto"/>
        <w:ind w:firstLine="720"/>
        <w:jc w:val="both"/>
        <w:rPr>
          <w:rFonts w:ascii="Arial" w:hAnsi="Arial" w:cs="Arial"/>
        </w:rPr>
      </w:pPr>
      <w:r w:rsidRPr="0011224D">
        <w:rPr>
          <w:rFonts w:ascii="Arial" w:hAnsi="Arial" w:cs="Arial"/>
        </w:rPr>
        <w:t>Hyatt is another major player in the hospitality industry, with a portfolio of over 900 hotels in 60 countries. The company was founded in the United States in 1957 and has become one of the world's largest and most respected hotel companies (Lapan, 2022). Hyatt is known for its luxury brands, such as Park Hyatt and Andaz, as well as its focus on customer experience and corporate responsibility.</w:t>
      </w:r>
      <w:r w:rsidRPr="0011224D">
        <w:rPr>
          <w:rFonts w:ascii="Arial" w:hAnsi="Arial" w:cs="Arial"/>
          <w:lang w:val="en-US"/>
        </w:rPr>
        <w:t xml:space="preserve"> </w:t>
      </w:r>
      <w:r w:rsidRPr="0011224D">
        <w:rPr>
          <w:rFonts w:ascii="Arial" w:hAnsi="Arial" w:cs="Arial"/>
        </w:rPr>
        <w:t>Despite the intense competition in the hospitality industry, IHG and Hyatt have achieved significant succes.  Both companies have implemented innovative strategies to optimize their financial performance while providing high customer service and satisfaction. For example, IHG has focused on developing solid relationships with its franchised hotels, while Hyatt has invested in technology and sustainability initiatives.</w:t>
      </w:r>
    </w:p>
    <w:p w14:paraId="5C55B5FA" w14:textId="77777777" w:rsidR="0011224D" w:rsidRDefault="0011224D" w:rsidP="0011224D">
      <w:pPr>
        <w:jc w:val="center"/>
        <w:rPr>
          <w:b/>
          <w:bCs/>
          <w:lang w:val="en-US"/>
        </w:rPr>
      </w:pPr>
    </w:p>
    <w:p w14:paraId="5F33115C" w14:textId="77777777" w:rsidR="0011224D" w:rsidRDefault="0011224D" w:rsidP="0011224D">
      <w:pPr>
        <w:jc w:val="center"/>
        <w:rPr>
          <w:b/>
          <w:bCs/>
          <w:lang w:val="en-US"/>
        </w:rPr>
      </w:pPr>
    </w:p>
    <w:p w14:paraId="452DD295" w14:textId="77777777" w:rsidR="0011224D" w:rsidRDefault="0011224D" w:rsidP="0011224D">
      <w:pPr>
        <w:jc w:val="center"/>
        <w:rPr>
          <w:b/>
          <w:bCs/>
          <w:lang w:val="en-US"/>
        </w:rPr>
      </w:pPr>
    </w:p>
    <w:p w14:paraId="7A245835" w14:textId="77777777" w:rsidR="0011224D" w:rsidRDefault="0011224D" w:rsidP="0011224D">
      <w:pPr>
        <w:jc w:val="center"/>
        <w:rPr>
          <w:b/>
          <w:bCs/>
          <w:lang w:val="en-US"/>
        </w:rPr>
      </w:pPr>
    </w:p>
    <w:p w14:paraId="72BE8B47" w14:textId="77777777" w:rsidR="0011224D" w:rsidRDefault="0011224D" w:rsidP="0011224D">
      <w:pPr>
        <w:jc w:val="center"/>
        <w:rPr>
          <w:b/>
          <w:bCs/>
          <w:lang w:val="en-US"/>
        </w:rPr>
      </w:pPr>
    </w:p>
    <w:p w14:paraId="2E4A402E" w14:textId="77777777" w:rsidR="00313956" w:rsidRDefault="00313956" w:rsidP="0011224D">
      <w:pPr>
        <w:jc w:val="center"/>
        <w:rPr>
          <w:b/>
          <w:bCs/>
          <w:sz w:val="28"/>
          <w:szCs w:val="28"/>
          <w:lang w:val="en-US"/>
        </w:rPr>
      </w:pPr>
    </w:p>
    <w:p w14:paraId="09F48802" w14:textId="74063C75" w:rsidR="0011224D" w:rsidRPr="0011224D" w:rsidRDefault="0011224D" w:rsidP="0011224D">
      <w:pPr>
        <w:jc w:val="center"/>
        <w:rPr>
          <w:b/>
          <w:bCs/>
          <w:sz w:val="28"/>
          <w:szCs w:val="28"/>
          <w:lang w:val="en-US"/>
        </w:rPr>
      </w:pPr>
      <w:r w:rsidRPr="0011224D">
        <w:rPr>
          <w:b/>
          <w:bCs/>
          <w:sz w:val="28"/>
          <w:szCs w:val="28"/>
          <w:lang w:val="en-US"/>
        </w:rPr>
        <w:lastRenderedPageBreak/>
        <w:t>Total Revenue</w:t>
      </w:r>
    </w:p>
    <w:p w14:paraId="05125B18" w14:textId="77777777" w:rsidR="0011224D" w:rsidRDefault="0011224D" w:rsidP="0011224D">
      <w:pPr>
        <w:jc w:val="center"/>
        <w:rPr>
          <w:b/>
          <w:bCs/>
          <w:lang w:val="en-US"/>
        </w:rPr>
      </w:pPr>
    </w:p>
    <w:p w14:paraId="2C3D5B32" w14:textId="77777777" w:rsidR="0011224D" w:rsidRPr="0011224D" w:rsidRDefault="0011224D" w:rsidP="0011224D">
      <w:pPr>
        <w:spacing w:line="360" w:lineRule="auto"/>
        <w:ind w:firstLine="720"/>
        <w:jc w:val="both"/>
        <w:rPr>
          <w:rFonts w:ascii="Arial" w:hAnsi="Arial" w:cs="Arial"/>
          <w:b/>
          <w:bCs/>
          <w:lang w:val="en-US"/>
        </w:rPr>
      </w:pPr>
      <w:r w:rsidRPr="0011224D">
        <w:rPr>
          <w:rFonts w:ascii="Arial" w:hAnsi="Arial" w:cs="Arial"/>
          <w:lang w:val="en-US"/>
        </w:rPr>
        <w:t>Intercontinental Hotels Group (IHG) and Hyatt Hotels offer a wide range of accommodations and services, from budget-friendly to luxurious, full-service hotels. Despite having similarities in their offerings, the two companies have different total revenue numbers. In 2020 IHG had a total revenue of $3.2 billion (</w:t>
      </w:r>
      <w:r w:rsidRPr="0011224D">
        <w:rPr>
          <w:rFonts w:ascii="Arial" w:hAnsi="Arial" w:cs="Arial"/>
          <w:color w:val="222222"/>
          <w:shd w:val="clear" w:color="auto" w:fill="FFFFFF"/>
        </w:rPr>
        <w:t>Huang &amp; Cai, 2022)</w:t>
      </w:r>
      <w:r w:rsidRPr="0011224D">
        <w:rPr>
          <w:rFonts w:ascii="Arial" w:hAnsi="Arial" w:cs="Arial"/>
          <w:lang w:val="en-US"/>
        </w:rPr>
        <w:t>. The company operates in nearly 100 countries and has a strong presence in the budget-friendly and midscale segments of the hotel industry. The company's strong global presence and broad offerings have contributed to its financial performance. On the other hand, Hyatt Hotels had a total revenue of $4.5 billion in 2020 (</w:t>
      </w:r>
      <w:r w:rsidRPr="0011224D">
        <w:rPr>
          <w:rFonts w:ascii="Arial" w:hAnsi="Arial" w:cs="Arial"/>
          <w:color w:val="222222"/>
          <w:shd w:val="clear" w:color="auto" w:fill="FFFFFF"/>
        </w:rPr>
        <w:t>Evans, 2019)</w:t>
      </w:r>
      <w:r w:rsidRPr="0011224D">
        <w:rPr>
          <w:rFonts w:ascii="Arial" w:hAnsi="Arial" w:cs="Arial"/>
          <w:lang w:val="en-US"/>
        </w:rPr>
        <w:t>. While smaller than IHG in terms of the number of hotels, Hyatt has a more focused brand portfolio with a strong presence in the luxury segment. Hyatt's luxury offerings and focus on high-end customer experiences have helped the company generate substantial revenue.</w:t>
      </w:r>
    </w:p>
    <w:p w14:paraId="48E05ED6" w14:textId="77777777"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IHG and Hyatt Hotels generate different amounts of total revenue because they target distinct markets within the hotel business. Compared to Hyatt, which caters to the premium market, IHG is well-established in the more affordable and moderate price ranges (</w:t>
      </w:r>
      <w:r w:rsidRPr="0011224D">
        <w:rPr>
          <w:rFonts w:ascii="Arial" w:hAnsi="Arial" w:cs="Arial"/>
          <w:color w:val="222222"/>
          <w:shd w:val="clear" w:color="auto" w:fill="FFFFFF"/>
        </w:rPr>
        <w:t>Koushik et al., 2012)</w:t>
      </w:r>
      <w:r w:rsidRPr="0011224D">
        <w:rPr>
          <w:rFonts w:ascii="Arial" w:hAnsi="Arial" w:cs="Arial"/>
          <w:lang w:val="en-US"/>
        </w:rPr>
        <w:t xml:space="preserve">. Hyatt's concentration on the luxury market has helped it outperform IHG in revenue since this market has historically done better than others in the hotel sector.  </w:t>
      </w:r>
    </w:p>
    <w:p w14:paraId="62A31121" w14:textId="77777777"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When comparing the two major hotel chains, Hyatt and IHG, the latter has a weaker worldwide footprint due to its fewer hotels (60) in just 90 different countries (</w:t>
      </w:r>
      <w:r w:rsidRPr="0011224D">
        <w:rPr>
          <w:rFonts w:ascii="Arial" w:hAnsi="Arial" w:cs="Arial"/>
          <w:color w:val="222222"/>
          <w:shd w:val="clear" w:color="auto" w:fill="FFFFFF"/>
        </w:rPr>
        <w:t>Tariq, 2019)</w:t>
      </w:r>
      <w:r w:rsidRPr="0011224D">
        <w:rPr>
          <w:rFonts w:ascii="Arial" w:hAnsi="Arial" w:cs="Arial"/>
          <w:lang w:val="en-US"/>
        </w:rPr>
        <w:t xml:space="preserve">. IHG's increased revenue may be because the corporation is now in more parts of the world. The two businesses also differ in how they handle their respective brands. Hyatt's brand portfolio is more narrowly focused on luxury experiences, whereas IHG's covers a wider variety of offers at varying price ranges. </w:t>
      </w:r>
    </w:p>
    <w:p w14:paraId="3DAB5866" w14:textId="77777777" w:rsidR="0011224D" w:rsidRDefault="0011224D" w:rsidP="0011224D">
      <w:pPr>
        <w:jc w:val="center"/>
        <w:rPr>
          <w:b/>
          <w:bCs/>
          <w:lang w:val="en-US"/>
        </w:rPr>
      </w:pPr>
    </w:p>
    <w:p w14:paraId="35890E24" w14:textId="77777777" w:rsidR="0011224D" w:rsidRDefault="0011224D" w:rsidP="0011224D">
      <w:pPr>
        <w:jc w:val="center"/>
        <w:rPr>
          <w:b/>
          <w:bCs/>
          <w:lang w:val="en-US"/>
        </w:rPr>
      </w:pPr>
    </w:p>
    <w:p w14:paraId="4C8CB45C" w14:textId="77777777" w:rsidR="0011224D" w:rsidRDefault="0011224D" w:rsidP="0011224D">
      <w:pPr>
        <w:jc w:val="center"/>
        <w:rPr>
          <w:b/>
          <w:bCs/>
          <w:lang w:val="en-US"/>
        </w:rPr>
      </w:pPr>
    </w:p>
    <w:p w14:paraId="2D483E8D" w14:textId="77777777" w:rsidR="0011224D" w:rsidRDefault="0011224D" w:rsidP="0011224D">
      <w:pPr>
        <w:jc w:val="center"/>
        <w:rPr>
          <w:b/>
          <w:bCs/>
          <w:lang w:val="en-US"/>
        </w:rPr>
      </w:pPr>
    </w:p>
    <w:p w14:paraId="2481B302" w14:textId="77777777" w:rsidR="0011224D" w:rsidRDefault="0011224D" w:rsidP="0011224D">
      <w:pPr>
        <w:jc w:val="center"/>
        <w:rPr>
          <w:b/>
          <w:bCs/>
          <w:lang w:val="en-US"/>
        </w:rPr>
      </w:pPr>
    </w:p>
    <w:p w14:paraId="24D51394" w14:textId="47946F61" w:rsidR="0011224D" w:rsidRPr="0011224D" w:rsidRDefault="0011224D" w:rsidP="0011224D">
      <w:pPr>
        <w:jc w:val="center"/>
        <w:rPr>
          <w:b/>
          <w:bCs/>
          <w:sz w:val="28"/>
          <w:szCs w:val="28"/>
          <w:lang w:val="en-US"/>
        </w:rPr>
      </w:pPr>
      <w:r w:rsidRPr="0011224D">
        <w:rPr>
          <w:b/>
          <w:bCs/>
          <w:sz w:val="28"/>
          <w:szCs w:val="28"/>
          <w:lang w:val="en-US"/>
        </w:rPr>
        <w:lastRenderedPageBreak/>
        <w:t>Market Position</w:t>
      </w:r>
    </w:p>
    <w:p w14:paraId="3B3982E6" w14:textId="77777777" w:rsidR="0011224D" w:rsidRDefault="0011224D" w:rsidP="0011224D">
      <w:pPr>
        <w:ind w:firstLine="720"/>
        <w:rPr>
          <w:lang w:val="en-US"/>
        </w:rPr>
      </w:pPr>
    </w:p>
    <w:p w14:paraId="1D5CE085" w14:textId="5E3891AD"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 xml:space="preserve">IHG is a multinational corporation with an extensive </w:t>
      </w:r>
      <w:proofErr w:type="gramStart"/>
      <w:r w:rsidRPr="0011224D">
        <w:rPr>
          <w:rFonts w:ascii="Arial" w:hAnsi="Arial" w:cs="Arial"/>
          <w:lang w:val="en-US"/>
        </w:rPr>
        <w:t>brand  that</w:t>
      </w:r>
      <w:proofErr w:type="gramEnd"/>
      <w:r w:rsidRPr="0011224D">
        <w:rPr>
          <w:rFonts w:ascii="Arial" w:hAnsi="Arial" w:cs="Arial"/>
          <w:lang w:val="en-US"/>
        </w:rPr>
        <w:t xml:space="preserve"> welcomes many customers, from those on a tight budget to those looking to splurge. IHG has swiftly extended its presence and entered new regions because of its emphasis on franchising (Wang </w:t>
      </w:r>
      <w:r w:rsidRPr="0011224D">
        <w:rPr>
          <w:rFonts w:ascii="Arial" w:hAnsi="Arial" w:cs="Arial"/>
          <w:color w:val="222222"/>
          <w:shd w:val="clear" w:color="auto" w:fill="FFFFFF"/>
        </w:rPr>
        <w:t>&amp; Chung, 2015)</w:t>
      </w:r>
      <w:r w:rsidRPr="0011224D">
        <w:rPr>
          <w:rFonts w:ascii="Arial" w:hAnsi="Arial" w:cs="Arial"/>
          <w:lang w:val="en-US"/>
        </w:rPr>
        <w:t>. The corporation has also put resources into digital projects like smartphone booking and loyalty programs to provide better service to guests and increase income (</w:t>
      </w:r>
      <w:r w:rsidRPr="0011224D">
        <w:rPr>
          <w:rFonts w:ascii="Arial" w:hAnsi="Arial" w:cs="Arial"/>
          <w:color w:val="222222"/>
          <w:shd w:val="clear" w:color="auto" w:fill="FFFFFF"/>
        </w:rPr>
        <w:t>Van Niekerk, 2016)</w:t>
      </w:r>
      <w:r w:rsidRPr="0011224D">
        <w:rPr>
          <w:rFonts w:ascii="Arial" w:hAnsi="Arial" w:cs="Arial"/>
          <w:lang w:val="en-US"/>
        </w:rPr>
        <w:t>. On the other side, Hyatt is a five-star establishment. Hyatt is committed to creating memorable stays for its guests and strengthening customer connections via its reward program. The firm has a substantial emphasis on the luxury and leisure divisions of the hotel industry, with a robust presence in important countries, including North America and Asia (</w:t>
      </w:r>
      <w:r w:rsidRPr="0011224D">
        <w:rPr>
          <w:rFonts w:ascii="Arial" w:hAnsi="Arial" w:cs="Arial"/>
          <w:color w:val="222222"/>
          <w:shd w:val="clear" w:color="auto" w:fill="FFFFFF"/>
        </w:rPr>
        <w:t>Naumik-Gladkaya &amp; Devon, 2018)</w:t>
      </w:r>
      <w:r w:rsidRPr="0011224D">
        <w:rPr>
          <w:rFonts w:ascii="Arial" w:hAnsi="Arial" w:cs="Arial"/>
          <w:lang w:val="en-US"/>
        </w:rPr>
        <w:t>. To broaden its reach and product lineup, Hyatt has also undertaken strategic acquisitions like purchasing Two Roads Hospitality (</w:t>
      </w:r>
      <w:proofErr w:type="spellStart"/>
      <w:r w:rsidRPr="0011224D">
        <w:rPr>
          <w:rFonts w:ascii="Arial" w:hAnsi="Arial" w:cs="Arial"/>
          <w:lang w:val="en-US"/>
        </w:rPr>
        <w:t>Lapan</w:t>
      </w:r>
      <w:proofErr w:type="spellEnd"/>
      <w:r w:rsidRPr="0011224D">
        <w:rPr>
          <w:rFonts w:ascii="Arial" w:hAnsi="Arial" w:cs="Arial"/>
          <w:lang w:val="en-US"/>
        </w:rPr>
        <w:t>, 2022). Regarding market position, IHG has a broader reach and a stronger focus on budget and midscale segments. At the same time, Hyatt is more premium-focused and has a smaller but more distinctive portfolio. Both companies have strong brand recognition and a commitment to customer satisfaction, but Hyatt's focus on luxury and exceptional experiences gives it a more premium market position than IHG.</w:t>
      </w:r>
    </w:p>
    <w:p w14:paraId="0F1E1A4C" w14:textId="77777777" w:rsidR="0011224D" w:rsidRDefault="0011224D" w:rsidP="0011224D">
      <w:pPr>
        <w:ind w:firstLine="720"/>
        <w:rPr>
          <w:lang w:val="en-US"/>
        </w:rPr>
      </w:pPr>
    </w:p>
    <w:p w14:paraId="10E39022" w14:textId="77777777" w:rsidR="0011224D" w:rsidRDefault="0011224D" w:rsidP="0011224D">
      <w:pPr>
        <w:ind w:firstLine="720"/>
        <w:rPr>
          <w:lang w:val="en-US"/>
        </w:rPr>
      </w:pPr>
    </w:p>
    <w:p w14:paraId="051D1683" w14:textId="77777777" w:rsidR="0011224D" w:rsidRDefault="0011224D" w:rsidP="0011224D">
      <w:pPr>
        <w:ind w:firstLine="720"/>
        <w:rPr>
          <w:lang w:val="en-US"/>
        </w:rPr>
      </w:pPr>
    </w:p>
    <w:p w14:paraId="47F54EDF" w14:textId="77777777" w:rsidR="0011224D" w:rsidRDefault="0011224D" w:rsidP="0011224D">
      <w:pPr>
        <w:ind w:firstLine="720"/>
        <w:rPr>
          <w:lang w:val="en-US"/>
        </w:rPr>
      </w:pPr>
    </w:p>
    <w:p w14:paraId="28DF8C17" w14:textId="77777777" w:rsidR="0011224D" w:rsidRDefault="0011224D" w:rsidP="0011224D">
      <w:pPr>
        <w:ind w:firstLine="720"/>
        <w:rPr>
          <w:lang w:val="en-US"/>
        </w:rPr>
      </w:pPr>
    </w:p>
    <w:p w14:paraId="230E2859" w14:textId="77777777" w:rsidR="0011224D" w:rsidRDefault="0011224D" w:rsidP="0011224D">
      <w:pPr>
        <w:ind w:firstLine="720"/>
        <w:rPr>
          <w:lang w:val="en-US"/>
        </w:rPr>
      </w:pPr>
    </w:p>
    <w:p w14:paraId="712E9793" w14:textId="77777777" w:rsidR="0011224D" w:rsidRDefault="0011224D" w:rsidP="0011224D">
      <w:pPr>
        <w:ind w:firstLine="720"/>
        <w:rPr>
          <w:lang w:val="en-US"/>
        </w:rPr>
      </w:pPr>
    </w:p>
    <w:p w14:paraId="2379D9EA" w14:textId="77777777" w:rsidR="0011224D" w:rsidRDefault="0011224D" w:rsidP="0011224D">
      <w:pPr>
        <w:ind w:firstLine="720"/>
        <w:rPr>
          <w:lang w:val="en-US"/>
        </w:rPr>
      </w:pPr>
    </w:p>
    <w:p w14:paraId="372436B2" w14:textId="77777777" w:rsidR="0011224D" w:rsidRDefault="0011224D" w:rsidP="0011224D">
      <w:pPr>
        <w:jc w:val="center"/>
        <w:rPr>
          <w:b/>
          <w:bCs/>
          <w:lang w:val="en-US"/>
        </w:rPr>
      </w:pPr>
    </w:p>
    <w:p w14:paraId="252577A3" w14:textId="77777777" w:rsidR="0011224D" w:rsidRDefault="0011224D" w:rsidP="0011224D">
      <w:pPr>
        <w:jc w:val="center"/>
        <w:rPr>
          <w:b/>
          <w:bCs/>
          <w:lang w:val="en-US"/>
        </w:rPr>
      </w:pPr>
    </w:p>
    <w:p w14:paraId="14A9B50F" w14:textId="035313A6" w:rsidR="0011224D" w:rsidRPr="0011224D" w:rsidRDefault="0011224D" w:rsidP="0011224D">
      <w:pPr>
        <w:jc w:val="center"/>
        <w:rPr>
          <w:b/>
          <w:bCs/>
          <w:sz w:val="28"/>
          <w:szCs w:val="28"/>
          <w:lang w:val="en-US"/>
        </w:rPr>
      </w:pPr>
      <w:r w:rsidRPr="0011224D">
        <w:rPr>
          <w:b/>
          <w:bCs/>
          <w:sz w:val="28"/>
          <w:szCs w:val="28"/>
          <w:lang w:val="en-US"/>
        </w:rPr>
        <w:lastRenderedPageBreak/>
        <w:t>Growth Potential</w:t>
      </w:r>
    </w:p>
    <w:p w14:paraId="17925381" w14:textId="77777777" w:rsidR="0011224D" w:rsidRDefault="0011224D" w:rsidP="0011224D">
      <w:pPr>
        <w:ind w:firstLine="720"/>
        <w:rPr>
          <w:lang w:val="en-US"/>
        </w:rPr>
      </w:pPr>
    </w:p>
    <w:p w14:paraId="4D93CC20" w14:textId="296B61C4"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Hyatt Hotels and InterContinental Hotels Group (IHG) have proven growth records and a dedication to developing their businesses. However, their potential for expansion varies depending on several circumstances. IHG's development potential is enhanced by its strategy of diversification, which enables it to capitalize on many distinct market niches (</w:t>
      </w:r>
      <w:r w:rsidRPr="0011224D">
        <w:rPr>
          <w:rFonts w:ascii="Arial" w:hAnsi="Arial" w:cs="Arial"/>
          <w:color w:val="222222"/>
          <w:shd w:val="clear" w:color="auto" w:fill="FFFFFF"/>
        </w:rPr>
        <w:t>Rhou &amp; Singal, 2020)</w:t>
      </w:r>
      <w:r w:rsidRPr="0011224D">
        <w:rPr>
          <w:rFonts w:ascii="Arial" w:hAnsi="Arial" w:cs="Arial"/>
          <w:lang w:val="en-US"/>
        </w:rPr>
        <w:t>. The firm also pays a premium on franchising, contributing to its rapid growth and expansion into new countries (</w:t>
      </w:r>
      <w:r w:rsidRPr="0011224D">
        <w:rPr>
          <w:rFonts w:ascii="Arial" w:hAnsi="Arial" w:cs="Arial"/>
          <w:color w:val="222222"/>
          <w:shd w:val="clear" w:color="auto" w:fill="FFFFFF"/>
        </w:rPr>
        <w:t>Helmold &amp; Helmold, 2020)</w:t>
      </w:r>
      <w:r w:rsidRPr="0011224D">
        <w:rPr>
          <w:rFonts w:ascii="Arial" w:hAnsi="Arial" w:cs="Arial"/>
          <w:lang w:val="en-US"/>
        </w:rPr>
        <w:t>. IHG has also put resources into digital projects like mobile booking and loyalty programs because of their potential to boost earnings and satisfaction among guests.</w:t>
      </w:r>
    </w:p>
    <w:p w14:paraId="3A0AD2FF" w14:textId="77777777"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On the other hand, Hyatt targets the premium luxury and lifestyle markets with its offerings. The hotel may charge more for rooms and attract wealthier customers by specializing. Hyatt has also increased its potential for expansion via smart acquisitions, such as purchasing Two Roads Hospitality. Hyatt's loyalty program, which emphasizes delivering extraordinary experiences and cultivating meaningful connections with guests, may serve as a further generator of income and expansion (</w:t>
      </w:r>
      <w:r w:rsidRPr="0011224D">
        <w:rPr>
          <w:rFonts w:ascii="Arial" w:hAnsi="Arial" w:cs="Arial"/>
          <w:color w:val="222222"/>
          <w:shd w:val="clear" w:color="auto" w:fill="FFFFFF"/>
        </w:rPr>
        <w:t>Schlothauer &amp; Wilhaus, 2016)</w:t>
      </w:r>
      <w:r w:rsidRPr="0011224D">
        <w:rPr>
          <w:rFonts w:ascii="Arial" w:hAnsi="Arial" w:cs="Arial"/>
          <w:lang w:val="en-US"/>
        </w:rPr>
        <w:t>. Hyatt is more premium oriented and has a smaller but more unique portfolio than IHG, although IHG has a greater reach and a better concentration on budget and midscale sectors. While both Hyatt and IHG are dedicated to expansion, IHG's broader portfolio and emphasis on budget and midscale sectors make it a more adaptable participant in the industry with possibly more development potential.</w:t>
      </w:r>
    </w:p>
    <w:p w14:paraId="4C4D65A4" w14:textId="77777777" w:rsidR="0011224D" w:rsidRDefault="0011224D" w:rsidP="0011224D">
      <w:pPr>
        <w:jc w:val="center"/>
        <w:rPr>
          <w:b/>
          <w:bCs/>
          <w:lang w:val="en-US"/>
        </w:rPr>
      </w:pPr>
    </w:p>
    <w:p w14:paraId="504118B9" w14:textId="77777777" w:rsidR="0011224D" w:rsidRDefault="0011224D" w:rsidP="0011224D">
      <w:pPr>
        <w:jc w:val="center"/>
        <w:rPr>
          <w:b/>
          <w:bCs/>
          <w:lang w:val="en-US"/>
        </w:rPr>
      </w:pPr>
    </w:p>
    <w:p w14:paraId="6C5E4A5F" w14:textId="77777777" w:rsidR="0011224D" w:rsidRDefault="0011224D" w:rsidP="0011224D">
      <w:pPr>
        <w:jc w:val="center"/>
        <w:rPr>
          <w:b/>
          <w:bCs/>
          <w:lang w:val="en-US"/>
        </w:rPr>
      </w:pPr>
    </w:p>
    <w:p w14:paraId="7857FE31" w14:textId="77777777" w:rsidR="0011224D" w:rsidRDefault="0011224D" w:rsidP="0011224D">
      <w:pPr>
        <w:jc w:val="center"/>
        <w:rPr>
          <w:b/>
          <w:bCs/>
          <w:lang w:val="en-US"/>
        </w:rPr>
      </w:pPr>
    </w:p>
    <w:p w14:paraId="62BF9C5A" w14:textId="77777777" w:rsidR="0011224D" w:rsidRDefault="0011224D" w:rsidP="0011224D">
      <w:pPr>
        <w:jc w:val="center"/>
        <w:rPr>
          <w:b/>
          <w:bCs/>
          <w:lang w:val="en-US"/>
        </w:rPr>
      </w:pPr>
    </w:p>
    <w:p w14:paraId="640B2575" w14:textId="77777777" w:rsidR="0011224D" w:rsidRDefault="0011224D" w:rsidP="0011224D">
      <w:pPr>
        <w:jc w:val="center"/>
        <w:rPr>
          <w:b/>
          <w:bCs/>
          <w:lang w:val="en-US"/>
        </w:rPr>
      </w:pPr>
    </w:p>
    <w:p w14:paraId="5E60F35B" w14:textId="77777777" w:rsidR="0011224D" w:rsidRDefault="0011224D" w:rsidP="0011224D">
      <w:pPr>
        <w:jc w:val="center"/>
        <w:rPr>
          <w:b/>
          <w:bCs/>
          <w:lang w:val="en-US"/>
        </w:rPr>
      </w:pPr>
    </w:p>
    <w:p w14:paraId="6BDE20F4" w14:textId="1AA8F237" w:rsidR="0011224D" w:rsidRPr="0011224D" w:rsidRDefault="0011224D" w:rsidP="0011224D">
      <w:pPr>
        <w:jc w:val="center"/>
        <w:rPr>
          <w:b/>
          <w:bCs/>
          <w:sz w:val="28"/>
          <w:szCs w:val="28"/>
          <w:lang w:val="en-US"/>
        </w:rPr>
      </w:pPr>
      <w:r w:rsidRPr="0011224D">
        <w:rPr>
          <w:b/>
          <w:bCs/>
          <w:sz w:val="28"/>
          <w:szCs w:val="28"/>
          <w:lang w:val="en-US"/>
        </w:rPr>
        <w:lastRenderedPageBreak/>
        <w:t>Financial Commitment to CSR</w:t>
      </w:r>
    </w:p>
    <w:p w14:paraId="60EF2FDB" w14:textId="77777777" w:rsidR="0011224D" w:rsidRDefault="0011224D" w:rsidP="0011224D">
      <w:pPr>
        <w:ind w:firstLine="720"/>
        <w:rPr>
          <w:lang w:val="en-US"/>
        </w:rPr>
      </w:pPr>
    </w:p>
    <w:p w14:paraId="43A31EEF" w14:textId="4864DFEC"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InterContinental Hotels Group (IHG) and Hyatt Hotels have a significant financial commitment to Corporate Social Responsibility (CSR). Both companies have made substantial investments in environmental sustainability, community engagement, and employee development, demonstrating their commitment to positively impacting the world (</w:t>
      </w:r>
      <w:r w:rsidRPr="0011224D">
        <w:rPr>
          <w:rFonts w:ascii="Arial" w:hAnsi="Arial" w:cs="Arial"/>
          <w:color w:val="222222"/>
          <w:shd w:val="clear" w:color="auto" w:fill="FFFFFF"/>
        </w:rPr>
        <w:t>Shin et al., 2021)</w:t>
      </w:r>
      <w:r w:rsidRPr="0011224D">
        <w:rPr>
          <w:rFonts w:ascii="Arial" w:hAnsi="Arial" w:cs="Arial"/>
          <w:lang w:val="en-US"/>
        </w:rPr>
        <w:t>. IHG has implemented a comprehensive CSR strategy, "Responsible Business," designed to address the company's social and environmental impact (</w:t>
      </w:r>
      <w:r w:rsidRPr="0011224D">
        <w:rPr>
          <w:rFonts w:ascii="Arial" w:hAnsi="Arial" w:cs="Arial"/>
          <w:color w:val="222222"/>
          <w:shd w:val="clear" w:color="auto" w:fill="FFFFFF"/>
        </w:rPr>
        <w:t>Surya et al., 2020)</w:t>
      </w:r>
      <w:r w:rsidRPr="0011224D">
        <w:rPr>
          <w:rFonts w:ascii="Arial" w:hAnsi="Arial" w:cs="Arial"/>
          <w:lang w:val="en-US"/>
        </w:rPr>
        <w:t>. This strategy includes a range of initiatives, such as reducing energy consumption, promoting sustainable sourcing, and investing in employee training and development. The company has set ambitious goals to reduce its carbon footprint and has committed to sourcing 100% of its electricity from renewable sources by 2025 (</w:t>
      </w:r>
      <w:r w:rsidRPr="0011224D">
        <w:rPr>
          <w:rFonts w:ascii="Arial" w:hAnsi="Arial" w:cs="Arial"/>
          <w:color w:val="222222"/>
          <w:shd w:val="clear" w:color="auto" w:fill="FFFFFF"/>
        </w:rPr>
        <w:t>Voegeli, 2021)</w:t>
      </w:r>
      <w:r w:rsidRPr="0011224D">
        <w:rPr>
          <w:rFonts w:ascii="Arial" w:hAnsi="Arial" w:cs="Arial"/>
          <w:lang w:val="en-US"/>
        </w:rPr>
        <w:t>. In addition, IHG has established partnerships with non-profit organizations to support local communities and launched initiatives to help combat human trafficking.</w:t>
      </w:r>
    </w:p>
    <w:p w14:paraId="63E69F0C" w14:textId="77777777"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Hyatt Hotels has also firmly committed to CSR, focusing on environmental sustainability, community engagement, and human rights. The company has developed a comprehensive sustainability program known as "World of Hyatt Sustainability," which aims to reduce the company's environmental impact and promote responsible tourism (</w:t>
      </w:r>
      <w:r w:rsidRPr="0011224D">
        <w:rPr>
          <w:rFonts w:ascii="Arial" w:hAnsi="Arial" w:cs="Arial"/>
          <w:color w:val="222222"/>
          <w:shd w:val="clear" w:color="auto" w:fill="FFFFFF"/>
        </w:rPr>
        <w:t>Macrotrends, 2022)</w:t>
      </w:r>
      <w:r w:rsidRPr="0011224D">
        <w:rPr>
          <w:rFonts w:ascii="Arial" w:hAnsi="Arial" w:cs="Arial"/>
          <w:lang w:val="en-US"/>
        </w:rPr>
        <w:t>. Hyatt has set a goal to reduce its carbon footprint by 50% by 2030 and is working to increase its use of renewable energy (</w:t>
      </w:r>
      <w:r w:rsidRPr="0011224D">
        <w:rPr>
          <w:rFonts w:ascii="Arial" w:hAnsi="Arial" w:cs="Arial"/>
          <w:color w:val="222222"/>
          <w:shd w:val="clear" w:color="auto" w:fill="FFFFFF"/>
        </w:rPr>
        <w:t>Macrotrends, 2022)</w:t>
      </w:r>
      <w:r w:rsidRPr="0011224D">
        <w:rPr>
          <w:rFonts w:ascii="Arial" w:hAnsi="Arial" w:cs="Arial"/>
          <w:lang w:val="en-US"/>
        </w:rPr>
        <w:t>. The company also invests in local communities, supports small businesses, and promotes human rights through partnerships with non-profit organizations.</w:t>
      </w:r>
    </w:p>
    <w:p w14:paraId="2170829A" w14:textId="77777777" w:rsidR="0011224D" w:rsidRDefault="0011224D" w:rsidP="0011224D">
      <w:pPr>
        <w:jc w:val="center"/>
        <w:rPr>
          <w:b/>
          <w:bCs/>
          <w:lang w:val="en-US"/>
        </w:rPr>
      </w:pPr>
    </w:p>
    <w:p w14:paraId="744F0F5B" w14:textId="77777777" w:rsidR="0011224D" w:rsidRDefault="0011224D" w:rsidP="0011224D">
      <w:pPr>
        <w:jc w:val="center"/>
        <w:rPr>
          <w:b/>
          <w:bCs/>
          <w:lang w:val="en-US"/>
        </w:rPr>
      </w:pPr>
    </w:p>
    <w:p w14:paraId="180D05DB" w14:textId="77777777" w:rsidR="0011224D" w:rsidRDefault="0011224D" w:rsidP="0011224D">
      <w:pPr>
        <w:jc w:val="center"/>
        <w:rPr>
          <w:b/>
          <w:bCs/>
          <w:lang w:val="en-US"/>
        </w:rPr>
      </w:pPr>
    </w:p>
    <w:p w14:paraId="46A65655" w14:textId="77777777" w:rsidR="0011224D" w:rsidRDefault="0011224D" w:rsidP="0011224D">
      <w:pPr>
        <w:rPr>
          <w:b/>
          <w:bCs/>
          <w:lang w:val="en-US"/>
        </w:rPr>
      </w:pPr>
      <w:r>
        <w:rPr>
          <w:b/>
          <w:bCs/>
          <w:lang w:val="en-US"/>
        </w:rPr>
        <w:t xml:space="preserve">                                                   </w:t>
      </w:r>
    </w:p>
    <w:p w14:paraId="0B7296A7" w14:textId="77777777" w:rsidR="0011224D" w:rsidRDefault="0011224D" w:rsidP="0011224D">
      <w:pPr>
        <w:rPr>
          <w:b/>
          <w:bCs/>
          <w:lang w:val="en-US"/>
        </w:rPr>
      </w:pPr>
      <w:r>
        <w:rPr>
          <w:b/>
          <w:bCs/>
          <w:lang w:val="en-US"/>
        </w:rPr>
        <w:t xml:space="preserve">                                                 </w:t>
      </w:r>
    </w:p>
    <w:p w14:paraId="1437D12A" w14:textId="77777777" w:rsidR="0011224D" w:rsidRDefault="0011224D" w:rsidP="0011224D">
      <w:pPr>
        <w:rPr>
          <w:b/>
          <w:bCs/>
          <w:lang w:val="en-US"/>
        </w:rPr>
      </w:pPr>
    </w:p>
    <w:p w14:paraId="479B54B1" w14:textId="77777777" w:rsidR="0011224D" w:rsidRDefault="0011224D" w:rsidP="0011224D">
      <w:pPr>
        <w:rPr>
          <w:b/>
          <w:bCs/>
          <w:lang w:val="en-US"/>
        </w:rPr>
      </w:pPr>
    </w:p>
    <w:p w14:paraId="5BD91067" w14:textId="77777777" w:rsidR="0011224D" w:rsidRDefault="0011224D" w:rsidP="0011224D">
      <w:pPr>
        <w:jc w:val="center"/>
        <w:rPr>
          <w:b/>
          <w:bCs/>
          <w:sz w:val="28"/>
          <w:szCs w:val="28"/>
          <w:lang w:val="en-US"/>
        </w:rPr>
      </w:pPr>
    </w:p>
    <w:p w14:paraId="76FA98ED" w14:textId="77777777" w:rsidR="0011224D" w:rsidRDefault="0011224D" w:rsidP="0011224D">
      <w:pPr>
        <w:jc w:val="center"/>
        <w:rPr>
          <w:b/>
          <w:bCs/>
          <w:sz w:val="28"/>
          <w:szCs w:val="28"/>
          <w:lang w:val="en-US"/>
        </w:rPr>
      </w:pPr>
    </w:p>
    <w:p w14:paraId="764AE86C" w14:textId="31572386" w:rsidR="0011224D" w:rsidRPr="0011224D" w:rsidRDefault="0011224D" w:rsidP="0011224D">
      <w:pPr>
        <w:jc w:val="center"/>
        <w:rPr>
          <w:b/>
          <w:bCs/>
          <w:sz w:val="28"/>
          <w:szCs w:val="28"/>
          <w:lang w:val="en-US"/>
        </w:rPr>
      </w:pPr>
      <w:r w:rsidRPr="0011224D">
        <w:rPr>
          <w:b/>
          <w:bCs/>
          <w:sz w:val="28"/>
          <w:szCs w:val="28"/>
          <w:lang w:val="en-US"/>
        </w:rPr>
        <w:t>Net Profit Margin</w:t>
      </w:r>
    </w:p>
    <w:p w14:paraId="75A5ED2C" w14:textId="77777777" w:rsidR="0011224D" w:rsidRDefault="0011224D" w:rsidP="0011224D">
      <w:pPr>
        <w:rPr>
          <w:b/>
          <w:bCs/>
          <w:lang w:val="en-US"/>
        </w:rPr>
      </w:pPr>
    </w:p>
    <w:p w14:paraId="32C36681" w14:textId="77777777" w:rsidR="0011224D" w:rsidRDefault="0011224D" w:rsidP="0011224D">
      <w:pPr>
        <w:rPr>
          <w:b/>
          <w:bCs/>
          <w:lang w:val="en-US"/>
        </w:rPr>
      </w:pPr>
    </w:p>
    <w:p w14:paraId="0D4032AA" w14:textId="77777777"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IHG's net profit margin has been consistent in recent years, averaging around 13-14% in the past five years. This is a strong performance compared to the industry average, typically around 10%. IHG has maintained a high level of profitability thanks to its diversified brand portfolio and strong presence in fast-growing markets such as Asia and the Middle East (</w:t>
      </w:r>
      <w:r w:rsidRPr="0011224D">
        <w:rPr>
          <w:rFonts w:ascii="Arial" w:hAnsi="Arial" w:cs="Arial"/>
          <w:color w:val="222222"/>
          <w:shd w:val="clear" w:color="auto" w:fill="FFFFFF"/>
        </w:rPr>
        <w:t>Helmold &amp; Helmold, 2020)</w:t>
      </w:r>
      <w:r w:rsidRPr="0011224D">
        <w:rPr>
          <w:rFonts w:ascii="Arial" w:hAnsi="Arial" w:cs="Arial"/>
          <w:lang w:val="en-US"/>
        </w:rPr>
        <w:t>. On the other hand, Hyatt Hotels has seen a more volatile net profit margin in recent years. Over the past five years, Hyatt's net profit margin has ranged from a low of 6% to a high of 11% (</w:t>
      </w:r>
      <w:r w:rsidRPr="0011224D">
        <w:rPr>
          <w:rFonts w:ascii="Arial" w:hAnsi="Arial" w:cs="Arial"/>
          <w:color w:val="222222"/>
          <w:shd w:val="clear" w:color="auto" w:fill="FFFFFF"/>
        </w:rPr>
        <w:t>Lapan, 2022)</w:t>
      </w:r>
      <w:r w:rsidRPr="0011224D">
        <w:rPr>
          <w:rFonts w:ascii="Arial" w:hAnsi="Arial" w:cs="Arial"/>
          <w:lang w:val="en-US"/>
        </w:rPr>
        <w:t>. Despite this volatility, Hyatt has still managed to maintain a relatively high level of profitability. One of the critical factors driving Hyatt's financial performance is its focus on the luxury and upscale segments of the hotel industry, where margins are typically higher.</w:t>
      </w:r>
    </w:p>
    <w:p w14:paraId="72E46864" w14:textId="77777777" w:rsidR="0011224D" w:rsidRPr="0011224D" w:rsidRDefault="0011224D" w:rsidP="0011224D">
      <w:pPr>
        <w:spacing w:line="360" w:lineRule="auto"/>
        <w:ind w:firstLine="720"/>
        <w:jc w:val="both"/>
        <w:rPr>
          <w:rFonts w:ascii="Arial" w:hAnsi="Arial" w:cs="Arial"/>
          <w:lang w:val="en-US"/>
        </w:rPr>
      </w:pPr>
      <w:r w:rsidRPr="0011224D">
        <w:rPr>
          <w:rFonts w:ascii="Arial" w:hAnsi="Arial" w:cs="Arial"/>
          <w:lang w:val="en-US"/>
        </w:rPr>
        <w:t>IHG and Hyatt Hotels are performing well in net profit margins, although IHG has been more consistent in recent years. However, it is essential to note that both companies face challenges and uncertainties in the future, such as economic downturns, changes in consumer demand, and increased competition from new entrants in the market (</w:t>
      </w:r>
      <w:r w:rsidRPr="0011224D">
        <w:rPr>
          <w:rFonts w:ascii="Arial" w:hAnsi="Arial" w:cs="Arial"/>
          <w:color w:val="222222"/>
          <w:shd w:val="clear" w:color="auto" w:fill="FFFFFF"/>
        </w:rPr>
        <w:t>Gürlek &amp; Kılıç, 2021)</w:t>
      </w:r>
      <w:r w:rsidRPr="0011224D">
        <w:rPr>
          <w:rFonts w:ascii="Arial" w:hAnsi="Arial" w:cs="Arial"/>
          <w:lang w:val="en-US"/>
        </w:rPr>
        <w:t xml:space="preserve">. Nonetheless, both companies have proven resilient and well-positioned for future growth. Their solid financial performance suggests they will continue to be leaders in the hotel industry. </w:t>
      </w:r>
    </w:p>
    <w:p w14:paraId="3F85ACDA" w14:textId="77777777" w:rsidR="0011224D" w:rsidRDefault="0011224D" w:rsidP="0011224D">
      <w:pPr>
        <w:jc w:val="center"/>
        <w:rPr>
          <w:b/>
          <w:bCs/>
          <w:lang w:val="en-US"/>
        </w:rPr>
      </w:pPr>
    </w:p>
    <w:p w14:paraId="06451006" w14:textId="77777777" w:rsidR="0011224D" w:rsidRDefault="0011224D" w:rsidP="0011224D">
      <w:pPr>
        <w:jc w:val="center"/>
        <w:rPr>
          <w:b/>
          <w:bCs/>
          <w:lang w:val="en-US"/>
        </w:rPr>
      </w:pPr>
    </w:p>
    <w:p w14:paraId="22846E14" w14:textId="77777777" w:rsidR="0011224D" w:rsidRDefault="0011224D" w:rsidP="0011224D">
      <w:pPr>
        <w:jc w:val="center"/>
        <w:rPr>
          <w:b/>
          <w:bCs/>
          <w:lang w:val="en-US"/>
        </w:rPr>
      </w:pPr>
    </w:p>
    <w:p w14:paraId="4D7FBC13" w14:textId="77777777" w:rsidR="0011224D" w:rsidRDefault="0011224D" w:rsidP="0011224D">
      <w:pPr>
        <w:jc w:val="center"/>
        <w:rPr>
          <w:b/>
          <w:bCs/>
          <w:lang w:val="en-US"/>
        </w:rPr>
      </w:pPr>
    </w:p>
    <w:p w14:paraId="385EF154" w14:textId="77777777" w:rsidR="0011224D" w:rsidRDefault="0011224D" w:rsidP="0011224D">
      <w:pPr>
        <w:jc w:val="center"/>
        <w:rPr>
          <w:b/>
          <w:bCs/>
          <w:lang w:val="en-US"/>
        </w:rPr>
      </w:pPr>
    </w:p>
    <w:p w14:paraId="2D5D07D9" w14:textId="77777777" w:rsidR="0011224D" w:rsidRDefault="0011224D" w:rsidP="0011224D">
      <w:pPr>
        <w:jc w:val="center"/>
        <w:rPr>
          <w:b/>
          <w:bCs/>
          <w:lang w:val="en-US"/>
        </w:rPr>
      </w:pPr>
    </w:p>
    <w:p w14:paraId="0291C687" w14:textId="77777777" w:rsidR="0011224D" w:rsidRDefault="0011224D" w:rsidP="0011224D">
      <w:pPr>
        <w:jc w:val="center"/>
        <w:rPr>
          <w:b/>
          <w:bCs/>
          <w:lang w:val="en-US"/>
        </w:rPr>
      </w:pPr>
    </w:p>
    <w:p w14:paraId="36EE0D6A" w14:textId="77777777" w:rsidR="0011224D" w:rsidRDefault="0011224D" w:rsidP="0011224D">
      <w:pPr>
        <w:jc w:val="center"/>
        <w:rPr>
          <w:b/>
          <w:bCs/>
          <w:lang w:val="en-US"/>
        </w:rPr>
      </w:pPr>
    </w:p>
    <w:p w14:paraId="6502CB9F" w14:textId="65856C81" w:rsidR="0011224D" w:rsidRPr="00F109AD" w:rsidRDefault="0011224D" w:rsidP="0011224D">
      <w:pPr>
        <w:jc w:val="center"/>
        <w:rPr>
          <w:b/>
          <w:bCs/>
          <w:sz w:val="28"/>
          <w:szCs w:val="28"/>
          <w:lang w:val="en-US"/>
        </w:rPr>
      </w:pPr>
      <w:r w:rsidRPr="00F109AD">
        <w:rPr>
          <w:b/>
          <w:bCs/>
          <w:sz w:val="28"/>
          <w:szCs w:val="28"/>
          <w:lang w:val="en-US"/>
        </w:rPr>
        <w:t>Debt-to-Equity Ratio</w:t>
      </w:r>
    </w:p>
    <w:p w14:paraId="374A9104" w14:textId="77777777" w:rsidR="0011224D" w:rsidRDefault="0011224D" w:rsidP="0011224D">
      <w:pPr>
        <w:jc w:val="center"/>
        <w:rPr>
          <w:b/>
          <w:bCs/>
          <w:lang w:val="en-US"/>
        </w:rPr>
      </w:pPr>
    </w:p>
    <w:p w14:paraId="42AA22C4" w14:textId="2457439C" w:rsidR="0011224D" w:rsidRPr="00F109AD" w:rsidRDefault="0011224D" w:rsidP="00F109AD">
      <w:pPr>
        <w:spacing w:line="360" w:lineRule="auto"/>
        <w:ind w:firstLine="720"/>
        <w:jc w:val="both"/>
        <w:rPr>
          <w:rFonts w:ascii="Arial" w:hAnsi="Arial" w:cs="Arial"/>
          <w:lang w:val="en-US"/>
        </w:rPr>
      </w:pPr>
      <w:r w:rsidRPr="00F109AD">
        <w:rPr>
          <w:rFonts w:ascii="Arial" w:hAnsi="Arial" w:cs="Arial"/>
          <w:lang w:val="en-US"/>
        </w:rPr>
        <w:t>The debt-to-equity ratio is a financial metric that measures a company's financial</w:t>
      </w:r>
      <w:r w:rsidR="00F109AD">
        <w:rPr>
          <w:rFonts w:ascii="Arial" w:hAnsi="Arial" w:cs="Arial"/>
          <w:lang w:val="en-US"/>
        </w:rPr>
        <w:t xml:space="preserve"> </w:t>
      </w:r>
      <w:r w:rsidRPr="00F109AD">
        <w:rPr>
          <w:rFonts w:ascii="Arial" w:hAnsi="Arial" w:cs="Arial"/>
          <w:lang w:val="en-US"/>
        </w:rPr>
        <w:t>leverage, specifically, the extent to which it relies on debt financing instead of equity financing. It is an essential measure of a company's financial stability and risk. InterContinental Hotels Group (IHG) has a debt-to-equity ratio of approximately 1.2. For every $1 of equity financing, IHG has $1.2 of debt financing (</w:t>
      </w:r>
      <w:r w:rsidRPr="00F109AD">
        <w:rPr>
          <w:rFonts w:ascii="Arial" w:hAnsi="Arial" w:cs="Arial"/>
          <w:color w:val="222222"/>
          <w:shd w:val="clear" w:color="auto" w:fill="FFFFFF"/>
        </w:rPr>
        <w:t>Bastias, 2022)</w:t>
      </w:r>
      <w:r w:rsidRPr="00F109AD">
        <w:rPr>
          <w:rFonts w:ascii="Arial" w:hAnsi="Arial" w:cs="Arial"/>
          <w:lang w:val="en-US"/>
        </w:rPr>
        <w:t>. While IHG does have a relatively high debt-to-equity ratio, it is essential to note that the company has a solid financial position, with steady cash flow and a strong balance sheet. This allows IHG to manage its debt load and maintain its financial stability</w:t>
      </w:r>
      <w:r w:rsidRPr="00F109AD">
        <w:rPr>
          <w:rFonts w:ascii="Arial" w:hAnsi="Arial" w:cs="Arial"/>
        </w:rPr>
        <w:t xml:space="preserve"> comfortably. </w:t>
      </w:r>
      <w:r w:rsidRPr="00F109AD">
        <w:rPr>
          <w:rFonts w:ascii="Arial" w:hAnsi="Arial" w:cs="Arial"/>
          <w:lang w:val="en-US"/>
        </w:rPr>
        <w:t>On the other hand, Hyatt Hotels has a debt-to-equity ratio of approximately 2.5 (</w:t>
      </w:r>
      <w:proofErr w:type="spellStart"/>
      <w:r w:rsidRPr="00F109AD">
        <w:rPr>
          <w:rFonts w:ascii="Arial" w:hAnsi="Arial" w:cs="Arial"/>
          <w:lang w:val="en-US"/>
        </w:rPr>
        <w:t>Lapan</w:t>
      </w:r>
      <w:proofErr w:type="spellEnd"/>
      <w:r w:rsidRPr="00F109AD">
        <w:rPr>
          <w:rFonts w:ascii="Arial" w:hAnsi="Arial" w:cs="Arial"/>
          <w:lang w:val="en-US"/>
        </w:rPr>
        <w:t>, 2022). For every $1 of equity financing, Hyatt has $2.5 of debt financing. While this is a relatively high debt-to-equity ratio, it is essential to note that Hyatt's financial position remains strong, with steady cash flow and a strong balance sheet. Additionally, Hyatt has a strong brand and reputation in the hotel industry, which helps to support its financial stability and reduce its risk.</w:t>
      </w:r>
    </w:p>
    <w:p w14:paraId="14048AA7" w14:textId="77777777" w:rsidR="0011224D" w:rsidRDefault="0011224D" w:rsidP="0011224D">
      <w:pPr>
        <w:jc w:val="center"/>
        <w:rPr>
          <w:b/>
          <w:bCs/>
          <w:lang w:val="en-US"/>
        </w:rPr>
      </w:pPr>
    </w:p>
    <w:p w14:paraId="0D47ED28" w14:textId="77777777" w:rsidR="0011224D" w:rsidRDefault="0011224D" w:rsidP="0011224D">
      <w:pPr>
        <w:jc w:val="center"/>
        <w:rPr>
          <w:b/>
          <w:bCs/>
          <w:lang w:val="en-US"/>
        </w:rPr>
      </w:pPr>
    </w:p>
    <w:p w14:paraId="17C58C55" w14:textId="77777777" w:rsidR="00F109AD" w:rsidRDefault="00F109AD" w:rsidP="0011224D">
      <w:pPr>
        <w:jc w:val="center"/>
        <w:rPr>
          <w:b/>
          <w:bCs/>
          <w:sz w:val="28"/>
          <w:szCs w:val="28"/>
          <w:lang w:val="en-US"/>
        </w:rPr>
      </w:pPr>
    </w:p>
    <w:p w14:paraId="57BB8E5A" w14:textId="77777777" w:rsidR="0011224D" w:rsidRPr="00F109AD" w:rsidRDefault="0011224D" w:rsidP="0011224D">
      <w:pPr>
        <w:jc w:val="center"/>
        <w:rPr>
          <w:b/>
          <w:bCs/>
          <w:sz w:val="28"/>
          <w:szCs w:val="28"/>
          <w:lang w:val="en-US"/>
        </w:rPr>
      </w:pPr>
      <w:r w:rsidRPr="00F109AD">
        <w:rPr>
          <w:b/>
          <w:bCs/>
          <w:sz w:val="28"/>
          <w:szCs w:val="28"/>
          <w:lang w:val="en-US"/>
        </w:rPr>
        <w:t>Conclusion</w:t>
      </w:r>
    </w:p>
    <w:p w14:paraId="3E838548" w14:textId="77777777" w:rsidR="00F109AD" w:rsidRDefault="00F109AD" w:rsidP="0011224D">
      <w:pPr>
        <w:ind w:firstLine="720"/>
        <w:rPr>
          <w:lang w:val="en-US"/>
        </w:rPr>
      </w:pPr>
    </w:p>
    <w:p w14:paraId="5150E4AB" w14:textId="569CFFC9" w:rsidR="0011224D" w:rsidRPr="00F109AD" w:rsidRDefault="0011224D" w:rsidP="00F109AD">
      <w:pPr>
        <w:spacing w:line="360" w:lineRule="auto"/>
        <w:ind w:firstLine="720"/>
        <w:jc w:val="both"/>
        <w:rPr>
          <w:rFonts w:ascii="Arial" w:hAnsi="Arial" w:cs="Arial"/>
          <w:lang w:val="en-US"/>
        </w:rPr>
      </w:pPr>
      <w:r w:rsidRPr="00F109AD">
        <w:rPr>
          <w:rFonts w:ascii="Arial" w:hAnsi="Arial" w:cs="Arial"/>
          <w:lang w:val="en-US"/>
        </w:rPr>
        <w:t xml:space="preserve">Hyatt Hotels and InterContinental Hotels Group (IHG) practice well-rounded financial management with an eye on CSR initiatives, profit maximization, and revenue development (CSR). IHG is more lucrative and has a more profound commitment to sustainability, even though Hyatt has a bigger revenue and a larger debt-to-equity ratio than IHG. </w:t>
      </w:r>
      <w:proofErr w:type="gramStart"/>
      <w:r w:rsidRPr="00F109AD">
        <w:rPr>
          <w:rFonts w:ascii="Arial" w:hAnsi="Arial" w:cs="Arial"/>
          <w:lang w:val="en-US"/>
        </w:rPr>
        <w:t>Both of these</w:t>
      </w:r>
      <w:proofErr w:type="gramEnd"/>
      <w:r w:rsidRPr="00F109AD">
        <w:rPr>
          <w:rFonts w:ascii="Arial" w:hAnsi="Arial" w:cs="Arial"/>
          <w:lang w:val="en-US"/>
        </w:rPr>
        <w:t xml:space="preserve"> businesses have the capacity for substantial expansion within the hospitality sector, and they are in an excellent position to make the most of their prospects. It is recommended that for IHG to continue to thrive, the company should </w:t>
      </w:r>
      <w:r w:rsidRPr="00F109AD">
        <w:rPr>
          <w:rFonts w:ascii="Arial" w:hAnsi="Arial" w:cs="Arial"/>
          <w:lang w:val="en-US"/>
        </w:rPr>
        <w:lastRenderedPageBreak/>
        <w:t>focus on boosting its profit margins and revenue gains while preserving its commitment to sustainable development, and it is recommended that</w:t>
      </w:r>
      <w:r w:rsidR="00F109AD" w:rsidRPr="00F109AD">
        <w:rPr>
          <w:rFonts w:ascii="Arial" w:hAnsi="Arial" w:cs="Arial"/>
          <w:lang w:val="en-US"/>
        </w:rPr>
        <w:t>,</w:t>
      </w:r>
      <w:r w:rsidRPr="00F109AD">
        <w:rPr>
          <w:rFonts w:ascii="Arial" w:hAnsi="Arial" w:cs="Arial"/>
          <w:lang w:val="en-US"/>
        </w:rPr>
        <w:t xml:space="preserve"> for Hyatt to continue to thrive, the company should concentrate on reducing its debt-to-equity ratio and increasing its profitability. These organizations can maintain good financial positions and remain ahead in the highly competitive hotel market if they implement these ideas.</w:t>
      </w:r>
    </w:p>
    <w:p w14:paraId="39D2F77C" w14:textId="7560F317" w:rsidR="0011224D" w:rsidRDefault="0011224D" w:rsidP="0011224D">
      <w:pPr>
        <w:spacing w:after="160" w:line="360" w:lineRule="auto"/>
        <w:jc w:val="both"/>
        <w:rPr>
          <w:rFonts w:ascii="Arial" w:hAnsi="Arial" w:cs="Arial"/>
          <w:color w:val="000000"/>
          <w:kern w:val="0"/>
          <w:shd w:val="clear" w:color="auto" w:fill="FFFFFF"/>
          <w:lang w:val="en-GB"/>
          <w14:ligatures w14:val="none"/>
        </w:rPr>
      </w:pPr>
    </w:p>
    <w:p w14:paraId="235A9F69" w14:textId="66A241E7" w:rsidR="00A6061F" w:rsidRDefault="00A6061F" w:rsidP="0011224D">
      <w:pPr>
        <w:spacing w:after="160" w:line="360" w:lineRule="auto"/>
        <w:jc w:val="both"/>
        <w:rPr>
          <w:rFonts w:ascii="Arial" w:hAnsi="Arial" w:cs="Arial"/>
          <w:color w:val="000000"/>
          <w:kern w:val="0"/>
          <w:shd w:val="clear" w:color="auto" w:fill="FFFFFF"/>
          <w:lang w:val="en-GB"/>
          <w14:ligatures w14:val="none"/>
        </w:rPr>
      </w:pPr>
    </w:p>
    <w:p w14:paraId="79C7350C" w14:textId="6A4B1068" w:rsidR="00A6061F" w:rsidRDefault="00A6061F" w:rsidP="0011224D">
      <w:pPr>
        <w:spacing w:after="160" w:line="360" w:lineRule="auto"/>
        <w:jc w:val="both"/>
        <w:rPr>
          <w:rFonts w:ascii="Arial" w:hAnsi="Arial" w:cs="Arial"/>
          <w:color w:val="000000"/>
          <w:kern w:val="0"/>
          <w:shd w:val="clear" w:color="auto" w:fill="FFFFFF"/>
          <w:lang w:val="en-GB"/>
          <w14:ligatures w14:val="none"/>
        </w:rPr>
      </w:pPr>
    </w:p>
    <w:p w14:paraId="5CC15A25" w14:textId="00AC1AA8" w:rsidR="00A6061F" w:rsidRDefault="00A6061F" w:rsidP="0011224D">
      <w:pPr>
        <w:spacing w:after="160" w:line="360" w:lineRule="auto"/>
        <w:jc w:val="both"/>
        <w:rPr>
          <w:rFonts w:ascii="Arial" w:hAnsi="Arial" w:cs="Arial"/>
          <w:color w:val="000000"/>
          <w:kern w:val="0"/>
          <w:shd w:val="clear" w:color="auto" w:fill="FFFFFF"/>
          <w:lang w:val="en-GB"/>
          <w14:ligatures w14:val="none"/>
        </w:rPr>
      </w:pPr>
    </w:p>
    <w:p w14:paraId="65875102" w14:textId="133B997D" w:rsidR="00A6061F" w:rsidRDefault="00A6061F" w:rsidP="0011224D">
      <w:pPr>
        <w:spacing w:after="160" w:line="360" w:lineRule="auto"/>
        <w:jc w:val="both"/>
        <w:rPr>
          <w:rFonts w:ascii="Arial" w:hAnsi="Arial" w:cs="Arial"/>
          <w:color w:val="000000"/>
          <w:kern w:val="0"/>
          <w:shd w:val="clear" w:color="auto" w:fill="FFFFFF"/>
          <w:lang w:val="en-GB"/>
          <w14:ligatures w14:val="none"/>
        </w:rPr>
      </w:pPr>
    </w:p>
    <w:p w14:paraId="2592025A" w14:textId="77777777" w:rsidR="00A6061F" w:rsidRDefault="00A6061F" w:rsidP="00A6061F">
      <w:pPr>
        <w:jc w:val="center"/>
        <w:rPr>
          <w:b/>
          <w:bCs/>
          <w:lang w:val="en-US"/>
        </w:rPr>
      </w:pPr>
    </w:p>
    <w:p w14:paraId="201F284C" w14:textId="77777777" w:rsidR="00A6061F" w:rsidRDefault="00A6061F" w:rsidP="00A6061F">
      <w:pPr>
        <w:jc w:val="center"/>
        <w:rPr>
          <w:b/>
          <w:bCs/>
          <w:lang w:val="en-US"/>
        </w:rPr>
      </w:pPr>
    </w:p>
    <w:p w14:paraId="23386420" w14:textId="6D70EC1E" w:rsidR="00A6061F" w:rsidRPr="00A6061F" w:rsidRDefault="00A6061F" w:rsidP="00A6061F">
      <w:pPr>
        <w:jc w:val="center"/>
        <w:rPr>
          <w:b/>
          <w:bCs/>
          <w:sz w:val="28"/>
          <w:szCs w:val="28"/>
          <w:lang w:val="en-US"/>
        </w:rPr>
      </w:pPr>
      <w:r w:rsidRPr="00A6061F">
        <w:rPr>
          <w:b/>
          <w:bCs/>
          <w:sz w:val="28"/>
          <w:szCs w:val="28"/>
          <w:lang w:val="en-US"/>
        </w:rPr>
        <w:t>References</w:t>
      </w:r>
    </w:p>
    <w:p w14:paraId="3583C6BC" w14:textId="77777777" w:rsidR="00A6061F" w:rsidRDefault="00A6061F" w:rsidP="00A6061F">
      <w:pPr>
        <w:ind w:left="720" w:hanging="720"/>
        <w:rPr>
          <w:color w:val="222222"/>
          <w:shd w:val="clear" w:color="auto" w:fill="FFFFFF"/>
        </w:rPr>
      </w:pPr>
      <w:bookmarkStart w:id="0" w:name="_Hlk127036810"/>
      <w:bookmarkStart w:id="1" w:name="_Hlk127035859"/>
    </w:p>
    <w:p w14:paraId="148516CA" w14:textId="77777777" w:rsidR="00A6061F" w:rsidRDefault="00A6061F" w:rsidP="00A6061F">
      <w:pPr>
        <w:ind w:left="720" w:hanging="720"/>
        <w:rPr>
          <w:color w:val="222222"/>
          <w:shd w:val="clear" w:color="auto" w:fill="FFFFFF"/>
        </w:rPr>
      </w:pPr>
    </w:p>
    <w:p w14:paraId="4565D533" w14:textId="1B6BE035" w:rsidR="00A6061F" w:rsidRPr="00160E64" w:rsidRDefault="00A6061F" w:rsidP="00A6061F">
      <w:pPr>
        <w:ind w:left="720" w:hanging="720"/>
        <w:rPr>
          <w:color w:val="222222"/>
          <w:shd w:val="clear" w:color="auto" w:fill="FFFFFF"/>
        </w:rPr>
      </w:pPr>
      <w:r w:rsidRPr="00160E64">
        <w:rPr>
          <w:color w:val="222222"/>
          <w:shd w:val="clear" w:color="auto" w:fill="FFFFFF"/>
        </w:rPr>
        <w:t>Bastias</w:t>
      </w:r>
      <w:bookmarkEnd w:id="0"/>
      <w:r w:rsidRPr="00160E64">
        <w:rPr>
          <w:color w:val="222222"/>
          <w:shd w:val="clear" w:color="auto" w:fill="FFFFFF"/>
        </w:rPr>
        <w:t>, R. D. F. (2022). </w:t>
      </w:r>
      <w:r w:rsidRPr="00160E64">
        <w:rPr>
          <w:i/>
          <w:iCs/>
          <w:color w:val="222222"/>
          <w:shd w:val="clear" w:color="auto" w:fill="FFFFFF"/>
        </w:rPr>
        <w:t>Equity research-InterContinental Hotels Group</w:t>
      </w:r>
      <w:r w:rsidRPr="00160E64">
        <w:rPr>
          <w:color w:val="222222"/>
          <w:shd w:val="clear" w:color="auto" w:fill="FFFFFF"/>
        </w:rPr>
        <w:t> (Doctoral dissertation, Instituto Superior de Economia e Gestão).</w:t>
      </w:r>
    </w:p>
    <w:p w14:paraId="6EB0DA7E" w14:textId="77777777" w:rsidR="00A6061F" w:rsidRPr="00160E64" w:rsidRDefault="00A6061F" w:rsidP="00A6061F">
      <w:pPr>
        <w:ind w:left="720" w:hanging="720"/>
        <w:rPr>
          <w:color w:val="222222"/>
          <w:shd w:val="clear" w:color="auto" w:fill="FFFFFF"/>
        </w:rPr>
      </w:pPr>
      <w:r w:rsidRPr="00160E64">
        <w:rPr>
          <w:color w:val="222222"/>
          <w:shd w:val="clear" w:color="auto" w:fill="FFFFFF"/>
        </w:rPr>
        <w:t>Cvrtak, K. R., Zekan, S. B., &amp; Vranješ, K. P. FRANCHISING AS A STRATEGY OF ENTERING FOREIGN MARKETS IN THE HOTEL INDUSTRY. </w:t>
      </w:r>
      <w:r w:rsidRPr="00160E64">
        <w:rPr>
          <w:i/>
          <w:iCs/>
          <w:color w:val="222222"/>
          <w:shd w:val="clear" w:color="auto" w:fill="FFFFFF"/>
        </w:rPr>
        <w:t>International Journal of Hospitality Management</w:t>
      </w:r>
      <w:r w:rsidRPr="00160E64">
        <w:rPr>
          <w:color w:val="222222"/>
          <w:shd w:val="clear" w:color="auto" w:fill="FFFFFF"/>
        </w:rPr>
        <w:t>, </w:t>
      </w:r>
      <w:r w:rsidRPr="00160E64">
        <w:rPr>
          <w:i/>
          <w:iCs/>
          <w:color w:val="222222"/>
          <w:shd w:val="clear" w:color="auto" w:fill="FFFFFF"/>
        </w:rPr>
        <w:t>27</w:t>
      </w:r>
      <w:r w:rsidRPr="00160E64">
        <w:rPr>
          <w:color w:val="222222"/>
          <w:shd w:val="clear" w:color="auto" w:fill="FFFFFF"/>
        </w:rPr>
        <w:t>, 325.</w:t>
      </w:r>
    </w:p>
    <w:p w14:paraId="11BB133B" w14:textId="77777777" w:rsidR="00A6061F" w:rsidRPr="00160E64" w:rsidRDefault="00A6061F" w:rsidP="00A6061F">
      <w:pPr>
        <w:ind w:left="720" w:hanging="720"/>
        <w:rPr>
          <w:color w:val="222222"/>
          <w:shd w:val="clear" w:color="auto" w:fill="FFFFFF"/>
        </w:rPr>
      </w:pPr>
      <w:bookmarkStart w:id="2" w:name="_Hlk127036782"/>
      <w:r w:rsidRPr="00160E64">
        <w:rPr>
          <w:color w:val="222222"/>
          <w:shd w:val="clear" w:color="auto" w:fill="FFFFFF"/>
        </w:rPr>
        <w:t>Gürlek, M., &amp; Kılıç</w:t>
      </w:r>
      <w:bookmarkEnd w:id="2"/>
      <w:r w:rsidRPr="00160E64">
        <w:rPr>
          <w:color w:val="222222"/>
          <w:shd w:val="clear" w:color="auto" w:fill="FFFFFF"/>
        </w:rPr>
        <w:t>, İ. (2021). A true friend becomes apparent on a rainy day: corporate social responsibility practices of top hotels during the COVID-19 pandemic. </w:t>
      </w:r>
      <w:r w:rsidRPr="00160E64">
        <w:rPr>
          <w:i/>
          <w:iCs/>
          <w:color w:val="222222"/>
          <w:shd w:val="clear" w:color="auto" w:fill="FFFFFF"/>
        </w:rPr>
        <w:t>Current Issues in Tourism</w:t>
      </w:r>
      <w:r w:rsidRPr="00160E64">
        <w:rPr>
          <w:color w:val="222222"/>
          <w:shd w:val="clear" w:color="auto" w:fill="FFFFFF"/>
        </w:rPr>
        <w:t>, </w:t>
      </w:r>
      <w:r w:rsidRPr="00160E64">
        <w:rPr>
          <w:i/>
          <w:iCs/>
          <w:color w:val="222222"/>
          <w:shd w:val="clear" w:color="auto" w:fill="FFFFFF"/>
        </w:rPr>
        <w:t>24</w:t>
      </w:r>
      <w:r w:rsidRPr="00160E64">
        <w:rPr>
          <w:color w:val="222222"/>
          <w:shd w:val="clear" w:color="auto" w:fill="FFFFFF"/>
        </w:rPr>
        <w:t xml:space="preserve">(7), 905-918. </w:t>
      </w:r>
    </w:p>
    <w:p w14:paraId="50DD70DC" w14:textId="4A819098" w:rsidR="00A6061F" w:rsidRPr="00160E64" w:rsidRDefault="00A6061F" w:rsidP="00A6061F">
      <w:pPr>
        <w:ind w:left="720" w:hanging="720"/>
        <w:rPr>
          <w:color w:val="222222"/>
          <w:shd w:val="clear" w:color="auto" w:fill="FFFFFF"/>
        </w:rPr>
      </w:pPr>
      <w:bookmarkStart w:id="3" w:name="_Hlk127036755"/>
      <w:r w:rsidRPr="00160E64">
        <w:rPr>
          <w:color w:val="222222"/>
          <w:shd w:val="clear" w:color="auto" w:fill="FFFFFF"/>
        </w:rPr>
        <w:t>Evans, N. (2019). Hyatt hotels. Strategic Management for Tourism, Hospitality</w:t>
      </w:r>
      <w:r>
        <w:rPr>
          <w:color w:val="222222"/>
          <w:shd w:val="clear" w:color="auto" w:fill="FFFFFF"/>
        </w:rPr>
        <w:t>,</w:t>
      </w:r>
      <w:r w:rsidRPr="00160E64">
        <w:rPr>
          <w:color w:val="222222"/>
          <w:shd w:val="clear" w:color="auto" w:fill="FFFFFF"/>
        </w:rPr>
        <w:t xml:space="preserve"> and Events, 680-698. </w:t>
      </w:r>
      <w:r w:rsidRPr="00A6061F">
        <w:rPr>
          <w:shd w:val="clear" w:color="auto" w:fill="FFFFFF"/>
        </w:rPr>
        <w:t>https://doi.org/10.4324/9780429437601-25</w:t>
      </w:r>
      <w:r w:rsidRPr="00160E64">
        <w:rPr>
          <w:color w:val="222222"/>
          <w:shd w:val="clear" w:color="auto" w:fill="FFFFFF"/>
        </w:rPr>
        <w:t xml:space="preserve"> </w:t>
      </w:r>
    </w:p>
    <w:p w14:paraId="5A3F8B20" w14:textId="77777777" w:rsidR="00A6061F" w:rsidRPr="00DF5B34" w:rsidRDefault="00A6061F" w:rsidP="00A6061F">
      <w:pPr>
        <w:ind w:left="720" w:hanging="720"/>
        <w:rPr>
          <w:i/>
          <w:iCs/>
          <w:color w:val="222222"/>
          <w:shd w:val="clear" w:color="auto" w:fill="FFFFFF"/>
        </w:rPr>
      </w:pPr>
      <w:r w:rsidRPr="00160E64">
        <w:rPr>
          <w:color w:val="222222"/>
          <w:shd w:val="clear" w:color="auto" w:fill="FFFFFF"/>
        </w:rPr>
        <w:lastRenderedPageBreak/>
        <w:t>Helmold, M., &amp; Helmold, M. (2020). </w:t>
      </w:r>
      <w:r w:rsidRPr="00DF5B34">
        <w:rPr>
          <w:color w:val="222222"/>
          <w:shd w:val="clear" w:color="auto" w:fill="FFFFFF"/>
        </w:rPr>
        <w:t>Total revenue management (trm)</w:t>
      </w:r>
      <w:r w:rsidRPr="00160E64">
        <w:rPr>
          <w:color w:val="222222"/>
          <w:shd w:val="clear" w:color="auto" w:fill="FFFFFF"/>
        </w:rPr>
        <w:t xml:space="preserve">. </w:t>
      </w:r>
      <w:r w:rsidRPr="00DF5B34">
        <w:rPr>
          <w:i/>
          <w:iCs/>
          <w:color w:val="222222"/>
          <w:shd w:val="clear" w:color="auto" w:fill="FFFFFF"/>
        </w:rPr>
        <w:t xml:space="preserve">Springer International Publishing. </w:t>
      </w:r>
    </w:p>
    <w:p w14:paraId="52C93758" w14:textId="77777777" w:rsidR="00A6061F" w:rsidRPr="00160E64" w:rsidRDefault="00A6061F" w:rsidP="00A6061F">
      <w:pPr>
        <w:ind w:left="720" w:hanging="720"/>
        <w:rPr>
          <w:color w:val="222222"/>
          <w:shd w:val="clear" w:color="auto" w:fill="FFFFFF"/>
        </w:rPr>
      </w:pPr>
      <w:r w:rsidRPr="00160E64">
        <w:rPr>
          <w:color w:val="222222"/>
          <w:shd w:val="clear" w:color="auto" w:fill="FFFFFF"/>
        </w:rPr>
        <w:t>Huang, Z. J., &amp; Cai, L. A. (20</w:t>
      </w:r>
      <w:r>
        <w:rPr>
          <w:color w:val="222222"/>
          <w:shd w:val="clear" w:color="auto" w:fill="FFFFFF"/>
        </w:rPr>
        <w:t>22</w:t>
      </w:r>
      <w:r w:rsidRPr="00160E64">
        <w:rPr>
          <w:color w:val="222222"/>
          <w:shd w:val="clear" w:color="auto" w:fill="FFFFFF"/>
        </w:rPr>
        <w:t>). Modeling consumer-based brand equity for multinational hotel brands–When hosts become guests. </w:t>
      </w:r>
      <w:r w:rsidRPr="00160E64">
        <w:rPr>
          <w:i/>
          <w:iCs/>
          <w:color w:val="222222"/>
          <w:shd w:val="clear" w:color="auto" w:fill="FFFFFF"/>
        </w:rPr>
        <w:t>Tourism Management</w:t>
      </w:r>
      <w:r w:rsidRPr="00160E64">
        <w:rPr>
          <w:color w:val="222222"/>
          <w:shd w:val="clear" w:color="auto" w:fill="FFFFFF"/>
        </w:rPr>
        <w:t>, </w:t>
      </w:r>
      <w:r w:rsidRPr="00160E64">
        <w:rPr>
          <w:i/>
          <w:iCs/>
          <w:color w:val="222222"/>
          <w:shd w:val="clear" w:color="auto" w:fill="FFFFFF"/>
        </w:rPr>
        <w:t>46</w:t>
      </w:r>
      <w:r w:rsidRPr="00160E64">
        <w:rPr>
          <w:color w:val="222222"/>
          <w:shd w:val="clear" w:color="auto" w:fill="FFFFFF"/>
        </w:rPr>
        <w:t xml:space="preserve">, 431-443. </w:t>
      </w:r>
    </w:p>
    <w:p w14:paraId="0C5D1A51" w14:textId="77777777" w:rsidR="00A6061F" w:rsidRPr="00160E64" w:rsidRDefault="00A6061F" w:rsidP="00A6061F">
      <w:pPr>
        <w:ind w:left="720" w:hanging="720"/>
        <w:rPr>
          <w:color w:val="222222"/>
          <w:shd w:val="clear" w:color="auto" w:fill="FFFFFF"/>
        </w:rPr>
      </w:pPr>
      <w:r w:rsidRPr="00160E64">
        <w:rPr>
          <w:color w:val="222222"/>
          <w:shd w:val="clear" w:color="auto" w:fill="FFFFFF"/>
        </w:rPr>
        <w:t xml:space="preserve">Koushik, D., Higbie, J. A., &amp; Eister, C. (2012). Retail price optimization at intercontinental hotels group. </w:t>
      </w:r>
      <w:r w:rsidRPr="00DF5B34">
        <w:rPr>
          <w:i/>
          <w:iCs/>
          <w:color w:val="222222"/>
          <w:shd w:val="clear" w:color="auto" w:fill="FFFFFF"/>
        </w:rPr>
        <w:t>Interfaces, 42</w:t>
      </w:r>
      <w:r w:rsidRPr="00160E64">
        <w:rPr>
          <w:color w:val="222222"/>
          <w:shd w:val="clear" w:color="auto" w:fill="FFFFFF"/>
        </w:rPr>
        <w:t xml:space="preserve">(1), 45-57. </w:t>
      </w:r>
      <w:r w:rsidRPr="00DF5B34">
        <w:rPr>
          <w:shd w:val="clear" w:color="auto" w:fill="FFFFFF"/>
        </w:rPr>
        <w:t>https://doi.org/10.1287/inte.1110.0620</w:t>
      </w:r>
      <w:r w:rsidRPr="00160E64">
        <w:rPr>
          <w:color w:val="222222"/>
          <w:shd w:val="clear" w:color="auto" w:fill="FFFFFF"/>
        </w:rPr>
        <w:t xml:space="preserve"> </w:t>
      </w:r>
    </w:p>
    <w:p w14:paraId="6AC745C1" w14:textId="77777777" w:rsidR="00A6061F" w:rsidRPr="00160E64" w:rsidRDefault="00A6061F" w:rsidP="00A6061F">
      <w:pPr>
        <w:ind w:left="720" w:hanging="720"/>
        <w:rPr>
          <w:color w:val="222222"/>
          <w:shd w:val="clear" w:color="auto" w:fill="FFFFFF"/>
        </w:rPr>
      </w:pPr>
      <w:r w:rsidRPr="00160E64">
        <w:rPr>
          <w:color w:val="222222"/>
          <w:shd w:val="clear" w:color="auto" w:fill="FFFFFF"/>
        </w:rPr>
        <w:t>Lapan</w:t>
      </w:r>
      <w:bookmarkEnd w:id="3"/>
      <w:r w:rsidRPr="00160E64">
        <w:rPr>
          <w:color w:val="222222"/>
          <w:shd w:val="clear" w:color="auto" w:fill="FFFFFF"/>
        </w:rPr>
        <w:t>, T. (2022). For Hyatt Hotels Corp., 2021 was a</w:t>
      </w:r>
      <w:r>
        <w:rPr>
          <w:color w:val="222222"/>
          <w:shd w:val="clear" w:color="auto" w:fill="FFFFFF"/>
        </w:rPr>
        <w:t xml:space="preserve"> </w:t>
      </w:r>
      <w:r w:rsidRPr="00160E64">
        <w:rPr>
          <w:color w:val="222222"/>
          <w:shd w:val="clear" w:color="auto" w:fill="FFFFFF"/>
        </w:rPr>
        <w:t>'</w:t>
      </w:r>
      <w:r>
        <w:rPr>
          <w:color w:val="222222"/>
          <w:shd w:val="clear" w:color="auto" w:fill="FFFFFF"/>
        </w:rPr>
        <w:t>transformative year</w:t>
      </w:r>
      <w:r w:rsidRPr="00160E64">
        <w:rPr>
          <w:color w:val="222222"/>
          <w:shd w:val="clear" w:color="auto" w:fill="FFFFFF"/>
        </w:rPr>
        <w:t>.</w:t>
      </w:r>
    </w:p>
    <w:p w14:paraId="79CBDD05" w14:textId="77777777" w:rsidR="00A6061F" w:rsidRPr="00160E64" w:rsidRDefault="00A6061F" w:rsidP="00A6061F">
      <w:pPr>
        <w:ind w:left="720" w:hanging="720"/>
        <w:rPr>
          <w:color w:val="222222"/>
          <w:shd w:val="clear" w:color="auto" w:fill="FFFFFF"/>
        </w:rPr>
      </w:pPr>
      <w:bookmarkStart w:id="4" w:name="_Hlk127035950"/>
      <w:r w:rsidRPr="00160E64">
        <w:rPr>
          <w:color w:val="222222"/>
          <w:shd w:val="clear" w:color="auto" w:fill="FFFFFF"/>
        </w:rPr>
        <w:t xml:space="preserve">Macrotrends. (2022). Hyatt hotels revenue 2010-2022 | H. Macrotrends | The Long Term Perspective on Markets. </w:t>
      </w:r>
      <w:r w:rsidRPr="00DF5B34">
        <w:rPr>
          <w:shd w:val="clear" w:color="auto" w:fill="FFFFFF"/>
        </w:rPr>
        <w:t>https://www.macrotrends.net/stocks/charts/H/hyatt-hotels/revenue</w:t>
      </w:r>
      <w:r w:rsidRPr="00160E64">
        <w:rPr>
          <w:color w:val="222222"/>
          <w:shd w:val="clear" w:color="auto" w:fill="FFFFFF"/>
        </w:rPr>
        <w:t xml:space="preserve"> </w:t>
      </w:r>
    </w:p>
    <w:p w14:paraId="1CEAF5D7" w14:textId="679504E9" w:rsidR="00A6061F" w:rsidRPr="00160E64" w:rsidRDefault="00A6061F" w:rsidP="00A6061F">
      <w:pPr>
        <w:ind w:left="720" w:hanging="720"/>
        <w:rPr>
          <w:color w:val="222222"/>
          <w:shd w:val="clear" w:color="auto" w:fill="FFFFFF"/>
        </w:rPr>
      </w:pPr>
      <w:bookmarkStart w:id="5" w:name="_Hlk127036327"/>
      <w:bookmarkEnd w:id="4"/>
      <w:r w:rsidRPr="00160E64">
        <w:rPr>
          <w:color w:val="222222"/>
          <w:shd w:val="clear" w:color="auto" w:fill="FFFFFF"/>
        </w:rPr>
        <w:t>Naumik-Gladkaya</w:t>
      </w:r>
      <w:bookmarkEnd w:id="5"/>
      <w:r w:rsidRPr="00160E64">
        <w:rPr>
          <w:color w:val="222222"/>
          <w:shd w:val="clear" w:color="auto" w:fill="FFFFFF"/>
        </w:rPr>
        <w:t>, E. G., &amp; Devon, V. V. (2018). World luxury hotels and key financial ratios/prices/trends analyze. , (143), 2-8.</w:t>
      </w:r>
    </w:p>
    <w:p w14:paraId="7CE5F7AB" w14:textId="77777777" w:rsidR="00A6061F" w:rsidRPr="00160E64" w:rsidRDefault="00A6061F" w:rsidP="00A6061F">
      <w:pPr>
        <w:ind w:left="720" w:hanging="720"/>
        <w:rPr>
          <w:color w:val="222222"/>
          <w:shd w:val="clear" w:color="auto" w:fill="FFFFFF"/>
        </w:rPr>
      </w:pPr>
      <w:bookmarkStart w:id="6" w:name="_Hlk127036515"/>
      <w:r>
        <w:rPr>
          <w:color w:val="222222"/>
          <w:shd w:val="clear" w:color="auto" w:fill="FFFFFF"/>
        </w:rPr>
        <w:t>Rhou</w:t>
      </w:r>
      <w:r w:rsidRPr="00160E64">
        <w:rPr>
          <w:color w:val="222222"/>
          <w:shd w:val="clear" w:color="auto" w:fill="FFFFFF"/>
        </w:rPr>
        <w:t>, Y., &amp; Singal, M. (2020). A review of the business case for CSR in the hospitality industry. </w:t>
      </w:r>
      <w:r w:rsidRPr="00160E64">
        <w:rPr>
          <w:i/>
          <w:iCs/>
          <w:color w:val="222222"/>
          <w:shd w:val="clear" w:color="auto" w:fill="FFFFFF"/>
        </w:rPr>
        <w:t>International Journal of Hospitality Management</w:t>
      </w:r>
      <w:r w:rsidRPr="00160E64">
        <w:rPr>
          <w:color w:val="222222"/>
          <w:shd w:val="clear" w:color="auto" w:fill="FFFFFF"/>
        </w:rPr>
        <w:t>, </w:t>
      </w:r>
      <w:r w:rsidRPr="00160E64">
        <w:rPr>
          <w:i/>
          <w:iCs/>
          <w:color w:val="222222"/>
          <w:shd w:val="clear" w:color="auto" w:fill="FFFFFF"/>
        </w:rPr>
        <w:t>84</w:t>
      </w:r>
      <w:r w:rsidRPr="00160E64">
        <w:rPr>
          <w:color w:val="222222"/>
          <w:shd w:val="clear" w:color="auto" w:fill="FFFFFF"/>
        </w:rPr>
        <w:t xml:space="preserve">, 102330. </w:t>
      </w:r>
    </w:p>
    <w:p w14:paraId="1D5B4EAA" w14:textId="77777777" w:rsidR="00A6061F" w:rsidRPr="00160E64" w:rsidRDefault="00A6061F" w:rsidP="00A6061F">
      <w:pPr>
        <w:ind w:left="720" w:hanging="720"/>
        <w:rPr>
          <w:color w:val="222222"/>
          <w:shd w:val="clear" w:color="auto" w:fill="FFFFFF"/>
        </w:rPr>
      </w:pPr>
      <w:r w:rsidRPr="00160E64">
        <w:rPr>
          <w:color w:val="222222"/>
          <w:shd w:val="clear" w:color="auto" w:fill="FFFFFF"/>
        </w:rPr>
        <w:t>Schlothauer, M., &amp; Wilhaus</w:t>
      </w:r>
      <w:bookmarkEnd w:id="6"/>
      <w:r w:rsidRPr="00160E64">
        <w:rPr>
          <w:color w:val="222222"/>
          <w:shd w:val="clear" w:color="auto" w:fill="FFFFFF"/>
        </w:rPr>
        <w:t>, D. (2016). Lotte: A Case Study on Market Entries Through Acquisition. </w:t>
      </w:r>
      <w:r w:rsidRPr="00160E64">
        <w:rPr>
          <w:i/>
          <w:iCs/>
          <w:color w:val="222222"/>
          <w:shd w:val="clear" w:color="auto" w:fill="FFFFFF"/>
        </w:rPr>
        <w:t>Multinational Management: A Casebook on Asia</w:t>
      </w:r>
      <w:r>
        <w:rPr>
          <w:i/>
          <w:iCs/>
          <w:color w:val="222222"/>
          <w:shd w:val="clear" w:color="auto" w:fill="FFFFFF"/>
        </w:rPr>
        <w:t>'</w:t>
      </w:r>
      <w:r w:rsidRPr="00160E64">
        <w:rPr>
          <w:i/>
          <w:iCs/>
          <w:color w:val="222222"/>
          <w:shd w:val="clear" w:color="auto" w:fill="FFFFFF"/>
        </w:rPr>
        <w:t>s Global Market Leaders</w:t>
      </w:r>
      <w:r w:rsidRPr="00160E64">
        <w:rPr>
          <w:color w:val="222222"/>
          <w:shd w:val="clear" w:color="auto" w:fill="FFFFFF"/>
        </w:rPr>
        <w:t xml:space="preserve">, 239-254. </w:t>
      </w:r>
    </w:p>
    <w:p w14:paraId="52E586D4" w14:textId="6BD281AD" w:rsidR="00A6061F" w:rsidRPr="00160E64" w:rsidRDefault="00A6061F" w:rsidP="00A6061F">
      <w:pPr>
        <w:ind w:left="720" w:hanging="720"/>
        <w:rPr>
          <w:color w:val="222222"/>
          <w:shd w:val="clear" w:color="auto" w:fill="FFFFFF"/>
        </w:rPr>
      </w:pPr>
      <w:bookmarkStart w:id="7" w:name="_Hlk127036072"/>
      <w:r w:rsidRPr="00160E64">
        <w:rPr>
          <w:color w:val="222222"/>
          <w:shd w:val="clear" w:color="auto" w:fill="FFFFFF"/>
        </w:rPr>
        <w:t>Seruna</w:t>
      </w:r>
      <w:bookmarkEnd w:id="7"/>
      <w:r w:rsidRPr="00160E64">
        <w:rPr>
          <w:color w:val="222222"/>
          <w:shd w:val="clear" w:color="auto" w:fill="FFFFFF"/>
        </w:rPr>
        <w:t>, A. (2022). </w:t>
      </w:r>
      <w:r w:rsidRPr="00160E64">
        <w:rPr>
          <w:i/>
          <w:iCs/>
          <w:color w:val="222222"/>
          <w:shd w:val="clear" w:color="auto" w:fill="FFFFFF"/>
        </w:rPr>
        <w:t>Equity research on intercontinental hotels group Plc-enduring the implications of Covid-19</w:t>
      </w:r>
      <w:r w:rsidRPr="00160E64">
        <w:rPr>
          <w:color w:val="222222"/>
          <w:shd w:val="clear" w:color="auto" w:fill="FFFFFF"/>
        </w:rPr>
        <w:t xml:space="preserve">  </w:t>
      </w:r>
    </w:p>
    <w:p w14:paraId="4A726043" w14:textId="77777777" w:rsidR="00A6061F" w:rsidRPr="00160E64" w:rsidRDefault="00A6061F" w:rsidP="00A6061F">
      <w:pPr>
        <w:ind w:left="720" w:hanging="720"/>
        <w:rPr>
          <w:color w:val="222222"/>
          <w:shd w:val="clear" w:color="auto" w:fill="FFFFFF"/>
        </w:rPr>
      </w:pPr>
      <w:bookmarkStart w:id="8" w:name="_Hlk127036556"/>
      <w:r w:rsidRPr="00160E64">
        <w:rPr>
          <w:color w:val="222222"/>
          <w:shd w:val="clear" w:color="auto" w:fill="FFFFFF"/>
        </w:rPr>
        <w:t>Shin</w:t>
      </w:r>
      <w:bookmarkEnd w:id="8"/>
      <w:r w:rsidRPr="00160E64">
        <w:rPr>
          <w:color w:val="222222"/>
          <w:shd w:val="clear" w:color="auto" w:fill="FFFFFF"/>
        </w:rPr>
        <w:t>, H., Sharma, A., Nicolau, J. L., &amp; Kang, J. (2021). The impact of hotel CSR for strategic philanthropy on booking behavior and hotel performance during the COVID-19 pandemic. </w:t>
      </w:r>
      <w:r w:rsidRPr="00160E64">
        <w:rPr>
          <w:i/>
          <w:iCs/>
          <w:color w:val="222222"/>
          <w:shd w:val="clear" w:color="auto" w:fill="FFFFFF"/>
        </w:rPr>
        <w:t>Tourism Management</w:t>
      </w:r>
      <w:r w:rsidRPr="00160E64">
        <w:rPr>
          <w:color w:val="222222"/>
          <w:shd w:val="clear" w:color="auto" w:fill="FFFFFF"/>
        </w:rPr>
        <w:t>, </w:t>
      </w:r>
      <w:r w:rsidRPr="00160E64">
        <w:rPr>
          <w:i/>
          <w:iCs/>
          <w:color w:val="222222"/>
          <w:shd w:val="clear" w:color="auto" w:fill="FFFFFF"/>
        </w:rPr>
        <w:t>85</w:t>
      </w:r>
      <w:r w:rsidRPr="00160E64">
        <w:rPr>
          <w:color w:val="222222"/>
          <w:shd w:val="clear" w:color="auto" w:fill="FFFFFF"/>
        </w:rPr>
        <w:t>, 104322.</w:t>
      </w:r>
    </w:p>
    <w:p w14:paraId="20E3BDBD" w14:textId="77777777" w:rsidR="00A6061F" w:rsidRPr="00160E64" w:rsidRDefault="00A6061F" w:rsidP="00A6061F">
      <w:pPr>
        <w:ind w:left="720" w:hanging="720"/>
        <w:rPr>
          <w:color w:val="222222"/>
          <w:shd w:val="clear" w:color="auto" w:fill="FFFFFF"/>
        </w:rPr>
      </w:pPr>
      <w:bookmarkStart w:id="9" w:name="_Hlk127036581"/>
      <w:r w:rsidRPr="00160E64">
        <w:rPr>
          <w:color w:val="222222"/>
          <w:shd w:val="clear" w:color="auto" w:fill="FFFFFF"/>
        </w:rPr>
        <w:t>Suprapto, G. D. H., &amp; Limbing, L. P. B. (2020). The Role Of Income Audit As Internal Control Over Intercontinental Bandung's F&amp;B Revenue Cycle. </w:t>
      </w:r>
      <w:r w:rsidRPr="00160E64">
        <w:rPr>
          <w:i/>
          <w:iCs/>
          <w:color w:val="222222"/>
          <w:shd w:val="clear" w:color="auto" w:fill="FFFFFF"/>
        </w:rPr>
        <w:t>Ekonomika45</w:t>
      </w:r>
      <w:r w:rsidRPr="00160E64">
        <w:rPr>
          <w:color w:val="222222"/>
          <w:shd w:val="clear" w:color="auto" w:fill="FFFFFF"/>
        </w:rPr>
        <w:t>, </w:t>
      </w:r>
      <w:r w:rsidRPr="00160E64">
        <w:rPr>
          <w:i/>
          <w:iCs/>
          <w:color w:val="222222"/>
          <w:shd w:val="clear" w:color="auto" w:fill="FFFFFF"/>
        </w:rPr>
        <w:t>6</w:t>
      </w:r>
      <w:r w:rsidRPr="00160E64">
        <w:rPr>
          <w:color w:val="222222"/>
          <w:shd w:val="clear" w:color="auto" w:fill="FFFFFF"/>
        </w:rPr>
        <w:t xml:space="preserve">(2). </w:t>
      </w:r>
    </w:p>
    <w:p w14:paraId="5BF2B581" w14:textId="77777777" w:rsidR="00A6061F" w:rsidRPr="00160E64" w:rsidRDefault="00A6061F" w:rsidP="00A6061F">
      <w:pPr>
        <w:ind w:left="720" w:hanging="720"/>
        <w:rPr>
          <w:color w:val="222222"/>
          <w:shd w:val="clear" w:color="auto" w:fill="FFFFFF"/>
        </w:rPr>
      </w:pPr>
      <w:r w:rsidRPr="00160E64">
        <w:rPr>
          <w:color w:val="222222"/>
          <w:shd w:val="clear" w:color="auto" w:fill="FFFFFF"/>
        </w:rPr>
        <w:lastRenderedPageBreak/>
        <w:t>Surya</w:t>
      </w:r>
      <w:bookmarkEnd w:id="9"/>
      <w:r w:rsidRPr="00160E64">
        <w:rPr>
          <w:color w:val="222222"/>
          <w:shd w:val="clear" w:color="auto" w:fill="FFFFFF"/>
        </w:rPr>
        <w:t>, P. R. A., Budarma, I. K., &amp; Mudana, I. G. (2020). Three-cluster policy in the implementation of corporate social responsibility at Intercontinental Bali Resort. </w:t>
      </w:r>
      <w:r w:rsidRPr="00160E64">
        <w:rPr>
          <w:i/>
          <w:iCs/>
          <w:color w:val="222222"/>
          <w:shd w:val="clear" w:color="auto" w:fill="FFFFFF"/>
        </w:rPr>
        <w:t>International Journal of Green Tourism Research and Applications</w:t>
      </w:r>
      <w:r w:rsidRPr="00160E64">
        <w:rPr>
          <w:color w:val="222222"/>
          <w:shd w:val="clear" w:color="auto" w:fill="FFFFFF"/>
        </w:rPr>
        <w:t>, </w:t>
      </w:r>
      <w:r w:rsidRPr="00160E64">
        <w:rPr>
          <w:i/>
          <w:iCs/>
          <w:color w:val="222222"/>
          <w:shd w:val="clear" w:color="auto" w:fill="FFFFFF"/>
        </w:rPr>
        <w:t>2</w:t>
      </w:r>
      <w:r w:rsidRPr="00160E64">
        <w:rPr>
          <w:color w:val="222222"/>
          <w:shd w:val="clear" w:color="auto" w:fill="FFFFFF"/>
        </w:rPr>
        <w:t xml:space="preserve">(1), 11-21. </w:t>
      </w:r>
    </w:p>
    <w:p w14:paraId="0929F866" w14:textId="77777777" w:rsidR="00A6061F" w:rsidRPr="00160E64" w:rsidRDefault="00A6061F" w:rsidP="00A6061F">
      <w:pPr>
        <w:ind w:left="720" w:hanging="720"/>
        <w:rPr>
          <w:color w:val="222222"/>
          <w:shd w:val="clear" w:color="auto" w:fill="FFFFFF"/>
        </w:rPr>
      </w:pPr>
      <w:bookmarkStart w:id="10" w:name="_Hlk127036112"/>
      <w:r w:rsidRPr="00160E64">
        <w:rPr>
          <w:color w:val="222222"/>
          <w:shd w:val="clear" w:color="auto" w:fill="FFFFFF"/>
        </w:rPr>
        <w:t>Tariq</w:t>
      </w:r>
      <w:bookmarkEnd w:id="10"/>
      <w:r w:rsidRPr="00160E64">
        <w:rPr>
          <w:color w:val="222222"/>
          <w:shd w:val="clear" w:color="auto" w:fill="FFFFFF"/>
        </w:rPr>
        <w:t>, M. I. B., Abdul, A., Khan, M. A., Alderei, A. S., Alteneiji, F. R., &amp; Nobanee, H. Financial analysis of Hyatt Hotels Corporation.</w:t>
      </w:r>
    </w:p>
    <w:p w14:paraId="2A2B0F10" w14:textId="77777777" w:rsidR="00A6061F" w:rsidRPr="00160E64" w:rsidRDefault="00A6061F" w:rsidP="00A6061F">
      <w:pPr>
        <w:ind w:left="720" w:hanging="720"/>
        <w:rPr>
          <w:color w:val="222222"/>
          <w:shd w:val="clear" w:color="auto" w:fill="FFFFFF"/>
        </w:rPr>
      </w:pPr>
      <w:bookmarkStart w:id="11" w:name="_Hlk127036285"/>
      <w:r w:rsidRPr="00160E64">
        <w:rPr>
          <w:color w:val="222222"/>
          <w:shd w:val="clear" w:color="auto" w:fill="FFFFFF"/>
        </w:rPr>
        <w:t>Van Niekerk</w:t>
      </w:r>
      <w:bookmarkEnd w:id="11"/>
      <w:r w:rsidRPr="00160E64">
        <w:rPr>
          <w:color w:val="222222"/>
          <w:shd w:val="clear" w:color="auto" w:fill="FFFFFF"/>
        </w:rPr>
        <w:t xml:space="preserve">, M. (2016). Business, technology, and marketing trends </w:t>
      </w:r>
      <w:r w:rsidRPr="00B94AED">
        <w:rPr>
          <w:color w:val="222222"/>
          <w:shd w:val="clear" w:color="auto" w:fill="FFFFFF"/>
        </w:rPr>
        <w:t>influence the hotel industry's financial performance</w:t>
      </w:r>
      <w:r w:rsidRPr="00160E64">
        <w:rPr>
          <w:color w:val="222222"/>
          <w:shd w:val="clear" w:color="auto" w:fill="FFFFFF"/>
        </w:rPr>
        <w:t>. </w:t>
      </w:r>
      <w:r w:rsidRPr="00160E64">
        <w:rPr>
          <w:i/>
          <w:iCs/>
          <w:color w:val="222222"/>
          <w:shd w:val="clear" w:color="auto" w:fill="FFFFFF"/>
        </w:rPr>
        <w:t>The Journal of Hospitality Financial Management</w:t>
      </w:r>
      <w:r w:rsidRPr="00160E64">
        <w:rPr>
          <w:color w:val="222222"/>
          <w:shd w:val="clear" w:color="auto" w:fill="FFFFFF"/>
        </w:rPr>
        <w:t>, </w:t>
      </w:r>
      <w:r w:rsidRPr="00160E64">
        <w:rPr>
          <w:i/>
          <w:iCs/>
          <w:color w:val="222222"/>
          <w:shd w:val="clear" w:color="auto" w:fill="FFFFFF"/>
        </w:rPr>
        <w:t>24</w:t>
      </w:r>
      <w:r w:rsidRPr="00160E64">
        <w:rPr>
          <w:color w:val="222222"/>
          <w:shd w:val="clear" w:color="auto" w:fill="FFFFFF"/>
        </w:rPr>
        <w:t>(2), 153-157.</w:t>
      </w:r>
    </w:p>
    <w:p w14:paraId="50EDA085" w14:textId="77777777" w:rsidR="00A6061F" w:rsidRPr="00160E64" w:rsidRDefault="00A6061F" w:rsidP="00A6061F">
      <w:pPr>
        <w:ind w:left="720" w:hanging="720"/>
        <w:rPr>
          <w:color w:val="222222"/>
          <w:shd w:val="clear" w:color="auto" w:fill="FFFFFF"/>
        </w:rPr>
      </w:pPr>
      <w:r w:rsidRPr="00160E64">
        <w:rPr>
          <w:color w:val="222222"/>
          <w:shd w:val="clear" w:color="auto" w:fill="FFFFFF"/>
        </w:rPr>
        <w:t xml:space="preserve">Vasić, Ž., &amp; Čerović, S. (2018). Financial function transformation in the information era case study intercontinental hotels group. Turisticko poslovanje, (22), 51-59. </w:t>
      </w:r>
      <w:r w:rsidRPr="00DF5B34">
        <w:rPr>
          <w:shd w:val="clear" w:color="auto" w:fill="FFFFFF"/>
        </w:rPr>
        <w:t>https://doi.org/10.5937/turpos1822051v</w:t>
      </w:r>
      <w:r w:rsidRPr="00160E64">
        <w:rPr>
          <w:color w:val="222222"/>
          <w:shd w:val="clear" w:color="auto" w:fill="FFFFFF"/>
        </w:rPr>
        <w:t xml:space="preserve"> </w:t>
      </w:r>
    </w:p>
    <w:p w14:paraId="4733E1A3" w14:textId="05C5AEA1" w:rsidR="00A6061F" w:rsidRPr="00160E64" w:rsidRDefault="00A6061F" w:rsidP="00A6061F">
      <w:pPr>
        <w:ind w:left="720" w:hanging="720"/>
        <w:rPr>
          <w:color w:val="222222"/>
          <w:shd w:val="clear" w:color="auto" w:fill="FFFFFF"/>
        </w:rPr>
      </w:pPr>
      <w:bookmarkStart w:id="12" w:name="_Hlk127036608"/>
      <w:r w:rsidRPr="00160E64">
        <w:rPr>
          <w:color w:val="222222"/>
          <w:shd w:val="clear" w:color="auto" w:fill="FFFFFF"/>
        </w:rPr>
        <w:t>Voegeli</w:t>
      </w:r>
      <w:bookmarkEnd w:id="12"/>
      <w:r w:rsidRPr="00160E64">
        <w:rPr>
          <w:color w:val="222222"/>
          <w:shd w:val="clear" w:color="auto" w:fill="FFFFFF"/>
        </w:rPr>
        <w:t xml:space="preserve">, C. (2021). A Case Study of Knowledge Management Practices at the Intercontinental </w:t>
      </w:r>
      <w:r>
        <w:rPr>
          <w:color w:val="222222"/>
          <w:shd w:val="clear" w:color="auto" w:fill="FFFFFF"/>
        </w:rPr>
        <w:t>Hotels</w:t>
      </w:r>
      <w:r w:rsidRPr="00160E64">
        <w:rPr>
          <w:color w:val="222222"/>
          <w:shd w:val="clear" w:color="auto" w:fill="FFFFFF"/>
        </w:rPr>
        <w:t xml:space="preserve"> Group. .</w:t>
      </w:r>
    </w:p>
    <w:p w14:paraId="2C640375" w14:textId="77777777" w:rsidR="00A6061F" w:rsidRPr="00160E64" w:rsidRDefault="00A6061F" w:rsidP="00A6061F">
      <w:pPr>
        <w:ind w:left="720" w:hanging="720"/>
        <w:rPr>
          <w:color w:val="222222"/>
          <w:shd w:val="clear" w:color="auto" w:fill="FFFFFF"/>
        </w:rPr>
      </w:pPr>
      <w:r w:rsidRPr="00160E64">
        <w:rPr>
          <w:color w:val="222222"/>
          <w:shd w:val="clear" w:color="auto" w:fill="FFFFFF"/>
        </w:rPr>
        <w:t xml:space="preserve">Wang, Y. C., </w:t>
      </w:r>
      <w:bookmarkStart w:id="13" w:name="_Hlk127036154"/>
      <w:r w:rsidRPr="00160E64">
        <w:rPr>
          <w:color w:val="222222"/>
          <w:shd w:val="clear" w:color="auto" w:fill="FFFFFF"/>
        </w:rPr>
        <w:t>&amp; Chung</w:t>
      </w:r>
      <w:bookmarkEnd w:id="13"/>
      <w:r w:rsidRPr="00160E64">
        <w:rPr>
          <w:color w:val="222222"/>
          <w:shd w:val="clear" w:color="auto" w:fill="FFFFFF"/>
        </w:rPr>
        <w:t>, Y. (2015). Hotel brand portfolio strategy. </w:t>
      </w:r>
      <w:r w:rsidRPr="00160E64">
        <w:rPr>
          <w:i/>
          <w:iCs/>
          <w:color w:val="222222"/>
          <w:shd w:val="clear" w:color="auto" w:fill="FFFFFF"/>
        </w:rPr>
        <w:t>International Journal of Contemporary Hospitality Management</w:t>
      </w:r>
      <w:r w:rsidRPr="00160E64">
        <w:rPr>
          <w:color w:val="222222"/>
          <w:shd w:val="clear" w:color="auto" w:fill="FFFFFF"/>
        </w:rPr>
        <w:t>, </w:t>
      </w:r>
      <w:r w:rsidRPr="00160E64">
        <w:rPr>
          <w:i/>
          <w:iCs/>
          <w:color w:val="222222"/>
          <w:shd w:val="clear" w:color="auto" w:fill="FFFFFF"/>
        </w:rPr>
        <w:t>27</w:t>
      </w:r>
      <w:r w:rsidRPr="00160E64">
        <w:rPr>
          <w:color w:val="222222"/>
          <w:shd w:val="clear" w:color="auto" w:fill="FFFFFF"/>
        </w:rPr>
        <w:t>(4), 561-584.</w:t>
      </w:r>
    </w:p>
    <w:bookmarkEnd w:id="1"/>
    <w:p w14:paraId="707C1498" w14:textId="77777777" w:rsidR="00A6061F" w:rsidRPr="0011224D" w:rsidRDefault="00A6061F" w:rsidP="0011224D">
      <w:pPr>
        <w:spacing w:after="160" w:line="360" w:lineRule="auto"/>
        <w:jc w:val="both"/>
        <w:rPr>
          <w:rFonts w:ascii="Arial" w:hAnsi="Arial" w:cs="Arial"/>
          <w:color w:val="000000"/>
          <w:kern w:val="0"/>
          <w:shd w:val="clear" w:color="auto" w:fill="FFFFFF"/>
          <w:lang w:val="en-GB"/>
          <w14:ligatures w14:val="none"/>
        </w:rPr>
      </w:pPr>
    </w:p>
    <w:p w14:paraId="0CD75506" w14:textId="77777777" w:rsidR="0011224D" w:rsidRDefault="0011224D"/>
    <w:sectPr w:rsidR="00112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24D"/>
    <w:rsid w:val="0011224D"/>
    <w:rsid w:val="00153406"/>
    <w:rsid w:val="00313956"/>
    <w:rsid w:val="00817F6C"/>
    <w:rsid w:val="00956005"/>
    <w:rsid w:val="00A6061F"/>
    <w:rsid w:val="00D00B6B"/>
    <w:rsid w:val="00F10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28F2"/>
  <w15:chartTrackingRefBased/>
  <w15:docId w15:val="{23DE6E3B-8693-40B8-8B75-47AB5A9F5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24D"/>
    <w:pPr>
      <w:spacing w:after="0" w:line="480" w:lineRule="auto"/>
    </w:pPr>
    <w:rPr>
      <w:rFonts w:ascii="Times New Roman" w:hAnsi="Times New Roman" w:cs="Times New Roman"/>
      <w:kern w:val="2"/>
      <w:sz w:val="24"/>
      <w:szCs w:val="24"/>
      <w:lang w:val=""/>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06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2355</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Danila (2108673)</dc:creator>
  <cp:keywords/>
  <dc:description/>
  <cp:lastModifiedBy>Iulia Danila (2108673)</cp:lastModifiedBy>
  <cp:revision>5</cp:revision>
  <dcterms:created xsi:type="dcterms:W3CDTF">2023-02-17T18:33:00Z</dcterms:created>
  <dcterms:modified xsi:type="dcterms:W3CDTF">2023-02-17T19:03:00Z</dcterms:modified>
</cp:coreProperties>
</file>