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35E23" w14:textId="508EB69F" w:rsidR="004C6F25" w:rsidRPr="00804633" w:rsidRDefault="00D03EA6" w:rsidP="00804633">
      <w:pPr>
        <w:jc w:val="both"/>
        <w:rPr>
          <w:rFonts w:ascii="Arial" w:hAnsi="Arial" w:cs="Arial"/>
          <w:sz w:val="22"/>
          <w:szCs w:val="22"/>
        </w:rPr>
      </w:pPr>
      <w:r w:rsidRPr="00804633">
        <w:rPr>
          <w:rFonts w:ascii="Arial" w:hAnsi="Arial" w:cs="Arial"/>
          <w:sz w:val="22"/>
          <w:szCs w:val="22"/>
        </w:rPr>
        <w:t>Voice-over</w:t>
      </w:r>
      <w:r w:rsidR="004C6F25" w:rsidRPr="00804633">
        <w:rPr>
          <w:rFonts w:ascii="Arial" w:hAnsi="Arial" w:cs="Arial"/>
          <w:sz w:val="22"/>
          <w:szCs w:val="22"/>
        </w:rPr>
        <w:t xml:space="preserve"> notes</w:t>
      </w:r>
    </w:p>
    <w:p w14:paraId="5886E3B9" w14:textId="1B02F81C" w:rsidR="00642090" w:rsidRPr="00804633" w:rsidRDefault="00642090" w:rsidP="00804633">
      <w:pPr>
        <w:jc w:val="both"/>
        <w:rPr>
          <w:rFonts w:ascii="Arial" w:hAnsi="Arial" w:cs="Arial"/>
          <w:sz w:val="22"/>
          <w:szCs w:val="22"/>
        </w:rPr>
      </w:pPr>
      <w:r w:rsidRPr="00804633">
        <w:rPr>
          <w:rFonts w:ascii="Arial" w:hAnsi="Arial" w:cs="Arial"/>
          <w:sz w:val="22"/>
          <w:szCs w:val="22"/>
        </w:rPr>
        <w:t>Slide 1</w:t>
      </w:r>
    </w:p>
    <w:p w14:paraId="1D96CEF9" w14:textId="24C76280" w:rsidR="00642090" w:rsidRPr="00804633" w:rsidRDefault="004C6F25" w:rsidP="00804633">
      <w:pPr>
        <w:jc w:val="both"/>
        <w:rPr>
          <w:rFonts w:ascii="Arial" w:hAnsi="Arial" w:cs="Arial"/>
          <w:sz w:val="22"/>
          <w:szCs w:val="22"/>
        </w:rPr>
      </w:pPr>
      <w:r w:rsidRPr="00804633">
        <w:rPr>
          <w:rFonts w:ascii="Arial" w:hAnsi="Arial" w:cs="Arial"/>
          <w:sz w:val="22"/>
          <w:szCs w:val="22"/>
        </w:rPr>
        <w:t>Good morning/afternoon. Today, I will present a comprehensive care plan for a fictional patient with Type 2 Diabetes. This presentation will cover the relevant anatomy and physiology of the endocrine and cardiovascular systems, explain how diabetes affects these systems, introduce our fictional patient, and provide evidence-based recommendations for their care following NHS and NICE guidelines. This case study demonstrates the importance of person-centred, holistic care in managing chronic conditions.</w:t>
      </w:r>
    </w:p>
    <w:p w14:paraId="64AB2520" w14:textId="4ABF23F1" w:rsidR="00642090" w:rsidRPr="00804633" w:rsidRDefault="00642090" w:rsidP="00804633">
      <w:pPr>
        <w:jc w:val="both"/>
        <w:rPr>
          <w:rFonts w:ascii="Arial" w:hAnsi="Arial" w:cs="Arial"/>
          <w:sz w:val="22"/>
          <w:szCs w:val="22"/>
        </w:rPr>
      </w:pPr>
      <w:r w:rsidRPr="00804633">
        <w:rPr>
          <w:rFonts w:ascii="Arial" w:hAnsi="Arial" w:cs="Arial"/>
          <w:sz w:val="22"/>
          <w:szCs w:val="22"/>
        </w:rPr>
        <w:t>Slide 2</w:t>
      </w:r>
    </w:p>
    <w:p w14:paraId="2C19E841" w14:textId="5A363B53" w:rsidR="00642090" w:rsidRPr="00804633" w:rsidRDefault="00642090" w:rsidP="00804633">
      <w:pPr>
        <w:jc w:val="both"/>
        <w:rPr>
          <w:rFonts w:ascii="Arial" w:hAnsi="Arial" w:cs="Arial"/>
          <w:sz w:val="22"/>
          <w:szCs w:val="22"/>
        </w:rPr>
      </w:pPr>
      <w:r w:rsidRPr="00804633">
        <w:rPr>
          <w:rFonts w:ascii="Arial" w:hAnsi="Arial" w:cs="Arial"/>
          <w:sz w:val="22"/>
          <w:szCs w:val="22"/>
        </w:rPr>
        <w:t>Type 2 Diabetes is a chronic metabolic disorder that affects how the body processes glucose. According to Diabetes UK (2023), approximately 4.3 million people in the UK are living with diabetes, with Type 2 accounting for about 90% of cases. This condition is characterised by insulin resistance, where cells fail to respond effectively to insulin, and relative insulin deficiency, where the pancreas cannot produce sufficient insulin to overcome this resistance (NHS, 2023). Type 2 Diabetes is a leading cause of serious health complications, including cardiovascular disease, kidney failure, retinopathy leading to blindness, and neuropathy. However, with proper management and lifestyle modifications, many complications can be prevented or delayed (NICE, 2022).</w:t>
      </w:r>
    </w:p>
    <w:p w14:paraId="238C9322" w14:textId="1F2EFBDC" w:rsidR="00B527FA" w:rsidRPr="00804633" w:rsidRDefault="00FB4820" w:rsidP="00804633">
      <w:pPr>
        <w:jc w:val="both"/>
        <w:rPr>
          <w:rFonts w:ascii="Arial" w:hAnsi="Arial" w:cs="Arial"/>
          <w:sz w:val="22"/>
          <w:szCs w:val="22"/>
        </w:rPr>
      </w:pPr>
      <w:r w:rsidRPr="00804633">
        <w:rPr>
          <w:rFonts w:ascii="Arial" w:hAnsi="Arial" w:cs="Arial"/>
          <w:sz w:val="22"/>
          <w:szCs w:val="22"/>
        </w:rPr>
        <w:t>Slide 3</w:t>
      </w:r>
    </w:p>
    <w:p w14:paraId="36469EB0" w14:textId="52FACDCA" w:rsidR="00FB4820" w:rsidRPr="00804633" w:rsidRDefault="00FB4820" w:rsidP="00804633">
      <w:pPr>
        <w:jc w:val="both"/>
        <w:rPr>
          <w:rFonts w:ascii="Arial" w:hAnsi="Arial" w:cs="Arial"/>
          <w:sz w:val="22"/>
          <w:szCs w:val="22"/>
        </w:rPr>
      </w:pPr>
      <w:r w:rsidRPr="00804633">
        <w:rPr>
          <w:rFonts w:ascii="Arial" w:hAnsi="Arial" w:cs="Arial"/>
          <w:sz w:val="22"/>
          <w:szCs w:val="22"/>
        </w:rPr>
        <w:t>Understanding the anatomy of the endocrine system is crucial for comprehending diabetes. The pancreas is a retroperitoneal organ located behind the stomach, extending from the duodenum to the spleen (Tortora and Derrickson, 2017). Within the pancreas are clusters of endocrine cells called Islets of Langerhans, which contain two primary cell types relevant to glucose regulation. Beta cells produce insulin, the hormone responsible for lowering blood glucose by facilitating glucose uptake into cells, particularly muscle, adipose tissue, and the liver. Alpha cells produce glucagon, which raises blood glucose when levels are low (</w:t>
      </w:r>
      <w:proofErr w:type="spellStart"/>
      <w:r w:rsidR="00FB2CB7">
        <w:rPr>
          <w:rFonts w:ascii="Arial" w:hAnsi="Arial" w:cs="Arial"/>
          <w:sz w:val="22"/>
          <w:szCs w:val="22"/>
        </w:rPr>
        <w:t>Marieb</w:t>
      </w:r>
      <w:proofErr w:type="spellEnd"/>
      <w:r w:rsidR="00FB2CB7">
        <w:rPr>
          <w:rFonts w:ascii="Arial" w:hAnsi="Arial" w:cs="Arial"/>
          <w:sz w:val="22"/>
          <w:szCs w:val="22"/>
        </w:rPr>
        <w:t xml:space="preserve"> and Hoehn, 2016</w:t>
      </w:r>
      <w:r w:rsidRPr="00804633">
        <w:rPr>
          <w:rFonts w:ascii="Arial" w:hAnsi="Arial" w:cs="Arial"/>
          <w:sz w:val="22"/>
          <w:szCs w:val="22"/>
        </w:rPr>
        <w:t>). In a healthy individual, these hormones work in a balanced feedback mechanism to maintain blood glucose within normal ranges of 4-6 mmol/L fasting. The intricate coordination between these cell types ensures metabolic homeostasis, which becomes disrupted in diabetes.</w:t>
      </w:r>
    </w:p>
    <w:p w14:paraId="51559253" w14:textId="288D7136" w:rsidR="00B644CB" w:rsidRPr="00804633" w:rsidRDefault="00B644CB" w:rsidP="00804633">
      <w:pPr>
        <w:jc w:val="both"/>
        <w:rPr>
          <w:rFonts w:ascii="Arial" w:hAnsi="Arial" w:cs="Arial"/>
          <w:sz w:val="22"/>
          <w:szCs w:val="22"/>
        </w:rPr>
      </w:pPr>
      <w:r w:rsidRPr="00804633">
        <w:rPr>
          <w:rFonts w:ascii="Arial" w:hAnsi="Arial" w:cs="Arial"/>
          <w:sz w:val="22"/>
          <w:szCs w:val="22"/>
        </w:rPr>
        <w:t>Slide 4</w:t>
      </w:r>
    </w:p>
    <w:p w14:paraId="25FC7A0F" w14:textId="23A633FE" w:rsidR="0080335A" w:rsidRPr="00804633" w:rsidRDefault="0080335A" w:rsidP="00804633">
      <w:pPr>
        <w:jc w:val="both"/>
        <w:rPr>
          <w:rFonts w:ascii="Arial" w:hAnsi="Arial" w:cs="Arial"/>
          <w:sz w:val="22"/>
          <w:szCs w:val="22"/>
        </w:rPr>
      </w:pPr>
      <w:r w:rsidRPr="00804633">
        <w:rPr>
          <w:rFonts w:ascii="Arial" w:hAnsi="Arial" w:cs="Arial"/>
          <w:sz w:val="22"/>
          <w:szCs w:val="22"/>
        </w:rPr>
        <w:t>The cardiovascular system is significantly impacted by diabetes, making it essential to understand its anatomy. The heart is a four-chambered muscular pump that delivers oxygenated blood throughout the body via an extensive network of blood vessels (Tortora and Derrickson, 2017). Arteries carry oxygen-rich blood away from the heart, while veins return deoxygenated blood. Capillaries facilitate nutrient and gas exchange at the cellular level. Particularly important is the vascular endothelium, the inner lining of blood vessels, which regulates vascular tone, inflammation, and coagulation (</w:t>
      </w:r>
      <w:proofErr w:type="spellStart"/>
      <w:r w:rsidR="00FB2CB7">
        <w:rPr>
          <w:rFonts w:ascii="Arial" w:hAnsi="Arial" w:cs="Arial"/>
          <w:sz w:val="22"/>
          <w:szCs w:val="22"/>
        </w:rPr>
        <w:t>Marieb</w:t>
      </w:r>
      <w:proofErr w:type="spellEnd"/>
      <w:r w:rsidR="00FB2CB7">
        <w:rPr>
          <w:rFonts w:ascii="Arial" w:hAnsi="Arial" w:cs="Arial"/>
          <w:sz w:val="22"/>
          <w:szCs w:val="22"/>
        </w:rPr>
        <w:t xml:space="preserve"> and Hoehn, 2016</w:t>
      </w:r>
      <w:r w:rsidRPr="00804633">
        <w:rPr>
          <w:rFonts w:ascii="Arial" w:hAnsi="Arial" w:cs="Arial"/>
          <w:sz w:val="22"/>
          <w:szCs w:val="22"/>
        </w:rPr>
        <w:t>). In diabetes, chronic hyperglycaemia causes endothelial dysfunction through multiple mechanisms, including oxidative stress and advanced glycation end-products, leading to atherosclerosis, or the hardening and narrowing of arteries (Diabetes UK, 2023). This explains why cardiovascular disease is the leading cause of mortality in people with diabetes.</w:t>
      </w:r>
    </w:p>
    <w:p w14:paraId="7A8B73EB" w14:textId="27CD961F" w:rsidR="003514F6" w:rsidRPr="00804633" w:rsidRDefault="00CB05B1" w:rsidP="00804633">
      <w:pPr>
        <w:jc w:val="both"/>
        <w:rPr>
          <w:rFonts w:ascii="Arial" w:hAnsi="Arial" w:cs="Arial"/>
          <w:sz w:val="22"/>
          <w:szCs w:val="22"/>
        </w:rPr>
      </w:pPr>
      <w:r w:rsidRPr="00804633">
        <w:rPr>
          <w:rFonts w:ascii="Arial" w:hAnsi="Arial" w:cs="Arial"/>
          <w:sz w:val="22"/>
          <w:szCs w:val="22"/>
        </w:rPr>
        <w:lastRenderedPageBreak/>
        <w:t>Slide 5</w:t>
      </w:r>
    </w:p>
    <w:p w14:paraId="7638DC1F" w14:textId="7621B592" w:rsidR="00CB05B1" w:rsidRPr="00804633" w:rsidRDefault="00CB05B1" w:rsidP="00804633">
      <w:pPr>
        <w:jc w:val="both"/>
        <w:rPr>
          <w:rFonts w:ascii="Arial" w:hAnsi="Arial" w:cs="Arial"/>
          <w:sz w:val="22"/>
          <w:szCs w:val="22"/>
        </w:rPr>
      </w:pPr>
      <w:r w:rsidRPr="00804633">
        <w:rPr>
          <w:rFonts w:ascii="Arial" w:hAnsi="Arial" w:cs="Arial"/>
          <w:sz w:val="22"/>
          <w:szCs w:val="22"/>
        </w:rPr>
        <w:t>Normal glucose homeostasis involves a sophisticated feedback mechanism. When we consume food, particularly carbohydrates, blood glucose levels rise. This elevation is detected by beta cells in the pancreatic islets, which respond by secreting insulin into the bloodstream (Tortora and Derrickson, 2017). Insulin then circulates and binds to insulin receptors on cell surfaces, particularly in muscle, adipose tissue, and the liver. This binding triggers a cascade of intracellular events that result in the translocation of glucose transporter proteins, specifically GLUT4, to the cell membrane, allowing glucose to enter the cells (</w:t>
      </w:r>
      <w:proofErr w:type="spellStart"/>
      <w:r w:rsidR="00FB2CB7">
        <w:rPr>
          <w:rFonts w:ascii="Arial" w:hAnsi="Arial" w:cs="Arial"/>
          <w:sz w:val="22"/>
          <w:szCs w:val="22"/>
        </w:rPr>
        <w:t>Marieb</w:t>
      </w:r>
      <w:proofErr w:type="spellEnd"/>
      <w:r w:rsidR="00FB2CB7">
        <w:rPr>
          <w:rFonts w:ascii="Arial" w:hAnsi="Arial" w:cs="Arial"/>
          <w:sz w:val="22"/>
          <w:szCs w:val="22"/>
        </w:rPr>
        <w:t xml:space="preserve"> and Hoehn, 2016</w:t>
      </w:r>
      <w:r w:rsidRPr="00804633">
        <w:rPr>
          <w:rFonts w:ascii="Arial" w:hAnsi="Arial" w:cs="Arial"/>
          <w:sz w:val="22"/>
          <w:szCs w:val="22"/>
        </w:rPr>
        <w:t>). In the liver and muscles, excess glucose is stored as glycogen through a process called glycogenesis. Between meals, when blood glucose begins to fall, alpha cells secrete glucagon, which stimulates glycogenolysis, the breakdown of glycogen back into glucose, maintaining stable blood glucose levels. This elegant system ensures continuous energy supply to vital organs, particularly the brain.</w:t>
      </w:r>
    </w:p>
    <w:p w14:paraId="1939832B" w14:textId="730533D6" w:rsidR="00D2469B" w:rsidRDefault="00154377" w:rsidP="00804633">
      <w:pPr>
        <w:jc w:val="both"/>
        <w:rPr>
          <w:rFonts w:ascii="Arial" w:hAnsi="Arial" w:cs="Arial"/>
          <w:sz w:val="22"/>
          <w:szCs w:val="22"/>
        </w:rPr>
      </w:pPr>
      <w:r w:rsidRPr="00804633">
        <w:rPr>
          <w:rFonts w:ascii="Arial" w:hAnsi="Arial" w:cs="Arial"/>
          <w:sz w:val="22"/>
          <w:szCs w:val="22"/>
        </w:rPr>
        <w:t>Slide 6</w:t>
      </w:r>
    </w:p>
    <w:p w14:paraId="1D27BE4A" w14:textId="6C647BA9" w:rsidR="00475A28" w:rsidRPr="00804633" w:rsidRDefault="00475A28" w:rsidP="00804633">
      <w:pPr>
        <w:jc w:val="both"/>
        <w:rPr>
          <w:rFonts w:ascii="Arial" w:hAnsi="Arial" w:cs="Arial"/>
          <w:sz w:val="22"/>
          <w:szCs w:val="22"/>
        </w:rPr>
      </w:pPr>
      <w:r w:rsidRPr="00475A28">
        <w:rPr>
          <w:rFonts w:ascii="Arial" w:hAnsi="Arial" w:cs="Arial"/>
          <w:sz w:val="22"/>
          <w:szCs w:val="22"/>
        </w:rPr>
        <w:t>In Type 2 Diabetes, the normal glucose regulation mechanism becomes impaired through two primary defects. First, insulin resistance develops, where target cells become less responsive to insulin due to reduced receptor sensitivity or post-receptor signalling defects (NICE, 2022). This means that even with normal or elevated insulin levels, glucose cannot efficiently enter cells. Second, beta cell dysfunction occurs, where the pancreas cannot compensate by producing sufficient additional insulin to overcome the resistance (NHS, 2023). The result is chronic hyperglycaemia, with fasting blood glucose consistently above 7 mmol/L or HbA1c above 48 mmol/mol. This sustained elevation of blood glucose causes widespread damage. In the cardiovascular system, hyperglycaemia promotes atherosclerosis through endothelial dysfunction, increasing the risk of myocardial infarction and stroke by two to four times (Diabetes UK, 2023). In the kidneys, it damages the glomerular filtration system, potentially leading to chronic kidney disease. Neurologically, it causes diabetic neuropathy through nerve damage. In the eyes, it damages retinal blood vessels, potentially causing blindness. Understanding these pathophysiological mechanisms is crucial for developing effective care plans.</w:t>
      </w:r>
    </w:p>
    <w:p w14:paraId="261A1284" w14:textId="0450AE6E" w:rsidR="004C3D0B" w:rsidRDefault="00E74C2C" w:rsidP="00804633">
      <w:pPr>
        <w:jc w:val="both"/>
        <w:rPr>
          <w:rFonts w:ascii="Arial" w:hAnsi="Arial" w:cs="Arial"/>
          <w:sz w:val="22"/>
          <w:szCs w:val="22"/>
        </w:rPr>
      </w:pPr>
      <w:r w:rsidRPr="00804633">
        <w:rPr>
          <w:rFonts w:ascii="Arial" w:hAnsi="Arial" w:cs="Arial"/>
          <w:sz w:val="22"/>
          <w:szCs w:val="22"/>
        </w:rPr>
        <w:t>Slide 7</w:t>
      </w:r>
    </w:p>
    <w:p w14:paraId="0C97CCDA" w14:textId="7B409055" w:rsidR="00475A28" w:rsidRPr="00804633" w:rsidRDefault="00475A28" w:rsidP="00804633">
      <w:pPr>
        <w:jc w:val="both"/>
        <w:rPr>
          <w:rFonts w:ascii="Arial" w:hAnsi="Arial" w:cs="Arial"/>
          <w:sz w:val="22"/>
          <w:szCs w:val="22"/>
        </w:rPr>
      </w:pPr>
      <w:r w:rsidRPr="00475A28">
        <w:rPr>
          <w:rFonts w:ascii="Arial" w:hAnsi="Arial" w:cs="Arial"/>
          <w:sz w:val="22"/>
          <w:szCs w:val="22"/>
        </w:rPr>
        <w:t xml:space="preserve">Let me introduce our fictional patient, Mr J.T. JT is a 58-year-old White British male who works as an office manager, a predominantly sedentary occupation. He lives with his wife, while his two adult children live independently. Six months ago, </w:t>
      </w:r>
      <w:r w:rsidR="00813B34">
        <w:rPr>
          <w:rFonts w:ascii="Arial" w:hAnsi="Arial" w:cs="Arial"/>
          <w:sz w:val="22"/>
          <w:szCs w:val="22"/>
        </w:rPr>
        <w:t>JT</w:t>
      </w:r>
      <w:r w:rsidRPr="00475A28">
        <w:rPr>
          <w:rFonts w:ascii="Arial" w:hAnsi="Arial" w:cs="Arial"/>
          <w:sz w:val="22"/>
          <w:szCs w:val="22"/>
        </w:rPr>
        <w:t xml:space="preserve"> was diagnosed with Type 2 Diabetes following routine blood tests arranged by his GP after he reported increased thirst and frequent urination. At diagnosis, his HbA1c was 68 mmol/mol, indicating poor glycaemic control, which, according to NICE (2022) guidelines, warranted immediate intervention. </w:t>
      </w:r>
      <w:r w:rsidR="00813B34">
        <w:rPr>
          <w:rFonts w:ascii="Arial" w:hAnsi="Arial" w:cs="Arial"/>
          <w:sz w:val="22"/>
          <w:szCs w:val="22"/>
        </w:rPr>
        <w:t>JT</w:t>
      </w:r>
      <w:r w:rsidRPr="00475A28">
        <w:rPr>
          <w:rFonts w:ascii="Arial" w:hAnsi="Arial" w:cs="Arial"/>
          <w:sz w:val="22"/>
          <w:szCs w:val="22"/>
        </w:rPr>
        <w:t xml:space="preserve"> was started on Metformin 500mg twice daily and referred to a diabetes education programme. His most recent HbA1c, taken one month ago, shows improvement to 58 mmol/mol, but this remains above the target of 48 mmol/mol for most adults with Type 2 Diabetes. </w:t>
      </w:r>
      <w:r w:rsidR="00813B34">
        <w:rPr>
          <w:rFonts w:ascii="Arial" w:hAnsi="Arial" w:cs="Arial"/>
          <w:sz w:val="22"/>
          <w:szCs w:val="22"/>
        </w:rPr>
        <w:t>JT</w:t>
      </w:r>
      <w:r w:rsidRPr="00475A28">
        <w:rPr>
          <w:rFonts w:ascii="Arial" w:hAnsi="Arial" w:cs="Arial"/>
          <w:sz w:val="22"/>
          <w:szCs w:val="22"/>
        </w:rPr>
        <w:t xml:space="preserve"> represents a typical presentation of Type 2 Diabetes in middle-aged adults, and his case allows us to explore comprehensive care planning.</w:t>
      </w:r>
    </w:p>
    <w:p w14:paraId="37622825" w14:textId="67E249C4" w:rsidR="00295BB5" w:rsidRDefault="00640C01" w:rsidP="00804633">
      <w:pPr>
        <w:jc w:val="both"/>
        <w:rPr>
          <w:rFonts w:ascii="Arial" w:hAnsi="Arial" w:cs="Arial"/>
          <w:sz w:val="22"/>
          <w:szCs w:val="22"/>
        </w:rPr>
      </w:pPr>
      <w:r w:rsidRPr="00804633">
        <w:rPr>
          <w:rFonts w:ascii="Arial" w:hAnsi="Arial" w:cs="Arial"/>
          <w:sz w:val="22"/>
          <w:szCs w:val="22"/>
        </w:rPr>
        <w:t>Slide 8</w:t>
      </w:r>
    </w:p>
    <w:p w14:paraId="063B5949" w14:textId="670A1ED4" w:rsidR="003139C8" w:rsidRDefault="003139C8" w:rsidP="00804633">
      <w:pPr>
        <w:jc w:val="both"/>
        <w:rPr>
          <w:rFonts w:ascii="Arial" w:hAnsi="Arial" w:cs="Arial"/>
          <w:sz w:val="22"/>
          <w:szCs w:val="22"/>
        </w:rPr>
      </w:pPr>
      <w:r>
        <w:rPr>
          <w:rFonts w:ascii="Arial" w:hAnsi="Arial" w:cs="Arial"/>
          <w:sz w:val="22"/>
          <w:szCs w:val="22"/>
        </w:rPr>
        <w:lastRenderedPageBreak/>
        <w:t xml:space="preserve">Mr </w:t>
      </w:r>
      <w:r w:rsidRPr="003139C8">
        <w:rPr>
          <w:rFonts w:ascii="Arial" w:hAnsi="Arial" w:cs="Arial"/>
          <w:sz w:val="22"/>
          <w:szCs w:val="22"/>
        </w:rPr>
        <w:t>J</w:t>
      </w:r>
      <w:r>
        <w:rPr>
          <w:rFonts w:ascii="Arial" w:hAnsi="Arial" w:cs="Arial"/>
          <w:sz w:val="22"/>
          <w:szCs w:val="22"/>
        </w:rPr>
        <w:t>T</w:t>
      </w:r>
      <w:r w:rsidRPr="003139C8">
        <w:rPr>
          <w:rFonts w:ascii="Arial" w:hAnsi="Arial" w:cs="Arial"/>
          <w:sz w:val="22"/>
          <w:szCs w:val="22"/>
        </w:rPr>
        <w:t xml:space="preserve"> presents with several risk factors for Type 2 Diabetes and its complications. Non-modifiable risk factors include his age of 58, as diabetes risk significantly increases after age 40 (Diabetes UK, 2023). He also has a family history, with his father having had Type 2 Diabetes, which increases his genetic predisposition. However, </w:t>
      </w:r>
      <w:r w:rsidR="00813B34">
        <w:rPr>
          <w:rFonts w:ascii="Arial" w:hAnsi="Arial" w:cs="Arial"/>
          <w:sz w:val="22"/>
          <w:szCs w:val="22"/>
        </w:rPr>
        <w:t>JT</w:t>
      </w:r>
      <w:r w:rsidRPr="003139C8">
        <w:rPr>
          <w:rFonts w:ascii="Arial" w:hAnsi="Arial" w:cs="Arial"/>
          <w:sz w:val="22"/>
          <w:szCs w:val="22"/>
        </w:rPr>
        <w:t xml:space="preserve"> has multiple modifiable risk factors that our care plan will target. His BMI is 32, placing him in the obese category, and obesity is the most significant modifiable risk factor for Type 2 Diabetes (NICE, 2022). </w:t>
      </w:r>
      <w:r w:rsidR="00813B34">
        <w:rPr>
          <w:rFonts w:ascii="Arial" w:hAnsi="Arial" w:cs="Arial"/>
          <w:sz w:val="22"/>
          <w:szCs w:val="22"/>
        </w:rPr>
        <w:t>JT</w:t>
      </w:r>
      <w:r w:rsidRPr="003139C8">
        <w:rPr>
          <w:rFonts w:ascii="Arial" w:hAnsi="Arial" w:cs="Arial"/>
          <w:sz w:val="22"/>
          <w:szCs w:val="22"/>
        </w:rPr>
        <w:t xml:space="preserve"> leads a sedentary lifestyle with minimal physical activity, compounded by his desk-based job. His dietary habits are poor, characterised by irregular meal patterns, high consumption of processed foods, and frequent takeaways, contributing to poor glycaemic control. </w:t>
      </w:r>
      <w:r w:rsidR="00813B34">
        <w:rPr>
          <w:rFonts w:ascii="Arial" w:hAnsi="Arial" w:cs="Arial"/>
          <w:sz w:val="22"/>
          <w:szCs w:val="22"/>
        </w:rPr>
        <w:t>JT</w:t>
      </w:r>
      <w:r w:rsidRPr="003139C8">
        <w:rPr>
          <w:rFonts w:ascii="Arial" w:hAnsi="Arial" w:cs="Arial"/>
          <w:sz w:val="22"/>
          <w:szCs w:val="22"/>
        </w:rPr>
        <w:t xml:space="preserve"> consumes approximately 25 units of alcohol per week, exceeding the NHS recommendation of 14 units, which can interfere with blood glucose management and contribute to weight gain. While he quit smoking five years ago, which is positive, he reports high work-related stress, which can affect blood glucose through hormonal mechanisms. These modifiable factors provide multiple intervention opportunities in our care plan.</w:t>
      </w:r>
    </w:p>
    <w:p w14:paraId="7CD99BE4" w14:textId="6DBF714A" w:rsidR="002C22B0" w:rsidRDefault="002C22B0" w:rsidP="00804633">
      <w:pPr>
        <w:jc w:val="both"/>
        <w:rPr>
          <w:rFonts w:ascii="Arial" w:hAnsi="Arial" w:cs="Arial"/>
          <w:sz w:val="22"/>
          <w:szCs w:val="22"/>
        </w:rPr>
      </w:pPr>
      <w:r>
        <w:rPr>
          <w:rFonts w:ascii="Arial" w:hAnsi="Arial" w:cs="Arial"/>
          <w:sz w:val="22"/>
          <w:szCs w:val="22"/>
        </w:rPr>
        <w:t>Slide 9</w:t>
      </w:r>
    </w:p>
    <w:p w14:paraId="15F71ED4" w14:textId="152A4D4E" w:rsidR="00E91B5E" w:rsidRDefault="00E91B5E" w:rsidP="00804633">
      <w:pPr>
        <w:jc w:val="both"/>
        <w:rPr>
          <w:rFonts w:ascii="Arial" w:hAnsi="Arial" w:cs="Arial"/>
          <w:sz w:val="22"/>
          <w:szCs w:val="22"/>
        </w:rPr>
      </w:pPr>
      <w:r w:rsidRPr="00E91B5E">
        <w:rPr>
          <w:rFonts w:ascii="Arial" w:hAnsi="Arial" w:cs="Arial"/>
          <w:sz w:val="22"/>
          <w:szCs w:val="22"/>
        </w:rPr>
        <w:t xml:space="preserve">Effective care planning requires clear, evidence-based goals. According to NICE (2022) guidelines, the primary goal for </w:t>
      </w:r>
      <w:r w:rsidR="00813B34">
        <w:rPr>
          <w:rFonts w:ascii="Arial" w:hAnsi="Arial" w:cs="Arial"/>
          <w:sz w:val="22"/>
          <w:szCs w:val="22"/>
        </w:rPr>
        <w:t>JT</w:t>
      </w:r>
      <w:r w:rsidRPr="00E91B5E">
        <w:rPr>
          <w:rFonts w:ascii="Arial" w:hAnsi="Arial" w:cs="Arial"/>
          <w:sz w:val="22"/>
          <w:szCs w:val="22"/>
        </w:rPr>
        <w:t xml:space="preserve"> is achieving optimal glycaemic control with a target HbA1c of 48 mmol/mol or below, which significantly reduces the risk of microvascular complications. However, this target may be individualised based on patient circumstances. Weight management is crucial, and </w:t>
      </w:r>
      <w:r w:rsidR="00813B34">
        <w:rPr>
          <w:rFonts w:ascii="Arial" w:hAnsi="Arial" w:cs="Arial"/>
          <w:sz w:val="22"/>
          <w:szCs w:val="22"/>
        </w:rPr>
        <w:t>JT</w:t>
      </w:r>
      <w:r w:rsidRPr="00E91B5E">
        <w:rPr>
          <w:rFonts w:ascii="Arial" w:hAnsi="Arial" w:cs="Arial"/>
          <w:sz w:val="22"/>
          <w:szCs w:val="22"/>
        </w:rPr>
        <w:t xml:space="preserve"> should aim to reduce his BMI below 30, with an initial goal of 5-10% weight loss, which can significantly improve insulin sensitivity (NHS, 2023). Prevention of complications, including cardiovascular disease, retinopathy, nephropathy, and neuropathy, is essential through regular monitoring and risk factor management. Importantly, we must improve </w:t>
      </w:r>
      <w:r w:rsidR="00813B34">
        <w:rPr>
          <w:rFonts w:ascii="Arial" w:hAnsi="Arial" w:cs="Arial"/>
          <w:sz w:val="22"/>
          <w:szCs w:val="22"/>
        </w:rPr>
        <w:t>JT</w:t>
      </w:r>
      <w:r w:rsidRPr="00E91B5E">
        <w:rPr>
          <w:rFonts w:ascii="Arial" w:hAnsi="Arial" w:cs="Arial"/>
          <w:sz w:val="22"/>
          <w:szCs w:val="22"/>
        </w:rPr>
        <w:t xml:space="preserve">'s quality of life and support him to develop effective self-management skills. To operationalise these goals, we've established SMART objectives. </w:t>
      </w:r>
      <w:r w:rsidR="00813B34">
        <w:rPr>
          <w:rFonts w:ascii="Arial" w:hAnsi="Arial" w:cs="Arial"/>
          <w:sz w:val="22"/>
          <w:szCs w:val="22"/>
        </w:rPr>
        <w:t>JT</w:t>
      </w:r>
      <w:r w:rsidRPr="00E91B5E">
        <w:rPr>
          <w:rFonts w:ascii="Arial" w:hAnsi="Arial" w:cs="Arial"/>
          <w:sz w:val="22"/>
          <w:szCs w:val="22"/>
        </w:rPr>
        <w:t xml:space="preserve"> will attend a structured education programme such as DESMOND, reduce his HbA1c by 10 mmol/mol within six months through lifestyle modifications and medication adherence, lose 5kg within three months through dietary changes and increased physical activity, and gradually increase his physical activity to meet the NHS recommendation of 150 minutes of moderate-intensity exercise per week. Progress will be reviewed monthly with the diabetes specialist nurse.</w:t>
      </w:r>
    </w:p>
    <w:p w14:paraId="4BAC6906" w14:textId="1D352827" w:rsidR="005938FC" w:rsidRDefault="003528D8" w:rsidP="00804633">
      <w:pPr>
        <w:jc w:val="both"/>
        <w:rPr>
          <w:rFonts w:ascii="Arial" w:hAnsi="Arial" w:cs="Arial"/>
          <w:sz w:val="22"/>
          <w:szCs w:val="22"/>
        </w:rPr>
      </w:pPr>
      <w:r>
        <w:rPr>
          <w:rFonts w:ascii="Arial" w:hAnsi="Arial" w:cs="Arial"/>
          <w:sz w:val="22"/>
          <w:szCs w:val="22"/>
        </w:rPr>
        <w:t>Slide 10</w:t>
      </w:r>
    </w:p>
    <w:p w14:paraId="39B0F11E" w14:textId="42A4F2B7" w:rsidR="003528D8" w:rsidRDefault="003528D8" w:rsidP="00804633">
      <w:pPr>
        <w:jc w:val="both"/>
        <w:rPr>
          <w:rFonts w:ascii="Arial" w:hAnsi="Arial" w:cs="Arial"/>
          <w:sz w:val="22"/>
          <w:szCs w:val="22"/>
        </w:rPr>
      </w:pPr>
      <w:r w:rsidRPr="003528D8">
        <w:rPr>
          <w:rFonts w:ascii="Arial" w:hAnsi="Arial" w:cs="Arial"/>
          <w:sz w:val="22"/>
          <w:szCs w:val="22"/>
        </w:rPr>
        <w:t xml:space="preserve">Pharmacological management is a cornerstone of </w:t>
      </w:r>
      <w:r w:rsidR="00813B34">
        <w:rPr>
          <w:rFonts w:ascii="Arial" w:hAnsi="Arial" w:cs="Arial"/>
          <w:sz w:val="22"/>
          <w:szCs w:val="22"/>
        </w:rPr>
        <w:t>JT</w:t>
      </w:r>
      <w:r w:rsidRPr="003528D8">
        <w:rPr>
          <w:rFonts w:ascii="Arial" w:hAnsi="Arial" w:cs="Arial"/>
          <w:sz w:val="22"/>
          <w:szCs w:val="22"/>
        </w:rPr>
        <w:t xml:space="preserve">'s care plan. He is currently prescribed Metformin 500mg twice daily, which is the recommended first-line treatment for Type 2 Diabetes according to NICE (2022) guidelines. Metformin works by reducing hepatic glucose production and increasing peripheral insulin sensitivity without causing hypoglycaemia. Given that </w:t>
      </w:r>
      <w:r w:rsidR="00813B34">
        <w:rPr>
          <w:rFonts w:ascii="Arial" w:hAnsi="Arial" w:cs="Arial"/>
          <w:sz w:val="22"/>
          <w:szCs w:val="22"/>
        </w:rPr>
        <w:t>JT</w:t>
      </w:r>
      <w:r w:rsidRPr="003528D8">
        <w:rPr>
          <w:rFonts w:ascii="Arial" w:hAnsi="Arial" w:cs="Arial"/>
          <w:sz w:val="22"/>
          <w:szCs w:val="22"/>
        </w:rPr>
        <w:t xml:space="preserve">'s HbA1c remains at 58 mmol/mol, above the target, we should consider escalating his Metformin dose to the maximum of 1000mg twice daily, provided he tolerates it well. Regular monitoring of renal function through eGFR is essential, as Metformin is contraindicated in severe renal impairment. Vitamin B12 levels should also be monitored, as long-term Metformin use can cause deficiency. If glycaemic targets are still not met after three months at maximum tolerated Metformin dose, NICE (2022) recommends adding a second agent, such as an SGLT-2 inhibitor, which offers cardiovascular and renal protection, or a DPP-4 inhibitor. </w:t>
      </w:r>
      <w:r w:rsidR="00813B34">
        <w:rPr>
          <w:rFonts w:ascii="Arial" w:hAnsi="Arial" w:cs="Arial"/>
          <w:sz w:val="22"/>
          <w:szCs w:val="22"/>
        </w:rPr>
        <w:t>JT</w:t>
      </w:r>
      <w:r w:rsidRPr="003528D8">
        <w:rPr>
          <w:rFonts w:ascii="Arial" w:hAnsi="Arial" w:cs="Arial"/>
          <w:sz w:val="22"/>
          <w:szCs w:val="22"/>
        </w:rPr>
        <w:t xml:space="preserve">'s blood pressure is currently 145/88 mmHg, above the target of 140/80 mmHg for people with diabetes, so antihypertensive therapy should be considered. Additionally, he should be </w:t>
      </w:r>
      <w:r w:rsidRPr="003528D8">
        <w:rPr>
          <w:rFonts w:ascii="Arial" w:hAnsi="Arial" w:cs="Arial"/>
          <w:sz w:val="22"/>
          <w:szCs w:val="22"/>
        </w:rPr>
        <w:lastRenderedPageBreak/>
        <w:t>prescribed Atorvastatin 20mg for primary prevention of cardiovascular disease, as recommended by NICE for all people with Type 2 Diabetes over 40 years old.</w:t>
      </w:r>
    </w:p>
    <w:p w14:paraId="0C04AE80" w14:textId="0E08AEE6" w:rsidR="00BB6139" w:rsidRDefault="00BB6139" w:rsidP="00804633">
      <w:pPr>
        <w:jc w:val="both"/>
        <w:rPr>
          <w:rFonts w:ascii="Arial" w:hAnsi="Arial" w:cs="Arial"/>
          <w:sz w:val="22"/>
          <w:szCs w:val="22"/>
        </w:rPr>
      </w:pPr>
      <w:r>
        <w:rPr>
          <w:rFonts w:ascii="Arial" w:hAnsi="Arial" w:cs="Arial"/>
          <w:sz w:val="22"/>
          <w:szCs w:val="22"/>
        </w:rPr>
        <w:t>Slide 11</w:t>
      </w:r>
    </w:p>
    <w:p w14:paraId="398BD095" w14:textId="75650C07" w:rsidR="00BB6139" w:rsidRDefault="006C7093" w:rsidP="00804633">
      <w:pPr>
        <w:jc w:val="both"/>
        <w:rPr>
          <w:rFonts w:ascii="Arial" w:hAnsi="Arial" w:cs="Arial"/>
          <w:sz w:val="22"/>
          <w:szCs w:val="22"/>
        </w:rPr>
      </w:pPr>
      <w:r w:rsidRPr="006C7093">
        <w:rPr>
          <w:rFonts w:ascii="Arial" w:hAnsi="Arial" w:cs="Arial"/>
          <w:sz w:val="22"/>
          <w:szCs w:val="22"/>
        </w:rPr>
        <w:t xml:space="preserve">Lifestyle modifications are fundamental to diabetes management and can be as effective as medication. </w:t>
      </w:r>
      <w:r w:rsidR="00813B34">
        <w:rPr>
          <w:rFonts w:ascii="Arial" w:hAnsi="Arial" w:cs="Arial"/>
          <w:sz w:val="22"/>
          <w:szCs w:val="22"/>
        </w:rPr>
        <w:t>JT</w:t>
      </w:r>
      <w:r w:rsidRPr="006C7093">
        <w:rPr>
          <w:rFonts w:ascii="Arial" w:hAnsi="Arial" w:cs="Arial"/>
          <w:sz w:val="22"/>
          <w:szCs w:val="22"/>
        </w:rPr>
        <w:t xml:space="preserve"> should be referred to a specialist dietitian who can provide individualised dietary advice. Key recommendations include emphasising low glycaemic index foods such as whole grains, legumes, and non-starchy vegetables, which cause slower rises in blood glucose (NHS, 2023). Increasing dietary fibre to at least 30g per day improves glycaemic control and satiety. </w:t>
      </w:r>
      <w:r w:rsidR="00813B34">
        <w:rPr>
          <w:rFonts w:ascii="Arial" w:hAnsi="Arial" w:cs="Arial"/>
          <w:sz w:val="22"/>
          <w:szCs w:val="22"/>
        </w:rPr>
        <w:t>JT</w:t>
      </w:r>
      <w:r w:rsidRPr="006C7093">
        <w:rPr>
          <w:rFonts w:ascii="Arial" w:hAnsi="Arial" w:cs="Arial"/>
          <w:sz w:val="22"/>
          <w:szCs w:val="22"/>
        </w:rPr>
        <w:t xml:space="preserve"> should reduce processed foods and eliminate sugar-sweetened beverages, which contribute to poor control and weight gain. Establishing regular meal patterns, with three balanced meals and two healthy snacks, helps maintain stable blood glucose. Portion control and a modest calorie reduction of 500-600 calories per day will support his weight loss goal. Physical activity is equally important. NICE (2022) recommends 150 minutes of moderate-intensity activity weekly, such as brisk walking, cycling, or swimming. Combining aerobic exercise with resistance training twice weekly improves insulin sensitivity and preserves muscle mass. Given his sedentary job, </w:t>
      </w:r>
      <w:r w:rsidR="00813B34">
        <w:rPr>
          <w:rFonts w:ascii="Arial" w:hAnsi="Arial" w:cs="Arial"/>
          <w:sz w:val="22"/>
          <w:szCs w:val="22"/>
        </w:rPr>
        <w:t>JT</w:t>
      </w:r>
      <w:r w:rsidRPr="006C7093">
        <w:rPr>
          <w:rFonts w:ascii="Arial" w:hAnsi="Arial" w:cs="Arial"/>
          <w:sz w:val="22"/>
          <w:szCs w:val="22"/>
        </w:rPr>
        <w:t xml:space="preserve"> should use strategies like a standing desk and take regular movement breaks every 30 minutes. Finally, reducing his alcohol intake to the recommended 14 units per week will support weight loss and improve glycaemic control, with referral to support services if he struggles to reduce independently.</w:t>
      </w:r>
    </w:p>
    <w:p w14:paraId="4A46E2F3" w14:textId="08735DA1" w:rsidR="00AA716F" w:rsidRDefault="00AA716F" w:rsidP="00804633">
      <w:pPr>
        <w:jc w:val="both"/>
        <w:rPr>
          <w:rFonts w:ascii="Arial" w:hAnsi="Arial" w:cs="Arial"/>
          <w:sz w:val="22"/>
          <w:szCs w:val="22"/>
        </w:rPr>
      </w:pPr>
      <w:r>
        <w:rPr>
          <w:rFonts w:ascii="Arial" w:hAnsi="Arial" w:cs="Arial"/>
          <w:sz w:val="22"/>
          <w:szCs w:val="22"/>
        </w:rPr>
        <w:t>Slide 12</w:t>
      </w:r>
    </w:p>
    <w:p w14:paraId="20639E6E" w14:textId="0E88FE9B" w:rsidR="00AA716F" w:rsidRDefault="00AA716F" w:rsidP="00804633">
      <w:pPr>
        <w:jc w:val="both"/>
        <w:rPr>
          <w:rFonts w:ascii="Arial" w:hAnsi="Arial" w:cs="Arial"/>
          <w:sz w:val="22"/>
          <w:szCs w:val="22"/>
        </w:rPr>
      </w:pPr>
      <w:r w:rsidRPr="00AA716F">
        <w:rPr>
          <w:rFonts w:ascii="Arial" w:hAnsi="Arial" w:cs="Arial"/>
          <w:sz w:val="22"/>
          <w:szCs w:val="22"/>
        </w:rPr>
        <w:t xml:space="preserve">Comprehensive monitoring is essential for preventing complications and optimising care. </w:t>
      </w:r>
      <w:r w:rsidR="00813B34">
        <w:rPr>
          <w:rFonts w:ascii="Arial" w:hAnsi="Arial" w:cs="Arial"/>
          <w:sz w:val="22"/>
          <w:szCs w:val="22"/>
        </w:rPr>
        <w:t>JT</w:t>
      </w:r>
      <w:r w:rsidRPr="00AA716F">
        <w:rPr>
          <w:rFonts w:ascii="Arial" w:hAnsi="Arial" w:cs="Arial"/>
          <w:sz w:val="22"/>
          <w:szCs w:val="22"/>
        </w:rPr>
        <w:t xml:space="preserve">'s HbA1c should be monitored every 3 months until he achieves target levels, then can be extended to 6-monthly monitoring (NICE, 2022). While routine self-monitoring of blood glucose is not recommended for all people with Type 2 Diabetes on oral medications, it may be useful for </w:t>
      </w:r>
      <w:r w:rsidR="00813B34">
        <w:rPr>
          <w:rFonts w:ascii="Arial" w:hAnsi="Arial" w:cs="Arial"/>
          <w:sz w:val="22"/>
          <w:szCs w:val="22"/>
        </w:rPr>
        <w:t>JT</w:t>
      </w:r>
      <w:r w:rsidRPr="00AA716F">
        <w:rPr>
          <w:rFonts w:ascii="Arial" w:hAnsi="Arial" w:cs="Arial"/>
          <w:sz w:val="22"/>
          <w:szCs w:val="22"/>
        </w:rPr>
        <w:t xml:space="preserve"> to understand how foods and activities affect his glucose, particularly during lifestyle modifications. Blood pressure should be checked at every appointment, and </w:t>
      </w:r>
      <w:r w:rsidR="00813B34">
        <w:rPr>
          <w:rFonts w:ascii="Arial" w:hAnsi="Arial" w:cs="Arial"/>
          <w:sz w:val="22"/>
          <w:szCs w:val="22"/>
        </w:rPr>
        <w:t>JT</w:t>
      </w:r>
      <w:r w:rsidRPr="00AA716F">
        <w:rPr>
          <w:rFonts w:ascii="Arial" w:hAnsi="Arial" w:cs="Arial"/>
          <w:sz w:val="22"/>
          <w:szCs w:val="22"/>
        </w:rPr>
        <w:t xml:space="preserve"> should be encouraged to monitor at home. Annual monitoring should include renal function through eGFR and albumin-creatinine ratio to detect early nephropathy, and lipid profile to assess cardiovascular risk. </w:t>
      </w:r>
      <w:r w:rsidR="00813B34">
        <w:rPr>
          <w:rFonts w:ascii="Arial" w:hAnsi="Arial" w:cs="Arial"/>
          <w:sz w:val="22"/>
          <w:szCs w:val="22"/>
        </w:rPr>
        <w:t>JT</w:t>
      </w:r>
      <w:r w:rsidRPr="00AA716F">
        <w:rPr>
          <w:rFonts w:ascii="Arial" w:hAnsi="Arial" w:cs="Arial"/>
          <w:sz w:val="22"/>
          <w:szCs w:val="22"/>
        </w:rPr>
        <w:t xml:space="preserve"> must attend annual retinal screening through the NHS Diabetic Eye Screening Programme to detect diabetic retinopathy before vision is affected. Annual foot examinations are crucial to assess for neuropathy and vascular complications; if high-risk features are identified, examinations should be more frequent (NHS, 2023). Weight and BMI should be monitored monthly initially to track progress toward weight loss goals. </w:t>
      </w:r>
      <w:r w:rsidR="00813B34">
        <w:rPr>
          <w:rFonts w:ascii="Arial" w:hAnsi="Arial" w:cs="Arial"/>
          <w:sz w:val="22"/>
          <w:szCs w:val="22"/>
        </w:rPr>
        <w:t>JT</w:t>
      </w:r>
      <w:r w:rsidRPr="00AA716F">
        <w:rPr>
          <w:rFonts w:ascii="Arial" w:hAnsi="Arial" w:cs="Arial"/>
          <w:sz w:val="22"/>
          <w:szCs w:val="22"/>
        </w:rPr>
        <w:t xml:space="preserve"> should have monthly appointments with the diabetes nurse specialist during the initial intensive phase, transitioning to 3-monthly GP reviews once stable, with an annual comprehensive review addressing all aspects of his diabetes care.</w:t>
      </w:r>
    </w:p>
    <w:p w14:paraId="2C8AA623" w14:textId="58D31FE1" w:rsidR="004A4648" w:rsidRDefault="004A4648" w:rsidP="00804633">
      <w:pPr>
        <w:jc w:val="both"/>
        <w:rPr>
          <w:rFonts w:ascii="Arial" w:hAnsi="Arial" w:cs="Arial"/>
          <w:sz w:val="22"/>
          <w:szCs w:val="22"/>
        </w:rPr>
      </w:pPr>
      <w:r>
        <w:rPr>
          <w:rFonts w:ascii="Arial" w:hAnsi="Arial" w:cs="Arial"/>
          <w:sz w:val="22"/>
          <w:szCs w:val="22"/>
        </w:rPr>
        <w:t>Slide 13</w:t>
      </w:r>
    </w:p>
    <w:p w14:paraId="2367AA5A" w14:textId="6E322C92" w:rsidR="004A4648" w:rsidRDefault="004A4648" w:rsidP="00804633">
      <w:pPr>
        <w:jc w:val="both"/>
        <w:rPr>
          <w:rFonts w:ascii="Arial" w:hAnsi="Arial" w:cs="Arial"/>
          <w:sz w:val="22"/>
          <w:szCs w:val="22"/>
        </w:rPr>
      </w:pPr>
      <w:r w:rsidRPr="004A4648">
        <w:rPr>
          <w:rFonts w:ascii="Arial" w:hAnsi="Arial" w:cs="Arial"/>
          <w:sz w:val="22"/>
          <w:szCs w:val="22"/>
        </w:rPr>
        <w:t xml:space="preserve">Effective communication is fundamental to successful diabetes management. We must first assess </w:t>
      </w:r>
      <w:r>
        <w:rPr>
          <w:rFonts w:ascii="Arial" w:hAnsi="Arial" w:cs="Arial"/>
          <w:sz w:val="22"/>
          <w:szCs w:val="22"/>
        </w:rPr>
        <w:t xml:space="preserve">Mr </w:t>
      </w:r>
      <w:r w:rsidRPr="004A4648">
        <w:rPr>
          <w:rFonts w:ascii="Arial" w:hAnsi="Arial" w:cs="Arial"/>
          <w:sz w:val="22"/>
          <w:szCs w:val="22"/>
        </w:rPr>
        <w:t>J</w:t>
      </w:r>
      <w:r>
        <w:rPr>
          <w:rFonts w:ascii="Arial" w:hAnsi="Arial" w:cs="Arial"/>
          <w:sz w:val="22"/>
          <w:szCs w:val="22"/>
        </w:rPr>
        <w:t>T</w:t>
      </w:r>
      <w:r w:rsidRPr="004A4648">
        <w:rPr>
          <w:rFonts w:ascii="Arial" w:hAnsi="Arial" w:cs="Arial"/>
          <w:sz w:val="22"/>
          <w:szCs w:val="22"/>
        </w:rPr>
        <w:t>'s health literacy to ensure he understands his condition, why it requires management, and how treatments work. This is not about intelligence but about ensuring information is accessible and understandable (NHS, 2023). Shared decision-making is essential; J</w:t>
      </w:r>
      <w:r w:rsidR="00672893">
        <w:rPr>
          <w:rFonts w:ascii="Arial" w:hAnsi="Arial" w:cs="Arial"/>
          <w:sz w:val="22"/>
          <w:szCs w:val="22"/>
        </w:rPr>
        <w:t>T</w:t>
      </w:r>
      <w:r w:rsidRPr="004A4648">
        <w:rPr>
          <w:rFonts w:ascii="Arial" w:hAnsi="Arial" w:cs="Arial"/>
          <w:sz w:val="22"/>
          <w:szCs w:val="22"/>
        </w:rPr>
        <w:t xml:space="preserve"> should be an active participant in decisions about his care, including medication choices and lifestyle modifications, respecting his values and preferences. Using the teach-back method, where we ask J</w:t>
      </w:r>
      <w:r w:rsidR="00672893">
        <w:rPr>
          <w:rFonts w:ascii="Arial" w:hAnsi="Arial" w:cs="Arial"/>
          <w:sz w:val="22"/>
          <w:szCs w:val="22"/>
        </w:rPr>
        <w:t>T</w:t>
      </w:r>
      <w:r w:rsidRPr="004A4648">
        <w:rPr>
          <w:rFonts w:ascii="Arial" w:hAnsi="Arial" w:cs="Arial"/>
          <w:sz w:val="22"/>
          <w:szCs w:val="22"/>
        </w:rPr>
        <w:t xml:space="preserve"> to explain in his own words what he's understood, helps </w:t>
      </w:r>
      <w:r w:rsidRPr="004A4648">
        <w:rPr>
          <w:rFonts w:ascii="Arial" w:hAnsi="Arial" w:cs="Arial"/>
          <w:sz w:val="22"/>
          <w:szCs w:val="22"/>
        </w:rPr>
        <w:lastRenderedPageBreak/>
        <w:t xml:space="preserve">identify any gaps in understanding. Motivational interviewing techniques support </w:t>
      </w:r>
      <w:r w:rsidR="00813B34">
        <w:rPr>
          <w:rFonts w:ascii="Arial" w:hAnsi="Arial" w:cs="Arial"/>
          <w:sz w:val="22"/>
          <w:szCs w:val="22"/>
        </w:rPr>
        <w:t>JT</w:t>
      </w:r>
      <w:r w:rsidRPr="004A4648">
        <w:rPr>
          <w:rFonts w:ascii="Arial" w:hAnsi="Arial" w:cs="Arial"/>
          <w:sz w:val="22"/>
          <w:szCs w:val="22"/>
        </w:rPr>
        <w:t xml:space="preserve"> to explore his own motivations for change rather than being told what to do, which is more effective for sustained behaviour change. All verbal advice should be supplemented with written information at appropriate literacy levels. A truly person-centred approach requires exploring what matters most to </w:t>
      </w:r>
      <w:r w:rsidR="00813B34">
        <w:rPr>
          <w:rFonts w:ascii="Arial" w:hAnsi="Arial" w:cs="Arial"/>
          <w:sz w:val="22"/>
          <w:szCs w:val="22"/>
        </w:rPr>
        <w:t>JT</w:t>
      </w:r>
      <w:r w:rsidRPr="004A4648">
        <w:rPr>
          <w:rFonts w:ascii="Arial" w:hAnsi="Arial" w:cs="Arial"/>
          <w:sz w:val="22"/>
          <w:szCs w:val="22"/>
        </w:rPr>
        <w:t>, his concerns about diabetes and its treatment, and how management fits with his work and family life. We must address psychological aspects such as diabetes distress, which affects many people with diabetes. Building on J</w:t>
      </w:r>
      <w:r w:rsidR="00672893">
        <w:rPr>
          <w:rFonts w:ascii="Arial" w:hAnsi="Arial" w:cs="Arial"/>
          <w:sz w:val="22"/>
          <w:szCs w:val="22"/>
        </w:rPr>
        <w:t>T</w:t>
      </w:r>
      <w:r w:rsidRPr="004A4648">
        <w:rPr>
          <w:rFonts w:ascii="Arial" w:hAnsi="Arial" w:cs="Arial"/>
          <w:sz w:val="22"/>
          <w:szCs w:val="22"/>
        </w:rPr>
        <w:t>'s previous success in quitting smoking demonstrates his capability for behaviour change and provides a foundation for confidence.</w:t>
      </w:r>
    </w:p>
    <w:p w14:paraId="4F4E2542" w14:textId="054199CE" w:rsidR="006333D4" w:rsidRDefault="006333D4" w:rsidP="00804633">
      <w:pPr>
        <w:jc w:val="both"/>
        <w:rPr>
          <w:rFonts w:ascii="Arial" w:hAnsi="Arial" w:cs="Arial"/>
          <w:sz w:val="22"/>
          <w:szCs w:val="22"/>
        </w:rPr>
      </w:pPr>
      <w:r>
        <w:rPr>
          <w:rFonts w:ascii="Arial" w:hAnsi="Arial" w:cs="Arial"/>
          <w:sz w:val="22"/>
          <w:szCs w:val="22"/>
        </w:rPr>
        <w:t>Slide 14</w:t>
      </w:r>
    </w:p>
    <w:p w14:paraId="1338EE56" w14:textId="63FE99ED" w:rsidR="006333D4" w:rsidRDefault="006333D4" w:rsidP="00804633">
      <w:pPr>
        <w:jc w:val="both"/>
        <w:rPr>
          <w:rFonts w:ascii="Arial" w:hAnsi="Arial" w:cs="Arial"/>
          <w:sz w:val="22"/>
          <w:szCs w:val="22"/>
        </w:rPr>
      </w:pPr>
      <w:r w:rsidRPr="006333D4">
        <w:rPr>
          <w:rFonts w:ascii="Arial" w:hAnsi="Arial" w:cs="Arial"/>
          <w:sz w:val="22"/>
          <w:szCs w:val="22"/>
        </w:rPr>
        <w:t xml:space="preserve">Ethical care delivery requires adherence to core principles. Respecting autonomy means acknowledging </w:t>
      </w:r>
      <w:r w:rsidR="00BC5AF7">
        <w:rPr>
          <w:rFonts w:ascii="Arial" w:hAnsi="Arial" w:cs="Arial"/>
          <w:sz w:val="22"/>
          <w:szCs w:val="22"/>
        </w:rPr>
        <w:t>JT</w:t>
      </w:r>
      <w:r w:rsidRPr="006333D4">
        <w:rPr>
          <w:rFonts w:ascii="Arial" w:hAnsi="Arial" w:cs="Arial"/>
          <w:sz w:val="22"/>
          <w:szCs w:val="22"/>
        </w:rPr>
        <w:t xml:space="preserve">'s right to make informed decisions about his care, even if we might disagree with those decisions from a clinical standpoint (NMC, 2018). We must provide comprehensive information to enable informed consent and support his self-management capabilities. However, autonomy must be balanced with beneficence, our duty to act in </w:t>
      </w:r>
      <w:r w:rsidR="00BC5AF7">
        <w:rPr>
          <w:rFonts w:ascii="Arial" w:hAnsi="Arial" w:cs="Arial"/>
          <w:sz w:val="22"/>
          <w:szCs w:val="22"/>
        </w:rPr>
        <w:t>JT</w:t>
      </w:r>
      <w:r w:rsidRPr="006333D4">
        <w:rPr>
          <w:rFonts w:ascii="Arial" w:hAnsi="Arial" w:cs="Arial"/>
          <w:sz w:val="22"/>
          <w:szCs w:val="22"/>
        </w:rPr>
        <w:t xml:space="preserve">'s best interests by providing evidence-based interventions that prevent complications and optimise health outcomes. Non-maleficence requires us to avoid harm; in diabetes care, this means not pursuing overly aggressive glycaemic targets that might cause problematic hypoglycaemia, carefully considering medication side effects, and balancing treatment burden against quality of life (NICE, 2022). For example, </w:t>
      </w:r>
      <w:r w:rsidR="00BC5AF7">
        <w:rPr>
          <w:rFonts w:ascii="Arial" w:hAnsi="Arial" w:cs="Arial"/>
          <w:sz w:val="22"/>
          <w:szCs w:val="22"/>
        </w:rPr>
        <w:t>JT</w:t>
      </w:r>
      <w:r w:rsidRPr="006333D4">
        <w:rPr>
          <w:rFonts w:ascii="Arial" w:hAnsi="Arial" w:cs="Arial"/>
          <w:sz w:val="22"/>
          <w:szCs w:val="22"/>
        </w:rPr>
        <w:t xml:space="preserve">'s HbA1c target should be individualised if tight control proves difficult to achieve without significant negative impacts. Justice requires ensuring </w:t>
      </w:r>
      <w:r w:rsidR="00BC5AF7">
        <w:rPr>
          <w:rFonts w:ascii="Arial" w:hAnsi="Arial" w:cs="Arial"/>
          <w:sz w:val="22"/>
          <w:szCs w:val="22"/>
        </w:rPr>
        <w:t>JT</w:t>
      </w:r>
      <w:r w:rsidRPr="006333D4">
        <w:rPr>
          <w:rFonts w:ascii="Arial" w:hAnsi="Arial" w:cs="Arial"/>
          <w:sz w:val="22"/>
          <w:szCs w:val="22"/>
        </w:rPr>
        <w:t xml:space="preserve"> has equitable access to diabetes services regardless of his socioeconomic status. Finally, maintaining confidentiality is paramount; </w:t>
      </w:r>
      <w:r w:rsidR="00BC5AF7">
        <w:rPr>
          <w:rFonts w:ascii="Arial" w:hAnsi="Arial" w:cs="Arial"/>
          <w:sz w:val="22"/>
          <w:szCs w:val="22"/>
        </w:rPr>
        <w:t>JT</w:t>
      </w:r>
      <w:r w:rsidRPr="006333D4">
        <w:rPr>
          <w:rFonts w:ascii="Arial" w:hAnsi="Arial" w:cs="Arial"/>
          <w:sz w:val="22"/>
          <w:szCs w:val="22"/>
        </w:rPr>
        <w:t>'s health information must be kept private, and we should only share information with his family or employer with his explicit consent, except in rare circumstances where safety is at risk (GMC, 2020). These ethical principles guide all aspects of care delivery.</w:t>
      </w:r>
    </w:p>
    <w:p w14:paraId="65A6B9A2" w14:textId="75BD578E" w:rsidR="00604893" w:rsidRPr="00804633" w:rsidRDefault="00604893" w:rsidP="00804633">
      <w:pPr>
        <w:jc w:val="both"/>
        <w:rPr>
          <w:rFonts w:ascii="Arial" w:hAnsi="Arial" w:cs="Arial"/>
          <w:sz w:val="22"/>
          <w:szCs w:val="22"/>
        </w:rPr>
      </w:pPr>
      <w:r w:rsidRPr="00604893">
        <w:rPr>
          <w:rFonts w:ascii="Arial" w:hAnsi="Arial" w:cs="Arial"/>
          <w:sz w:val="22"/>
          <w:szCs w:val="22"/>
        </w:rPr>
        <w:t xml:space="preserve">In conclusion, Type 2 Diabetes is a complex chronic condition that affects multiple body systems through the interrelated mechanisms of insulin resistance and beta cell dysfunction. Effective management requires a comprehensive, holistic approach that addresses pharmacological interventions, lifestyle modifications, and psychosocial support. By following evidence-based guidelines from NICE and </w:t>
      </w:r>
      <w:proofErr w:type="gramStart"/>
      <w:r w:rsidRPr="00604893">
        <w:rPr>
          <w:rFonts w:ascii="Arial" w:hAnsi="Arial" w:cs="Arial"/>
          <w:sz w:val="22"/>
          <w:szCs w:val="22"/>
        </w:rPr>
        <w:t>NHS, and</w:t>
      </w:r>
      <w:proofErr w:type="gramEnd"/>
      <w:r w:rsidRPr="00604893">
        <w:rPr>
          <w:rFonts w:ascii="Arial" w:hAnsi="Arial" w:cs="Arial"/>
          <w:sz w:val="22"/>
          <w:szCs w:val="22"/>
        </w:rPr>
        <w:t xml:space="preserve"> adopting a truly person-centred approach that respects James's autonomy and priorities, we can optimise outcomes and prevent serious complications. Regular monitoring through structured review processes allows early detection of problems and timely intervention adjustments. Crucially, the involvement of a multidisciplinary team including GPs, diabetes nurses, dietitians, and potentially other specialists ensures comprehensive care. However, the ultimate key to success is empowering James to develop effective self-management skills, as he will be managing his condition day-to-day. With commitment to this care plan, James has an excellent prognosis for achieving good glycaemic control, preventing complications, and maintaining his quality of life. Thank you very much for your attention, and I'm happy to answer any questions.</w:t>
      </w:r>
    </w:p>
    <w:p w14:paraId="63A21F87" w14:textId="59BD9984" w:rsidR="00610C17" w:rsidRPr="00804633" w:rsidRDefault="00610C17" w:rsidP="00804633">
      <w:pPr>
        <w:jc w:val="both"/>
        <w:rPr>
          <w:rFonts w:ascii="Arial" w:hAnsi="Arial" w:cs="Arial"/>
          <w:sz w:val="22"/>
          <w:szCs w:val="22"/>
        </w:rPr>
      </w:pPr>
    </w:p>
    <w:sectPr w:rsidR="00610C17" w:rsidRPr="008046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F25"/>
    <w:rsid w:val="000C3150"/>
    <w:rsid w:val="00154377"/>
    <w:rsid w:val="001F400B"/>
    <w:rsid w:val="00254694"/>
    <w:rsid w:val="00295BB5"/>
    <w:rsid w:val="002C22B0"/>
    <w:rsid w:val="003139C8"/>
    <w:rsid w:val="003514F6"/>
    <w:rsid w:val="003528D8"/>
    <w:rsid w:val="00407C63"/>
    <w:rsid w:val="00475A28"/>
    <w:rsid w:val="004A4648"/>
    <w:rsid w:val="004C3D0B"/>
    <w:rsid w:val="004C6F25"/>
    <w:rsid w:val="00501B51"/>
    <w:rsid w:val="00527598"/>
    <w:rsid w:val="005938FC"/>
    <w:rsid w:val="00604893"/>
    <w:rsid w:val="00610C17"/>
    <w:rsid w:val="006333D4"/>
    <w:rsid w:val="00640C01"/>
    <w:rsid w:val="00642090"/>
    <w:rsid w:val="00672893"/>
    <w:rsid w:val="006B1988"/>
    <w:rsid w:val="006C7093"/>
    <w:rsid w:val="006F4073"/>
    <w:rsid w:val="00793953"/>
    <w:rsid w:val="0080335A"/>
    <w:rsid w:val="00804633"/>
    <w:rsid w:val="00813B34"/>
    <w:rsid w:val="008427DF"/>
    <w:rsid w:val="009B0E7C"/>
    <w:rsid w:val="009E289E"/>
    <w:rsid w:val="00A22AC8"/>
    <w:rsid w:val="00A51F0D"/>
    <w:rsid w:val="00AA716F"/>
    <w:rsid w:val="00AB0EDC"/>
    <w:rsid w:val="00AB4169"/>
    <w:rsid w:val="00B527FA"/>
    <w:rsid w:val="00B644CB"/>
    <w:rsid w:val="00BB6139"/>
    <w:rsid w:val="00BC5AF7"/>
    <w:rsid w:val="00C03787"/>
    <w:rsid w:val="00CB05B1"/>
    <w:rsid w:val="00D03EA6"/>
    <w:rsid w:val="00D2469B"/>
    <w:rsid w:val="00D84B17"/>
    <w:rsid w:val="00E74C2C"/>
    <w:rsid w:val="00E91B5E"/>
    <w:rsid w:val="00ED6915"/>
    <w:rsid w:val="00EE1D93"/>
    <w:rsid w:val="00FB2CB7"/>
    <w:rsid w:val="00FB4820"/>
    <w:rsid w:val="00FC76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6E0DA"/>
  <w15:chartTrackingRefBased/>
  <w15:docId w15:val="{640AD759-74F1-4E1A-B3F7-36E4A2661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6F2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6F2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6F2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6F2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6F2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6F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6F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6F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6F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6F2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6F2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6F2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6F2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6F2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6F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6F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6F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6F25"/>
    <w:rPr>
      <w:rFonts w:eastAsiaTheme="majorEastAsia" w:cstheme="majorBidi"/>
      <w:color w:val="272727" w:themeColor="text1" w:themeTint="D8"/>
    </w:rPr>
  </w:style>
  <w:style w:type="paragraph" w:styleId="Title">
    <w:name w:val="Title"/>
    <w:basedOn w:val="Normal"/>
    <w:next w:val="Normal"/>
    <w:link w:val="TitleChar"/>
    <w:uiPriority w:val="10"/>
    <w:qFormat/>
    <w:rsid w:val="004C6F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6F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6F2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6F2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6F25"/>
    <w:pPr>
      <w:spacing w:before="160"/>
      <w:jc w:val="center"/>
    </w:pPr>
    <w:rPr>
      <w:i/>
      <w:iCs/>
      <w:color w:val="404040" w:themeColor="text1" w:themeTint="BF"/>
    </w:rPr>
  </w:style>
  <w:style w:type="character" w:customStyle="1" w:styleId="QuoteChar">
    <w:name w:val="Quote Char"/>
    <w:basedOn w:val="DefaultParagraphFont"/>
    <w:link w:val="Quote"/>
    <w:uiPriority w:val="29"/>
    <w:rsid w:val="004C6F25"/>
    <w:rPr>
      <w:i/>
      <w:iCs/>
      <w:color w:val="404040" w:themeColor="text1" w:themeTint="BF"/>
    </w:rPr>
  </w:style>
  <w:style w:type="paragraph" w:styleId="ListParagraph">
    <w:name w:val="List Paragraph"/>
    <w:basedOn w:val="Normal"/>
    <w:uiPriority w:val="34"/>
    <w:qFormat/>
    <w:rsid w:val="004C6F25"/>
    <w:pPr>
      <w:ind w:left="720"/>
      <w:contextualSpacing/>
    </w:pPr>
  </w:style>
  <w:style w:type="character" w:styleId="IntenseEmphasis">
    <w:name w:val="Intense Emphasis"/>
    <w:basedOn w:val="DefaultParagraphFont"/>
    <w:uiPriority w:val="21"/>
    <w:qFormat/>
    <w:rsid w:val="004C6F25"/>
    <w:rPr>
      <w:i/>
      <w:iCs/>
      <w:color w:val="0F4761" w:themeColor="accent1" w:themeShade="BF"/>
    </w:rPr>
  </w:style>
  <w:style w:type="paragraph" w:styleId="IntenseQuote">
    <w:name w:val="Intense Quote"/>
    <w:basedOn w:val="Normal"/>
    <w:next w:val="Normal"/>
    <w:link w:val="IntenseQuoteChar"/>
    <w:uiPriority w:val="30"/>
    <w:qFormat/>
    <w:rsid w:val="004C6F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6F25"/>
    <w:rPr>
      <w:i/>
      <w:iCs/>
      <w:color w:val="0F4761" w:themeColor="accent1" w:themeShade="BF"/>
    </w:rPr>
  </w:style>
  <w:style w:type="character" w:styleId="IntenseReference">
    <w:name w:val="Intense Reference"/>
    <w:basedOn w:val="DefaultParagraphFont"/>
    <w:uiPriority w:val="32"/>
    <w:qFormat/>
    <w:rsid w:val="004C6F2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B46BA23DB9BC46906594107C0D223C" ma:contentTypeVersion="6" ma:contentTypeDescription="Create a new document." ma:contentTypeScope="" ma:versionID="d2af26eaa1ac13c9399e1d32c0159dad">
  <xsd:schema xmlns:xsd="http://www.w3.org/2001/XMLSchema" xmlns:xs="http://www.w3.org/2001/XMLSchema" xmlns:p="http://schemas.microsoft.com/office/2006/metadata/properties" xmlns:ns3="6849e2eb-3b96-488d-9470-13be59e38196" targetNamespace="http://schemas.microsoft.com/office/2006/metadata/properties" ma:root="true" ma:fieldsID="8dc900e08201224854feaf1a68aefbb5" ns3:_="">
    <xsd:import namespace="6849e2eb-3b96-488d-9470-13be59e3819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49e2eb-3b96-488d-9470-13be59e3819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849e2eb-3b96-488d-9470-13be59e38196" xsi:nil="true"/>
  </documentManagement>
</p:properties>
</file>

<file path=customXml/itemProps1.xml><?xml version="1.0" encoding="utf-8"?>
<ds:datastoreItem xmlns:ds="http://schemas.openxmlformats.org/officeDocument/2006/customXml" ds:itemID="{890D835A-705F-4A92-906C-75295F29C2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49e2eb-3b96-488d-9470-13be59e381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C38AFD-3ABC-42DC-9397-A468C1234C11}">
  <ds:schemaRefs>
    <ds:schemaRef ds:uri="http://schemas.microsoft.com/sharepoint/v3/contenttype/forms"/>
  </ds:schemaRefs>
</ds:datastoreItem>
</file>

<file path=customXml/itemProps3.xml><?xml version="1.0" encoding="utf-8"?>
<ds:datastoreItem xmlns:ds="http://schemas.openxmlformats.org/officeDocument/2006/customXml" ds:itemID="{1A6FD6E2-FB1C-4A5D-AD05-A0D79360B9A4}">
  <ds:schemaRefs>
    <ds:schemaRef ds:uri="6849e2eb-3b96-488d-9470-13be59e38196"/>
    <ds:schemaRef ds:uri="http://schemas.microsoft.com/office/infopath/2007/PartnerControls"/>
    <ds:schemaRef ds:uri="http://purl.org/dc/elements/1.1/"/>
    <ds:schemaRef ds:uri="http://schemas.microsoft.com/office/2006/documentManagement/types"/>
    <ds:schemaRef ds:uri="http://purl.org/dc/terms/"/>
    <ds:schemaRef ds:uri="http://www.w3.org/XML/1998/namespace"/>
    <ds:schemaRef ds:uri="http://purl.org/dc/dcmitype/"/>
    <ds:schemaRef ds:uri="http://schemas.openxmlformats.org/package/2006/metadata/core-propertie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5</Pages>
  <Words>2589</Words>
  <Characters>14763</Characters>
  <Application>Microsoft Office Word</Application>
  <DocSecurity>0</DocSecurity>
  <Lines>123</Lines>
  <Paragraphs>34</Paragraphs>
  <ScaleCrop>false</ScaleCrop>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Abosede Taiwo-Badejo | Age UK Bristol</dc:creator>
  <cp:keywords/>
  <dc:description/>
  <cp:lastModifiedBy>Abosede Taiwo-Badejo | Age UK Bristol</cp:lastModifiedBy>
  <cp:revision>52</cp:revision>
  <dcterms:created xsi:type="dcterms:W3CDTF">2025-12-05T22:47:00Z</dcterms:created>
  <dcterms:modified xsi:type="dcterms:W3CDTF">2025-12-09T11:50:00Z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7a9496a3-4549-431b-9498-4242f868e5ba</vt:lpwstr>
  </property>
  <property fmtid="{D5CDD505-2E9C-101B-9397-08002B2CF9AE}" pid="3" name="ContentTypeId">
    <vt:lpwstr>0x010100E7B46BA23DB9BC46906594107C0D223C</vt:lpwstr>
  </property>
</Properties>
</file>