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70480" w14:textId="77777777" w:rsidR="001215CC" w:rsidRPr="004B2DD7" w:rsidRDefault="00000000" w:rsidP="004B2DD7">
      <w:pPr>
        <w:jc w:val="left"/>
        <w:rPr>
          <w:b/>
          <w:sz w:val="22"/>
          <w:szCs w:val="22"/>
        </w:rPr>
      </w:pPr>
      <w:r w:rsidRPr="004B2DD7">
        <w:rPr>
          <w:b/>
          <w:sz w:val="22"/>
          <w:szCs w:val="22"/>
        </w:rPr>
        <w:t>BMIH6007 International Meetings Management for the</w:t>
      </w:r>
    </w:p>
    <w:p w14:paraId="0ED4A866" w14:textId="77777777" w:rsidR="001215CC" w:rsidRPr="004B2DD7" w:rsidRDefault="00000000" w:rsidP="004B2DD7">
      <w:pPr>
        <w:jc w:val="left"/>
        <w:rPr>
          <w:b/>
          <w:sz w:val="22"/>
          <w:szCs w:val="22"/>
        </w:rPr>
      </w:pPr>
      <w:r w:rsidRPr="004B2DD7">
        <w:rPr>
          <w:b/>
          <w:sz w:val="22"/>
          <w:szCs w:val="22"/>
        </w:rPr>
        <w:t>Hotel Industry</w:t>
      </w:r>
    </w:p>
    <w:p w14:paraId="0F4D1B50" w14:textId="77777777" w:rsidR="001215CC" w:rsidRDefault="001215CC">
      <w:pPr>
        <w:jc w:val="center"/>
        <w:rPr>
          <w:b/>
          <w:sz w:val="36"/>
          <w:szCs w:val="36"/>
        </w:rPr>
      </w:pPr>
    </w:p>
    <w:p w14:paraId="50AB7268" w14:textId="77777777" w:rsidR="004B2DD7" w:rsidRDefault="004B2DD7">
      <w:pPr>
        <w:jc w:val="center"/>
        <w:rPr>
          <w:b/>
          <w:sz w:val="36"/>
          <w:szCs w:val="36"/>
        </w:rPr>
      </w:pPr>
    </w:p>
    <w:p w14:paraId="1C1D7FC4" w14:textId="77777777" w:rsidR="001215CC" w:rsidRDefault="001215CC">
      <w:pPr>
        <w:jc w:val="center"/>
        <w:rPr>
          <w:b/>
          <w:sz w:val="36"/>
          <w:szCs w:val="36"/>
        </w:rPr>
      </w:pPr>
    </w:p>
    <w:p w14:paraId="54EFCFE5" w14:textId="77777777" w:rsidR="001215CC" w:rsidRPr="004B2DD7" w:rsidRDefault="00000000">
      <w:pPr>
        <w:jc w:val="center"/>
        <w:rPr>
          <w:b/>
          <w:sz w:val="40"/>
          <w:szCs w:val="40"/>
        </w:rPr>
      </w:pPr>
      <w:r w:rsidRPr="004B2DD7">
        <w:rPr>
          <w:b/>
          <w:sz w:val="40"/>
          <w:szCs w:val="40"/>
        </w:rPr>
        <w:t>Event Strategic Planning and Delivery Considerations for an</w:t>
      </w:r>
    </w:p>
    <w:p w14:paraId="0F0779E8" w14:textId="2A0C40A8" w:rsidR="001215CC" w:rsidRDefault="00000000">
      <w:pPr>
        <w:jc w:val="center"/>
        <w:rPr>
          <w:b/>
          <w:sz w:val="36"/>
          <w:szCs w:val="36"/>
        </w:rPr>
      </w:pPr>
      <w:r w:rsidRPr="004B2DD7">
        <w:rPr>
          <w:b/>
          <w:sz w:val="40"/>
          <w:szCs w:val="40"/>
        </w:rPr>
        <w:t>International Meeting / Event</w:t>
      </w:r>
      <w:r w:rsidR="004B2DD7">
        <w:rPr>
          <w:b/>
          <w:sz w:val="36"/>
          <w:szCs w:val="36"/>
        </w:rPr>
        <w:t xml:space="preserve"> </w:t>
      </w:r>
    </w:p>
    <w:p w14:paraId="2CDC7A78" w14:textId="77777777" w:rsidR="001215CC" w:rsidRDefault="001215CC">
      <w:pPr>
        <w:jc w:val="center"/>
        <w:rPr>
          <w:b/>
          <w:sz w:val="36"/>
          <w:szCs w:val="36"/>
        </w:rPr>
      </w:pPr>
    </w:p>
    <w:p w14:paraId="2153287C" w14:textId="77777777" w:rsidR="001215CC" w:rsidRDefault="001215CC">
      <w:pPr>
        <w:jc w:val="center"/>
        <w:rPr>
          <w:b/>
          <w:sz w:val="36"/>
          <w:szCs w:val="36"/>
        </w:rPr>
      </w:pPr>
    </w:p>
    <w:p w14:paraId="0E44DD30" w14:textId="77777777" w:rsidR="001215CC" w:rsidRDefault="001215CC">
      <w:pPr>
        <w:jc w:val="center"/>
        <w:rPr>
          <w:b/>
          <w:sz w:val="36"/>
          <w:szCs w:val="36"/>
        </w:rPr>
      </w:pPr>
    </w:p>
    <w:p w14:paraId="769D146B" w14:textId="77777777" w:rsidR="004B2DD7" w:rsidRDefault="004B2DD7">
      <w:pPr>
        <w:jc w:val="center"/>
        <w:rPr>
          <w:b/>
          <w:sz w:val="36"/>
          <w:szCs w:val="36"/>
        </w:rPr>
      </w:pPr>
    </w:p>
    <w:p w14:paraId="46BD5E16" w14:textId="77777777" w:rsidR="004B2DD7" w:rsidRDefault="004B2DD7">
      <w:pPr>
        <w:jc w:val="center"/>
        <w:rPr>
          <w:b/>
          <w:sz w:val="36"/>
          <w:szCs w:val="36"/>
        </w:rPr>
      </w:pPr>
    </w:p>
    <w:p w14:paraId="02E64080" w14:textId="2BDD9CD5" w:rsidR="001215CC" w:rsidRPr="004B2DD7" w:rsidRDefault="00000000" w:rsidP="004B2DD7">
      <w:pPr>
        <w:jc w:val="left"/>
        <w:rPr>
          <w:b/>
          <w:sz w:val="28"/>
          <w:szCs w:val="28"/>
        </w:rPr>
      </w:pPr>
      <w:r w:rsidRPr="004B2DD7">
        <w:rPr>
          <w:b/>
          <w:sz w:val="28"/>
          <w:szCs w:val="28"/>
        </w:rPr>
        <w:t>Student ID:</w:t>
      </w:r>
      <w:r w:rsidR="004B2DD7" w:rsidRPr="004B2DD7">
        <w:rPr>
          <w:b/>
          <w:sz w:val="28"/>
          <w:szCs w:val="28"/>
        </w:rPr>
        <w:t xml:space="preserve"> 2241513</w:t>
      </w:r>
    </w:p>
    <w:p w14:paraId="023D822C" w14:textId="022514FF" w:rsidR="004B2DD7" w:rsidRPr="004B2DD7" w:rsidRDefault="004B2DD7" w:rsidP="004B2DD7">
      <w:pPr>
        <w:jc w:val="left"/>
        <w:rPr>
          <w:b/>
          <w:sz w:val="28"/>
          <w:szCs w:val="28"/>
        </w:rPr>
      </w:pPr>
      <w:r w:rsidRPr="004B2DD7">
        <w:rPr>
          <w:b/>
          <w:sz w:val="28"/>
          <w:szCs w:val="28"/>
        </w:rPr>
        <w:t xml:space="preserve">Student Name: Marin Marius Enache </w:t>
      </w:r>
    </w:p>
    <w:p w14:paraId="56451B9B" w14:textId="77777777" w:rsidR="001215CC" w:rsidRDefault="001215CC"/>
    <w:p w14:paraId="3440F07D" w14:textId="77777777" w:rsidR="001215CC" w:rsidRDefault="001215CC"/>
    <w:p w14:paraId="3A56BA76" w14:textId="77777777" w:rsidR="001215CC" w:rsidRDefault="001215CC"/>
    <w:p w14:paraId="2C3C0C8C" w14:textId="77777777" w:rsidR="001215CC" w:rsidRDefault="001215CC"/>
    <w:p w14:paraId="16BA1BDF" w14:textId="77777777" w:rsidR="001215CC" w:rsidRDefault="001215CC"/>
    <w:p w14:paraId="7CCBF8A6" w14:textId="77777777" w:rsidR="001215CC" w:rsidRDefault="001215CC"/>
    <w:p w14:paraId="380EF2D0" w14:textId="77777777" w:rsidR="001215CC" w:rsidRDefault="001215CC"/>
    <w:p w14:paraId="3085EECE" w14:textId="77777777" w:rsidR="001215CC" w:rsidRDefault="001215CC"/>
    <w:p w14:paraId="1D271520" w14:textId="77777777" w:rsidR="001215CC" w:rsidRDefault="00000000">
      <w:pPr>
        <w:keepNext/>
        <w:keepLines/>
        <w:pBdr>
          <w:top w:val="nil"/>
          <w:left w:val="nil"/>
          <w:bottom w:val="nil"/>
          <w:right w:val="nil"/>
          <w:between w:val="nil"/>
        </w:pBdr>
        <w:spacing w:before="240" w:after="0"/>
        <w:jc w:val="left"/>
        <w:rPr>
          <w:b/>
          <w:color w:val="000000"/>
          <w:sz w:val="28"/>
          <w:szCs w:val="28"/>
        </w:rPr>
      </w:pPr>
      <w:r>
        <w:rPr>
          <w:b/>
          <w:color w:val="000000"/>
          <w:sz w:val="28"/>
          <w:szCs w:val="28"/>
        </w:rPr>
        <w:t>Table of Contents</w:t>
      </w:r>
    </w:p>
    <w:sdt>
      <w:sdtPr>
        <w:id w:val="2080639391"/>
        <w:docPartObj>
          <w:docPartGallery w:val="Table of Contents"/>
          <w:docPartUnique/>
        </w:docPartObj>
      </w:sdtPr>
      <w:sdtContent>
        <w:p w14:paraId="72378E9B" w14:textId="6CC01F25" w:rsidR="008244AA" w:rsidRDefault="00000000">
          <w:pPr>
            <w:pStyle w:val="TOC1"/>
            <w:tabs>
              <w:tab w:val="right" w:leader="dot" w:pos="9350"/>
            </w:tabs>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99191151" w:history="1">
            <w:r w:rsidR="008244AA" w:rsidRPr="004E0CDD">
              <w:rPr>
                <w:rStyle w:val="Hyperlink"/>
                <w:noProof/>
              </w:rPr>
              <w:t>Introduction</w:t>
            </w:r>
            <w:r w:rsidR="008244AA">
              <w:rPr>
                <w:noProof/>
                <w:webHidden/>
              </w:rPr>
              <w:tab/>
            </w:r>
            <w:r w:rsidR="008244AA">
              <w:rPr>
                <w:noProof/>
                <w:webHidden/>
              </w:rPr>
              <w:fldChar w:fldCharType="begin"/>
            </w:r>
            <w:r w:rsidR="008244AA">
              <w:rPr>
                <w:noProof/>
                <w:webHidden/>
              </w:rPr>
              <w:instrText xml:space="preserve"> PAGEREF _Toc199191151 \h </w:instrText>
            </w:r>
            <w:r w:rsidR="008244AA">
              <w:rPr>
                <w:noProof/>
                <w:webHidden/>
              </w:rPr>
            </w:r>
            <w:r w:rsidR="008244AA">
              <w:rPr>
                <w:noProof/>
                <w:webHidden/>
              </w:rPr>
              <w:fldChar w:fldCharType="separate"/>
            </w:r>
            <w:r w:rsidR="008244AA">
              <w:rPr>
                <w:noProof/>
                <w:webHidden/>
              </w:rPr>
              <w:t>1</w:t>
            </w:r>
            <w:r w:rsidR="008244AA">
              <w:rPr>
                <w:noProof/>
                <w:webHidden/>
              </w:rPr>
              <w:fldChar w:fldCharType="end"/>
            </w:r>
          </w:hyperlink>
        </w:p>
        <w:p w14:paraId="5866B95B" w14:textId="21E073FC" w:rsidR="008244AA" w:rsidRDefault="008244A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1152" w:history="1">
            <w:r w:rsidRPr="004E0CDD">
              <w:rPr>
                <w:rStyle w:val="Hyperlink"/>
                <w:noProof/>
              </w:rPr>
              <w:t>The Event Cycle</w:t>
            </w:r>
            <w:r>
              <w:rPr>
                <w:noProof/>
                <w:webHidden/>
              </w:rPr>
              <w:tab/>
            </w:r>
            <w:r>
              <w:rPr>
                <w:noProof/>
                <w:webHidden/>
              </w:rPr>
              <w:fldChar w:fldCharType="begin"/>
            </w:r>
            <w:r>
              <w:rPr>
                <w:noProof/>
                <w:webHidden/>
              </w:rPr>
              <w:instrText xml:space="preserve"> PAGEREF _Toc199191152 \h </w:instrText>
            </w:r>
            <w:r>
              <w:rPr>
                <w:noProof/>
                <w:webHidden/>
              </w:rPr>
            </w:r>
            <w:r>
              <w:rPr>
                <w:noProof/>
                <w:webHidden/>
              </w:rPr>
              <w:fldChar w:fldCharType="separate"/>
            </w:r>
            <w:r>
              <w:rPr>
                <w:noProof/>
                <w:webHidden/>
              </w:rPr>
              <w:t>1</w:t>
            </w:r>
            <w:r>
              <w:rPr>
                <w:noProof/>
                <w:webHidden/>
              </w:rPr>
              <w:fldChar w:fldCharType="end"/>
            </w:r>
          </w:hyperlink>
        </w:p>
        <w:p w14:paraId="77E1CB5F" w14:textId="19996A02" w:rsidR="008244AA" w:rsidRDefault="008244A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1153" w:history="1">
            <w:r w:rsidRPr="004E0CDD">
              <w:rPr>
                <w:rStyle w:val="Hyperlink"/>
                <w:noProof/>
              </w:rPr>
              <w:t>Event Concept and Itinerary</w:t>
            </w:r>
            <w:r>
              <w:rPr>
                <w:noProof/>
                <w:webHidden/>
              </w:rPr>
              <w:tab/>
            </w:r>
            <w:r>
              <w:rPr>
                <w:noProof/>
                <w:webHidden/>
              </w:rPr>
              <w:fldChar w:fldCharType="begin"/>
            </w:r>
            <w:r>
              <w:rPr>
                <w:noProof/>
                <w:webHidden/>
              </w:rPr>
              <w:instrText xml:space="preserve"> PAGEREF _Toc199191153 \h </w:instrText>
            </w:r>
            <w:r>
              <w:rPr>
                <w:noProof/>
                <w:webHidden/>
              </w:rPr>
            </w:r>
            <w:r>
              <w:rPr>
                <w:noProof/>
                <w:webHidden/>
              </w:rPr>
              <w:fldChar w:fldCharType="separate"/>
            </w:r>
            <w:r>
              <w:rPr>
                <w:noProof/>
                <w:webHidden/>
              </w:rPr>
              <w:t>2</w:t>
            </w:r>
            <w:r>
              <w:rPr>
                <w:noProof/>
                <w:webHidden/>
              </w:rPr>
              <w:fldChar w:fldCharType="end"/>
            </w:r>
          </w:hyperlink>
        </w:p>
        <w:p w14:paraId="2C43EA42" w14:textId="528664B1" w:rsidR="008244AA" w:rsidRDefault="008244A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1154" w:history="1">
            <w:r w:rsidRPr="004E0CDD">
              <w:rPr>
                <w:rStyle w:val="Hyperlink"/>
                <w:noProof/>
              </w:rPr>
              <w:t>Aim and Objectives</w:t>
            </w:r>
            <w:r>
              <w:rPr>
                <w:noProof/>
                <w:webHidden/>
              </w:rPr>
              <w:tab/>
            </w:r>
            <w:r>
              <w:rPr>
                <w:noProof/>
                <w:webHidden/>
              </w:rPr>
              <w:fldChar w:fldCharType="begin"/>
            </w:r>
            <w:r>
              <w:rPr>
                <w:noProof/>
                <w:webHidden/>
              </w:rPr>
              <w:instrText xml:space="preserve"> PAGEREF _Toc199191154 \h </w:instrText>
            </w:r>
            <w:r>
              <w:rPr>
                <w:noProof/>
                <w:webHidden/>
              </w:rPr>
            </w:r>
            <w:r>
              <w:rPr>
                <w:noProof/>
                <w:webHidden/>
              </w:rPr>
              <w:fldChar w:fldCharType="separate"/>
            </w:r>
            <w:r>
              <w:rPr>
                <w:noProof/>
                <w:webHidden/>
              </w:rPr>
              <w:t>3</w:t>
            </w:r>
            <w:r>
              <w:rPr>
                <w:noProof/>
                <w:webHidden/>
              </w:rPr>
              <w:fldChar w:fldCharType="end"/>
            </w:r>
          </w:hyperlink>
        </w:p>
        <w:p w14:paraId="447EAB6F" w14:textId="2B87C903" w:rsidR="008244AA" w:rsidRDefault="008244A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1155" w:history="1">
            <w:r w:rsidRPr="004E0CDD">
              <w:rPr>
                <w:rStyle w:val="Hyperlink"/>
                <w:noProof/>
              </w:rPr>
              <w:t>Event Management</w:t>
            </w:r>
            <w:r>
              <w:rPr>
                <w:noProof/>
                <w:webHidden/>
              </w:rPr>
              <w:tab/>
            </w:r>
            <w:r>
              <w:rPr>
                <w:noProof/>
                <w:webHidden/>
              </w:rPr>
              <w:fldChar w:fldCharType="begin"/>
            </w:r>
            <w:r>
              <w:rPr>
                <w:noProof/>
                <w:webHidden/>
              </w:rPr>
              <w:instrText xml:space="preserve"> PAGEREF _Toc199191155 \h </w:instrText>
            </w:r>
            <w:r>
              <w:rPr>
                <w:noProof/>
                <w:webHidden/>
              </w:rPr>
            </w:r>
            <w:r>
              <w:rPr>
                <w:noProof/>
                <w:webHidden/>
              </w:rPr>
              <w:fldChar w:fldCharType="separate"/>
            </w:r>
            <w:r>
              <w:rPr>
                <w:noProof/>
                <w:webHidden/>
              </w:rPr>
              <w:t>4</w:t>
            </w:r>
            <w:r>
              <w:rPr>
                <w:noProof/>
                <w:webHidden/>
              </w:rPr>
              <w:fldChar w:fldCharType="end"/>
            </w:r>
          </w:hyperlink>
        </w:p>
        <w:p w14:paraId="4A83A9C6" w14:textId="2DC5C2F6" w:rsidR="008244AA" w:rsidRDefault="008244A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1156" w:history="1">
            <w:r w:rsidRPr="004E0CDD">
              <w:rPr>
                <w:rStyle w:val="Hyperlink"/>
                <w:noProof/>
              </w:rPr>
              <w:t>Event Budge</w:t>
            </w:r>
            <w:r>
              <w:rPr>
                <w:noProof/>
                <w:webHidden/>
              </w:rPr>
              <w:tab/>
            </w:r>
            <w:r>
              <w:rPr>
                <w:noProof/>
                <w:webHidden/>
              </w:rPr>
              <w:fldChar w:fldCharType="begin"/>
            </w:r>
            <w:r>
              <w:rPr>
                <w:noProof/>
                <w:webHidden/>
              </w:rPr>
              <w:instrText xml:space="preserve"> PAGEREF _Toc199191156 \h </w:instrText>
            </w:r>
            <w:r>
              <w:rPr>
                <w:noProof/>
                <w:webHidden/>
              </w:rPr>
            </w:r>
            <w:r>
              <w:rPr>
                <w:noProof/>
                <w:webHidden/>
              </w:rPr>
              <w:fldChar w:fldCharType="separate"/>
            </w:r>
            <w:r>
              <w:rPr>
                <w:noProof/>
                <w:webHidden/>
              </w:rPr>
              <w:t>5</w:t>
            </w:r>
            <w:r>
              <w:rPr>
                <w:noProof/>
                <w:webHidden/>
              </w:rPr>
              <w:fldChar w:fldCharType="end"/>
            </w:r>
          </w:hyperlink>
        </w:p>
        <w:p w14:paraId="3814F2B6" w14:textId="54B51087" w:rsidR="008244AA" w:rsidRDefault="008244A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1157" w:history="1">
            <w:r w:rsidRPr="004E0CDD">
              <w:rPr>
                <w:rStyle w:val="Hyperlink"/>
                <w:noProof/>
              </w:rPr>
              <w:t>Industry Trends</w:t>
            </w:r>
            <w:r>
              <w:rPr>
                <w:noProof/>
                <w:webHidden/>
              </w:rPr>
              <w:tab/>
            </w:r>
            <w:r>
              <w:rPr>
                <w:noProof/>
                <w:webHidden/>
              </w:rPr>
              <w:fldChar w:fldCharType="begin"/>
            </w:r>
            <w:r>
              <w:rPr>
                <w:noProof/>
                <w:webHidden/>
              </w:rPr>
              <w:instrText xml:space="preserve"> PAGEREF _Toc199191157 \h </w:instrText>
            </w:r>
            <w:r>
              <w:rPr>
                <w:noProof/>
                <w:webHidden/>
              </w:rPr>
            </w:r>
            <w:r>
              <w:rPr>
                <w:noProof/>
                <w:webHidden/>
              </w:rPr>
              <w:fldChar w:fldCharType="separate"/>
            </w:r>
            <w:r>
              <w:rPr>
                <w:noProof/>
                <w:webHidden/>
              </w:rPr>
              <w:t>6</w:t>
            </w:r>
            <w:r>
              <w:rPr>
                <w:noProof/>
                <w:webHidden/>
              </w:rPr>
              <w:fldChar w:fldCharType="end"/>
            </w:r>
          </w:hyperlink>
        </w:p>
        <w:p w14:paraId="16B00B88" w14:textId="4DFA4F82" w:rsidR="008244AA" w:rsidRDefault="008244A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1158" w:history="1">
            <w:r w:rsidRPr="004E0CDD">
              <w:rPr>
                <w:rStyle w:val="Hyperlink"/>
                <w:noProof/>
              </w:rPr>
              <w:t>Situational and Cultural Considerations</w:t>
            </w:r>
            <w:r>
              <w:rPr>
                <w:noProof/>
                <w:webHidden/>
              </w:rPr>
              <w:tab/>
            </w:r>
            <w:r>
              <w:rPr>
                <w:noProof/>
                <w:webHidden/>
              </w:rPr>
              <w:fldChar w:fldCharType="begin"/>
            </w:r>
            <w:r>
              <w:rPr>
                <w:noProof/>
                <w:webHidden/>
              </w:rPr>
              <w:instrText xml:space="preserve"> PAGEREF _Toc199191158 \h </w:instrText>
            </w:r>
            <w:r>
              <w:rPr>
                <w:noProof/>
                <w:webHidden/>
              </w:rPr>
            </w:r>
            <w:r>
              <w:rPr>
                <w:noProof/>
                <w:webHidden/>
              </w:rPr>
              <w:fldChar w:fldCharType="separate"/>
            </w:r>
            <w:r>
              <w:rPr>
                <w:noProof/>
                <w:webHidden/>
              </w:rPr>
              <w:t>6</w:t>
            </w:r>
            <w:r>
              <w:rPr>
                <w:noProof/>
                <w:webHidden/>
              </w:rPr>
              <w:fldChar w:fldCharType="end"/>
            </w:r>
          </w:hyperlink>
        </w:p>
        <w:p w14:paraId="7AB72AF5" w14:textId="6C76BC01" w:rsidR="008244AA" w:rsidRDefault="008244A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1159" w:history="1">
            <w:r w:rsidRPr="004E0CDD">
              <w:rPr>
                <w:rStyle w:val="Hyperlink"/>
                <w:noProof/>
              </w:rPr>
              <w:t>Conclusion</w:t>
            </w:r>
            <w:r>
              <w:rPr>
                <w:noProof/>
                <w:webHidden/>
              </w:rPr>
              <w:tab/>
            </w:r>
            <w:r>
              <w:rPr>
                <w:noProof/>
                <w:webHidden/>
              </w:rPr>
              <w:fldChar w:fldCharType="begin"/>
            </w:r>
            <w:r>
              <w:rPr>
                <w:noProof/>
                <w:webHidden/>
              </w:rPr>
              <w:instrText xml:space="preserve"> PAGEREF _Toc199191159 \h </w:instrText>
            </w:r>
            <w:r>
              <w:rPr>
                <w:noProof/>
                <w:webHidden/>
              </w:rPr>
            </w:r>
            <w:r>
              <w:rPr>
                <w:noProof/>
                <w:webHidden/>
              </w:rPr>
              <w:fldChar w:fldCharType="separate"/>
            </w:r>
            <w:r>
              <w:rPr>
                <w:noProof/>
                <w:webHidden/>
              </w:rPr>
              <w:t>8</w:t>
            </w:r>
            <w:r>
              <w:rPr>
                <w:noProof/>
                <w:webHidden/>
              </w:rPr>
              <w:fldChar w:fldCharType="end"/>
            </w:r>
          </w:hyperlink>
        </w:p>
        <w:p w14:paraId="5FF7EEF0" w14:textId="0E55E850" w:rsidR="008244AA" w:rsidRDefault="008244A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99191160" w:history="1">
            <w:r w:rsidRPr="004E0CDD">
              <w:rPr>
                <w:rStyle w:val="Hyperlink"/>
                <w:noProof/>
              </w:rPr>
              <w:t>Reference</w:t>
            </w:r>
            <w:r>
              <w:rPr>
                <w:noProof/>
                <w:webHidden/>
              </w:rPr>
              <w:tab/>
            </w:r>
            <w:r>
              <w:rPr>
                <w:noProof/>
                <w:webHidden/>
              </w:rPr>
              <w:fldChar w:fldCharType="begin"/>
            </w:r>
            <w:r>
              <w:rPr>
                <w:noProof/>
                <w:webHidden/>
              </w:rPr>
              <w:instrText xml:space="preserve"> PAGEREF _Toc199191160 \h </w:instrText>
            </w:r>
            <w:r>
              <w:rPr>
                <w:noProof/>
                <w:webHidden/>
              </w:rPr>
            </w:r>
            <w:r>
              <w:rPr>
                <w:noProof/>
                <w:webHidden/>
              </w:rPr>
              <w:fldChar w:fldCharType="separate"/>
            </w:r>
            <w:r>
              <w:rPr>
                <w:noProof/>
                <w:webHidden/>
              </w:rPr>
              <w:t>9</w:t>
            </w:r>
            <w:r>
              <w:rPr>
                <w:noProof/>
                <w:webHidden/>
              </w:rPr>
              <w:fldChar w:fldCharType="end"/>
            </w:r>
          </w:hyperlink>
        </w:p>
        <w:p w14:paraId="25E7B517" w14:textId="459669CB" w:rsidR="001215CC" w:rsidRDefault="00000000">
          <w:r>
            <w:fldChar w:fldCharType="end"/>
          </w:r>
        </w:p>
      </w:sdtContent>
    </w:sdt>
    <w:p w14:paraId="451B069A" w14:textId="77777777" w:rsidR="001215CC" w:rsidRDefault="001215CC"/>
    <w:p w14:paraId="38D91438" w14:textId="77777777" w:rsidR="001215CC" w:rsidRDefault="001215CC"/>
    <w:p w14:paraId="7AE96CC0" w14:textId="77777777" w:rsidR="001215CC" w:rsidRDefault="001215CC"/>
    <w:p w14:paraId="67FDFBBB" w14:textId="77777777" w:rsidR="001215CC" w:rsidRDefault="001215CC"/>
    <w:p w14:paraId="15AF2A0D" w14:textId="77777777" w:rsidR="001215CC" w:rsidRDefault="001215CC"/>
    <w:p w14:paraId="7BECE486" w14:textId="77777777" w:rsidR="001215CC" w:rsidRDefault="001215CC"/>
    <w:p w14:paraId="4A07E489" w14:textId="77777777" w:rsidR="001215CC" w:rsidRDefault="001215CC"/>
    <w:p w14:paraId="2BD73F5A" w14:textId="77777777" w:rsidR="001215CC" w:rsidRDefault="001215CC"/>
    <w:p w14:paraId="7BA62287" w14:textId="77777777" w:rsidR="001215CC" w:rsidRDefault="001215CC"/>
    <w:p w14:paraId="2F879625" w14:textId="77777777" w:rsidR="001215CC" w:rsidRDefault="001215CC"/>
    <w:p w14:paraId="7F97E214" w14:textId="77777777" w:rsidR="001215CC" w:rsidRDefault="001215CC"/>
    <w:p w14:paraId="00C914E7" w14:textId="77777777" w:rsidR="001215CC" w:rsidRDefault="001215CC">
      <w:pPr>
        <w:sectPr w:rsidR="001215CC">
          <w:footerReference w:type="default" r:id="rId8"/>
          <w:pgSz w:w="12240" w:h="15840"/>
          <w:pgMar w:top="1440" w:right="1440" w:bottom="1440" w:left="1440" w:header="720" w:footer="720" w:gutter="0"/>
          <w:pgNumType w:start="1"/>
          <w:cols w:space="720"/>
        </w:sectPr>
      </w:pPr>
    </w:p>
    <w:p w14:paraId="3D338A4E" w14:textId="77777777" w:rsidR="001215CC" w:rsidRDefault="00000000">
      <w:pPr>
        <w:pStyle w:val="Heading1"/>
      </w:pPr>
      <w:bookmarkStart w:id="0" w:name="_Toc199191151"/>
      <w:r>
        <w:lastRenderedPageBreak/>
        <w:t>Introduction</w:t>
      </w:r>
      <w:bookmarkEnd w:id="0"/>
      <w:r>
        <w:t xml:space="preserve"> </w:t>
      </w:r>
    </w:p>
    <w:p w14:paraId="7D4DA880" w14:textId="77777777" w:rsidR="001215CC" w:rsidRDefault="00000000">
      <w:r>
        <w:t xml:space="preserve">The report aims to critically outline the proposed meeting to the relevant strategic planning and delivery of the meeting with the consideration of the focus on theoretical and practical issues. The event “Year of Croeso”, offers a platform which is welcoming and inclusive for all of the young people to propose different bold and practical solutions to today’s sustainability situations. Swansea Waterfront is the location where the event will be developed which is deeply symbolic of regeneration and renewal. In the report, the event cycle will be focused on and after that, the event concept and itinerary will be focused on. After that in the report, the aim and objective of the event will be developed and analysed. Also, event management, event budget, industry trends and situational analysis will be focused on in the report. </w:t>
      </w:r>
    </w:p>
    <w:p w14:paraId="27463DD3" w14:textId="77777777" w:rsidR="001215CC" w:rsidRDefault="00000000">
      <w:pPr>
        <w:pStyle w:val="Heading1"/>
      </w:pPr>
      <w:bookmarkStart w:id="1" w:name="_Toc199191152"/>
      <w:r>
        <w:t>The Event Cycle</w:t>
      </w:r>
      <w:bookmarkEnd w:id="1"/>
    </w:p>
    <w:p w14:paraId="4CBE7CED" w14:textId="77777777" w:rsidR="001215CC" w:rsidRDefault="00000000">
      <w:r>
        <w:t xml:space="preserve">According to Fox, D. et al. (2014), the event cycle is a model that is structured and outlines the key stages of the event and the life of an event which includes its initial concept to its long-term legacy for the event. It includes a framework for planning, managing, and evaluating events successfully for systematic and effective management of the event. In the event cycle, there are four main phases which include planning, development, delivery and evaluation. </w:t>
      </w:r>
    </w:p>
    <w:p w14:paraId="42CB6F8E" w14:textId="543D4E06" w:rsidR="001215CC" w:rsidRDefault="00000000">
      <w:r>
        <w:t>Planning: Getz and Page (2019) explained that the planning part of the event includes the development of the objectives, stakeholders and strategic alignment for the event development and management. In this event Year of Croeso, young people are focused on developing and presenting sustainable solutions for the environment of Wales. The event is going to collaborate with schools, universities, different local authorities, NGOs and Visit Wales to ensure support for the event. And developing the involvement of young people from different areas so that the event becomes successful.</w:t>
      </w:r>
      <w:r w:rsidR="00145092">
        <w:t xml:space="preserve"> </w:t>
      </w:r>
    </w:p>
    <w:p w14:paraId="1183842A" w14:textId="77777777" w:rsidR="001215CC" w:rsidRDefault="00000000">
      <w:r>
        <w:t>Development: Meredith (2022) argued that the development part of the event cycle includes the designing of the program, confirmation of partnerships and speak, logistics and team coordination and training staff and volunteers. In this event of Year of Croeso, the program has been designed by focusing on Co-developed with young people along with the agenda which has included solution showcases with the help of expert panels, workshops and different interactive exhibitions.</w:t>
      </w:r>
    </w:p>
    <w:p w14:paraId="7D71F01C" w14:textId="77777777" w:rsidR="001215CC" w:rsidRDefault="00000000">
      <w:r>
        <w:lastRenderedPageBreak/>
        <w:t xml:space="preserve">Delivery: In the delivery part, execution of the event along with different on-site operations such as registration, stage management, and tech support are usually focused on. After that audience and participant engagement are ensured. And while delivering, crisis management is a must (O’Toole, 2011). </w:t>
      </w:r>
    </w:p>
    <w:p w14:paraId="17154C7F" w14:textId="77777777" w:rsidR="001215CC" w:rsidRDefault="00000000">
      <w:r>
        <w:t xml:space="preserve">Evaluation: Rogers, T. Wynn-Moylan, P (2022) developed the idea for the evaluation gathering feedback from participants and stakeholders is important. Also, measuring the success against the objectives of the event is important and that leads to reporting outcomes and impact. For the event of Year of Croeso, youth empowerment and co-creation are important. As part of the event cycle, all of the developments need to be identified and implemented in the new event development process. </w:t>
      </w:r>
    </w:p>
    <w:p w14:paraId="27247463" w14:textId="77777777" w:rsidR="001215CC" w:rsidRDefault="00000000">
      <w:pPr>
        <w:pStyle w:val="Heading1"/>
      </w:pPr>
      <w:bookmarkStart w:id="2" w:name="_Toc199191153"/>
      <w:r>
        <w:t>Event Concept and Itinerary</w:t>
      </w:r>
      <w:bookmarkEnd w:id="2"/>
    </w:p>
    <w:p w14:paraId="3C91C20C" w14:textId="77777777" w:rsidR="001215CC" w:rsidRDefault="00000000">
      <w:r>
        <w:t>The event of Year of Croeso, which is going to be developed for one-day is a vibrant and youth-led experience which is going to be designed to spotlight sustainable innovation and community resilience (Smith, 2012). Young people from across Wales are going to be invited to present creative solutions to different environmental and social challenges along with participation in interactive workshops which will be connected with sustainability leaders and change makers (</w:t>
      </w:r>
      <w:r>
        <w:rPr>
          <w:color w:val="222222"/>
          <w:highlight w:val="white"/>
        </w:rPr>
        <w:t>Bowdin et al., 2023)</w:t>
      </w:r>
      <w:r>
        <w:t>.</w:t>
      </w:r>
    </w:p>
    <w:p w14:paraId="3ECE1629" w14:textId="77777777" w:rsidR="001215CC" w:rsidRDefault="00000000">
      <w:r>
        <w:t>Event Itinerary:</w:t>
      </w:r>
    </w:p>
    <w:p w14:paraId="0334E788" w14:textId="77777777" w:rsidR="001215CC" w:rsidRDefault="00000000">
      <w:r>
        <w:t xml:space="preserve">A sample event itinerary has been developed in the report like, </w:t>
      </w:r>
    </w:p>
    <w:tbl>
      <w:tblPr>
        <w:tblStyle w:val="a"/>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11"/>
        <w:gridCol w:w="2863"/>
        <w:gridCol w:w="5276"/>
      </w:tblGrid>
      <w:tr w:rsidR="001215CC" w14:paraId="556AAB0D" w14:textId="77777777" w:rsidTr="001215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1FA30E92" w14:textId="77777777" w:rsidR="001215CC" w:rsidRDefault="00000000">
            <w:pPr>
              <w:jc w:val="center"/>
            </w:pPr>
            <w:r>
              <w:t>Time</w:t>
            </w:r>
          </w:p>
        </w:tc>
        <w:tc>
          <w:tcPr>
            <w:tcW w:w="2863" w:type="dxa"/>
          </w:tcPr>
          <w:p w14:paraId="4D72B96D" w14:textId="77777777" w:rsidR="001215CC" w:rsidRDefault="00000000">
            <w:pPr>
              <w:jc w:val="center"/>
              <w:cnfStyle w:val="100000000000" w:firstRow="1" w:lastRow="0" w:firstColumn="0" w:lastColumn="0" w:oddVBand="0" w:evenVBand="0" w:oddHBand="0" w:evenHBand="0" w:firstRowFirstColumn="0" w:firstRowLastColumn="0" w:lastRowFirstColumn="0" w:lastRowLastColumn="0"/>
            </w:pPr>
            <w:r>
              <w:t>Activity</w:t>
            </w:r>
          </w:p>
        </w:tc>
        <w:tc>
          <w:tcPr>
            <w:tcW w:w="5276" w:type="dxa"/>
          </w:tcPr>
          <w:p w14:paraId="454078E4" w14:textId="77777777" w:rsidR="001215CC" w:rsidRDefault="00000000">
            <w:pPr>
              <w:jc w:val="center"/>
              <w:cnfStyle w:val="100000000000" w:firstRow="1" w:lastRow="0" w:firstColumn="0" w:lastColumn="0" w:oddVBand="0" w:evenVBand="0" w:oddHBand="0" w:evenHBand="0" w:firstRowFirstColumn="0" w:firstRowLastColumn="0" w:lastRowFirstColumn="0" w:lastRowLastColumn="0"/>
            </w:pPr>
            <w:r>
              <w:t>Location/Notes</w:t>
            </w:r>
          </w:p>
        </w:tc>
      </w:tr>
      <w:tr w:rsidR="001215CC" w14:paraId="2CEB6A06" w14:textId="77777777" w:rsidTr="00121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783104F6" w14:textId="77777777" w:rsidR="001215CC" w:rsidRDefault="00000000">
            <w:pPr>
              <w:jc w:val="left"/>
            </w:pPr>
            <w:r>
              <w:rPr>
                <w:b w:val="0"/>
              </w:rPr>
              <w:t>09:00 – 09:30</w:t>
            </w:r>
          </w:p>
        </w:tc>
        <w:tc>
          <w:tcPr>
            <w:tcW w:w="2863" w:type="dxa"/>
          </w:tcPr>
          <w:p w14:paraId="0B983925"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Registration &amp; Welcome Reception</w:t>
            </w:r>
          </w:p>
        </w:tc>
        <w:tc>
          <w:tcPr>
            <w:tcW w:w="5276" w:type="dxa"/>
          </w:tcPr>
          <w:p w14:paraId="69D509F2"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Eco-friendly welcome packs; music by local youth</w:t>
            </w:r>
          </w:p>
        </w:tc>
      </w:tr>
      <w:tr w:rsidR="001215CC" w14:paraId="54CD300E" w14:textId="77777777" w:rsidTr="001215CC">
        <w:tc>
          <w:tcPr>
            <w:cnfStyle w:val="001000000000" w:firstRow="0" w:lastRow="0" w:firstColumn="1" w:lastColumn="0" w:oddVBand="0" w:evenVBand="0" w:oddHBand="0" w:evenHBand="0" w:firstRowFirstColumn="0" w:firstRowLastColumn="0" w:lastRowFirstColumn="0" w:lastRowLastColumn="0"/>
            <w:tcW w:w="1211" w:type="dxa"/>
          </w:tcPr>
          <w:p w14:paraId="5E4F2B3D" w14:textId="77777777" w:rsidR="001215CC" w:rsidRDefault="00000000">
            <w:pPr>
              <w:jc w:val="left"/>
            </w:pPr>
            <w:r>
              <w:rPr>
                <w:b w:val="0"/>
              </w:rPr>
              <w:t>09:30 – 10:00</w:t>
            </w:r>
          </w:p>
        </w:tc>
        <w:tc>
          <w:tcPr>
            <w:tcW w:w="2863" w:type="dxa"/>
          </w:tcPr>
          <w:p w14:paraId="1E3AB2CE"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Opening Ceremony</w:t>
            </w:r>
          </w:p>
        </w:tc>
        <w:tc>
          <w:tcPr>
            <w:tcW w:w="5276" w:type="dxa"/>
          </w:tcPr>
          <w:p w14:paraId="4CEA550A"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Speeches by youth leaders &amp; community figures</w:t>
            </w:r>
          </w:p>
        </w:tc>
      </w:tr>
      <w:tr w:rsidR="001215CC" w14:paraId="38B2CA31" w14:textId="77777777" w:rsidTr="00121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5EB9779B" w14:textId="77777777" w:rsidR="001215CC" w:rsidRDefault="00000000">
            <w:pPr>
              <w:jc w:val="left"/>
            </w:pPr>
            <w:r>
              <w:rPr>
                <w:b w:val="0"/>
              </w:rPr>
              <w:t>10:00 – 12:00</w:t>
            </w:r>
          </w:p>
        </w:tc>
        <w:tc>
          <w:tcPr>
            <w:tcW w:w="2863" w:type="dxa"/>
          </w:tcPr>
          <w:p w14:paraId="0C2E4C14"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Student-Led Exhibitions</w:t>
            </w:r>
          </w:p>
        </w:tc>
        <w:tc>
          <w:tcPr>
            <w:tcW w:w="5276" w:type="dxa"/>
          </w:tcPr>
          <w:p w14:paraId="67295BC7"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Displays of sustainable projects, innovations, and prototypes</w:t>
            </w:r>
          </w:p>
        </w:tc>
      </w:tr>
      <w:tr w:rsidR="001215CC" w14:paraId="2D12DCA0" w14:textId="77777777" w:rsidTr="001215CC">
        <w:tc>
          <w:tcPr>
            <w:cnfStyle w:val="001000000000" w:firstRow="0" w:lastRow="0" w:firstColumn="1" w:lastColumn="0" w:oddVBand="0" w:evenVBand="0" w:oddHBand="0" w:evenHBand="0" w:firstRowFirstColumn="0" w:firstRowLastColumn="0" w:lastRowFirstColumn="0" w:lastRowLastColumn="0"/>
            <w:tcW w:w="1211" w:type="dxa"/>
          </w:tcPr>
          <w:p w14:paraId="3E039F08" w14:textId="77777777" w:rsidR="001215CC" w:rsidRDefault="00000000">
            <w:pPr>
              <w:jc w:val="left"/>
            </w:pPr>
            <w:r>
              <w:rPr>
                <w:b w:val="0"/>
              </w:rPr>
              <w:t>10:30 – 12:00</w:t>
            </w:r>
          </w:p>
        </w:tc>
        <w:tc>
          <w:tcPr>
            <w:tcW w:w="2863" w:type="dxa"/>
          </w:tcPr>
          <w:p w14:paraId="2BF8B898"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Workshops (Round 1)</w:t>
            </w:r>
          </w:p>
        </w:tc>
        <w:tc>
          <w:tcPr>
            <w:tcW w:w="5276" w:type="dxa"/>
          </w:tcPr>
          <w:p w14:paraId="7FCE6C04"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Topics include climate action, circular economy, and digital sustainability.</w:t>
            </w:r>
          </w:p>
        </w:tc>
      </w:tr>
      <w:tr w:rsidR="001215CC" w14:paraId="3219922C" w14:textId="77777777" w:rsidTr="00121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47A6B3AD" w14:textId="77777777" w:rsidR="001215CC" w:rsidRDefault="00000000">
            <w:pPr>
              <w:jc w:val="left"/>
            </w:pPr>
            <w:r>
              <w:rPr>
                <w:b w:val="0"/>
              </w:rPr>
              <w:t>12:00 – 13:00</w:t>
            </w:r>
          </w:p>
        </w:tc>
        <w:tc>
          <w:tcPr>
            <w:tcW w:w="2863" w:type="dxa"/>
          </w:tcPr>
          <w:p w14:paraId="6147CD9C"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Lunch &amp; Networking</w:t>
            </w:r>
          </w:p>
        </w:tc>
        <w:tc>
          <w:tcPr>
            <w:tcW w:w="5276" w:type="dxa"/>
          </w:tcPr>
          <w:p w14:paraId="1AA7CABE"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Locally sourced, low-waste catering options</w:t>
            </w:r>
          </w:p>
        </w:tc>
      </w:tr>
      <w:tr w:rsidR="001215CC" w14:paraId="24505E5B" w14:textId="77777777" w:rsidTr="001215CC">
        <w:tc>
          <w:tcPr>
            <w:cnfStyle w:val="001000000000" w:firstRow="0" w:lastRow="0" w:firstColumn="1" w:lastColumn="0" w:oddVBand="0" w:evenVBand="0" w:oddHBand="0" w:evenHBand="0" w:firstRowFirstColumn="0" w:firstRowLastColumn="0" w:lastRowFirstColumn="0" w:lastRowLastColumn="0"/>
            <w:tcW w:w="1211" w:type="dxa"/>
          </w:tcPr>
          <w:p w14:paraId="1A096FD6" w14:textId="77777777" w:rsidR="001215CC" w:rsidRDefault="00000000">
            <w:pPr>
              <w:jc w:val="left"/>
            </w:pPr>
            <w:r>
              <w:rPr>
                <w:b w:val="0"/>
              </w:rPr>
              <w:t>13:00 – 14:30</w:t>
            </w:r>
          </w:p>
        </w:tc>
        <w:tc>
          <w:tcPr>
            <w:tcW w:w="2863" w:type="dxa"/>
          </w:tcPr>
          <w:p w14:paraId="77143403"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Youth Presentations</w:t>
            </w:r>
          </w:p>
        </w:tc>
        <w:tc>
          <w:tcPr>
            <w:tcW w:w="5276" w:type="dxa"/>
          </w:tcPr>
          <w:p w14:paraId="5D1C5E09"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Short pitches from student teams on sustainability solutions (</w:t>
            </w:r>
            <w:r>
              <w:rPr>
                <w:color w:val="222222"/>
                <w:highlight w:val="white"/>
              </w:rPr>
              <w:t>Mistry et al., 2024)</w:t>
            </w:r>
          </w:p>
        </w:tc>
      </w:tr>
      <w:tr w:rsidR="001215CC" w14:paraId="3B423663" w14:textId="77777777" w:rsidTr="00121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3A408FCB" w14:textId="77777777" w:rsidR="001215CC" w:rsidRDefault="00000000">
            <w:pPr>
              <w:jc w:val="left"/>
            </w:pPr>
            <w:r>
              <w:rPr>
                <w:b w:val="0"/>
              </w:rPr>
              <w:lastRenderedPageBreak/>
              <w:t>14:30 – 15:00</w:t>
            </w:r>
          </w:p>
        </w:tc>
        <w:tc>
          <w:tcPr>
            <w:tcW w:w="2863" w:type="dxa"/>
          </w:tcPr>
          <w:p w14:paraId="59D92434"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Guest Speaker Session</w:t>
            </w:r>
          </w:p>
        </w:tc>
        <w:tc>
          <w:tcPr>
            <w:tcW w:w="5276" w:type="dxa"/>
          </w:tcPr>
          <w:p w14:paraId="7A4EC756"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Inspirational talk from a sustainability expert or Welsh innovator</w:t>
            </w:r>
          </w:p>
        </w:tc>
      </w:tr>
      <w:tr w:rsidR="001215CC" w14:paraId="1B319516" w14:textId="77777777" w:rsidTr="001215CC">
        <w:tc>
          <w:tcPr>
            <w:cnfStyle w:val="001000000000" w:firstRow="0" w:lastRow="0" w:firstColumn="1" w:lastColumn="0" w:oddVBand="0" w:evenVBand="0" w:oddHBand="0" w:evenHBand="0" w:firstRowFirstColumn="0" w:firstRowLastColumn="0" w:lastRowFirstColumn="0" w:lastRowLastColumn="0"/>
            <w:tcW w:w="1211" w:type="dxa"/>
          </w:tcPr>
          <w:p w14:paraId="762D4F73" w14:textId="77777777" w:rsidR="001215CC" w:rsidRDefault="00000000">
            <w:pPr>
              <w:jc w:val="left"/>
            </w:pPr>
            <w:r>
              <w:rPr>
                <w:b w:val="0"/>
              </w:rPr>
              <w:t>15:00 – 16:00</w:t>
            </w:r>
          </w:p>
        </w:tc>
        <w:tc>
          <w:tcPr>
            <w:tcW w:w="2863" w:type="dxa"/>
          </w:tcPr>
          <w:p w14:paraId="434DE6AA"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Creative Engagement Activities</w:t>
            </w:r>
          </w:p>
        </w:tc>
        <w:tc>
          <w:tcPr>
            <w:tcW w:w="5276" w:type="dxa"/>
          </w:tcPr>
          <w:p w14:paraId="1E96D337"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Art installations, eco-poetry, digital storytelling booths</w:t>
            </w:r>
          </w:p>
        </w:tc>
      </w:tr>
      <w:tr w:rsidR="001215CC" w14:paraId="5F02FDB0" w14:textId="77777777" w:rsidTr="00121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1" w:type="dxa"/>
          </w:tcPr>
          <w:p w14:paraId="583137FF" w14:textId="77777777" w:rsidR="001215CC" w:rsidRDefault="00000000">
            <w:pPr>
              <w:jc w:val="left"/>
            </w:pPr>
            <w:r>
              <w:rPr>
                <w:b w:val="0"/>
              </w:rPr>
              <w:t>16:00 – 16:45</w:t>
            </w:r>
          </w:p>
        </w:tc>
        <w:tc>
          <w:tcPr>
            <w:tcW w:w="2863" w:type="dxa"/>
          </w:tcPr>
          <w:p w14:paraId="733E04A8"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Award Ceremony &amp; Closing Remarks</w:t>
            </w:r>
          </w:p>
        </w:tc>
        <w:tc>
          <w:tcPr>
            <w:tcW w:w="5276" w:type="dxa"/>
          </w:tcPr>
          <w:p w14:paraId="2D4584C3" w14:textId="77777777" w:rsidR="001215CC" w:rsidRDefault="00000000">
            <w:pPr>
              <w:jc w:val="left"/>
              <w:cnfStyle w:val="000000100000" w:firstRow="0" w:lastRow="0" w:firstColumn="0" w:lastColumn="0" w:oddVBand="0" w:evenVBand="0" w:oddHBand="1" w:evenHBand="0" w:firstRowFirstColumn="0" w:firstRowLastColumn="0" w:lastRowFirstColumn="0" w:lastRowLastColumn="0"/>
            </w:pPr>
            <w:r>
              <w:t>Recognising outstanding youth contributions</w:t>
            </w:r>
          </w:p>
        </w:tc>
      </w:tr>
      <w:tr w:rsidR="001215CC" w14:paraId="4AD7D079" w14:textId="77777777" w:rsidTr="001215CC">
        <w:tc>
          <w:tcPr>
            <w:cnfStyle w:val="001000000000" w:firstRow="0" w:lastRow="0" w:firstColumn="1" w:lastColumn="0" w:oddVBand="0" w:evenVBand="0" w:oddHBand="0" w:evenHBand="0" w:firstRowFirstColumn="0" w:firstRowLastColumn="0" w:lastRowFirstColumn="0" w:lastRowLastColumn="0"/>
            <w:tcW w:w="1211" w:type="dxa"/>
          </w:tcPr>
          <w:p w14:paraId="10CB2268" w14:textId="77777777" w:rsidR="001215CC" w:rsidRDefault="00000000">
            <w:pPr>
              <w:jc w:val="left"/>
            </w:pPr>
            <w:r>
              <w:rPr>
                <w:b w:val="0"/>
              </w:rPr>
              <w:t>16:45 – 17:00</w:t>
            </w:r>
          </w:p>
        </w:tc>
        <w:tc>
          <w:tcPr>
            <w:tcW w:w="2863" w:type="dxa"/>
          </w:tcPr>
          <w:p w14:paraId="5BF39E9C"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Reflection &amp; Legacy Wall</w:t>
            </w:r>
          </w:p>
        </w:tc>
        <w:tc>
          <w:tcPr>
            <w:tcW w:w="5276" w:type="dxa"/>
          </w:tcPr>
          <w:p w14:paraId="2C18B4AB" w14:textId="77777777" w:rsidR="001215CC" w:rsidRDefault="00000000">
            <w:pPr>
              <w:jc w:val="left"/>
              <w:cnfStyle w:val="000000000000" w:firstRow="0" w:lastRow="0" w:firstColumn="0" w:lastColumn="0" w:oddVBand="0" w:evenVBand="0" w:oddHBand="0" w:evenHBand="0" w:firstRowFirstColumn="0" w:firstRowLastColumn="0" w:lastRowFirstColumn="0" w:lastRowLastColumn="0"/>
            </w:pPr>
            <w:r>
              <w:t>Participants share commitments &amp; feedback</w:t>
            </w:r>
          </w:p>
        </w:tc>
      </w:tr>
    </w:tbl>
    <w:p w14:paraId="54658F51" w14:textId="77777777" w:rsidR="001215CC" w:rsidRDefault="001215CC"/>
    <w:p w14:paraId="5737FCB4" w14:textId="77777777" w:rsidR="001215CC" w:rsidRDefault="00000000">
      <w:r>
        <w:t xml:space="preserve">Creative Engagement and Sustainability Themes: According to </w:t>
      </w:r>
      <w:r>
        <w:rPr>
          <w:color w:val="222222"/>
          <w:highlight w:val="white"/>
        </w:rPr>
        <w:t>Bezas and Filippidou (2023), a</w:t>
      </w:r>
      <w:r>
        <w:t xml:space="preserve">s the creative engagement and sustainability themes, the event will be developed focusing on creativity which will include sustainability art zone, storytelling for change, youth commitment tree etc. activities which will serve the objective of the event. </w:t>
      </w:r>
    </w:p>
    <w:p w14:paraId="19E65CE9" w14:textId="77777777" w:rsidR="001215CC" w:rsidRDefault="00000000">
      <w:pPr>
        <w:pStyle w:val="Heading1"/>
      </w:pPr>
      <w:bookmarkStart w:id="3" w:name="_Toc199191154"/>
      <w:r>
        <w:t>Aim and Objectives</w:t>
      </w:r>
      <w:bookmarkEnd w:id="3"/>
      <w:r>
        <w:t xml:space="preserve"> </w:t>
      </w:r>
    </w:p>
    <w:p w14:paraId="3587101E" w14:textId="77777777" w:rsidR="001215CC" w:rsidRDefault="00000000">
      <w:r>
        <w:t>Aim: The aim of the event is “To empower young people who will actively contribute to sustainable environmental solutions by developing their creativity, collaboration and innovation.”</w:t>
      </w:r>
    </w:p>
    <w:p w14:paraId="19820E97" w14:textId="77777777" w:rsidR="001215CC" w:rsidRDefault="00000000">
      <w:r>
        <w:t>SMART Objectives:</w:t>
      </w:r>
    </w:p>
    <w:p w14:paraId="2D767978" w14:textId="77777777" w:rsidR="001215CC" w:rsidRDefault="00000000">
      <w:pPr>
        <w:numPr>
          <w:ilvl w:val="0"/>
          <w:numId w:val="1"/>
        </w:numPr>
        <w:pBdr>
          <w:top w:val="nil"/>
          <w:left w:val="nil"/>
          <w:bottom w:val="nil"/>
          <w:right w:val="nil"/>
          <w:between w:val="nil"/>
        </w:pBdr>
        <w:spacing w:after="0"/>
      </w:pPr>
      <w:r>
        <w:rPr>
          <w:color w:val="000000"/>
        </w:rPr>
        <w:t>Engaging at least 150 young participants from across Wales in a full-day event which will include exhibitions, workshops etc.</w:t>
      </w:r>
    </w:p>
    <w:p w14:paraId="351EB66E" w14:textId="77777777" w:rsidR="001215CC" w:rsidRDefault="00000000">
      <w:pPr>
        <w:numPr>
          <w:ilvl w:val="0"/>
          <w:numId w:val="1"/>
        </w:numPr>
        <w:pBdr>
          <w:top w:val="nil"/>
          <w:left w:val="nil"/>
          <w:bottom w:val="nil"/>
          <w:right w:val="nil"/>
          <w:between w:val="nil"/>
        </w:pBdr>
        <w:spacing w:after="0"/>
      </w:pPr>
      <w:r>
        <w:rPr>
          <w:color w:val="000000"/>
        </w:rPr>
        <w:t>Developing at least 30 youth-led sustainability projects which will help to develop the sustainability of Wales on the event day.</w:t>
      </w:r>
    </w:p>
    <w:p w14:paraId="76495886" w14:textId="77777777" w:rsidR="001215CC" w:rsidRDefault="00000000">
      <w:pPr>
        <w:numPr>
          <w:ilvl w:val="0"/>
          <w:numId w:val="1"/>
        </w:numPr>
        <w:pBdr>
          <w:top w:val="nil"/>
          <w:left w:val="nil"/>
          <w:bottom w:val="nil"/>
          <w:right w:val="nil"/>
          <w:between w:val="nil"/>
        </w:pBdr>
      </w:pPr>
      <w:r>
        <w:rPr>
          <w:color w:val="000000"/>
        </w:rPr>
        <w:t>Developing at least 10 strategic partnerships with different schools, universities, NGOs and public organisations which will support ongoing engagement and legacy initiatives for at least 1 year.</w:t>
      </w:r>
    </w:p>
    <w:p w14:paraId="76D60037" w14:textId="77777777" w:rsidR="001215CC" w:rsidRDefault="00000000">
      <w:r>
        <w:t xml:space="preserve">Connection to the Year of Croeso Themes: According to </w:t>
      </w:r>
      <w:r>
        <w:rPr>
          <w:color w:val="222222"/>
          <w:highlight w:val="white"/>
        </w:rPr>
        <w:t>Talele et al. (2023), t</w:t>
      </w:r>
      <w:r>
        <w:t>he event is going to showcase fresh, youth-led solutions to environmental issues and celebrate creative thinking and future-focused problem-solving. The event is going to welcome an inclusive space where diverse voices are invited for participation and co-creation which will reflect the openness and hospitality of Welsh culture.  The event is going to be held at Swansea Waterfront which is a regenerated and symbolic location for the event and the event is going to connect young people to Wales’ evolving identity which is rooted in heritage but is driven by a sustainable future.</w:t>
      </w:r>
    </w:p>
    <w:p w14:paraId="0AD341C8" w14:textId="77777777" w:rsidR="001215CC" w:rsidRDefault="00000000">
      <w:pPr>
        <w:pStyle w:val="Heading1"/>
      </w:pPr>
      <w:bookmarkStart w:id="4" w:name="_Toc199191155"/>
      <w:r>
        <w:lastRenderedPageBreak/>
        <w:t>Event Management</w:t>
      </w:r>
      <w:bookmarkEnd w:id="4"/>
      <w:r>
        <w:t xml:space="preserve"> </w:t>
      </w:r>
    </w:p>
    <w:p w14:paraId="658F5C9D" w14:textId="77777777" w:rsidR="001215CC" w:rsidRDefault="00000000">
      <w:r>
        <w:t xml:space="preserve">Operational Planning: According to </w:t>
      </w:r>
      <w:r>
        <w:rPr>
          <w:color w:val="222222"/>
          <w:highlight w:val="white"/>
        </w:rPr>
        <w:t>Adhikari and Shrestha (2023), a</w:t>
      </w:r>
      <w:r>
        <w:t>s the logistics the venue of the event has been selected as Swansea Waterfront for the accessibility, public transport links and symbolic regeneration value. The space will be divided into exhibition zones along with workshop areas and there will be a main stage, creative zones and quiet/wellness areas. For the staffing, the core event team will include a logistics manager and under them, there will be a youth engagement lead, sustainability officer and volunteers. For the volunteers, young people will be preferred as well. There will be a professional audio-visual setup for main stage presentations along with livestreaming and digital exhibits. All of the areas of the event will be accessible to the people as well.</w:t>
      </w:r>
    </w:p>
    <w:p w14:paraId="47E0CD66" w14:textId="77777777" w:rsidR="001215CC" w:rsidRDefault="00000000">
      <w:r>
        <w:t>Marketing Strategies: for the marketing strategy social media and partnerships with schools/universities will be focused on so that people acknowledge the event and attend to the event. For different social media platforms short video content will be developed along with countdowns and behind-the-scenes reels to build excitement. For the promotion Facebook, Instagram, X, and LinkedIn will be focused on as well. The event will focus on collaborations with schools, colleges and universities as well to recruit participants and showcase all of the student work as well (</w:t>
      </w:r>
      <w:r>
        <w:rPr>
          <w:color w:val="222222"/>
          <w:highlight w:val="white"/>
        </w:rPr>
        <w:t>Li et al., 2024)</w:t>
      </w:r>
      <w:r>
        <w:t>.</w:t>
      </w:r>
    </w:p>
    <w:p w14:paraId="16349E25" w14:textId="68E70C20" w:rsidR="001215CC" w:rsidRDefault="00000000">
      <w:r>
        <w:t xml:space="preserve">Safety Considerations: </w:t>
      </w:r>
      <w:r>
        <w:rPr>
          <w:color w:val="222222"/>
          <w:highlight w:val="white"/>
        </w:rPr>
        <w:t>Arikawe et al. (2024) explained that f</w:t>
      </w:r>
      <w:r>
        <w:t>or safety considerations, young attendees, permissions and welfare activities will be focused on. As the event is focusing on young adults all of the people under the age of 18 will need the consent of parents so that safety can be assured. Also, there will be a marked Wellbeing Zone for the attendees with support staff, quiet space and hydration stations so that for any needs they can access that place. All of the photography, video and live streaming will be done after getting permission from the people.</w:t>
      </w:r>
    </w:p>
    <w:p w14:paraId="7BA3ADFB" w14:textId="36C00D1D" w:rsidR="001215CC" w:rsidRDefault="00000000">
      <w:r>
        <w:t xml:space="preserve">Sustainability Measures: In the event, that there will be no use of plastics sustainability practices can be focused on. Also, local and plant-based catering will be focused on in the event as well. </w:t>
      </w:r>
      <w:r w:rsidR="00145092">
        <w:t>Also,</w:t>
      </w:r>
      <w:r>
        <w:t xml:space="preserve"> for sustainability, there will be a policy to reduce the waste so that people are aware of the waste and the event can ensure zero waste in the event (</w:t>
      </w:r>
      <w:r>
        <w:rPr>
          <w:color w:val="222222"/>
          <w:highlight w:val="white"/>
        </w:rPr>
        <w:t>Richards et al., 2025)</w:t>
      </w:r>
      <w:r>
        <w:t>.</w:t>
      </w:r>
    </w:p>
    <w:p w14:paraId="51566D65" w14:textId="77777777" w:rsidR="001215CC" w:rsidRDefault="00000000">
      <w:pPr>
        <w:pStyle w:val="Heading1"/>
      </w:pPr>
      <w:bookmarkStart w:id="5" w:name="_Toc199191156"/>
      <w:r>
        <w:lastRenderedPageBreak/>
        <w:t>Event Budge</w:t>
      </w:r>
      <w:bookmarkEnd w:id="5"/>
    </w:p>
    <w:p w14:paraId="7BAF953A" w14:textId="77777777" w:rsidR="001215CC" w:rsidRDefault="00000000">
      <w:r>
        <w:t xml:space="preserve">According to </w:t>
      </w:r>
      <w:r>
        <w:rPr>
          <w:color w:val="222222"/>
          <w:highlight w:val="white"/>
        </w:rPr>
        <w:t>Calver</w:t>
      </w:r>
      <w:r>
        <w:t xml:space="preserve"> et al. (2025), the event budget section requires the estimated income and expense of the event so that it can be understood if the event is able to develop the event without any financial loss and if the event has successfully caught the attention of the people.</w:t>
      </w:r>
    </w:p>
    <w:p w14:paraId="19FCD499" w14:textId="77777777" w:rsidR="001215CC" w:rsidRDefault="00000000">
      <w:r>
        <w:t xml:space="preserve">Estimated Income: </w:t>
      </w:r>
    </w:p>
    <w:tbl>
      <w:tblPr>
        <w:tblStyle w:val="a0"/>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675"/>
        <w:gridCol w:w="4675"/>
      </w:tblGrid>
      <w:tr w:rsidR="001215CC" w14:paraId="36E09109" w14:textId="77777777" w:rsidTr="001215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374B53F" w14:textId="77777777" w:rsidR="001215CC" w:rsidRDefault="00000000">
            <w:pPr>
              <w:tabs>
                <w:tab w:val="left" w:pos="1170"/>
                <w:tab w:val="center" w:pos="2229"/>
              </w:tabs>
              <w:jc w:val="left"/>
            </w:pPr>
            <w:r>
              <w:tab/>
            </w:r>
            <w:r>
              <w:tab/>
              <w:t>Income source</w:t>
            </w:r>
          </w:p>
        </w:tc>
        <w:tc>
          <w:tcPr>
            <w:tcW w:w="4675" w:type="dxa"/>
          </w:tcPr>
          <w:p w14:paraId="7F59E62F" w14:textId="77777777" w:rsidR="001215CC" w:rsidRDefault="00000000">
            <w:pPr>
              <w:jc w:val="center"/>
              <w:cnfStyle w:val="100000000000" w:firstRow="1" w:lastRow="0" w:firstColumn="0" w:lastColumn="0" w:oddVBand="0" w:evenVBand="0" w:oddHBand="0" w:evenHBand="0" w:firstRowFirstColumn="0" w:firstRowLastColumn="0" w:lastRowFirstColumn="0" w:lastRowLastColumn="0"/>
            </w:pPr>
            <w:r>
              <w:t>Amount (£)</w:t>
            </w:r>
          </w:p>
        </w:tc>
      </w:tr>
      <w:tr w:rsidR="001215CC" w14:paraId="0D50A594" w14:textId="77777777" w:rsidTr="00121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028D8C4" w14:textId="77777777" w:rsidR="001215CC" w:rsidRDefault="00000000">
            <w:r>
              <w:rPr>
                <w:b w:val="0"/>
              </w:rPr>
              <w:t xml:space="preserve">Welsh Government </w:t>
            </w:r>
          </w:p>
        </w:tc>
        <w:tc>
          <w:tcPr>
            <w:tcW w:w="4675" w:type="dxa"/>
          </w:tcPr>
          <w:p w14:paraId="1A10B085" w14:textId="77777777" w:rsidR="001215CC" w:rsidRDefault="00000000">
            <w:pPr>
              <w:cnfStyle w:val="000000100000" w:firstRow="0" w:lastRow="0" w:firstColumn="0" w:lastColumn="0" w:oddVBand="0" w:evenVBand="0" w:oddHBand="1" w:evenHBand="0" w:firstRowFirstColumn="0" w:firstRowLastColumn="0" w:lastRowFirstColumn="0" w:lastRowLastColumn="0"/>
            </w:pPr>
            <w:r>
              <w:t>£20000</w:t>
            </w:r>
          </w:p>
        </w:tc>
      </w:tr>
      <w:tr w:rsidR="001215CC" w14:paraId="1FAA6219" w14:textId="77777777" w:rsidTr="001215CC">
        <w:tc>
          <w:tcPr>
            <w:cnfStyle w:val="001000000000" w:firstRow="0" w:lastRow="0" w:firstColumn="1" w:lastColumn="0" w:oddVBand="0" w:evenVBand="0" w:oddHBand="0" w:evenHBand="0" w:firstRowFirstColumn="0" w:firstRowLastColumn="0" w:lastRowFirstColumn="0" w:lastRowLastColumn="0"/>
            <w:tcW w:w="4675" w:type="dxa"/>
          </w:tcPr>
          <w:p w14:paraId="69ECC846" w14:textId="77777777" w:rsidR="001215CC" w:rsidRDefault="00000000">
            <w:r>
              <w:rPr>
                <w:b w:val="0"/>
              </w:rPr>
              <w:t>Swansea Council</w:t>
            </w:r>
          </w:p>
        </w:tc>
        <w:tc>
          <w:tcPr>
            <w:tcW w:w="4675" w:type="dxa"/>
          </w:tcPr>
          <w:p w14:paraId="3BCC1765" w14:textId="77777777" w:rsidR="001215CC" w:rsidRDefault="00000000">
            <w:pPr>
              <w:cnfStyle w:val="000000000000" w:firstRow="0" w:lastRow="0" w:firstColumn="0" w:lastColumn="0" w:oddVBand="0" w:evenVBand="0" w:oddHBand="0" w:evenHBand="0" w:firstRowFirstColumn="0" w:firstRowLastColumn="0" w:lastRowFirstColumn="0" w:lastRowLastColumn="0"/>
            </w:pPr>
            <w:r>
              <w:t>£5000</w:t>
            </w:r>
          </w:p>
        </w:tc>
      </w:tr>
      <w:tr w:rsidR="001215CC" w14:paraId="5F035DD8" w14:textId="77777777" w:rsidTr="00121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6821BD7" w14:textId="77777777" w:rsidR="001215CC" w:rsidRDefault="00000000">
            <w:r>
              <w:rPr>
                <w:b w:val="0"/>
              </w:rPr>
              <w:t>NGO</w:t>
            </w:r>
          </w:p>
        </w:tc>
        <w:tc>
          <w:tcPr>
            <w:tcW w:w="4675" w:type="dxa"/>
          </w:tcPr>
          <w:p w14:paraId="2873013E" w14:textId="77777777" w:rsidR="001215CC" w:rsidRDefault="00000000">
            <w:pPr>
              <w:cnfStyle w:val="000000100000" w:firstRow="0" w:lastRow="0" w:firstColumn="0" w:lastColumn="0" w:oddVBand="0" w:evenVBand="0" w:oddHBand="1" w:evenHBand="0" w:firstRowFirstColumn="0" w:firstRowLastColumn="0" w:lastRowFirstColumn="0" w:lastRowLastColumn="0"/>
            </w:pPr>
            <w:r>
              <w:t>£5000</w:t>
            </w:r>
          </w:p>
        </w:tc>
      </w:tr>
      <w:tr w:rsidR="001215CC" w14:paraId="4EA9EA4E" w14:textId="77777777" w:rsidTr="001215CC">
        <w:tc>
          <w:tcPr>
            <w:cnfStyle w:val="001000000000" w:firstRow="0" w:lastRow="0" w:firstColumn="1" w:lastColumn="0" w:oddVBand="0" w:evenVBand="0" w:oddHBand="0" w:evenHBand="0" w:firstRowFirstColumn="0" w:firstRowLastColumn="0" w:lastRowFirstColumn="0" w:lastRowLastColumn="0"/>
            <w:tcW w:w="4675" w:type="dxa"/>
          </w:tcPr>
          <w:p w14:paraId="1F341BC3" w14:textId="77777777" w:rsidR="001215CC" w:rsidRDefault="00000000">
            <w:r>
              <w:rPr>
                <w:b w:val="0"/>
              </w:rPr>
              <w:t xml:space="preserve">Public Donation </w:t>
            </w:r>
          </w:p>
        </w:tc>
        <w:tc>
          <w:tcPr>
            <w:tcW w:w="4675" w:type="dxa"/>
          </w:tcPr>
          <w:p w14:paraId="2D19B7B8" w14:textId="77777777" w:rsidR="001215CC" w:rsidRDefault="00000000">
            <w:pPr>
              <w:cnfStyle w:val="000000000000" w:firstRow="0" w:lastRow="0" w:firstColumn="0" w:lastColumn="0" w:oddVBand="0" w:evenVBand="0" w:oddHBand="0" w:evenHBand="0" w:firstRowFirstColumn="0" w:firstRowLastColumn="0" w:lastRowFirstColumn="0" w:lastRowLastColumn="0"/>
            </w:pPr>
            <w:r>
              <w:t>£2000</w:t>
            </w:r>
          </w:p>
        </w:tc>
      </w:tr>
      <w:tr w:rsidR="001215CC" w14:paraId="392B711E" w14:textId="77777777" w:rsidTr="001215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78E91B8" w14:textId="77777777" w:rsidR="001215CC" w:rsidRDefault="00000000">
            <w:r>
              <w:rPr>
                <w:b w:val="0"/>
              </w:rPr>
              <w:t xml:space="preserve">Entry fees </w:t>
            </w:r>
          </w:p>
        </w:tc>
        <w:tc>
          <w:tcPr>
            <w:tcW w:w="4675" w:type="dxa"/>
          </w:tcPr>
          <w:p w14:paraId="63792273" w14:textId="77777777" w:rsidR="001215CC" w:rsidRDefault="00000000">
            <w:pPr>
              <w:cnfStyle w:val="000000100000" w:firstRow="0" w:lastRow="0" w:firstColumn="0" w:lastColumn="0" w:oddVBand="0" w:evenVBand="0" w:oddHBand="1" w:evenHBand="0" w:firstRowFirstColumn="0" w:firstRowLastColumn="0" w:lastRowFirstColumn="0" w:lastRowLastColumn="0"/>
            </w:pPr>
            <w:r>
              <w:t>£8000</w:t>
            </w:r>
          </w:p>
        </w:tc>
      </w:tr>
      <w:tr w:rsidR="001215CC" w14:paraId="0C6A1DBF" w14:textId="77777777" w:rsidTr="001215CC">
        <w:tc>
          <w:tcPr>
            <w:cnfStyle w:val="001000000000" w:firstRow="0" w:lastRow="0" w:firstColumn="1" w:lastColumn="0" w:oddVBand="0" w:evenVBand="0" w:oddHBand="0" w:evenHBand="0" w:firstRowFirstColumn="0" w:firstRowLastColumn="0" w:lastRowFirstColumn="0" w:lastRowLastColumn="0"/>
            <w:tcW w:w="4675" w:type="dxa"/>
          </w:tcPr>
          <w:p w14:paraId="529F4F7C" w14:textId="77777777" w:rsidR="001215CC" w:rsidRDefault="00000000">
            <w:r>
              <w:rPr>
                <w:b w:val="0"/>
              </w:rPr>
              <w:t>total</w:t>
            </w:r>
          </w:p>
        </w:tc>
        <w:tc>
          <w:tcPr>
            <w:tcW w:w="4675" w:type="dxa"/>
          </w:tcPr>
          <w:p w14:paraId="44B91BBE" w14:textId="77777777" w:rsidR="001215CC" w:rsidRDefault="00000000">
            <w:pPr>
              <w:cnfStyle w:val="000000000000" w:firstRow="0" w:lastRow="0" w:firstColumn="0" w:lastColumn="0" w:oddVBand="0" w:evenVBand="0" w:oddHBand="0" w:evenHBand="0" w:firstRowFirstColumn="0" w:firstRowLastColumn="0" w:lastRowFirstColumn="0" w:lastRowLastColumn="0"/>
            </w:pPr>
            <w:r>
              <w:t>£40000</w:t>
            </w:r>
          </w:p>
        </w:tc>
      </w:tr>
    </w:tbl>
    <w:p w14:paraId="5E03D412" w14:textId="77777777" w:rsidR="001215CC" w:rsidRDefault="001215CC"/>
    <w:p w14:paraId="53EB8C68" w14:textId="77777777" w:rsidR="001215CC" w:rsidRDefault="00000000">
      <w:r>
        <w:t xml:space="preserve">Estimated Expenditure: </w:t>
      </w:r>
    </w:p>
    <w:tbl>
      <w:tblPr>
        <w:tblStyle w:val="a1"/>
        <w:tblW w:w="937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7778"/>
        <w:gridCol w:w="1592"/>
      </w:tblGrid>
      <w:tr w:rsidR="001215CC" w14:paraId="5FB93ABF" w14:textId="77777777" w:rsidTr="001215CC">
        <w:trPr>
          <w:cnfStyle w:val="100000000000" w:firstRow="1" w:lastRow="0" w:firstColumn="0" w:lastColumn="0" w:oddVBand="0" w:evenVBand="0" w:oddHBand="0"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7778" w:type="dxa"/>
          </w:tcPr>
          <w:p w14:paraId="0E7651C5" w14:textId="77777777" w:rsidR="001215CC" w:rsidRDefault="00000000">
            <w:pPr>
              <w:jc w:val="center"/>
            </w:pPr>
            <w:r>
              <w:t>Expenditures</w:t>
            </w:r>
          </w:p>
        </w:tc>
        <w:tc>
          <w:tcPr>
            <w:tcW w:w="1592" w:type="dxa"/>
          </w:tcPr>
          <w:p w14:paraId="6C2B99D4" w14:textId="77777777" w:rsidR="001215CC" w:rsidRDefault="00000000">
            <w:pPr>
              <w:jc w:val="center"/>
              <w:cnfStyle w:val="100000000000" w:firstRow="1" w:lastRow="0" w:firstColumn="0" w:lastColumn="0" w:oddVBand="0" w:evenVBand="0" w:oddHBand="0" w:evenHBand="0" w:firstRowFirstColumn="0" w:firstRowLastColumn="0" w:lastRowFirstColumn="0" w:lastRowLastColumn="0"/>
            </w:pPr>
            <w:r>
              <w:t>Amount (£)</w:t>
            </w:r>
          </w:p>
        </w:tc>
      </w:tr>
      <w:tr w:rsidR="001215CC" w14:paraId="0482936D" w14:textId="77777777" w:rsidTr="001215CC">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7778" w:type="dxa"/>
          </w:tcPr>
          <w:p w14:paraId="600F9E68" w14:textId="77777777" w:rsidR="001215CC" w:rsidRDefault="00000000">
            <w:r>
              <w:rPr>
                <w:b w:val="0"/>
              </w:rPr>
              <w:t>Venue Hire (Swansea Waterfront)</w:t>
            </w:r>
          </w:p>
        </w:tc>
        <w:tc>
          <w:tcPr>
            <w:tcW w:w="1592" w:type="dxa"/>
          </w:tcPr>
          <w:p w14:paraId="523CE0A2" w14:textId="77777777" w:rsidR="001215CC" w:rsidRDefault="00000000">
            <w:pPr>
              <w:cnfStyle w:val="000000100000" w:firstRow="0" w:lastRow="0" w:firstColumn="0" w:lastColumn="0" w:oddVBand="0" w:evenVBand="0" w:oddHBand="1" w:evenHBand="0" w:firstRowFirstColumn="0" w:firstRowLastColumn="0" w:lastRowFirstColumn="0" w:lastRowLastColumn="0"/>
            </w:pPr>
            <w:r>
              <w:t>£4,000</w:t>
            </w:r>
          </w:p>
        </w:tc>
      </w:tr>
      <w:tr w:rsidR="001215CC" w14:paraId="77AD59BF" w14:textId="77777777" w:rsidTr="001215CC">
        <w:trPr>
          <w:trHeight w:val="401"/>
        </w:trPr>
        <w:tc>
          <w:tcPr>
            <w:cnfStyle w:val="001000000000" w:firstRow="0" w:lastRow="0" w:firstColumn="1" w:lastColumn="0" w:oddVBand="0" w:evenVBand="0" w:oddHBand="0" w:evenHBand="0" w:firstRowFirstColumn="0" w:firstRowLastColumn="0" w:lastRowFirstColumn="0" w:lastRowLastColumn="0"/>
            <w:tcW w:w="7778" w:type="dxa"/>
          </w:tcPr>
          <w:p w14:paraId="205E77A5" w14:textId="77777777" w:rsidR="001215CC" w:rsidRDefault="00000000">
            <w:r>
              <w:rPr>
                <w:b w:val="0"/>
              </w:rPr>
              <w:t>Equipment &amp; AV (sound, lighting, screens, tech support)</w:t>
            </w:r>
          </w:p>
        </w:tc>
        <w:tc>
          <w:tcPr>
            <w:tcW w:w="1592" w:type="dxa"/>
          </w:tcPr>
          <w:p w14:paraId="6320AD83" w14:textId="77777777" w:rsidR="001215CC" w:rsidRDefault="00000000">
            <w:pPr>
              <w:cnfStyle w:val="000000000000" w:firstRow="0" w:lastRow="0" w:firstColumn="0" w:lastColumn="0" w:oddVBand="0" w:evenVBand="0" w:oddHBand="0" w:evenHBand="0" w:firstRowFirstColumn="0" w:firstRowLastColumn="0" w:lastRowFirstColumn="0" w:lastRowLastColumn="0"/>
            </w:pPr>
            <w:r>
              <w:t>£10,000</w:t>
            </w:r>
          </w:p>
        </w:tc>
      </w:tr>
      <w:tr w:rsidR="001215CC" w14:paraId="3F5CF004" w14:textId="77777777" w:rsidTr="001215CC">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7778" w:type="dxa"/>
          </w:tcPr>
          <w:p w14:paraId="5058E873" w14:textId="77777777" w:rsidR="001215CC" w:rsidRDefault="00000000">
            <w:r>
              <w:rPr>
                <w:b w:val="0"/>
              </w:rPr>
              <w:t>Staffing &amp; Volunteer Support (coordination, training, welfare)</w:t>
            </w:r>
          </w:p>
        </w:tc>
        <w:tc>
          <w:tcPr>
            <w:tcW w:w="1592" w:type="dxa"/>
          </w:tcPr>
          <w:p w14:paraId="7DDA6B8D" w14:textId="77777777" w:rsidR="001215CC" w:rsidRDefault="00000000">
            <w:pPr>
              <w:cnfStyle w:val="000000100000" w:firstRow="0" w:lastRow="0" w:firstColumn="0" w:lastColumn="0" w:oddVBand="0" w:evenVBand="0" w:oddHBand="1" w:evenHBand="0" w:firstRowFirstColumn="0" w:firstRowLastColumn="0" w:lastRowFirstColumn="0" w:lastRowLastColumn="0"/>
            </w:pPr>
            <w:r>
              <w:t>£8,000</w:t>
            </w:r>
          </w:p>
        </w:tc>
      </w:tr>
      <w:tr w:rsidR="001215CC" w14:paraId="5EE1C979" w14:textId="77777777" w:rsidTr="001215CC">
        <w:trPr>
          <w:trHeight w:val="401"/>
        </w:trPr>
        <w:tc>
          <w:tcPr>
            <w:cnfStyle w:val="001000000000" w:firstRow="0" w:lastRow="0" w:firstColumn="1" w:lastColumn="0" w:oddVBand="0" w:evenVBand="0" w:oddHBand="0" w:evenHBand="0" w:firstRowFirstColumn="0" w:firstRowLastColumn="0" w:lastRowFirstColumn="0" w:lastRowLastColumn="0"/>
            <w:tcW w:w="7778" w:type="dxa"/>
          </w:tcPr>
          <w:p w14:paraId="6B70A397" w14:textId="77777777" w:rsidR="001215CC" w:rsidRDefault="00000000">
            <w:r>
              <w:rPr>
                <w:b w:val="0"/>
              </w:rPr>
              <w:t>Marketing &amp; Communications (social media, posters, outreach)</w:t>
            </w:r>
          </w:p>
        </w:tc>
        <w:tc>
          <w:tcPr>
            <w:tcW w:w="1592" w:type="dxa"/>
          </w:tcPr>
          <w:p w14:paraId="5B40C566" w14:textId="77777777" w:rsidR="001215CC" w:rsidRDefault="00000000">
            <w:pPr>
              <w:cnfStyle w:val="000000000000" w:firstRow="0" w:lastRow="0" w:firstColumn="0" w:lastColumn="0" w:oddVBand="0" w:evenVBand="0" w:oddHBand="0" w:evenHBand="0" w:firstRowFirstColumn="0" w:firstRowLastColumn="0" w:lastRowFirstColumn="0" w:lastRowLastColumn="0"/>
            </w:pPr>
            <w:r>
              <w:t>£5,000</w:t>
            </w:r>
          </w:p>
        </w:tc>
      </w:tr>
      <w:tr w:rsidR="001215CC" w14:paraId="3CB9E178" w14:textId="77777777" w:rsidTr="001215CC">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7778" w:type="dxa"/>
          </w:tcPr>
          <w:p w14:paraId="16FB049F" w14:textId="77777777" w:rsidR="001215CC" w:rsidRDefault="00000000">
            <w:r>
              <w:rPr>
                <w:b w:val="0"/>
              </w:rPr>
              <w:t>Creative Materials &amp; Workshops (art, exhibits, sustainability games)</w:t>
            </w:r>
          </w:p>
        </w:tc>
        <w:tc>
          <w:tcPr>
            <w:tcW w:w="1592" w:type="dxa"/>
          </w:tcPr>
          <w:p w14:paraId="36ECFD30" w14:textId="77777777" w:rsidR="001215CC" w:rsidRDefault="00000000">
            <w:pPr>
              <w:cnfStyle w:val="000000100000" w:firstRow="0" w:lastRow="0" w:firstColumn="0" w:lastColumn="0" w:oddVBand="0" w:evenVBand="0" w:oddHBand="1" w:evenHBand="0" w:firstRowFirstColumn="0" w:firstRowLastColumn="0" w:lastRowFirstColumn="0" w:lastRowLastColumn="0"/>
            </w:pPr>
            <w:r>
              <w:t>£4,000</w:t>
            </w:r>
          </w:p>
        </w:tc>
      </w:tr>
      <w:tr w:rsidR="001215CC" w14:paraId="3B58D618" w14:textId="77777777" w:rsidTr="001215CC">
        <w:trPr>
          <w:trHeight w:val="401"/>
        </w:trPr>
        <w:tc>
          <w:tcPr>
            <w:cnfStyle w:val="001000000000" w:firstRow="0" w:lastRow="0" w:firstColumn="1" w:lastColumn="0" w:oddVBand="0" w:evenVBand="0" w:oddHBand="0" w:evenHBand="0" w:firstRowFirstColumn="0" w:firstRowLastColumn="0" w:lastRowFirstColumn="0" w:lastRowLastColumn="0"/>
            <w:tcW w:w="7778" w:type="dxa"/>
          </w:tcPr>
          <w:p w14:paraId="420B99ED" w14:textId="77777777" w:rsidR="001215CC" w:rsidRDefault="00000000">
            <w:r>
              <w:rPr>
                <w:b w:val="0"/>
              </w:rPr>
              <w:t>Catering &amp; Hospitality (local, plant-based meals/snacks)</w:t>
            </w:r>
          </w:p>
        </w:tc>
        <w:tc>
          <w:tcPr>
            <w:tcW w:w="1592" w:type="dxa"/>
          </w:tcPr>
          <w:p w14:paraId="521CF110" w14:textId="77777777" w:rsidR="001215CC" w:rsidRDefault="00000000">
            <w:pPr>
              <w:cnfStyle w:val="000000000000" w:firstRow="0" w:lastRow="0" w:firstColumn="0" w:lastColumn="0" w:oddVBand="0" w:evenVBand="0" w:oddHBand="0" w:evenHBand="0" w:firstRowFirstColumn="0" w:firstRowLastColumn="0" w:lastRowFirstColumn="0" w:lastRowLastColumn="0"/>
            </w:pPr>
            <w:r>
              <w:t>£3,000</w:t>
            </w:r>
          </w:p>
        </w:tc>
      </w:tr>
      <w:tr w:rsidR="001215CC" w14:paraId="00002C6A" w14:textId="77777777" w:rsidTr="001215CC">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7778" w:type="dxa"/>
          </w:tcPr>
          <w:p w14:paraId="5A1A240B" w14:textId="77777777" w:rsidR="001215CC" w:rsidRDefault="00000000">
            <w:r>
              <w:rPr>
                <w:b w:val="0"/>
              </w:rPr>
              <w:t>Awards &amp; Prizes (certificates, trophies, recognition materials)</w:t>
            </w:r>
          </w:p>
        </w:tc>
        <w:tc>
          <w:tcPr>
            <w:tcW w:w="1592" w:type="dxa"/>
          </w:tcPr>
          <w:p w14:paraId="37E5A538" w14:textId="77777777" w:rsidR="001215CC" w:rsidRDefault="00000000">
            <w:pPr>
              <w:cnfStyle w:val="000000100000" w:firstRow="0" w:lastRow="0" w:firstColumn="0" w:lastColumn="0" w:oddVBand="0" w:evenVBand="0" w:oddHBand="1" w:evenHBand="0" w:firstRowFirstColumn="0" w:firstRowLastColumn="0" w:lastRowFirstColumn="0" w:lastRowLastColumn="0"/>
            </w:pPr>
            <w:r>
              <w:t>£2,000</w:t>
            </w:r>
          </w:p>
        </w:tc>
      </w:tr>
      <w:tr w:rsidR="001215CC" w14:paraId="18C055CE" w14:textId="77777777" w:rsidTr="001215CC">
        <w:trPr>
          <w:trHeight w:val="401"/>
        </w:trPr>
        <w:tc>
          <w:tcPr>
            <w:cnfStyle w:val="001000000000" w:firstRow="0" w:lastRow="0" w:firstColumn="1" w:lastColumn="0" w:oddVBand="0" w:evenVBand="0" w:oddHBand="0" w:evenHBand="0" w:firstRowFirstColumn="0" w:firstRowLastColumn="0" w:lastRowFirstColumn="0" w:lastRowLastColumn="0"/>
            <w:tcW w:w="7778" w:type="dxa"/>
          </w:tcPr>
          <w:p w14:paraId="21B49489" w14:textId="77777777" w:rsidR="001215CC" w:rsidRDefault="00000000">
            <w:r>
              <w:rPr>
                <w:b w:val="0"/>
              </w:rPr>
              <w:t>Accessibility &amp; Safety (interpreters, signage, security, welfare zone)</w:t>
            </w:r>
          </w:p>
        </w:tc>
        <w:tc>
          <w:tcPr>
            <w:tcW w:w="1592" w:type="dxa"/>
          </w:tcPr>
          <w:p w14:paraId="27B2FDD3" w14:textId="77777777" w:rsidR="001215CC" w:rsidRDefault="00000000">
            <w:pPr>
              <w:cnfStyle w:val="000000000000" w:firstRow="0" w:lastRow="0" w:firstColumn="0" w:lastColumn="0" w:oddVBand="0" w:evenVBand="0" w:oddHBand="0" w:evenHBand="0" w:firstRowFirstColumn="0" w:firstRowLastColumn="0" w:lastRowFirstColumn="0" w:lastRowLastColumn="0"/>
            </w:pPr>
            <w:r>
              <w:t>£2,000</w:t>
            </w:r>
          </w:p>
        </w:tc>
      </w:tr>
      <w:tr w:rsidR="001215CC" w14:paraId="5E72B36E" w14:textId="77777777" w:rsidTr="001215CC">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7778" w:type="dxa"/>
          </w:tcPr>
          <w:p w14:paraId="25A8849F" w14:textId="77777777" w:rsidR="001215CC" w:rsidRDefault="00000000">
            <w:r>
              <w:rPr>
                <w:b w:val="0"/>
              </w:rPr>
              <w:t>Contingency Fund (approx. 5% for unforeseen costs)</w:t>
            </w:r>
          </w:p>
        </w:tc>
        <w:tc>
          <w:tcPr>
            <w:tcW w:w="1592" w:type="dxa"/>
          </w:tcPr>
          <w:p w14:paraId="4CF497DC" w14:textId="77777777" w:rsidR="001215CC" w:rsidRDefault="00000000">
            <w:pPr>
              <w:cnfStyle w:val="000000100000" w:firstRow="0" w:lastRow="0" w:firstColumn="0" w:lastColumn="0" w:oddVBand="0" w:evenVBand="0" w:oddHBand="1" w:evenHBand="0" w:firstRowFirstColumn="0" w:firstRowLastColumn="0" w:lastRowFirstColumn="0" w:lastRowLastColumn="0"/>
            </w:pPr>
            <w:r>
              <w:t>£2,000</w:t>
            </w:r>
          </w:p>
        </w:tc>
      </w:tr>
      <w:tr w:rsidR="001215CC" w14:paraId="73A3D59A" w14:textId="77777777" w:rsidTr="001215CC">
        <w:trPr>
          <w:trHeight w:val="401"/>
        </w:trPr>
        <w:tc>
          <w:tcPr>
            <w:cnfStyle w:val="001000000000" w:firstRow="0" w:lastRow="0" w:firstColumn="1" w:lastColumn="0" w:oddVBand="0" w:evenVBand="0" w:oddHBand="0" w:evenHBand="0" w:firstRowFirstColumn="0" w:firstRowLastColumn="0" w:lastRowFirstColumn="0" w:lastRowLastColumn="0"/>
            <w:tcW w:w="7778" w:type="dxa"/>
          </w:tcPr>
          <w:p w14:paraId="715A5B00" w14:textId="77777777" w:rsidR="001215CC" w:rsidRDefault="00000000">
            <w:r>
              <w:rPr>
                <w:b w:val="0"/>
              </w:rPr>
              <w:t>Total Estimated Expenditure</w:t>
            </w:r>
          </w:p>
        </w:tc>
        <w:tc>
          <w:tcPr>
            <w:tcW w:w="1592" w:type="dxa"/>
          </w:tcPr>
          <w:p w14:paraId="3261F940" w14:textId="77777777" w:rsidR="001215CC" w:rsidRDefault="00000000">
            <w:pPr>
              <w:cnfStyle w:val="000000000000" w:firstRow="0" w:lastRow="0" w:firstColumn="0" w:lastColumn="0" w:oddVBand="0" w:evenVBand="0" w:oddHBand="0" w:evenHBand="0" w:firstRowFirstColumn="0" w:firstRowLastColumn="0" w:lastRowFirstColumn="0" w:lastRowLastColumn="0"/>
            </w:pPr>
            <w:r>
              <w:t>£40,000</w:t>
            </w:r>
          </w:p>
        </w:tc>
      </w:tr>
    </w:tbl>
    <w:p w14:paraId="6F466E7A" w14:textId="77777777" w:rsidR="001215CC" w:rsidRDefault="001215CC"/>
    <w:p w14:paraId="7C093022" w14:textId="77777777" w:rsidR="001215CC" w:rsidRDefault="00000000">
      <w:r>
        <w:t>Justification of the Financial Viability: All of the income sources have been estimated to source the amount of £40,000. Also has been determined how that expense can be developed to successfully arrange the event. The event is going to be sponsored by different parties such as the Welsh Government, Swansea Council, NGOs, public donations and entry fees and the expense has determined different areas such as venue, equipment, staffing, marketing, workshop, catering etc.</w:t>
      </w:r>
    </w:p>
    <w:p w14:paraId="07888543" w14:textId="77777777" w:rsidR="001215CC" w:rsidRDefault="00000000">
      <w:pPr>
        <w:pStyle w:val="Heading1"/>
      </w:pPr>
      <w:bookmarkStart w:id="6" w:name="_Toc199191157"/>
      <w:r>
        <w:lastRenderedPageBreak/>
        <w:t>Industry Trends</w:t>
      </w:r>
      <w:bookmarkEnd w:id="6"/>
    </w:p>
    <w:p w14:paraId="1B6D0707" w14:textId="752FAA4E" w:rsidR="001215CC" w:rsidRDefault="00000000">
      <w:r>
        <w:t xml:space="preserve">Eco-Friendly and Sustainable Events: </w:t>
      </w:r>
      <w:r>
        <w:rPr>
          <w:color w:val="222222"/>
          <w:highlight w:val="white"/>
        </w:rPr>
        <w:t>Goldie</w:t>
      </w:r>
      <w:r>
        <w:t xml:space="preserve"> et al. (2023) </w:t>
      </w:r>
      <w:r w:rsidR="00145092">
        <w:t>mentioned</w:t>
      </w:r>
      <w:r>
        <w:t xml:space="preserve"> that all over the world people are focusing on low-carbon logistics, waste reduction, and circular practices so that people can become conscious about eco-friendly activities and sustainability.</w:t>
      </w:r>
    </w:p>
    <w:p w14:paraId="40B3470C" w14:textId="77777777" w:rsidR="001215CC" w:rsidRDefault="00000000">
      <w:r>
        <w:t xml:space="preserve">Youth Engagement in Social Impact: Young people are connecting themselves and developing a network to develop the world better so in different social activities young people are connecting and developing the society to be a better place for living people as well </w:t>
      </w:r>
      <w:r>
        <w:rPr>
          <w:color w:val="222222"/>
          <w:highlight w:val="white"/>
        </w:rPr>
        <w:t>Zamzuri et al., 2023)</w:t>
      </w:r>
      <w:r>
        <w:t>.</w:t>
      </w:r>
    </w:p>
    <w:p w14:paraId="38B97758" w14:textId="77777777" w:rsidR="001215CC" w:rsidRDefault="00000000">
      <w:r>
        <w:t xml:space="preserve">Wellness and Holistic Experience Design: According to </w:t>
      </w:r>
      <w:r>
        <w:rPr>
          <w:color w:val="222222"/>
          <w:highlight w:val="white"/>
        </w:rPr>
        <w:t>Fletcher</w:t>
      </w:r>
      <w:r>
        <w:t xml:space="preserve"> et al. (2023), all of the events which are working for developing people's lives in a better way are working together to develop wellbeing and mental health considerations. And for developing a better wellness program, the events are developing different young participants. Quiet zones, mindfulness sessions etc. </w:t>
      </w:r>
    </w:p>
    <w:p w14:paraId="3E243898" w14:textId="77777777" w:rsidR="001215CC" w:rsidRDefault="00000000">
      <w:r>
        <w:t>Educational Tourism and Responsible Event Planning: This event planning blends learning with travelling and also offers participants immersive and place-based experiences (</w:t>
      </w:r>
      <w:r>
        <w:rPr>
          <w:color w:val="222222"/>
          <w:highlight w:val="white"/>
        </w:rPr>
        <w:t>Rossetti and Quinn, 2023)</w:t>
      </w:r>
      <w:r>
        <w:t>. The event which is going to be developed in Swansea Waterfront is going to provide the attendees with learnings about Wales’ identity of regeneration, resilience and innovation. UN SDGs and Welsh tourism policy have developed different sustainability goals and this event is going to align with these goals as well such as Quality Education, Sustainable Cities and Communities, Climate Action etc.</w:t>
      </w:r>
    </w:p>
    <w:p w14:paraId="0E9BFFF4" w14:textId="77777777" w:rsidR="001215CC" w:rsidRDefault="00000000">
      <w:pPr>
        <w:pStyle w:val="Heading1"/>
      </w:pPr>
      <w:bookmarkStart w:id="7" w:name="_Toc199191158"/>
      <w:r>
        <w:t>Situational and Cultural Considerations</w:t>
      </w:r>
      <w:bookmarkEnd w:id="7"/>
    </w:p>
    <w:p w14:paraId="11B6FA3A" w14:textId="77777777" w:rsidR="001215CC" w:rsidRDefault="00000000">
      <w:pPr>
        <w:rPr>
          <w:b/>
        </w:rPr>
      </w:pPr>
      <w:r>
        <w:rPr>
          <w:b/>
        </w:rPr>
        <w:t xml:space="preserve">PESTLE Analysis </w:t>
      </w:r>
    </w:p>
    <w:p w14:paraId="33AA3A98" w14:textId="77777777" w:rsidR="001215CC" w:rsidRDefault="00000000">
      <w:r>
        <w:t>Political: The political environment for the event is positive and the local government is supporting the event for the development of the Swansea Waterfront. The strong support for the Welsh Government policies which is developing different acts including the Well-being of Future Generations Act is going to support the event which is developing a positive event environment (</w:t>
      </w:r>
      <w:r>
        <w:rPr>
          <w:color w:val="222222"/>
          <w:highlight w:val="white"/>
        </w:rPr>
        <w:t>Li et al., 2024)</w:t>
      </w:r>
      <w:r>
        <w:t>.</w:t>
      </w:r>
    </w:p>
    <w:p w14:paraId="2496A38D" w14:textId="77777777" w:rsidR="001215CC" w:rsidRDefault="00000000">
      <w:r>
        <w:t>Economic: The event is going to focus on a mixed funding model which includes government, NGOs, and entry fees as the income sources and developing the expense according to the income source is going to develop a positive economic environment for the event as well (</w:t>
      </w:r>
      <w:r>
        <w:rPr>
          <w:color w:val="222222"/>
          <w:highlight w:val="white"/>
        </w:rPr>
        <w:t xml:space="preserve">Mistry et al., </w:t>
      </w:r>
      <w:r>
        <w:rPr>
          <w:color w:val="222222"/>
          <w:highlight w:val="white"/>
        </w:rPr>
        <w:lastRenderedPageBreak/>
        <w:t>2024)</w:t>
      </w:r>
      <w:r>
        <w:t xml:space="preserve">. Also, the event is going to focus on a zero-waste policy so the event is going to get a positive impact on the event budget management as well. </w:t>
      </w:r>
    </w:p>
    <w:p w14:paraId="420D12E4" w14:textId="77777777" w:rsidR="001215CC" w:rsidRDefault="00000000">
      <w:r>
        <w:t>Social: This event has focused on youth empowerment and education so the social environment is also positive for the event and every person in the society is going to be supportive of the event. The people for the event are going to gather for the education that the event has targeted to provide the people (</w:t>
      </w:r>
      <w:r>
        <w:rPr>
          <w:color w:val="222222"/>
          <w:highlight w:val="white"/>
        </w:rPr>
        <w:t>Mair et al., 2023)</w:t>
      </w:r>
      <w:r>
        <w:t xml:space="preserve">. </w:t>
      </w:r>
    </w:p>
    <w:p w14:paraId="0A9A974A" w14:textId="77777777" w:rsidR="001215CC" w:rsidRDefault="00000000">
      <w:r>
        <w:t>Technological: Rogers, T. Wynn-Moylan, P (2022) developed the idea the use of modern AV equipment for digital exhibitions, livestreaming and other interactive workshops for the event is going to develop a positive impact on the event. The use of technologies can develop a better outcome from the event as well. People can confirm the entry tickets online which will be another use of the technology as well (</w:t>
      </w:r>
      <w:r>
        <w:rPr>
          <w:color w:val="222222"/>
          <w:highlight w:val="white"/>
        </w:rPr>
        <w:t>Rossetti and Quinn, 2023)</w:t>
      </w:r>
      <w:r>
        <w:t xml:space="preserve">. </w:t>
      </w:r>
    </w:p>
    <w:p w14:paraId="67AA98EB" w14:textId="77777777" w:rsidR="001215CC" w:rsidRDefault="00000000">
      <w:r>
        <w:t>Legal: All activities which can bridge public safety will be prohibited from being practised in the event. Even for clicking a photo, the event management will ask permission from the attendees so that they can get no issues in the event. Also, child safeguarding policies will be the priority of the event as well.</w:t>
      </w:r>
    </w:p>
    <w:p w14:paraId="16B96191" w14:textId="77777777" w:rsidR="001215CC" w:rsidRDefault="00000000">
      <w:r>
        <w:t xml:space="preserve">Ecological: According to </w:t>
      </w:r>
      <w:r>
        <w:rPr>
          <w:color w:val="222222"/>
          <w:highlight w:val="white"/>
        </w:rPr>
        <w:t>Calver</w:t>
      </w:r>
      <w:r>
        <w:t xml:space="preserve"> et al. (2025), to cope with this environment, the event will focus on the climate and the sustainability principles will be followed very well. There will be different practices for sustainability practice which will include waste minimisation, local plant-based catering, reusable materials etc. </w:t>
      </w:r>
    </w:p>
    <w:p w14:paraId="60E0A442" w14:textId="77777777" w:rsidR="001215CC" w:rsidRDefault="00000000">
      <w:pPr>
        <w:rPr>
          <w:b/>
        </w:rPr>
      </w:pPr>
      <w:r>
        <w:rPr>
          <w:b/>
        </w:rPr>
        <w:t>Cultural Relevance</w:t>
      </w:r>
    </w:p>
    <w:p w14:paraId="250A54BD" w14:textId="77777777" w:rsidR="001215CC" w:rsidRDefault="00000000">
      <w:r>
        <w:t xml:space="preserve">The event Year of Croeso serves as a powerful cultural theme which focuses on the Visit Wales. The event is more than a tourism initiative which reflects the core value of the Welsh values of hospitality, inclusivity, community and belonging. </w:t>
      </w:r>
      <w:r>
        <w:rPr>
          <w:color w:val="222222"/>
          <w:highlight w:val="white"/>
        </w:rPr>
        <w:t>Arikawe et al., (2024) explained that t</w:t>
      </w:r>
      <w:r>
        <w:t xml:space="preserve">he event has developed workshops, exhibitions and presentations for engaging the young people in the event and has targeted young adults so that the educational purpose of the event can be served and people get the chance to learn about their culture and solidarity. This event is going to connect people from educators, families, local businesses, community groups and public bodies. </w:t>
      </w:r>
    </w:p>
    <w:p w14:paraId="1861AB8F" w14:textId="77777777" w:rsidR="001215CC" w:rsidRDefault="00000000">
      <w:pPr>
        <w:pStyle w:val="Heading1"/>
      </w:pPr>
      <w:bookmarkStart w:id="8" w:name="_Toc199191159"/>
      <w:r>
        <w:lastRenderedPageBreak/>
        <w:t>Conclusion</w:t>
      </w:r>
      <w:bookmarkEnd w:id="8"/>
      <w:r>
        <w:t xml:space="preserve"> </w:t>
      </w:r>
    </w:p>
    <w:p w14:paraId="75FF38B4" w14:textId="77777777" w:rsidR="001215CC" w:rsidRDefault="00000000">
      <w:r>
        <w:t xml:space="preserve">The report has focused on the power and potential of student-led sustainability innovation which can be developed with the help of an event. By developing this event, young people are going to be provided a platform to explore, create and present solutions to real-world environmental challenges and issues. And the event is not only going to amplify youth voices but also develop them with the skills, confidence and support to develop a more sustainable future. In future, this event can be repeated with different mottos and aims so that social development can be ensured among the young people. </w:t>
      </w:r>
    </w:p>
    <w:p w14:paraId="5B2F5497" w14:textId="77777777" w:rsidR="001215CC" w:rsidRDefault="001215CC"/>
    <w:p w14:paraId="41CD00CB" w14:textId="77777777" w:rsidR="001215CC" w:rsidRDefault="001215CC"/>
    <w:p w14:paraId="70A440B6" w14:textId="77777777" w:rsidR="001215CC" w:rsidRDefault="001215CC"/>
    <w:p w14:paraId="68538591" w14:textId="77777777" w:rsidR="001215CC" w:rsidRDefault="001215CC"/>
    <w:p w14:paraId="67380AD4" w14:textId="77777777" w:rsidR="001215CC" w:rsidRDefault="001215CC"/>
    <w:p w14:paraId="6C044A38" w14:textId="77777777" w:rsidR="001215CC" w:rsidRDefault="001215CC"/>
    <w:p w14:paraId="7BA03310" w14:textId="77777777" w:rsidR="001215CC" w:rsidRDefault="001215CC"/>
    <w:p w14:paraId="4BD3DC3B" w14:textId="77777777" w:rsidR="001215CC" w:rsidRDefault="001215CC"/>
    <w:p w14:paraId="19B4A12C" w14:textId="77777777" w:rsidR="001215CC" w:rsidRDefault="001215CC"/>
    <w:p w14:paraId="4197D160" w14:textId="77777777" w:rsidR="001215CC" w:rsidRDefault="001215CC"/>
    <w:p w14:paraId="78483925" w14:textId="77777777" w:rsidR="001215CC" w:rsidRDefault="001215CC"/>
    <w:p w14:paraId="05C54884" w14:textId="77777777" w:rsidR="001215CC" w:rsidRDefault="001215CC"/>
    <w:p w14:paraId="7C7B9E08" w14:textId="77777777" w:rsidR="001215CC" w:rsidRDefault="001215CC"/>
    <w:p w14:paraId="2D6A8DF2" w14:textId="77777777" w:rsidR="001215CC" w:rsidRDefault="001215CC"/>
    <w:p w14:paraId="6BD44C43" w14:textId="77777777" w:rsidR="001215CC" w:rsidRDefault="00000000">
      <w:pPr>
        <w:pStyle w:val="Heading1"/>
      </w:pPr>
      <w:bookmarkStart w:id="9" w:name="_Toc199191160"/>
      <w:r>
        <w:lastRenderedPageBreak/>
        <w:t>Reference</w:t>
      </w:r>
      <w:bookmarkEnd w:id="9"/>
      <w:r>
        <w:t xml:space="preserve"> </w:t>
      </w:r>
    </w:p>
    <w:p w14:paraId="5FFC31D6" w14:textId="77777777" w:rsidR="00145092" w:rsidRDefault="00145092">
      <w:pPr>
        <w:rPr>
          <w:color w:val="000000"/>
          <w:highlight w:val="white"/>
        </w:rPr>
      </w:pPr>
      <w:r>
        <w:rPr>
          <w:color w:val="000000"/>
          <w:highlight w:val="white"/>
        </w:rPr>
        <w:t>Adhikari, D.R. and Shrestha, P., 2023. Knowledge management initiatives for achieving sustainable development goal 4.7: higher education institutions’ stakeholder perspectives. </w:t>
      </w:r>
      <w:r>
        <w:rPr>
          <w:i/>
          <w:color w:val="000000"/>
          <w:highlight w:val="white"/>
        </w:rPr>
        <w:t>Journal of Knowledge Management</w:t>
      </w:r>
      <w:r>
        <w:rPr>
          <w:color w:val="000000"/>
          <w:highlight w:val="white"/>
        </w:rPr>
        <w:t>, </w:t>
      </w:r>
      <w:r>
        <w:rPr>
          <w:i/>
          <w:color w:val="000000"/>
          <w:highlight w:val="white"/>
        </w:rPr>
        <w:t>27</w:t>
      </w:r>
      <w:r>
        <w:rPr>
          <w:color w:val="000000"/>
          <w:highlight w:val="white"/>
        </w:rPr>
        <w:t>(4), pp.1109-1139.</w:t>
      </w:r>
    </w:p>
    <w:p w14:paraId="6910D5CD" w14:textId="77777777" w:rsidR="00145092" w:rsidRDefault="00145092">
      <w:pPr>
        <w:rPr>
          <w:color w:val="000000"/>
          <w:highlight w:val="white"/>
        </w:rPr>
      </w:pPr>
      <w:r>
        <w:rPr>
          <w:color w:val="000000"/>
          <w:highlight w:val="white"/>
        </w:rPr>
        <w:t>Arikawe, O., Edwards-Fapohunda, M.O. and Waite, P., 2024. Strategies for Student Related Crisis Management in The Learning Environment in Further Education Colleges in UK. </w:t>
      </w:r>
      <w:r>
        <w:rPr>
          <w:i/>
          <w:color w:val="000000"/>
          <w:highlight w:val="white"/>
        </w:rPr>
        <w:t>Iconic Research and Engineering Journals</w:t>
      </w:r>
      <w:r>
        <w:rPr>
          <w:color w:val="000000"/>
          <w:highlight w:val="white"/>
        </w:rPr>
        <w:t>, </w:t>
      </w:r>
      <w:r>
        <w:rPr>
          <w:i/>
          <w:color w:val="000000"/>
          <w:highlight w:val="white"/>
        </w:rPr>
        <w:t>8</w:t>
      </w:r>
      <w:r>
        <w:rPr>
          <w:color w:val="000000"/>
          <w:highlight w:val="white"/>
        </w:rPr>
        <w:t>(2), pp.576-586.</w:t>
      </w:r>
    </w:p>
    <w:p w14:paraId="45E70B5D" w14:textId="77777777" w:rsidR="00145092" w:rsidRDefault="00145092">
      <w:pPr>
        <w:rPr>
          <w:color w:val="000000"/>
          <w:highlight w:val="white"/>
        </w:rPr>
      </w:pPr>
      <w:r>
        <w:rPr>
          <w:color w:val="000000"/>
          <w:highlight w:val="white"/>
        </w:rPr>
        <w:t>Bezas, K. and Filippidou, F., 2023. Comparative analysis of open-source security information &amp; event management systems (SIEMS). </w:t>
      </w:r>
      <w:r>
        <w:rPr>
          <w:i/>
          <w:color w:val="000000"/>
          <w:highlight w:val="white"/>
        </w:rPr>
        <w:t>The Indonesian Journal of Computer Science</w:t>
      </w:r>
      <w:r>
        <w:rPr>
          <w:color w:val="000000"/>
          <w:highlight w:val="white"/>
        </w:rPr>
        <w:t>, </w:t>
      </w:r>
      <w:r>
        <w:rPr>
          <w:i/>
          <w:color w:val="000000"/>
          <w:highlight w:val="white"/>
        </w:rPr>
        <w:t>12</w:t>
      </w:r>
      <w:r>
        <w:rPr>
          <w:color w:val="000000"/>
          <w:highlight w:val="white"/>
        </w:rPr>
        <w:t>(2), pp.443-468.</w:t>
      </w:r>
    </w:p>
    <w:p w14:paraId="4BABCC38" w14:textId="77777777" w:rsidR="00145092" w:rsidRDefault="00145092">
      <w:pPr>
        <w:rPr>
          <w:color w:val="000000"/>
          <w:highlight w:val="white"/>
        </w:rPr>
      </w:pPr>
      <w:r>
        <w:rPr>
          <w:color w:val="000000"/>
          <w:highlight w:val="white"/>
        </w:rPr>
        <w:t>Bowdin, G.A., Allen, J., Harris, R., Jago, L., O'toole, W. and McDonnell, I., 2023. </w:t>
      </w:r>
      <w:r>
        <w:rPr>
          <w:i/>
          <w:color w:val="000000"/>
          <w:highlight w:val="white"/>
        </w:rPr>
        <w:t>Events management</w:t>
      </w:r>
      <w:r>
        <w:rPr>
          <w:color w:val="000000"/>
          <w:highlight w:val="white"/>
        </w:rPr>
        <w:t>. Routledge.</w:t>
      </w:r>
    </w:p>
    <w:p w14:paraId="18C66D98" w14:textId="77777777" w:rsidR="00145092" w:rsidRDefault="00145092">
      <w:pPr>
        <w:rPr>
          <w:color w:val="000000"/>
          <w:highlight w:val="white"/>
        </w:rPr>
      </w:pPr>
      <w:r>
        <w:rPr>
          <w:color w:val="000000"/>
          <w:highlight w:val="white"/>
        </w:rPr>
        <w:t>Calver, J., Dashper, K., Finkel, R., Fletcher, T., Lamond, I.R., May, E., Ormerod, N., Platt, L. and Sharp, B., 2025. The (in) visibility of equality, diversity, and inclusion research in events management journals. </w:t>
      </w:r>
      <w:r>
        <w:rPr>
          <w:i/>
          <w:color w:val="000000"/>
          <w:highlight w:val="white"/>
        </w:rPr>
        <w:t>Journal of Policy Research in Tourism, Leisure and Events</w:t>
      </w:r>
      <w:r>
        <w:rPr>
          <w:color w:val="000000"/>
          <w:highlight w:val="white"/>
        </w:rPr>
        <w:t>, </w:t>
      </w:r>
      <w:r>
        <w:rPr>
          <w:i/>
          <w:color w:val="000000"/>
          <w:highlight w:val="white"/>
        </w:rPr>
        <w:t>17</w:t>
      </w:r>
      <w:r>
        <w:rPr>
          <w:color w:val="000000"/>
          <w:highlight w:val="white"/>
        </w:rPr>
        <w:t>(2), pp.424-448.</w:t>
      </w:r>
    </w:p>
    <w:p w14:paraId="0F670D41" w14:textId="77777777" w:rsidR="00145092" w:rsidRDefault="00145092">
      <w:pPr>
        <w:rPr>
          <w:color w:val="000000"/>
          <w:highlight w:val="white"/>
        </w:rPr>
      </w:pPr>
      <w:r>
        <w:rPr>
          <w:color w:val="000000"/>
          <w:highlight w:val="white"/>
        </w:rPr>
        <w:t>Fletcher, T., Dashper, K. and Albert, B., 2023. Whiteness as credential: Exploring the lived experiences of ethnically diverse UK event professionals through the theory of racialised organisations. </w:t>
      </w:r>
      <w:r>
        <w:rPr>
          <w:i/>
          <w:color w:val="000000"/>
          <w:highlight w:val="white"/>
        </w:rPr>
        <w:t>International Journal of Contemporary Hospitality Management</w:t>
      </w:r>
      <w:r>
        <w:rPr>
          <w:color w:val="000000"/>
          <w:highlight w:val="white"/>
        </w:rPr>
        <w:t>, </w:t>
      </w:r>
      <w:r>
        <w:rPr>
          <w:i/>
          <w:color w:val="000000"/>
          <w:highlight w:val="white"/>
        </w:rPr>
        <w:t>35</w:t>
      </w:r>
      <w:r>
        <w:rPr>
          <w:color w:val="000000"/>
          <w:highlight w:val="white"/>
        </w:rPr>
        <w:t>(11), pp.3903-3921.</w:t>
      </w:r>
    </w:p>
    <w:p w14:paraId="7F743074" w14:textId="77777777" w:rsidR="00145092" w:rsidRDefault="00145092">
      <w:pPr>
        <w:rPr>
          <w:color w:val="000000"/>
        </w:rPr>
      </w:pPr>
      <w:r>
        <w:rPr>
          <w:color w:val="000000"/>
        </w:rPr>
        <w:t>Fox, D. et al. (2014) Doing events research: from theory to practice. Routledge: Oxford.</w:t>
      </w:r>
    </w:p>
    <w:p w14:paraId="2773DB09" w14:textId="77777777" w:rsidR="00145092" w:rsidRDefault="00145092">
      <w:pPr>
        <w:rPr>
          <w:color w:val="000000"/>
        </w:rPr>
      </w:pPr>
      <w:r>
        <w:rPr>
          <w:color w:val="000000"/>
        </w:rPr>
        <w:t>Getz, D. and Page, S. (2019) Event studies: theory, research and policy for planned events. 3rd Edition. Routledge: Oxford.</w:t>
      </w:r>
    </w:p>
    <w:p w14:paraId="22A6BCB7" w14:textId="77777777" w:rsidR="00145092" w:rsidRDefault="00145092">
      <w:pPr>
        <w:rPr>
          <w:color w:val="000000"/>
          <w:highlight w:val="white"/>
        </w:rPr>
      </w:pPr>
      <w:r>
        <w:rPr>
          <w:color w:val="000000"/>
          <w:highlight w:val="white"/>
        </w:rPr>
        <w:t>Goldie, K., Ironside, R. and Pirie, E., 2023. “It feels real”: Events management and online experiential learning in COVID-19. </w:t>
      </w:r>
      <w:r>
        <w:rPr>
          <w:i/>
          <w:color w:val="000000"/>
          <w:highlight w:val="white"/>
        </w:rPr>
        <w:t>Distance Education</w:t>
      </w:r>
      <w:r>
        <w:rPr>
          <w:color w:val="000000"/>
          <w:highlight w:val="white"/>
        </w:rPr>
        <w:t>, </w:t>
      </w:r>
      <w:r>
        <w:rPr>
          <w:i/>
          <w:color w:val="000000"/>
          <w:highlight w:val="white"/>
        </w:rPr>
        <w:t>44</w:t>
      </w:r>
      <w:r>
        <w:rPr>
          <w:color w:val="000000"/>
          <w:highlight w:val="white"/>
        </w:rPr>
        <w:t>(2), pp.230-245.</w:t>
      </w:r>
    </w:p>
    <w:p w14:paraId="71A28727" w14:textId="77777777" w:rsidR="00145092" w:rsidRDefault="00145092">
      <w:pPr>
        <w:rPr>
          <w:color w:val="000000"/>
          <w:highlight w:val="white"/>
        </w:rPr>
      </w:pPr>
      <w:r>
        <w:rPr>
          <w:color w:val="000000"/>
          <w:highlight w:val="white"/>
        </w:rPr>
        <w:lastRenderedPageBreak/>
        <w:t>Li, B., Xu, T.A., Li, X., Cui, Y., Bian, X., Teng, S., Ma, S., Fan, L., Tian, Y. and Wang, F.Y., 2024. Integrating large language models and metaverse in autonomous racing: An education-oriented perspective. </w:t>
      </w:r>
      <w:r>
        <w:rPr>
          <w:i/>
          <w:color w:val="000000"/>
          <w:highlight w:val="white"/>
        </w:rPr>
        <w:t>IEEE Transactions on Intelligent Vehicles</w:t>
      </w:r>
      <w:r>
        <w:rPr>
          <w:color w:val="000000"/>
          <w:highlight w:val="white"/>
        </w:rPr>
        <w:t>, </w:t>
      </w:r>
      <w:r>
        <w:rPr>
          <w:i/>
          <w:color w:val="000000"/>
          <w:highlight w:val="white"/>
        </w:rPr>
        <w:t>9</w:t>
      </w:r>
      <w:r>
        <w:rPr>
          <w:color w:val="000000"/>
          <w:highlight w:val="white"/>
        </w:rPr>
        <w:t>(1), pp.59-64.</w:t>
      </w:r>
    </w:p>
    <w:p w14:paraId="0327D8BC" w14:textId="77777777" w:rsidR="00145092" w:rsidRDefault="00145092">
      <w:pPr>
        <w:rPr>
          <w:color w:val="000000"/>
          <w:sz w:val="32"/>
          <w:szCs w:val="32"/>
        </w:rPr>
      </w:pPr>
      <w:r>
        <w:rPr>
          <w:color w:val="000000"/>
          <w:highlight w:val="white"/>
        </w:rPr>
        <w:t>Mair, J., Chien, P.M., Kelly, S.J. and Derrington, S., 2023. Social impacts of mega-events: A systematic narrative review and research agenda. </w:t>
      </w:r>
      <w:r>
        <w:rPr>
          <w:i/>
          <w:color w:val="000000"/>
          <w:highlight w:val="white"/>
        </w:rPr>
        <w:t>Methodological Advancements in Social Impacts of Tourism Research</w:t>
      </w:r>
      <w:r>
        <w:rPr>
          <w:color w:val="000000"/>
          <w:highlight w:val="white"/>
        </w:rPr>
        <w:t>, pp.140-162.</w:t>
      </w:r>
    </w:p>
    <w:p w14:paraId="2AB257A0" w14:textId="77777777" w:rsidR="00145092" w:rsidRDefault="00145092">
      <w:pPr>
        <w:rPr>
          <w:color w:val="000000"/>
          <w:sz w:val="32"/>
          <w:szCs w:val="32"/>
        </w:rPr>
      </w:pPr>
      <w:r>
        <w:rPr>
          <w:color w:val="000000"/>
        </w:rPr>
        <w:t>Meredith, J. (2022) Project management: a managerial approach.</w:t>
      </w:r>
    </w:p>
    <w:p w14:paraId="16D858DE" w14:textId="77777777" w:rsidR="00145092" w:rsidRDefault="00145092">
      <w:pPr>
        <w:rPr>
          <w:color w:val="000000"/>
          <w:highlight w:val="white"/>
        </w:rPr>
      </w:pPr>
      <w:r>
        <w:rPr>
          <w:color w:val="000000"/>
          <w:highlight w:val="white"/>
        </w:rPr>
        <w:t>Mistry, T.G., Wiitala, J. and Clark, B.S., 2024. Leadership skills and the glass ceiling in event management: a social role theory approach. </w:t>
      </w:r>
      <w:r>
        <w:rPr>
          <w:i/>
          <w:color w:val="000000"/>
          <w:highlight w:val="white"/>
        </w:rPr>
        <w:t>International Journal of Contemporary Hospitality Management</w:t>
      </w:r>
      <w:r>
        <w:rPr>
          <w:color w:val="000000"/>
          <w:highlight w:val="white"/>
        </w:rPr>
        <w:t>, </w:t>
      </w:r>
      <w:r>
        <w:rPr>
          <w:i/>
          <w:color w:val="000000"/>
          <w:highlight w:val="white"/>
        </w:rPr>
        <w:t>36</w:t>
      </w:r>
      <w:r>
        <w:rPr>
          <w:color w:val="000000"/>
          <w:highlight w:val="white"/>
        </w:rPr>
        <w:t>(9), pp.3190-3210.</w:t>
      </w:r>
    </w:p>
    <w:p w14:paraId="04D5E88F" w14:textId="77777777" w:rsidR="00145092" w:rsidRDefault="00145092">
      <w:pPr>
        <w:rPr>
          <w:color w:val="000000"/>
        </w:rPr>
      </w:pPr>
      <w:r>
        <w:rPr>
          <w:color w:val="000000"/>
        </w:rPr>
        <w:t>O’Toole, W. (2011) Events feasibility and development: from strategy to operations. Elsevier: Oxford.</w:t>
      </w:r>
    </w:p>
    <w:p w14:paraId="1D477A5C" w14:textId="77777777" w:rsidR="00145092" w:rsidRDefault="00145092">
      <w:pPr>
        <w:rPr>
          <w:color w:val="000000"/>
          <w:highlight w:val="white"/>
        </w:rPr>
      </w:pPr>
      <w:r>
        <w:rPr>
          <w:color w:val="000000"/>
          <w:highlight w:val="white"/>
        </w:rPr>
        <w:t>Richards, G., Censon, D., Gračan, D., Haressy, M., Kiráľová, A., Marulc, E., Rossetti, G., Barkiđija Sotošek, M. and Sterchele, D., 2025. Event management literature: exploring the missing body of knowledge. </w:t>
      </w:r>
      <w:r>
        <w:rPr>
          <w:i/>
          <w:color w:val="000000"/>
          <w:highlight w:val="white"/>
        </w:rPr>
        <w:t>Journal of Policy Research in Tourism, Leisure and Events</w:t>
      </w:r>
      <w:r>
        <w:rPr>
          <w:color w:val="000000"/>
          <w:highlight w:val="white"/>
        </w:rPr>
        <w:t>, </w:t>
      </w:r>
      <w:r>
        <w:rPr>
          <w:i/>
          <w:color w:val="000000"/>
          <w:highlight w:val="white"/>
        </w:rPr>
        <w:t>17</w:t>
      </w:r>
      <w:r>
        <w:rPr>
          <w:color w:val="000000"/>
          <w:highlight w:val="white"/>
        </w:rPr>
        <w:t>(1), pp.172-193.</w:t>
      </w:r>
    </w:p>
    <w:p w14:paraId="5A2DEF0A" w14:textId="77777777" w:rsidR="00145092" w:rsidRDefault="00145092">
      <w:pPr>
        <w:rPr>
          <w:color w:val="000000"/>
        </w:rPr>
      </w:pPr>
      <w:r>
        <w:rPr>
          <w:color w:val="000000"/>
        </w:rPr>
        <w:t>Rogers, T. Wynn-Moylan, P (2022) Conferences and conventions: a global industry. 4th Edition. Routledge: Oxford.</w:t>
      </w:r>
    </w:p>
    <w:p w14:paraId="2F3847BF" w14:textId="77777777" w:rsidR="00145092" w:rsidRDefault="00145092">
      <w:pPr>
        <w:rPr>
          <w:color w:val="000000"/>
          <w:highlight w:val="white"/>
        </w:rPr>
      </w:pPr>
      <w:r>
        <w:rPr>
          <w:color w:val="000000"/>
          <w:highlight w:val="white"/>
        </w:rPr>
        <w:t>Rossetti, G. and Quinn, B., 2023. The value of the serious leisure perspective in understanding cultural capital embodiment in festival settings. </w:t>
      </w:r>
      <w:r>
        <w:rPr>
          <w:i/>
          <w:color w:val="000000"/>
          <w:highlight w:val="white"/>
        </w:rPr>
        <w:t>The Sociological Review</w:t>
      </w:r>
      <w:r>
        <w:rPr>
          <w:color w:val="000000"/>
          <w:highlight w:val="white"/>
        </w:rPr>
        <w:t>, </w:t>
      </w:r>
      <w:r>
        <w:rPr>
          <w:i/>
          <w:color w:val="000000"/>
          <w:highlight w:val="white"/>
        </w:rPr>
        <w:t>71</w:t>
      </w:r>
      <w:r>
        <w:rPr>
          <w:color w:val="000000"/>
          <w:highlight w:val="white"/>
        </w:rPr>
        <w:t>(3), pp.526-543.</w:t>
      </w:r>
    </w:p>
    <w:p w14:paraId="1D25408F" w14:textId="77777777" w:rsidR="00145092" w:rsidRDefault="00145092">
      <w:pPr>
        <w:rPr>
          <w:color w:val="000000"/>
        </w:rPr>
      </w:pPr>
      <w:r>
        <w:rPr>
          <w:color w:val="000000"/>
        </w:rPr>
        <w:t>Smith, A. (2012) Events and urban regeneration: the strategic use of events to revitalise cities. Routledge: Oxford.</w:t>
      </w:r>
    </w:p>
    <w:p w14:paraId="392A5D14" w14:textId="77777777" w:rsidR="00145092" w:rsidRDefault="00145092">
      <w:pPr>
        <w:rPr>
          <w:color w:val="000000"/>
          <w:highlight w:val="white"/>
        </w:rPr>
      </w:pPr>
      <w:r>
        <w:rPr>
          <w:color w:val="000000"/>
          <w:highlight w:val="white"/>
        </w:rPr>
        <w:t>Talele, A., Patil, R., Nimgaonkar, S., Shethji, P. and Patil, M., 2023, August. Event Management Using Blockchain. In </w:t>
      </w:r>
      <w:r>
        <w:rPr>
          <w:i/>
          <w:color w:val="000000"/>
          <w:highlight w:val="white"/>
        </w:rPr>
        <w:t>International Conference on ICT for Sustainable Development</w:t>
      </w:r>
      <w:r>
        <w:rPr>
          <w:color w:val="000000"/>
          <w:highlight w:val="white"/>
        </w:rPr>
        <w:t> (pp. 141-148). Singapore: Springer Nature Singapore.</w:t>
      </w:r>
    </w:p>
    <w:p w14:paraId="2941ABC6" w14:textId="77777777" w:rsidR="00145092" w:rsidRDefault="00145092">
      <w:pPr>
        <w:rPr>
          <w:color w:val="000000"/>
          <w:highlight w:val="white"/>
        </w:rPr>
      </w:pPr>
      <w:r>
        <w:rPr>
          <w:color w:val="000000"/>
          <w:highlight w:val="white"/>
        </w:rPr>
        <w:lastRenderedPageBreak/>
        <w:t>Zamzuri, N.H., Azizi, N.F.A. and Hanafiah, M.H., 2023, October. Research note: Tourism event sustainability and value creation. In </w:t>
      </w:r>
      <w:r>
        <w:rPr>
          <w:i/>
          <w:color w:val="000000"/>
          <w:highlight w:val="white"/>
        </w:rPr>
        <w:t>Journal of Convention &amp; Event Tourism</w:t>
      </w:r>
      <w:r>
        <w:rPr>
          <w:color w:val="000000"/>
          <w:highlight w:val="white"/>
        </w:rPr>
        <w:t> (Vol. 24, No. 5, pp. 501-518). Routledge.</w:t>
      </w:r>
    </w:p>
    <w:p w14:paraId="19B8D8BC" w14:textId="77777777" w:rsidR="001215CC" w:rsidRDefault="001215CC"/>
    <w:sectPr w:rsidR="001215C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034ED" w14:textId="77777777" w:rsidR="0043762D" w:rsidRDefault="0043762D">
      <w:pPr>
        <w:spacing w:after="0" w:line="240" w:lineRule="auto"/>
      </w:pPr>
      <w:r>
        <w:separator/>
      </w:r>
    </w:p>
  </w:endnote>
  <w:endnote w:type="continuationSeparator" w:id="0">
    <w:p w14:paraId="488AD1C5" w14:textId="77777777" w:rsidR="0043762D" w:rsidRDefault="00437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153275"/>
      <w:docPartObj>
        <w:docPartGallery w:val="Page Numbers (Bottom of Page)"/>
        <w:docPartUnique/>
      </w:docPartObj>
    </w:sdtPr>
    <w:sdtEndPr>
      <w:rPr>
        <w:noProof/>
      </w:rPr>
    </w:sdtEndPr>
    <w:sdtContent>
      <w:p w14:paraId="7311E997" w14:textId="0C88CC33" w:rsidR="00145092" w:rsidRDefault="00145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9825E0" w14:textId="77777777" w:rsidR="001215CC" w:rsidRDefault="001215C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6B2A1" w14:textId="77777777" w:rsidR="0043762D" w:rsidRDefault="0043762D">
      <w:pPr>
        <w:spacing w:after="0" w:line="240" w:lineRule="auto"/>
      </w:pPr>
      <w:r>
        <w:separator/>
      </w:r>
    </w:p>
  </w:footnote>
  <w:footnote w:type="continuationSeparator" w:id="0">
    <w:p w14:paraId="07B9E56E" w14:textId="77777777" w:rsidR="0043762D" w:rsidRDefault="00437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95F"/>
    <w:multiLevelType w:val="multilevel"/>
    <w:tmpl w:val="BAACD0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20576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5CC"/>
    <w:rsid w:val="001215CC"/>
    <w:rsid w:val="00145092"/>
    <w:rsid w:val="00422DFE"/>
    <w:rsid w:val="0043762D"/>
    <w:rsid w:val="004B2DD7"/>
    <w:rsid w:val="008244AA"/>
    <w:rsid w:val="00986A83"/>
    <w:rsid w:val="00A641EA"/>
    <w:rsid w:val="00BE6D3C"/>
    <w:rsid w:val="00E00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2F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E33"/>
  </w:style>
  <w:style w:type="paragraph" w:styleId="Heading1">
    <w:name w:val="heading 1"/>
    <w:basedOn w:val="Normal"/>
    <w:next w:val="Normal"/>
    <w:link w:val="Heading1Char"/>
    <w:uiPriority w:val="9"/>
    <w:qFormat/>
    <w:rsid w:val="00194E33"/>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194E33"/>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94E3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194E33"/>
    <w:rPr>
      <w:rFonts w:ascii="Times New Roman" w:eastAsiaTheme="majorEastAsia" w:hAnsi="Times New Roman" w:cstheme="majorBidi"/>
      <w:b/>
      <w:color w:val="000000" w:themeColor="text1"/>
      <w:sz w:val="28"/>
      <w:szCs w:val="26"/>
    </w:rPr>
  </w:style>
  <w:style w:type="paragraph" w:customStyle="1" w:styleId="Default">
    <w:name w:val="Default"/>
    <w:rsid w:val="00A869D4"/>
    <w:pPr>
      <w:autoSpaceDE w:val="0"/>
      <w:autoSpaceDN w:val="0"/>
      <w:adjustRightInd w:val="0"/>
      <w:spacing w:after="0" w:line="240" w:lineRule="auto"/>
    </w:pPr>
    <w:rPr>
      <w:rFonts w:ascii="Arial" w:hAnsi="Arial" w:cs="Arial"/>
      <w:color w:val="000000"/>
    </w:rPr>
  </w:style>
  <w:style w:type="character" w:styleId="Strong">
    <w:name w:val="Strong"/>
    <w:basedOn w:val="DefaultParagraphFont"/>
    <w:uiPriority w:val="22"/>
    <w:qFormat/>
    <w:rsid w:val="005F56DC"/>
    <w:rPr>
      <w:b/>
      <w:bCs/>
    </w:rPr>
  </w:style>
  <w:style w:type="table" w:styleId="TableGrid">
    <w:name w:val="Table Grid"/>
    <w:basedOn w:val="TableNormal"/>
    <w:uiPriority w:val="39"/>
    <w:rsid w:val="00190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90BE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33753"/>
    <w:pPr>
      <w:ind w:left="720"/>
      <w:contextualSpacing/>
    </w:pPr>
  </w:style>
  <w:style w:type="character" w:styleId="Emphasis">
    <w:name w:val="Emphasis"/>
    <w:basedOn w:val="DefaultParagraphFont"/>
    <w:uiPriority w:val="20"/>
    <w:qFormat/>
    <w:rsid w:val="003A357F"/>
    <w:rPr>
      <w:i/>
      <w:iCs/>
    </w:rPr>
  </w:style>
  <w:style w:type="paragraph" w:styleId="Header">
    <w:name w:val="header"/>
    <w:basedOn w:val="Normal"/>
    <w:link w:val="HeaderChar"/>
    <w:uiPriority w:val="99"/>
    <w:unhideWhenUsed/>
    <w:rsid w:val="00924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3DA"/>
    <w:rPr>
      <w:rFonts w:ascii="Times New Roman" w:hAnsi="Times New Roman"/>
      <w:sz w:val="24"/>
    </w:rPr>
  </w:style>
  <w:style w:type="paragraph" w:styleId="Footer">
    <w:name w:val="footer"/>
    <w:basedOn w:val="Normal"/>
    <w:link w:val="FooterChar"/>
    <w:uiPriority w:val="99"/>
    <w:unhideWhenUsed/>
    <w:rsid w:val="00924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3DA"/>
    <w:rPr>
      <w:rFonts w:ascii="Times New Roman" w:hAnsi="Times New Roman"/>
      <w:sz w:val="24"/>
    </w:rPr>
  </w:style>
  <w:style w:type="paragraph" w:styleId="TOCHeading">
    <w:name w:val="TOC Heading"/>
    <w:basedOn w:val="Heading1"/>
    <w:next w:val="Normal"/>
    <w:uiPriority w:val="39"/>
    <w:unhideWhenUsed/>
    <w:qFormat/>
    <w:rsid w:val="00D8042B"/>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D8042B"/>
    <w:pPr>
      <w:spacing w:after="100"/>
    </w:pPr>
  </w:style>
  <w:style w:type="character" w:styleId="Hyperlink">
    <w:name w:val="Hyperlink"/>
    <w:basedOn w:val="DefaultParagraphFont"/>
    <w:uiPriority w:val="99"/>
    <w:unhideWhenUsed/>
    <w:rsid w:val="00D8042B"/>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0">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1">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561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Fo7ebfnYcFofFKG8vFFFU6mCOA==">CgMxLjAyDmguaTlzbjEzZjVucXNqMg5oLmtpdTc5eXQ0a29iZDIOaC5oanVta3p3a212cmIyDWguMjBibDYzZW9obW8yDmguemZ2aTdxeXNxenV3Mg5oLnF2MXZmdzNvNWt4cTIOaC43MGQzMDh4OWVwM3UyDmgubHRwbmFhYnI4NjV2Mg5oLnJxdjd6enBlY3gxMDIOaC4xZ2pncWFwOHFxZzE4AHIhMWZlVXJ1UHNkWHBTWWo2aWJCamtFNkxJS1B5WG9CNk55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3060</Words>
  <Characters>17445</Characters>
  <Application>Microsoft Office Word</Application>
  <DocSecurity>0</DocSecurity>
  <Lines>145</Lines>
  <Paragraphs>40</Paragraphs>
  <ScaleCrop>false</ScaleCrop>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2025-06-12T09:34:00Z</dcterms:created>
  <dcterms:modified xsi:type="dcterms:W3CDTF">2025-06-12T09:34:00Z</dcterms:modified>
</cp:coreProperties>
</file>