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46D9" w:rsidRPr="00041EBC" w:rsidRDefault="003046D9">
      <w:pPr>
        <w:rPr>
          <w:b/>
          <w:sz w:val="24"/>
          <w:szCs w:val="24"/>
          <w:u w:val="single"/>
        </w:rPr>
      </w:pPr>
      <w:r w:rsidRPr="00041EBC">
        <w:rPr>
          <w:b/>
          <w:sz w:val="24"/>
          <w:szCs w:val="24"/>
          <w:u w:val="single"/>
        </w:rPr>
        <w:t>Discuss what it means for Dasein to be thrown in relation to being in the world and facticity.</w:t>
      </w:r>
    </w:p>
    <w:p w:rsidR="003046D9" w:rsidRDefault="003046D9"/>
    <w:p w:rsidR="003046D9" w:rsidRDefault="003046D9">
      <w:r>
        <w:t xml:space="preserve">Dasein as a concept was an idea that rebelled against the philosophical Cartesian tradition as it came to be with Husserl’s ideas about Cartesianism and that they were forming a culmination of this philosophical tradition of Cartesianism. This being the case because at the time, Husserl believed he had discovered the essence of the mind, that is; the mind is always directed towards something outside of it in some way and that the mind is the only thing in the universe that has this </w:t>
      </w:r>
      <w:r w:rsidRPr="003046D9">
        <w:rPr>
          <w:i/>
        </w:rPr>
        <w:t>directedness</w:t>
      </w:r>
      <w:r>
        <w:t xml:space="preserve">. This directedness being technically called </w:t>
      </w:r>
      <w:r w:rsidRPr="003046D9">
        <w:rPr>
          <w:i/>
        </w:rPr>
        <w:t>intentionality</w:t>
      </w:r>
      <w:r>
        <w:t xml:space="preserve">. Heidegger didn’t see this as being the case at all. He didn’t </w:t>
      </w:r>
      <w:r w:rsidR="00724EF8">
        <w:t>see the world as being</w:t>
      </w:r>
      <w:r>
        <w:t xml:space="preserve"> subjects</w:t>
      </w:r>
      <w:r w:rsidR="00724EF8">
        <w:t xml:space="preserve"> </w:t>
      </w:r>
      <w:r>
        <w:t xml:space="preserve">directed toward objects and cartesianism and Husserl claimed. When he looked at the relationship between human beings and the world, he didn’t </w:t>
      </w:r>
      <w:r w:rsidR="00724EF8">
        <w:t>see</w:t>
      </w:r>
      <w:r>
        <w:t xml:space="preserve"> it as sub</w:t>
      </w:r>
      <w:r w:rsidR="00724EF8">
        <w:t xml:space="preserve">jects, directed toward objects </w:t>
      </w:r>
      <w:r>
        <w:t xml:space="preserve">or that consciousness in the Cartesian </w:t>
      </w:r>
      <w:r w:rsidR="00724EF8">
        <w:t>sense didn’t play any role</w:t>
      </w:r>
      <w:r w:rsidR="00041EBC">
        <w:t xml:space="preserve"> in our everyday activity, it may be helpful to state that Heidegger also thought that being a human being was an activity also</w:t>
      </w:r>
      <w:r w:rsidR="00724EF8">
        <w:t>.</w:t>
      </w:r>
    </w:p>
    <w:p w:rsidR="00724EF8" w:rsidRDefault="00724EF8"/>
    <w:p w:rsidR="00724EF8" w:rsidRDefault="00724EF8">
      <w:r>
        <w:t xml:space="preserve">When Heidegger talks about his relation to ‘objects’ he instead uses the term, ‘things’, used rather like the general, “things” or “stuff” such as a notepad, chair, window, pen, door, lightbulb or a room. He also references that they may also be called equipment, however he carefully states that, “taken strictly, there ’is’ no such thing as </w:t>
      </w:r>
      <w:r>
        <w:rPr>
          <w:i/>
        </w:rPr>
        <w:t>an</w:t>
      </w:r>
      <w:r>
        <w:t xml:space="preserve"> equipment</w:t>
      </w:r>
      <w:r w:rsidR="00F47FF9">
        <w:t>. To the Being of any equipment there always belongs a totality of equipment, in which it can be this equipment that it is. Equipment is essentially ‘something in-order-to…’</w:t>
      </w:r>
      <w:r w:rsidR="00E406C8">
        <w:t xml:space="preserve"> </w:t>
      </w:r>
      <w:r w:rsidR="00F47FF9">
        <w:t>[“etwas um-zu…”]. A totality of equipment is constituted by various ways of the ‘in-order-to’, such as serviceability, conduciveness, usability, manipulability.</w:t>
      </w:r>
      <w:r w:rsidR="00584E31">
        <w:t>”</w:t>
      </w:r>
      <w:r w:rsidR="00041EBC">
        <w:rPr>
          <w:rStyle w:val="EndnoteReference"/>
        </w:rPr>
        <w:endnoteReference w:id="1"/>
      </w:r>
      <w:r w:rsidR="00041EBC">
        <w:t>.</w:t>
      </w:r>
      <w:r w:rsidR="00F47FF9">
        <w:t xml:space="preserve"> He gives an example of one of the relations we can have with equipment, Heidegger states when giving this example, “In dealings such as this, where something is put to use, our concern subordinates itself </w:t>
      </w:r>
      <w:r w:rsidR="00584E31">
        <w:t>to the “in-order-to” which is constitutive for the equipment we are employing at the time; the less we just stare at the hammer-Thing, the more we seize hold of it and use it, the more primordial does our relationship to it become.”</w:t>
      </w:r>
      <w:r w:rsidR="00041EBC">
        <w:rPr>
          <w:rStyle w:val="EndnoteReference"/>
        </w:rPr>
        <w:endnoteReference w:id="2"/>
      </w:r>
      <w:r w:rsidR="00041EBC">
        <w:t>,</w:t>
      </w:r>
      <w:r w:rsidR="00584E31">
        <w:t xml:space="preserve"> “</w:t>
      </w:r>
      <w:r w:rsidR="00F4401F">
        <w:t>T</w:t>
      </w:r>
      <w:r w:rsidR="00584E31">
        <w:t xml:space="preserve">he hammering itself uncovers the specific </w:t>
      </w:r>
      <w:r w:rsidR="00F4401F">
        <w:t>‘</w:t>
      </w:r>
      <w:r w:rsidR="00584E31">
        <w:t>manipulability</w:t>
      </w:r>
      <w:r w:rsidR="00F4401F">
        <w:t>’</w:t>
      </w:r>
      <w:r w:rsidR="00584E31">
        <w:t>[“Handlichkeit”]</w:t>
      </w:r>
      <w:r w:rsidR="00F4401F">
        <w:t xml:space="preserve"> of the hammer. The Kind of Being which equipment possesses—in which it manifests itself in its own right—we call “</w:t>
      </w:r>
      <w:r w:rsidR="00F4401F" w:rsidRPr="00F4401F">
        <w:rPr>
          <w:i/>
        </w:rPr>
        <w:t>readiness-to-hand</w:t>
      </w:r>
      <w:r w:rsidR="00F4401F">
        <w:rPr>
          <w:i/>
        </w:rPr>
        <w:t>”</w:t>
      </w:r>
      <w:r w:rsidR="00F4401F">
        <w:t>”</w:t>
      </w:r>
      <w:r w:rsidR="00041EBC">
        <w:rPr>
          <w:rStyle w:val="EndnoteReference"/>
        </w:rPr>
        <w:endnoteReference w:id="3"/>
      </w:r>
      <w:r w:rsidR="00041EBC">
        <w:t>.</w:t>
      </w:r>
      <w:r w:rsidR="00F4401F">
        <w:t xml:space="preserve"> The concept “readiness-to-hand” here is </w:t>
      </w:r>
      <w:r w:rsidR="00142439">
        <w:t>describing</w:t>
      </w:r>
      <w:r w:rsidR="00F4401F">
        <w:t xml:space="preserve"> the relationship between human beings and “Things” or “equipment” such as a hammer is </w:t>
      </w:r>
      <w:r w:rsidR="00142439">
        <w:t xml:space="preserve">transparent to our consciousness when in the motion of using a hammer to knock in a nail, </w:t>
      </w:r>
      <w:r w:rsidR="00D13268">
        <w:t>‘</w:t>
      </w:r>
      <w:r w:rsidR="00142439">
        <w:t>in-order-to</w:t>
      </w:r>
      <w:r w:rsidR="00D13268">
        <w:t>’</w:t>
      </w:r>
      <w:r w:rsidR="00142439">
        <w:t xml:space="preserve"> fix a floorboard</w:t>
      </w:r>
      <w:r w:rsidR="00D13268">
        <w:t>, ‘for-the-sake-of’</w:t>
      </w:r>
      <w:r w:rsidR="00E406C8">
        <w:t xml:space="preserve"> repairing a house</w:t>
      </w:r>
      <w:r w:rsidR="00142439">
        <w:t>. And that in that motion of action, there is no contemplating the objects as a wooden section, with a piece of metal wedged onto the end of it, or that is say, weighs a certain weight in pounds and what colours it can be described as having, instead we have no awareness of these properties of the hammer-Thing and that instead it seems to become an action of motion or “readiness-to-hand” that occurs ‘blindly’</w:t>
      </w:r>
      <w:r w:rsidR="00E83A06">
        <w:t xml:space="preserve">, however this is not the case as Heidegger states within the hammer example, “when we deal with them by using them and manipulating them, this activity is not a blind one; it has its own kind of sight, be which or manipulation is guided and from which is acquires its specific </w:t>
      </w:r>
      <w:r w:rsidR="00E83A06" w:rsidRPr="00682428">
        <w:t>Thingly</w:t>
      </w:r>
      <w:r w:rsidR="00E83A06">
        <w:t xml:space="preserve"> character.”-</w:t>
      </w:r>
      <w:r w:rsidR="00E406C8">
        <w:t xml:space="preserve"> </w:t>
      </w:r>
      <w:r w:rsidR="00E83A06">
        <w:t>such as a hammer is for knocking nails by manipulating it to do so.</w:t>
      </w:r>
    </w:p>
    <w:p w:rsidR="00E83A06" w:rsidRDefault="00E83A06"/>
    <w:p w:rsidR="009020E1" w:rsidRDefault="00E83A06">
      <w:r>
        <w:t xml:space="preserve">The </w:t>
      </w:r>
      <w:r w:rsidR="00041EBC">
        <w:t>‘</w:t>
      </w:r>
      <w:r>
        <w:t>ready-to-hand</w:t>
      </w:r>
      <w:r w:rsidR="00041EBC">
        <w:t>’</w:t>
      </w:r>
      <w:r>
        <w:t xml:space="preserve"> relationship that we have with the world is part of a large state of Being and this Heidegger Calls Dasein. Dasein in a translation to English means existence and taken </w:t>
      </w:r>
      <w:r w:rsidR="009020E1">
        <w:t>apart</w:t>
      </w:r>
      <w:r>
        <w:t xml:space="preserve"> it means, ‘being, the there’. He uses this particular word to attempt to describe our everyday situation</w:t>
      </w:r>
      <w:r w:rsidR="00682428">
        <w:t xml:space="preserve">, that is, </w:t>
      </w:r>
      <w:r w:rsidR="00682428">
        <w:lastRenderedPageBreak/>
        <w:t>we aren’t subjects confronted by objects that are inferred into existence by our own directed mental content, but that we start off, already in amongst the world and that we aren’t separate at all. He formulates one of these states of being as I mentioned earlier as, “readiness-to-hand”</w:t>
      </w:r>
      <w:r w:rsidR="00041EBC">
        <w:t xml:space="preserve"> he also has other states of being which are, ‘present at hand’ which is what the Cartesians thought of when they thought of the state of being as </w:t>
      </w:r>
      <w:r w:rsidR="00D13268">
        <w:t xml:space="preserve">subjects contemplating objects and ‘unready-to-hand’ and this was to describe the kind of being we were when the readiness to hand of a ‘thing’ is disturbed, such as the hammer being too heavy and one noticing this and becoming aware of this difference or that when we turn the door knob to get into a room, there is a stiffness, so our ready-to-hand relationship to the door knob becomes an unready-to-hand relationship and we notice that we have to </w:t>
      </w:r>
      <w:r w:rsidR="00D13268">
        <w:rPr>
          <w:i/>
        </w:rPr>
        <w:t>try</w:t>
      </w:r>
      <w:r w:rsidR="00D13268">
        <w:t xml:space="preserve"> and turn the door knob, thus we become aware of the door knob and the situation surrounding it, for example the stiffness or tightness of the knob</w:t>
      </w:r>
      <w:r w:rsidR="00682428">
        <w:t xml:space="preserve">. Another part of the situation of being Dasein is </w:t>
      </w:r>
      <w:r w:rsidR="00D13268">
        <w:t>our knowledge of our own deaths</w:t>
      </w:r>
      <w:r w:rsidR="00682428">
        <w:t>, this for Heidegger is part of the fundamentally unsettling nature of being Dasein, that is, we can imagine our own death, we have knowledge through simple Empiricism that our li</w:t>
      </w:r>
      <w:r w:rsidR="00D13268">
        <w:t>ves will end with death</w:t>
      </w:r>
      <w:r w:rsidR="00E406C8">
        <w:t xml:space="preserve"> and that our parents or ‘guides’ through life will also die thus ‘abandoning’ us here in the world</w:t>
      </w:r>
      <w:r w:rsidR="00D13268">
        <w:t>, althou</w:t>
      </w:r>
      <w:r w:rsidR="00682428">
        <w:t xml:space="preserve">gh we will never actually </w:t>
      </w:r>
      <w:r w:rsidR="00682428" w:rsidRPr="00682428">
        <w:rPr>
          <w:i/>
        </w:rPr>
        <w:t>experience</w:t>
      </w:r>
      <w:r w:rsidR="00682428">
        <w:t xml:space="preserve"> our own death. Heidegger puts forward an analysis of what seems to be an description of an existential crisis in which</w:t>
      </w:r>
      <w:r w:rsidR="00FE0CAC">
        <w:t xml:space="preserve"> there is an</w:t>
      </w:r>
      <w:r w:rsidR="00682428">
        <w:t xml:space="preserve"> anxiety</w:t>
      </w:r>
      <w:r w:rsidR="00FE0CAC">
        <w:t xml:space="preserve"> born from the knowledge</w:t>
      </w:r>
      <w:r w:rsidR="00D13268">
        <w:t>,</w:t>
      </w:r>
      <w:r w:rsidR="00FE0CAC">
        <w:t xml:space="preserve"> that everything one works toward their whole lives will come to an abrupt end with death and that no matter what </w:t>
      </w:r>
      <w:r w:rsidR="00FE0CAC">
        <w:rPr>
          <w:i/>
        </w:rPr>
        <w:t xml:space="preserve">choices </w:t>
      </w:r>
      <w:r w:rsidR="00FE0CAC">
        <w:t>we make about how we go about living our lives, there is always an underlying knowledge and awareness that all of our efforts will come to nothing when we die. The anxiety for Heidegger also comes from the fact that we are always faced with a multitude of choices at any one time and that even though we have a ‘choice’ about which we which we are to choose, there are already</w:t>
      </w:r>
      <w:r w:rsidR="006935EA">
        <w:t xml:space="preserve"> from the beginning</w:t>
      </w:r>
      <w:r w:rsidR="00FE0CAC">
        <w:t xml:space="preserve"> set parameters for these choices</w:t>
      </w:r>
      <w:r w:rsidR="00D13268">
        <w:t>, by which they are restricted to be within the bounds of</w:t>
      </w:r>
      <w:r w:rsidR="00FE0CAC">
        <w:t xml:space="preserve">. </w:t>
      </w:r>
      <w:r w:rsidR="00E406C8">
        <w:t xml:space="preserve">  </w:t>
      </w:r>
      <w:r w:rsidR="00FE0CAC">
        <w:t>This comes about for Heidegger with the concept of ‘</w:t>
      </w:r>
      <w:r w:rsidR="00FE0CAC" w:rsidRPr="00FE0CAC">
        <w:rPr>
          <w:i/>
        </w:rPr>
        <w:t>Facticity</w:t>
      </w:r>
      <w:r w:rsidR="00FE0CAC">
        <w:t xml:space="preserve">’. Facticity is the things that determine our baseline situation </w:t>
      </w:r>
      <w:r w:rsidR="006935EA">
        <w:t>that</w:t>
      </w:r>
      <w:r w:rsidR="00FE0CAC">
        <w:t xml:space="preserve"> we are in at the ‘beginning’ of our lives, such as, genetic disposition, social status(e.g. working class, slave labourer, son of an </w:t>
      </w:r>
      <w:r w:rsidR="006935EA">
        <w:t>emperor</w:t>
      </w:r>
      <w:r w:rsidR="00FE0CAC">
        <w:t>), who o</w:t>
      </w:r>
      <w:r w:rsidR="006935EA">
        <w:t xml:space="preserve">nes parents are, where one is situated in amongst the world. And through this facticity and being </w:t>
      </w:r>
      <w:r w:rsidR="009020E1">
        <w:t>Dasein</w:t>
      </w:r>
      <w:r w:rsidR="006935EA">
        <w:t xml:space="preserve"> we have what Heidegger calls a feeling of ‘</w:t>
      </w:r>
      <w:r w:rsidR="006935EA" w:rsidRPr="006935EA">
        <w:rPr>
          <w:i/>
        </w:rPr>
        <w:t>throwness’</w:t>
      </w:r>
      <w:r w:rsidR="00E406C8">
        <w:rPr>
          <w:i/>
        </w:rPr>
        <w:t xml:space="preserve"> </w:t>
      </w:r>
      <w:r w:rsidR="00E406C8">
        <w:t>and through the feeling of throwness we come to a fee</w:t>
      </w:r>
      <w:bookmarkStart w:id="0" w:name="_GoBack"/>
      <w:bookmarkEnd w:id="0"/>
      <w:r w:rsidR="00E406C8">
        <w:t>ling of abandonment and then, anguish and more anxiety.</w:t>
      </w:r>
      <w:r w:rsidR="006935EA">
        <w:rPr>
          <w:i/>
        </w:rPr>
        <w:t xml:space="preserve"> </w:t>
      </w:r>
      <w:r w:rsidR="006935EA" w:rsidRPr="006935EA">
        <w:t>Here, the term ‘thrown’ or ‘throwness’ is attempting to describ</w:t>
      </w:r>
      <w:r w:rsidR="006935EA">
        <w:t>e the feeling of becoming aware</w:t>
      </w:r>
      <w:r w:rsidR="006935EA" w:rsidRPr="006935EA">
        <w:t xml:space="preserve"> of that one never gives any kind of consent</w:t>
      </w:r>
      <w:r w:rsidR="006935EA">
        <w:t xml:space="preserve"> </w:t>
      </w:r>
      <w:r w:rsidR="006935EA" w:rsidRPr="006935EA">
        <w:t>to being alive</w:t>
      </w:r>
      <w:r w:rsidR="006935EA">
        <w:t>, but that in the event one recognizes that they are in amongst a present situation to which the means by which they originally came ‘into’ the world was not consensual and is intrinsic to their own ‘Being’</w:t>
      </w:r>
      <w:r w:rsidR="00D13268">
        <w:t xml:space="preserve"> in the world</w:t>
      </w:r>
      <w:r w:rsidR="006935EA">
        <w:t>.</w:t>
      </w:r>
    </w:p>
    <w:p w:rsidR="00E83A06" w:rsidRDefault="006935EA">
      <w:r>
        <w:t>However, there is a further terminology to be discussed in relation to this feeling of ‘throwness’ and that is what Heidegger calls, ‘care’. For Heidegger</w:t>
      </w:r>
      <w:r w:rsidR="00E406C8">
        <w:t>,</w:t>
      </w:r>
      <w:r>
        <w:t xml:space="preserve"> </w:t>
      </w:r>
      <w:r w:rsidR="009020E1">
        <w:t xml:space="preserve">care is an intrinsic part of what it is to be Dasein. Here, ‘care’ is used in a slightly different way than we would normally use it and here I shall explain how. For Heidegger, Dasein is </w:t>
      </w:r>
      <w:r w:rsidR="009020E1" w:rsidRPr="00E406C8">
        <w:rPr>
          <w:i/>
        </w:rPr>
        <w:t>always</w:t>
      </w:r>
      <w:r w:rsidR="009020E1">
        <w:t xml:space="preserve"> pressing ahead of itself, into the future and it is through this awareness and always being ahead of itself, that we, as Dasein have, </w:t>
      </w:r>
      <w:r w:rsidR="009020E1">
        <w:rPr>
          <w:i/>
        </w:rPr>
        <w:t>care</w:t>
      </w:r>
      <w:r w:rsidR="009020E1">
        <w:t xml:space="preserve"> about the future, the present and therefore inevitably , the past. In the second part of Heidegger’s</w:t>
      </w:r>
      <w:r w:rsidR="00D12DB0">
        <w:t xml:space="preserve"> book</w:t>
      </w:r>
      <w:r w:rsidR="009020E1">
        <w:t xml:space="preserve"> Being and Time</w:t>
      </w:r>
      <w:r w:rsidR="00D12DB0">
        <w:t>,</w:t>
      </w:r>
      <w:r w:rsidR="009020E1">
        <w:t xml:space="preserve"> he talks about ‘care’ being the structure of temporality. For me there is a </w:t>
      </w:r>
      <w:r w:rsidR="00D12DB0">
        <w:t>link here between care and the</w:t>
      </w:r>
      <w:r w:rsidR="009020E1">
        <w:t xml:space="preserve"> feeling that one has of being ‘thrown’ into the world, as being ‘thrown’ implies that one has be thrown from ‘from’ somewhere </w:t>
      </w:r>
      <w:r w:rsidR="009020E1">
        <w:rPr>
          <w:i/>
        </w:rPr>
        <w:t>before</w:t>
      </w:r>
      <w:r w:rsidR="009020E1">
        <w:t xml:space="preserve"> their situation of being in the world. However, how can this be the case if there is no</w:t>
      </w:r>
      <w:r w:rsidR="00D12DB0">
        <w:t xml:space="preserve"> ‘before’ we are in the world? In answer to this I theorise that the state of the feeling of ‘throwness’ is an illusion created by the nature of ‘care’, as it is care that has one assume there is always in every situation, a past, present and future of that situation of being in the world. But actually that there isn’t a ‘thrown’ from anywhere, but in fact more accurately one just </w:t>
      </w:r>
      <w:r w:rsidR="00D12DB0">
        <w:lastRenderedPageBreak/>
        <w:t>appears in the world and the effect of the intrinsic nature of Dasein</w:t>
      </w:r>
      <w:r w:rsidR="00041EBC">
        <w:t>’</w:t>
      </w:r>
      <w:r w:rsidR="00D12DB0">
        <w:t>s care, creates the illusion for one, that there was a past to contend with</w:t>
      </w:r>
      <w:r w:rsidR="00D13268">
        <w:t xml:space="preserve"> before they started Being a being in the world</w:t>
      </w:r>
      <w:r w:rsidR="00D12DB0">
        <w:t>.</w:t>
      </w:r>
    </w:p>
    <w:p w:rsidR="00041EBC" w:rsidRDefault="00041EBC"/>
    <w:p w:rsidR="00041EBC" w:rsidRDefault="00041EBC"/>
    <w:p w:rsidR="00041EBC" w:rsidRDefault="00041EBC"/>
    <w:p w:rsidR="00041EBC" w:rsidRDefault="00041EBC"/>
    <w:p w:rsidR="00041EBC" w:rsidRDefault="00041EBC"/>
    <w:p w:rsidR="00041EBC" w:rsidRDefault="00041EBC"/>
    <w:p w:rsidR="00041EBC" w:rsidRDefault="00041EBC"/>
    <w:p w:rsidR="00041EBC" w:rsidRPr="009020E1" w:rsidRDefault="00041EBC">
      <w:r>
        <w:t>Bibliography.</w:t>
      </w:r>
    </w:p>
    <w:sectPr w:rsidR="00041EBC" w:rsidRPr="009020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2AC5" w:rsidRDefault="00212AC5" w:rsidP="00584E31">
      <w:pPr>
        <w:spacing w:after="0" w:line="240" w:lineRule="auto"/>
      </w:pPr>
      <w:r>
        <w:separator/>
      </w:r>
    </w:p>
  </w:endnote>
  <w:endnote w:type="continuationSeparator" w:id="0">
    <w:p w:rsidR="00212AC5" w:rsidRDefault="00212AC5" w:rsidP="00584E31">
      <w:pPr>
        <w:spacing w:after="0" w:line="240" w:lineRule="auto"/>
      </w:pPr>
      <w:r>
        <w:continuationSeparator/>
      </w:r>
    </w:p>
  </w:endnote>
  <w:endnote w:id="1">
    <w:p w:rsidR="00041EBC" w:rsidRDefault="00041EBC">
      <w:pPr>
        <w:pStyle w:val="EndnoteText"/>
      </w:pPr>
      <w:r>
        <w:rPr>
          <w:rStyle w:val="EndnoteReference"/>
        </w:rPr>
        <w:endnoteRef/>
      </w:r>
      <w:r>
        <w:t xml:space="preserve"> P.97 Being and Time, Martin Heidegger, Blackwell Publishers, Redwood Books, 1993</w:t>
      </w:r>
    </w:p>
  </w:endnote>
  <w:endnote w:id="2">
    <w:p w:rsidR="00041EBC" w:rsidRDefault="00041EBC">
      <w:pPr>
        <w:pStyle w:val="EndnoteText"/>
      </w:pPr>
      <w:r>
        <w:rPr>
          <w:rStyle w:val="EndnoteReference"/>
        </w:rPr>
        <w:endnoteRef/>
      </w:r>
      <w:r>
        <w:t xml:space="preserve"> P.98 </w:t>
      </w:r>
      <w:r w:rsidRPr="00041EBC">
        <w:t>Being and Time, Martin Heidegger, Blackwell Publishers, Redwood Books, 1993</w:t>
      </w:r>
    </w:p>
  </w:endnote>
  <w:endnote w:id="3">
    <w:p w:rsidR="00041EBC" w:rsidRDefault="00041EBC">
      <w:pPr>
        <w:pStyle w:val="EndnoteText"/>
      </w:pPr>
      <w:r>
        <w:rPr>
          <w:rStyle w:val="EndnoteReference"/>
        </w:rPr>
        <w:endnoteRef/>
      </w:r>
      <w:r>
        <w:t xml:space="preserve"> P.98 </w:t>
      </w:r>
      <w:r w:rsidRPr="00041EBC">
        <w:t>Being and Time, Martin Heidegger, Blackwell Publishers, Redwood Books, 1993</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2AC5" w:rsidRDefault="00212AC5" w:rsidP="00584E31">
      <w:pPr>
        <w:spacing w:after="0" w:line="240" w:lineRule="auto"/>
      </w:pPr>
      <w:r>
        <w:separator/>
      </w:r>
    </w:p>
  </w:footnote>
  <w:footnote w:type="continuationSeparator" w:id="0">
    <w:p w:rsidR="00212AC5" w:rsidRDefault="00212AC5" w:rsidP="00584E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46D9"/>
    <w:rsid w:val="00041EBC"/>
    <w:rsid w:val="00142439"/>
    <w:rsid w:val="00212AC5"/>
    <w:rsid w:val="003046D9"/>
    <w:rsid w:val="00584E31"/>
    <w:rsid w:val="00682428"/>
    <w:rsid w:val="006935EA"/>
    <w:rsid w:val="006D6862"/>
    <w:rsid w:val="00724EF8"/>
    <w:rsid w:val="009020E1"/>
    <w:rsid w:val="00D12DB0"/>
    <w:rsid w:val="00D13268"/>
    <w:rsid w:val="00E406C8"/>
    <w:rsid w:val="00E83A06"/>
    <w:rsid w:val="00F4401F"/>
    <w:rsid w:val="00F47FF9"/>
    <w:rsid w:val="00FE0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4FBA2"/>
  <w15:chartTrackingRefBased/>
  <w15:docId w15:val="{2C0C5C1E-0388-48E5-8458-09B65B670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84E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4E31"/>
    <w:rPr>
      <w:sz w:val="20"/>
      <w:szCs w:val="20"/>
    </w:rPr>
  </w:style>
  <w:style w:type="character" w:styleId="FootnoteReference">
    <w:name w:val="footnote reference"/>
    <w:basedOn w:val="DefaultParagraphFont"/>
    <w:uiPriority w:val="99"/>
    <w:semiHidden/>
    <w:unhideWhenUsed/>
    <w:rsid w:val="00584E31"/>
    <w:rPr>
      <w:vertAlign w:val="superscript"/>
    </w:rPr>
  </w:style>
  <w:style w:type="character" w:styleId="CommentReference">
    <w:name w:val="annotation reference"/>
    <w:basedOn w:val="DefaultParagraphFont"/>
    <w:uiPriority w:val="99"/>
    <w:semiHidden/>
    <w:unhideWhenUsed/>
    <w:rsid w:val="00682428"/>
    <w:rPr>
      <w:sz w:val="16"/>
      <w:szCs w:val="16"/>
    </w:rPr>
  </w:style>
  <w:style w:type="paragraph" w:styleId="CommentText">
    <w:name w:val="annotation text"/>
    <w:basedOn w:val="Normal"/>
    <w:link w:val="CommentTextChar"/>
    <w:uiPriority w:val="99"/>
    <w:semiHidden/>
    <w:unhideWhenUsed/>
    <w:rsid w:val="00682428"/>
    <w:pPr>
      <w:spacing w:line="240" w:lineRule="auto"/>
    </w:pPr>
    <w:rPr>
      <w:sz w:val="20"/>
      <w:szCs w:val="20"/>
    </w:rPr>
  </w:style>
  <w:style w:type="character" w:customStyle="1" w:styleId="CommentTextChar">
    <w:name w:val="Comment Text Char"/>
    <w:basedOn w:val="DefaultParagraphFont"/>
    <w:link w:val="CommentText"/>
    <w:uiPriority w:val="99"/>
    <w:semiHidden/>
    <w:rsid w:val="00682428"/>
    <w:rPr>
      <w:sz w:val="20"/>
      <w:szCs w:val="20"/>
    </w:rPr>
  </w:style>
  <w:style w:type="paragraph" w:styleId="CommentSubject">
    <w:name w:val="annotation subject"/>
    <w:basedOn w:val="CommentText"/>
    <w:next w:val="CommentText"/>
    <w:link w:val="CommentSubjectChar"/>
    <w:uiPriority w:val="99"/>
    <w:semiHidden/>
    <w:unhideWhenUsed/>
    <w:rsid w:val="00682428"/>
    <w:rPr>
      <w:b/>
      <w:bCs/>
    </w:rPr>
  </w:style>
  <w:style w:type="character" w:customStyle="1" w:styleId="CommentSubjectChar">
    <w:name w:val="Comment Subject Char"/>
    <w:basedOn w:val="CommentTextChar"/>
    <w:link w:val="CommentSubject"/>
    <w:uiPriority w:val="99"/>
    <w:semiHidden/>
    <w:rsid w:val="00682428"/>
    <w:rPr>
      <w:b/>
      <w:bCs/>
      <w:sz w:val="20"/>
      <w:szCs w:val="20"/>
    </w:rPr>
  </w:style>
  <w:style w:type="paragraph" w:styleId="BalloonText">
    <w:name w:val="Balloon Text"/>
    <w:basedOn w:val="Normal"/>
    <w:link w:val="BalloonTextChar"/>
    <w:uiPriority w:val="99"/>
    <w:semiHidden/>
    <w:unhideWhenUsed/>
    <w:rsid w:val="00682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2428"/>
    <w:rPr>
      <w:rFonts w:ascii="Segoe UI" w:hAnsi="Segoe UI" w:cs="Segoe UI"/>
      <w:sz w:val="18"/>
      <w:szCs w:val="18"/>
    </w:rPr>
  </w:style>
  <w:style w:type="paragraph" w:styleId="EndnoteText">
    <w:name w:val="endnote text"/>
    <w:basedOn w:val="Normal"/>
    <w:link w:val="EndnoteTextChar"/>
    <w:uiPriority w:val="99"/>
    <w:semiHidden/>
    <w:unhideWhenUsed/>
    <w:rsid w:val="00041EB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41EBC"/>
    <w:rPr>
      <w:sz w:val="20"/>
      <w:szCs w:val="20"/>
    </w:rPr>
  </w:style>
  <w:style w:type="character" w:styleId="EndnoteReference">
    <w:name w:val="endnote reference"/>
    <w:basedOn w:val="DefaultParagraphFont"/>
    <w:uiPriority w:val="99"/>
    <w:semiHidden/>
    <w:unhideWhenUsed/>
    <w:rsid w:val="00041EB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44792-C2A1-4654-8D52-9538750EF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3</Pages>
  <Words>1480</Words>
  <Characters>7078</Characters>
  <Application>Microsoft Office Word</Application>
  <DocSecurity>0</DocSecurity>
  <Lines>101</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Cudlip (1502525)</dc:creator>
  <cp:keywords/>
  <dc:description/>
  <cp:lastModifiedBy>Ewan Cudlip (1502525)</cp:lastModifiedBy>
  <cp:revision>1</cp:revision>
  <dcterms:created xsi:type="dcterms:W3CDTF">2017-11-29T20:39:00Z</dcterms:created>
  <dcterms:modified xsi:type="dcterms:W3CDTF">2017-11-29T23:22:00Z</dcterms:modified>
</cp:coreProperties>
</file>