
<file path=[Content_Types].xml><?xml version="1.0" encoding="utf-8"?>
<Types xmlns="http://schemas.openxmlformats.org/package/2006/content-types">
  <Default Extension="rels" ContentType="application/vnd.openxmlformats-package.relationships+xml"/>
  <Default Extension="xml" ContentType="application/xml"/>
  <Default Extension="bmp" ContentType="image/bmp"/>
  <Default Extension="jpeg" ContentType="image/jpeg"/>
  <Default Extension="png" ContentType="image/png"/>
  <Default Extension="gif" ContentType="image/gif"/>
  <Default Extension="tif" ContentType="image/tif"/>
  <Default Extension="emf" ContentType="image/x-emf"/>
  <Default Extension="wmf" ContentType="image/x-wmf"/>
  <Default Extension="pct" ContentType="image/pct"/>
  <Default Extension="pcx" ContentType="image/pcx"/>
  <Default Extension="tga" ContentType="image/tga"/>
  <Default Extension="svg" ContentType="image/svg+xml"/>
  <Default Extension="webp" ContentType="image/png"/>
  <Default Extension="bin" ContentType="application/vnd.openxmlformats-officedocument.oleObject"/>
  <Override PartName="/docProps/core.xml" ContentType="application/vnd.openxmlformats-package.core-properties+xml"/>
  <Override PartName="/docProps/app.xml" ContentType="application/vnd.openxmlformats-officedocument.extended-properties+xml"/>
  <Override PartName="/word/webSettings.xml" ContentType="application/vnd.openxmlformats-officedocument.wordprocessingml.webSetting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document.xml" ContentType="application/vnd.openxmlformats-officedocument.wordprocessingml.document.main+xml"/>
</Types>
</file>

<file path=_rels/.rels><?xml version="1.0" encoding="UTF-8" standalone="yes" ?>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body>
    <w:p>
      <w:pPr>
        <w:pStyle w:val="para1"/>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1. Introduction</w:t>
      </w:r>
    </w:p>
    <w:p>
      <w:pPr>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t>Jaguar Land Rover (JLR) is one of the UK's leading luxury automotive manufacturers, producing vehicles under the Jaguar, Range Rover, Defender and Discovery brands. Since becoming a wholly owned subsidiary of Tata Motors in 2008, JLR has expanded globally while maintaining the UK as its primary manufacturing and research base. The company exports vehicles to more than 120 countries and continues to invest heavily in research, development and advanced manufacturing technologies (Jaguar Land Rover, 2025).The automotive industry has undergone significant transformation due to advances in artificial intelligence (AI), automation, digital technologies and the global shift towards electric vehicles. At the same time, manufacturers have faced challenges including Brexit, supply chain disruption, inflation and stricter environmental regulations, increasing pressure to improve efficiency and remain competitive (International Energy Agency, 2024; Deloitte, 2024).</w:t>
      </w:r>
    </w:p>
    <w:p>
      <w:pPr>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r>
    </w:p>
    <w:p>
      <w:pPr>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t xml:space="preserve">In response, JLR launched its </w:t>
      </w:r>
      <w:r>
        <w:rPr>
          <w:rFonts w:ascii="Arial" w:hAnsi="Arial" w:eastAsia="Arial" w:cs="Arial"/>
          <w:b/>
          <w:sz w:val="22"/>
          <w:szCs w:val="22"/>
        </w:rPr>
        <w:t>Reimagine</w:t>
      </w:r>
      <w:r>
        <w:rPr>
          <w:rFonts w:ascii="Arial" w:hAnsi="Arial" w:eastAsia="Arial" w:cs="Arial"/>
          <w:sz w:val="22"/>
          <w:szCs w:val="22"/>
        </w:rPr>
        <w:t xml:space="preserve"> strategy, focusing on electrification, digital innovation and sustainability. The strategy includes investment in AI-supported manufacturing, software-defined vehicles and renewable energy to strengthen operational performance and meet changing customer and regulatory expectations (Jaguar Land Rover, 2024).Vial (2019) argues that digital transformation requires organisations to redesign business processes, capabilities and organisational structures rather than simply adopt new technologies. This is particularly relevant to JLR, where long-term success depends on combining technological innovation with effective leadership and strategic change management.</w:t>
      </w:r>
    </w:p>
    <w:p>
      <w:pPr>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r>
    </w:p>
    <w:p>
      <w:pPr>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t>This report evaluates the internal and external factors influencing JLR, examines the impact of digital disruption, assesses relevant change management models and leadership approaches, and proposes a strategic change management plan to support the company's future competitiveness and sustainable growth.</w:t>
      </w:r>
    </w:p>
    <w:p>
      <w:pPr>
        <w:pStyle w:val="para1"/>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2. Analysis of the Internal and External Environment</w:t>
      </w:r>
    </w:p>
    <w:p>
      <w:pPr>
        <w:pStyle w:val="para2"/>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2.1 Internal Environment Analysis</w:t>
      </w:r>
    </w:p>
    <w:p>
      <w:pPr>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t>Understanding the internal environment helps organisations identify the resources and capabilities that create competitive advantage. According to the Resource-Based View (RBV), sustainable advantage is achieved through valuable, rare, inimitable and well-organised resources (Barney, 1991). JLR possesses several strategic assets that strengthen its position in the premium automotive market.JLR's internationally recognised brands Jaguar, Range Rover, Defender and Discovery-are associated with quality, innovation and luxury, enabling the company to achieve higher profit margins. The company also invests heavily in research and development, particularly in electric vehicles (EVs), software-defined vehicles and connected mobility, supporting its long-term growth strategy (Jaguar Land Rover, 2025).</w:t>
      </w:r>
    </w:p>
    <w:p>
      <w:pPr>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r>
    </w:p>
    <w:p>
      <w:pPr>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t>Another key strength is JLR's investment in advanced manufacturing technologies, including robotics, automation and AI, which improve efficiency, production quality and operational flexibility. Brynjolfsson and McAfee (2014) argue that intelligent automation enhances productivity and long-term competitiveness.However, JLR faces several weaknesses. Its reliance on the luxury vehicle market makes it vulnerable to economic downturns, while high investment in electrification and digital transformation places pressure on financial performance. Supply chain disruptions and semiconductor shortages have also exposed weaknesses in operational resilience.</w:t>
      </w:r>
    </w:p>
    <w:p>
      <w:pPr>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r>
    </w:p>
    <w:p>
      <w:pPr>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t>The shift towards software-defined vehicles requires employees to develop new digital skills. Hayes (2022) emphasises that workforce development is essential for successful organisational change, making continuous training a key priority for JLR's future competitiveness.</w:t>
      </w:r>
    </w:p>
    <w:p>
      <w:pPr>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r>
    </w:p>
    <w:p>
      <w:pPr>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bCs/>
          <w:sz w:val="22"/>
          <w:szCs w:val="22"/>
        </w:rPr>
      </w:pPr>
      <w:r>
        <w:rPr>
          <w:rFonts w:ascii="Arial" w:hAnsi="Arial" w:eastAsia="Arial" w:cs="Arial"/>
          <w:b/>
          <w:bCs/>
          <w:sz w:val="22"/>
          <w:szCs w:val="22"/>
        </w:rPr>
        <w:t>SWOT Analysis</w:t>
      </w:r>
    </w:p>
    <w:tbl>
      <w:tblPr>
        <w:tblStyle w:val="TableNormal"/>
        <w:name w:val="Table1"/>
        <w:tabOrder w:val="0"/>
        <w:jc w:val="left"/>
        <w:tblInd w:w="0" w:type="dxa"/>
        <w:tblW w:w="9360" w:type="dxa"/>
        <w:pPr>
          <w:keepNext/>
          <w:keepLines/>
          <w:rPr>
            <w:rFonts w:ascii="Arial" w:hAnsi="Arial" w:eastAsia="Arial" w:cs="Arial"/>
            <w:sz w:val="22"/>
            <w:szCs w:val="22"/>
          </w:rPr>
        </w:pPr>
        <w:tblLook w:val="0600" w:firstRow="0" w:lastRow="0" w:firstColumn="0" w:lastColumn="0" w:noHBand="1" w:noVBand="1"/>
      </w:tblPr>
      <w:tblGrid>
        <w:gridCol w:w="4680"/>
        <w:gridCol w:w="4680"/>
      </w:tblGrid>
      <w:tr>
        <w:trPr>
          <w:tblHeader/>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Strengths</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Weaknesses</w:t>
            </w:r>
          </w:p>
        </w:tc>
      </w:tr>
      <w:tr>
        <w:trPr>
          <w:tblHeader w:val="0"/>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Globally recognised premium brands</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High production and operating costs</w:t>
            </w:r>
          </w:p>
        </w:tc>
      </w:tr>
      <w:tr>
        <w:trPr>
          <w:tblHeader w:val="0"/>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Strong investment in research and development</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Dependence on luxury vehicle market</w:t>
            </w:r>
          </w:p>
        </w:tc>
      </w:tr>
      <w:tr>
        <w:trPr>
          <w:tblHeader w:val="0"/>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Advanced manufacturing technologies</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Supply chain vulnerability</w:t>
            </w:r>
          </w:p>
        </w:tc>
      </w:tr>
      <w:tr>
        <w:trPr>
          <w:tblHeader w:val="0"/>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Strong parent company support from Tata Motors</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Significant capital investment requirements</w:t>
            </w:r>
          </w:p>
        </w:tc>
      </w:tr>
    </w:tbl>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tbl>
      <w:tblPr>
        <w:tblStyle w:val="TableNormal"/>
        <w:name w:val="Table2"/>
        <w:tabOrder w:val="0"/>
        <w:jc w:val="left"/>
        <w:tblInd w:w="0" w:type="dxa"/>
        <w:tblW w:w="9360" w:type="dxa"/>
        <w:pPr>
          <w:keepNext/>
          <w:keepLines/>
          <w:rPr>
            <w:rFonts w:ascii="Arial" w:hAnsi="Arial" w:eastAsia="Arial" w:cs="Arial"/>
            <w:sz w:val="22"/>
            <w:szCs w:val="22"/>
          </w:rPr>
        </w:pPr>
        <w:tblLook w:val="0600" w:firstRow="0" w:lastRow="0" w:firstColumn="0" w:lastColumn="0" w:noHBand="1" w:noVBand="1"/>
      </w:tblPr>
      <w:tblGrid>
        <w:gridCol w:w="4680"/>
        <w:gridCol w:w="4680"/>
      </w:tblGrid>
      <w:tr>
        <w:trPr>
          <w:tblHeader/>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Opportunities</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Threats</w:t>
            </w:r>
          </w:p>
        </w:tc>
      </w:tr>
      <w:tr>
        <w:trPr>
          <w:tblHeader w:val="0"/>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Growing global EV market</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Intense global competition</w:t>
            </w:r>
          </w:p>
        </w:tc>
      </w:tr>
      <w:tr>
        <w:trPr>
          <w:tblHeader w:val="0"/>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Artificial intelligence and automation</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Economic uncertainty and inflation</w:t>
            </w:r>
          </w:p>
        </w:tc>
      </w:tr>
      <w:tr>
        <w:trPr>
          <w:tblHeader w:val="0"/>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Sustainable manufacturing</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Rapid technological change</w:t>
            </w:r>
          </w:p>
        </w:tc>
      </w:tr>
      <w:tr>
        <w:trPr>
          <w:tblHeader w:val="0"/>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Digital customer experience</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Strict environmental regulations</w:t>
            </w:r>
          </w:p>
        </w:tc>
      </w:tr>
    </w:tbl>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The SWOT analysis demonstrates that JLR possesses substantial strategic resources; however, maintaining competitive advantage will require continued investment in innovation, workforce capability and operational resilience.</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sz w:val="22"/>
          <w:szCs w:val="22"/>
        </w:rPr>
      </w:r>
      <w:r>
        <w:rPr>
          <w:noProof/>
        </w:rPr>
        <w:pict>
          <v:rect id="_x0000_i1026" style="width:0.00pt;height:0.65pt" o:hr="t" o:hrpct="1000" o:hralign="center" o:hrnoshade="t" fillcolor="#000000" stroked="f"/>
        </w:pict>
      </w:r>
      <w:r>
        <w:rPr>
          <w:rFonts w:ascii="Arial" w:hAnsi="Arial" w:eastAsia="Arial" w:cs="Arial"/>
          <w:sz w:val="22"/>
          <w:szCs w:val="22"/>
        </w:rPr>
      </w:r>
      <w:r>
        <w:rPr>
          <w:rFonts w:ascii="Arial" w:hAnsi="Arial" w:eastAsia="Arial" w:cs="Arial"/>
          <w:bCs/>
          <w:sz w:val="22"/>
          <w:szCs w:val="22"/>
        </w:rPr>
      </w:r>
    </w:p>
    <w:p>
      <w:pPr>
        <w:pStyle w:val="para2"/>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2.2 External Environment Analysis (PESTLE)</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External environmental analysis enables organisations to anticipate changes that may influence future strategic decisions. The PESTLE framework provides a structured approach for analysing political, economic, social, technological, legal and environmental influences affecting organisational performance (Johnson et al., 2020).</w:t>
      </w:r>
    </w:p>
    <w:p>
      <w:pPr>
        <w:pStyle w:val="para3"/>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Political Factors</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Political developments have significantly influenced JLR's operating environment. Brexit introduced new customs procedures, additional administrative requirements and increased trading costs between the United Kingdom and European markets. Furthermore, governments worldwide continue introducing industrial policies encouraging domestic electric vehicle production through subsidies and investment incentives. Such developments require JLR to continuously review its manufacturing strategy and international supply chain arrangements.</w:t>
      </w:r>
    </w:p>
    <w:p>
      <w:pPr>
        <w:pStyle w:val="para3"/>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Economic Factors</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Global inflation, fluctuating interest rates and slowing economic growth have affected consumer purchasing behaviour within the premium automotive market. Rising raw material prices, increasing energy costs and supply chain disruption have also increased production costs across the automotive sector. Deloitte (2024) reports that automotive manufacturers continue facing financial pressures while balancing investment in electrification with profitability.</w:t>
      </w:r>
    </w:p>
    <w:p>
      <w:pPr>
        <w:pStyle w:val="para3"/>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 xml:space="preserve">Social Factors </w:t>
      </w:r>
    </w:p>
    <w:p>
      <w:pPr>
        <w:pStyle w:val="para3"/>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b w:val="0"/>
          <w:sz w:val="22"/>
          <w:szCs w:val="22"/>
        </w:rPr>
      </w:pPr>
      <w:r>
        <w:rPr>
          <w:rFonts w:eastAsia="Arial"/>
          <w:b w:val="0"/>
          <w:sz w:val="22"/>
          <w:szCs w:val="22"/>
        </w:rPr>
        <w:t>Consumer preferences have changed considerably during the past decade. Customers increasingly value sustainability, digital connectivity and personalised driving experiences alongside traditional measures of vehicle quality and performance. Younger consumers are also more willing to adopt electric vehicles and digital mobility services than previous generations. Consequently, automotive manufacturers must deliver innovative technologies while maintaining premium customer experiences.</w:t>
      </w:r>
    </w:p>
    <w:p>
      <w:pPr>
        <w:pStyle w:val="para3"/>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Technological Factors</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Technology represents perhaps the most significant external driver of change affecting JLR. Artificial intelligence, cloud computing, machine learning, digital twins, robotics and the Internet of Things (IoT) are transforming automotive manufacturing and product development. Westerman et al. (2014) argue that digital transformation enables organisations to improve customer experience, optimise operations and create entirely new business models.JLR has responded by investing in AI-supported quality inspection systems, connected vehicle technologies and advanced software engineering. However, maintaining technological leadership requires continuous innovation because competitors are making similar investments.</w:t>
      </w:r>
    </w:p>
    <w:p>
      <w:pPr>
        <w:pStyle w:val="para3"/>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Legal Factors</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Environmental legislation continues to become more demanding. Governments across Europe have introduced increasingly stringent emissions regulations while setting ambitious targets for reducing carbon emissions and promoting electric vehicles. Compliance requires significant investment in cleaner technologies, battery development and sustainable manufacturing processes. Organisations failing to meet regulatory requirements face financial penalties and reputational damage.</w:t>
      </w:r>
    </w:p>
    <w:p>
      <w:pPr>
        <w:pStyle w:val="para3"/>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Environmental Factors</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Climate change has become a major strategic issue for automotive manufacturers. Consumers, investors and governments increasingly expect organisations to reduce greenhouse gas emissions throughout their operations and supply chains. JLR has committed to achieving net zero carbon emissions across its value chain by 2039 through renewable energy, electrification and sustainable manufacturing initiatives (Jaguar Land Rover, 2024).Overall, the PESTLE analysis demonstrates that external environmental forces are becoming increasingly dynamic and interconnected, requiring organisations such as JLR to adopt flexible and proactive strategic planning.</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bCs/>
          <w:sz w:val="22"/>
          <w:szCs w:val="22"/>
        </w:rPr>
      </w:pPr>
      <w:r>
        <w:rPr>
          <w:rFonts w:ascii="Arial" w:hAnsi="Arial" w:eastAsia="Arial" w:cs="Arial"/>
          <w:b/>
          <w:bCs/>
          <w:sz w:val="22"/>
          <w:szCs w:val="22"/>
        </w:rPr>
        <w:t>2.3 Porter's Five Forces Analysis</w:t>
      </w:r>
    </w:p>
    <w:p>
      <w:pPr>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t>Porter's Five Forces framework provides insight into the competitive pressures affecting JLR's strategic position (Porter, 1985).Competitive rivalry is intense, with JLR competing against premium manufacturers such as BMW, Mercedes-Benz, Audi and Lexus, as well as electric vehicle companies including Tesla and emerging Chinese brands. This competition requires continuous investment in innovation and customer experience.</w:t>
      </w:r>
    </w:p>
    <w:p>
      <w:pPr>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r>
    </w:p>
    <w:p>
      <w:pPr>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t>The threat of new entrants is relatively low due to high capital requirements, advanced engineering expertise and established distribution networks, although technology firms entering the EV and autonomous vehicle markets are increasing competition.Supplier bargaining power has grown because of shortages of semiconductors, battery materials and electronic components, highlighting the need for resilient supply chains. Buyer bargaining power is also high, as consumers have greater choice and price transparency through digital platforms, requiring JLR to differentiate through quality, innovation and brand reputation.The threat of substitutes is increasing as consumers adopt alternatives such as ride-sharing and vehicle subscription services. Teece (2018) argues that organisations must continuously adapt their business models to remain competitive, reinforcing the importance of JLR's investment in digital mobility and innovation.Overall, the analysis shows that although JLR operates in a highly competitive environment, continued investment in digital technologies, sustainability and organisational capabilities can strengthen its long-term competitive advantage.</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pStyle w:val="para2"/>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3. Digital Disruption, Digitalisation and Artificial Intelligence Impact on Jaguar Land Rover</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The automotive industry is undergoing rapid technological transformation, with digital technologies replacing traditional manufacturing approaches. Digital disruption has changed how vehicles are designed, produced and used, requiring manufacturers such as Jaguar Land Rover (JLR) to develop capabilities beyond traditional engineering. According to Vial (2019), digital transformation involves redesigning organisational processes and capabilities rather than simply adopting new technologies. This is particularly relevant to JLR as it transitions towards electric vehicles (EVs), connected mobility and AI.</w:t>
      </w:r>
    </w:p>
    <w:p>
      <w:pPr>
        <w:pStyle w:val="para3"/>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3.1 Artificial Intelligence and Intelligent Manufacturing</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Artificial intelligence (AI) is transforming automotive manufacturing by improving production efficiency, predictive maintenance, quality control and operational decision-making. JLR has invested in AI, robotics and automation to improve manufacturing accuracy and reduce costs. Brynjolfsson and McAfee (2014) argue that organisations combining digital technologies with human capabilities achieve greater productivity and innovation.However, AI implementation requires significant investment, skilled employees and robust cybersecurity measures. As connected vehicles generate increasing amounts of data, JLR must strengthen governance, employee training and data security to support successful digital transformation.</w:t>
      </w:r>
    </w:p>
    <w:p>
      <w:pPr>
        <w:pStyle w:val="para3"/>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3.2 Electrification and Digital Vehicle Transformation</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The shift towards electric vehicles represents a major change for the automotive industry. EV production requires new expertise in battery technology, software and digital systems rather than traditional engine manufacturing. The International Energy Agency (2024) reports that global EV adoption continues to grow due to environmental policies and technological advances.</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 xml:space="preserve">JLR's </w:t>
      </w:r>
      <w:r>
        <w:rPr>
          <w:rFonts w:ascii="Arial" w:hAnsi="Arial" w:eastAsia="Arial" w:cs="Arial"/>
          <w:b/>
          <w:bCs/>
          <w:sz w:val="22"/>
          <w:szCs w:val="22"/>
        </w:rPr>
        <w:t>Reimagine</w:t>
      </w:r>
      <w:r>
        <w:rPr>
          <w:rFonts w:ascii="Arial" w:hAnsi="Arial" w:eastAsia="Arial" w:cs="Arial"/>
          <w:b w:val="0"/>
          <w:bCs/>
          <w:sz w:val="22"/>
          <w:szCs w:val="22"/>
        </w:rPr>
        <w:t xml:space="preserve"> strategy supports this transition through investment in electric vehicles, digital technologies and sustainability initiatives (Jaguar Land Rover, 2024). While this strengthens future competitiveness, it also requires substantial financial investment and creates challenges related to battery supply, market demand and increasing competition.</w:t>
      </w:r>
    </w:p>
    <w:p>
      <w:pPr>
        <w:pStyle w:val="para3"/>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3.3 Connected Vehicles and Customer Digital Experience</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Connected vehicle technologies enable software updates, remote monitoring and personalised digital services, creating opportunities to improve customer satisfaction and generate additional revenue. Westerman et al. (2014) argue that successful digital transformation combines technological innovation with improved customer engagement.</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For JLR, connected services strengthen customer relationships through predictive maintenance and data-driven experiences. However, these benefits must be balanced with effective cybersecurity, data privacy and customer trust.</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pStyle w:val="para2"/>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3.4 Impact of Digital Disruption on Organisational Capabilities</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Digital disruption has required JLR to reconsider its organisational capabilities and workforce requirements. Traditional automotive skills remain important; however, future competitiveness increasingly depends on software engineering, artificial intelligence, data analytics and digital project management capabilities.</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Teece (2018) suggests that organisations operating in rapidly changing environments require dynamic capabilities, meaning the ability to continuously adapt, innovate and restructure resources. For JLR, developing these capabilities is essential because technological change is occurring faster than traditional organisational structures can easily accommodate.</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The company must therefore invest not only in technology but also in employee development and cultural transformation. Resistance to change is a common challenge during digital transformation because employees may perceive automation and new technologies as threats to existing roles. Effective change management is therefore required to create employee acceptance and ensure successful implementation.</w:t>
      </w:r>
    </w:p>
    <w:p>
      <w:pPr>
        <w:pStyle w:val="para2"/>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3.5 Strategic Implications for JLR</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Digital disruption has created a requirement for JLR to move beyond being solely a luxury vehicle manufacturer and become a digitally enabled mobility organisation. The company must balance maintaining its heritage and brand identity with developing new technological capabilities.</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The strategic implications include:</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Increased investment in AI-enabled manufacturing systems.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Development of software and digital engineering capabilities.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Greater focus on electric vehicle production.</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Enhanced cybersecurity and data management systems.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Workforce reskilling and digital capability development.</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Greater collaboration with technology companies and suppliers.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Overall, digitalisation and AI represent critical elements of JLR's future strategy. While these technologies provide opportunities to improve efficiency, sustainability and customer value, successful implementation depends on effective leadership, organisational culture and structured change management. The next stage of analysis therefore evaluates recognised change management models and considers how they can support JLR's transformation journey.</w:t>
      </w:r>
    </w:p>
    <w:p>
      <w:pPr>
        <w:pStyle w:val="para2"/>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4. Evaluation of Change Management Models and Strategic Change at Jaguar Land Rover</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Strategic change at Jaguar Land Rover (JLR) involves responding to digital disruption, electrification and changing market conditions. Effective change management is essential because transformation requires technological, operational and cultural change alongside employee engagement.</w:t>
      </w:r>
    </w:p>
    <w:p>
      <w:pPr>
        <w:pStyle w:val="para3"/>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4.1 Lewin's Three-Step Change Model</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 xml:space="preserve">Lewin's (1951) model explains change through </w:t>
      </w:r>
      <w:r>
        <w:rPr>
          <w:rFonts w:ascii="Arial" w:hAnsi="Arial" w:eastAsia="Arial" w:cs="Arial"/>
          <w:b/>
          <w:bCs/>
          <w:sz w:val="22"/>
          <w:szCs w:val="22"/>
        </w:rPr>
        <w:t>unfreezing, changing and refreezing</w:t>
      </w:r>
      <w:r>
        <w:rPr>
          <w:rFonts w:ascii="Arial" w:hAnsi="Arial" w:eastAsia="Arial" w:cs="Arial"/>
          <w:b w:val="0"/>
          <w:bCs/>
          <w:sz w:val="22"/>
          <w:szCs w:val="22"/>
        </w:rPr>
        <w:t xml:space="preserve">. For JLR, unfreezing involved recognising the need to respond to increasing competition, environmental regulations and digital disruption. The changing stage is reflected in the </w:t>
      </w:r>
      <w:r>
        <w:rPr>
          <w:rFonts w:ascii="Arial" w:hAnsi="Arial" w:eastAsia="Arial" w:cs="Arial"/>
          <w:b/>
          <w:bCs/>
          <w:sz w:val="22"/>
          <w:szCs w:val="22"/>
        </w:rPr>
        <w:t>Reimagine</w:t>
      </w:r>
      <w:r>
        <w:rPr>
          <w:rFonts w:ascii="Arial" w:hAnsi="Arial" w:eastAsia="Arial" w:cs="Arial"/>
          <w:b w:val="0"/>
          <w:bCs/>
          <w:sz w:val="22"/>
          <w:szCs w:val="22"/>
        </w:rPr>
        <w:t xml:space="preserve"> strategy through investment in electric vehicles, AI and digital manufacturing. Refreezing focuses on embedding innovation and sustainability into organisational culture. Although critics argue that continuous change makes refreezing difficult, the model remains useful because it highlights the importance of preparing employees before implementing change.</w:t>
      </w:r>
    </w:p>
    <w:p>
      <w:pPr>
        <w:pStyle w:val="para3"/>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4.2 Kotter's Eight-Step Change Model</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Kotter (2012) argues that successful change requires creating urgency, developing a clear vision, effective communication and embedding change into organisational culture. These principles are relevant to JLR because employees must understand the need for electrification and digital transformation while working collaboratively across departments. Although the model follows a relatively linear process, it provides valuable guidance for leadership, communication and stakeholder engagement during large-scale organisational change.</w:t>
      </w:r>
    </w:p>
    <w:p>
      <w:pPr>
        <w:pStyle w:val="para3"/>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4.3 ADKAR Change Model</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 xml:space="preserve">The ADKAR model (Hiatt, 2006) focuses on individual employee change through </w:t>
      </w:r>
      <w:r>
        <w:rPr>
          <w:rFonts w:ascii="Arial" w:hAnsi="Arial" w:eastAsia="Arial" w:cs="Arial"/>
          <w:b/>
          <w:bCs/>
          <w:sz w:val="22"/>
          <w:szCs w:val="22"/>
        </w:rPr>
        <w:t>awareness, desire, knowledge, ability and reinforcement</w:t>
      </w:r>
      <w:r>
        <w:rPr>
          <w:rFonts w:ascii="Arial" w:hAnsi="Arial" w:eastAsia="Arial" w:cs="Arial"/>
          <w:b w:val="0"/>
          <w:bCs/>
          <w:sz w:val="22"/>
          <w:szCs w:val="22"/>
        </w:rPr>
        <w:t>. For JLR, the model highlights the importance of explaining the need for digital transformation, encouraging employee commitment and investing in digital skills training. Reinforcement through continuous learning and performance management helps embed new behaviours. While ADKAR is effective for managing employee adoption, it provides less guidance on wider organisational strategy.</w:t>
      </w:r>
    </w:p>
    <w:p>
      <w:pPr>
        <w:pStyle w:val="para3"/>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4.4 McKinsey 7S Framework</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The McKinsey 7S Framework examines the alignment of strategy, structure, systems, shared values, style, staff and skills. It is relevant to JLR because successful digital transformation depends on aligning organisational strategy with employee capabilities and culture. The framework emphasises the need to develop skills in AI, software engineering and data analytics while supporting shared values that encourage innovation. However, it is primarily a diagnostic framework rather than a step-by-step implementation model.</w:t>
      </w:r>
    </w:p>
    <w:p>
      <w:pPr>
        <w:pStyle w:val="para3"/>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4.5 Recommended Change Management Approach</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No single model fully addresses JLR's transformation. A combined approach is most appropriate: Lewin provides an overall framework, Kotter supports leadership and communication, ADKAR focuses on employee adoption, and McKinsey 7S ensures organisational alignment. Combining these models enables JLR to manage technological, cultural and organisational change more effectively while supporting long-term competitiveness.</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sz w:val="22"/>
          <w:szCs w:val="22"/>
        </w:rPr>
      </w:r>
      <w:r>
        <w:rPr>
          <w:noProof/>
        </w:rPr>
        <w:pict>
          <v:rect id="_x0000_i1027" style="width:0.00pt;height:0.65pt" o:hr="t" o:hrpct="1000" o:hralign="center" o:hrnoshade="t" fillcolor="#000000" stroked="f"/>
        </w:pict>
      </w:r>
      <w:r>
        <w:rPr>
          <w:rFonts w:ascii="Arial" w:hAnsi="Arial" w:eastAsia="Arial" w:cs="Arial"/>
          <w:sz w:val="22"/>
          <w:szCs w:val="22"/>
        </w:rPr>
      </w:r>
      <w:r>
        <w:rPr>
          <w:rFonts w:ascii="Arial" w:hAnsi="Arial" w:eastAsia="Arial" w:cs="Arial"/>
          <w:bCs/>
          <w:sz w:val="22"/>
          <w:szCs w:val="22"/>
        </w:rPr>
      </w:r>
    </w:p>
    <w:p>
      <w:pPr>
        <w:pStyle w:val="para2"/>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4.5 Recommended Change Management Approach for JLR</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Considering the complexity of JLR’s transformation, no single change model is sufficient. A combined approach would provide stronger results.Lewin’s model can support the overall transition by preparing employees for change, implementing new approaches and embedding new practices. Kotter’s model can guide leadership activities, communication and stakeholder engagement. ADKAR can ensure employee acceptance, while McKinsey 7S can evaluate organisational alignment.A combined approach reflects the reality of modern strategic transformation, where successful change requires both structural adaptation and employee commitment. For JLR, technological investment alone will not guarantee success; the organisation must develop the leadership capability, culture and workforce skills required to sustain long-term transformation.</w:t>
      </w:r>
    </w:p>
    <w:p>
      <w:pPr>
        <w:pStyle w:val="para2"/>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5. Leadership Approach and Organisational Culture During Strategic Change</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Successful strategic change depends on effective leadership and a supportive organisational culture as well as technological investment. For Jaguar Land Rover (JLR), the transition towards electrification, artificial intelligence (AI) and digital manufacturing requires leaders who can communicate a clear vision, reduce resistance and develop employee capabilities.</w:t>
      </w:r>
    </w:p>
    <w:p>
      <w:pPr>
        <w:pStyle w:val="para3"/>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5.1 Transformational Leadership and Strategic Change</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Transformational leadership is well suited to organisations experiencing significant change because it inspires employees to support a shared vision and embrace innovation. Bass and Riggio (2006) argue that transformational leaders motivate employees by encouraging innovation and developing individual capabilities.For JLR, transformational leadership supports the transition from a traditional vehicle manufacturer to a modern luxury mobility company. Leaders must communicate the importance of electrification, digitalisation and sustainability while encouraging employees to adopt new ways of working. Investment in training and professional development is essential as AI and automation increase demand for digital skills.</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However, transformational leadership also has limitations. Focusing mainly on vision may overlook practical challenges such as financial constraints and employee concerns. Therefore, JLR should combine transformational leadership with effective communication, workforce engagement and performance management.</w:t>
      </w:r>
    </w:p>
    <w:p>
      <w:pPr>
        <w:pStyle w:val="para3"/>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5.2 Leadership and Managing Resistance to Change</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Resistance to change is common during organisational transformation because employees may fear job losses, uncertainty or changing responsibilities (Burnes, 2020). At JLR, automation and AI may create concerns among manufacturing employees and managers adapting to data-driven decision-making.Effective leadership can reduce resistance through transparent communication, employee involvement and opportunities for skills development. Kotter (2012) emphasises that leaders should communicate the vision consistently and involve employees throughout the change process. JLR can achieve this through workshops, digital training programmes and regular consultation, helping employees view technology as an opportunity rather than a threat.</w:t>
      </w:r>
    </w:p>
    <w:p>
      <w:pPr>
        <w:pStyle w:val="para3"/>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5.3 Organisational Culture and Strategic Change</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Organisational culture strongly influences the success of strategic change. Schein and Schein (2021) describe culture as the shared values and assumptions that shape employee behaviour.</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 xml:space="preserve">JLR has traditionally built its culture around engineering excellence, craftsmanship and premium quality. While these strengths support innovation, future competitiveness also requires a stronger focus on software, AI and digital technologies. Using Schein's model, JLR's visible investment in advanced manufacturing reflects its commitment to innovation, while the </w:t>
      </w:r>
      <w:r>
        <w:rPr>
          <w:rFonts w:ascii="Arial" w:hAnsi="Arial" w:eastAsia="Arial" w:cs="Arial"/>
          <w:b/>
          <w:bCs/>
          <w:sz w:val="22"/>
          <w:szCs w:val="22"/>
        </w:rPr>
        <w:t>Reimagine</w:t>
      </w:r>
      <w:r>
        <w:rPr>
          <w:rFonts w:ascii="Arial" w:hAnsi="Arial" w:eastAsia="Arial" w:cs="Arial"/>
          <w:b w:val="0"/>
          <w:bCs/>
          <w:sz w:val="22"/>
          <w:szCs w:val="22"/>
        </w:rPr>
        <w:t xml:space="preserve"> strategy promotes sustainability and digital transformation. However, employees must also adopt the belief that digital capabilities are as important as traditional engineering expertise.</w:t>
      </w:r>
    </w:p>
    <w:p>
      <w:pPr>
        <w:pStyle w:val="para3"/>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5.4 Creating a Change-Supportive Culture</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To support strategic transformation, JLR should encourage continuous learning, collaboration and innovation. Key initiatives include digital skills training, cross-functional teamwork, innovation programmes and an open culture where employees feel confident sharing ideas and concerns. These actions will improve employee engagement while supporting long-term organisational change.</w:t>
      </w:r>
    </w:p>
    <w:p>
      <w:pPr>
        <w:pStyle w:val="para3"/>
        <w:spacing/>
        <w:jc w:val="both"/>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5.5 Evaluation</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Leadership and organisational culture are essential to the success of JLR's transformation. Transformational leadership encourages innovation, motivation and employee development, while practical change management helps address resistance. By aligning leadership, organisational culture and workforce capabilities, JLR can strengthen its ability to manage digital transformation successfully.</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noProof/>
        </w:rPr>
        <w:pict>
          <v:rect id="_x0000_i1028" style="width:0.00pt;height:0.65pt" o:hr="t" o:hrpct="1000" o:hralign="center" o:hrnoshade="t" fillcolor="#000000" stroked="f"/>
        </w:pict>
      </w:r>
      <w:r>
        <w:rPr>
          <w:rFonts w:ascii="Arial" w:hAnsi="Arial" w:eastAsia="Arial" w:cs="Arial"/>
          <w:b w:val="0"/>
          <w:bCs/>
          <w:sz w:val="22"/>
          <w:szCs w:val="22"/>
        </w:rPr>
      </w:r>
    </w:p>
    <w:p>
      <w:pPr>
        <w:pStyle w:val="para2"/>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6. Strategic Change Management Plan for Jaguar Land Rover</w:t>
      </w:r>
    </w:p>
    <w:p>
      <w:pPr>
        <w:pStyle w:val="para3"/>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6.1 Proposed Strategic Change</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 xml:space="preserve">Based on the analysis of JLR's internal capabilities and external challenges, this report proposes an </w:t>
      </w:r>
      <w:r>
        <w:rPr>
          <w:rFonts w:ascii="Arial" w:hAnsi="Arial" w:eastAsia="Arial" w:cs="Arial"/>
          <w:b/>
          <w:bCs/>
          <w:sz w:val="22"/>
          <w:szCs w:val="22"/>
        </w:rPr>
        <w:t>AI-Enabled Smart Manufacturing and Digital Transformation Programme</w:t>
      </w:r>
      <w:r>
        <w:rPr>
          <w:rFonts w:ascii="Arial" w:hAnsi="Arial" w:eastAsia="Arial" w:cs="Arial"/>
          <w:b w:val="0"/>
          <w:bCs/>
          <w:sz w:val="22"/>
          <w:szCs w:val="22"/>
        </w:rPr>
        <w:t>. The programme aims to improve operational efficiency, accelerate electrification, enhance customer experience and strengthen the organisational capabilities required to compete in the future automotive industry.</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The programme focuses on five strategic priorities:</w:t>
      </w:r>
    </w:p>
    <w:p>
      <w:pPr>
        <w:numPr>
          <w:ilvl w:val="0"/>
          <w:numId w:val="3"/>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Integrating AI into manufacturing.</w:t>
      </w:r>
    </w:p>
    <w:p>
      <w:pPr>
        <w:numPr>
          <w:ilvl w:val="0"/>
          <w:numId w:val="3"/>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Expanding automation and digital technologies.</w:t>
      </w:r>
    </w:p>
    <w:p>
      <w:pPr>
        <w:numPr>
          <w:ilvl w:val="0"/>
          <w:numId w:val="3"/>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Developing employee digital skills.</w:t>
      </w:r>
    </w:p>
    <w:p>
      <w:pPr>
        <w:numPr>
          <w:ilvl w:val="0"/>
          <w:numId w:val="3"/>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Improving supply chain resilience through data analytics.</w:t>
      </w:r>
    </w:p>
    <w:p>
      <w:pPr>
        <w:numPr>
          <w:ilvl w:val="0"/>
          <w:numId w:val="3"/>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Enhancing connected customer services.</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val="0"/>
          <w:bCs/>
          <w:sz w:val="22"/>
          <w:szCs w:val="22"/>
        </w:rPr>
      </w:pPr>
      <w:r>
        <w:rPr>
          <w:rFonts w:ascii="Arial" w:hAnsi="Arial" w:eastAsia="Arial" w:cs="Arial"/>
          <w:b w:val="0"/>
          <w:bCs/>
          <w:sz w:val="22"/>
          <w:szCs w:val="22"/>
        </w:rPr>
        <w:t>This proposal supports Teece's (2018) dynamic capabilities theory, which argues that organisations must continuously adapt their resources and capabilities to remain competitive in rapidly changing markets.</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sz w:val="22"/>
          <w:szCs w:val="22"/>
        </w:rPr>
      </w:r>
      <w:r>
        <w:rPr>
          <w:noProof/>
        </w:rPr>
        <w:pict>
          <v:rect id="_x0000_i1029" style="width:0.00pt;height:0.65pt" o:hr="t" o:hrpct="1000" o:hralign="center" o:hrnoshade="t" fillcolor="#000000" stroked="f"/>
        </w:pict>
      </w:r>
      <w:r>
        <w:rPr>
          <w:rFonts w:ascii="Arial" w:hAnsi="Arial" w:eastAsia="Arial" w:cs="Arial"/>
          <w:sz w:val="22"/>
          <w:szCs w:val="22"/>
        </w:rPr>
      </w:r>
      <w:r>
        <w:rPr>
          <w:rFonts w:ascii="Arial" w:hAnsi="Arial" w:eastAsia="Arial" w:cs="Arial"/>
          <w:bCs/>
          <w:sz w:val="22"/>
          <w:szCs w:val="22"/>
        </w:rPr>
      </w:r>
    </w:p>
    <w:p>
      <w:pPr>
        <w:pStyle w:val="para1"/>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6.2 Strategic Change Objectives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The programme will operate over a three-year period with measurable objectives based on the SMART principle (Specific, Measurable, Achievable, Relevant and Time-bound).</w:t>
      </w:r>
    </w:p>
    <w:tbl>
      <w:tblPr>
        <w:tblStyle w:val="TableNormal"/>
        <w:name w:val="Table3"/>
        <w:tabOrder w:val="0"/>
        <w:jc w:val="left"/>
        <w:tblInd w:w="0" w:type="dxa"/>
        <w:tblW w:w="9360" w:type="dxa"/>
        <w:pPr>
          <w:keepNext/>
          <w:keepLines/>
          <w:rPr>
            <w:rFonts w:ascii="Arial" w:hAnsi="Arial" w:eastAsia="Arial" w:cs="Arial"/>
            <w:sz w:val="22"/>
            <w:szCs w:val="22"/>
          </w:rPr>
        </w:pPr>
        <w:tblLook w:val="0600" w:firstRow="0" w:lastRow="0" w:firstColumn="0" w:lastColumn="0" w:noHBand="1" w:noVBand="1"/>
      </w:tblPr>
      <w:tblGrid>
        <w:gridCol w:w="4680"/>
        <w:gridCol w:w="4680"/>
      </w:tblGrid>
      <w:tr>
        <w:trPr>
          <w:tblHeader/>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Objective</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Target</w:t>
            </w:r>
          </w:p>
        </w:tc>
      </w:tr>
      <w:tr>
        <w:trPr>
          <w:tblHeader w:val="0"/>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Improve manufacturing efficiency through AI and automation</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Increase production efficiency by 20% within three years</w:t>
            </w:r>
          </w:p>
        </w:tc>
      </w:tr>
      <w:tr>
        <w:trPr>
          <w:tblHeader w:val="0"/>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Reduce manufacturing defects</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Achieve a 30% reduction through AI-supported quality monitoring</w:t>
            </w:r>
          </w:p>
        </w:tc>
      </w:tr>
      <w:tr>
        <w:trPr>
          <w:tblHeader w:val="0"/>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Develop workforce digital capability</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Train 80% of relevant employees in digital technologies within two years</w:t>
            </w:r>
          </w:p>
        </w:tc>
      </w:tr>
      <w:tr>
        <w:trPr>
          <w:tblHeader w:val="0"/>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Increase EV production capability</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Expand electric vehicle manufacturing capacity by 40% within three years</w:t>
            </w:r>
          </w:p>
        </w:tc>
      </w:tr>
      <w:tr>
        <w:trPr>
          <w:tblHeader w:val="0"/>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Improve supply chain visibility</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Implement predictive analytics systems across major suppliers within two years</w:t>
            </w:r>
          </w:p>
        </w:tc>
      </w:tr>
      <w:tr>
        <w:trPr>
          <w:tblHeader w:val="0"/>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Improve customer digital experience</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Increase customer satisfaction scores through connected vehicle services</w:t>
            </w:r>
          </w:p>
        </w:tc>
      </w:tr>
    </w:tbl>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These objectives support JLR’s wider strategic direction by improving operational performance while creating long-term competitive advantage.</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sz w:val="22"/>
          <w:szCs w:val="22"/>
        </w:rPr>
      </w:r>
      <w:r>
        <w:rPr>
          <w:noProof/>
        </w:rPr>
        <w:pict>
          <v:rect id="_x0000_i1030" style="width:0.00pt;height:0.65pt" o:hr="t" o:hrpct="1000" o:hralign="center" o:hrnoshade="t" fillcolor="#000000" stroked="f"/>
        </w:pict>
      </w:r>
      <w:r>
        <w:rPr>
          <w:rFonts w:ascii="Arial" w:hAnsi="Arial" w:eastAsia="Arial" w:cs="Arial"/>
          <w:sz w:val="22"/>
          <w:szCs w:val="22"/>
        </w:rPr>
      </w:r>
      <w:r>
        <w:rPr>
          <w:rFonts w:ascii="Arial" w:hAnsi="Arial" w:eastAsia="Arial" w:cs="Arial"/>
          <w:bCs/>
          <w:sz w:val="22"/>
          <w:szCs w:val="22"/>
        </w:rPr>
      </w:r>
    </w:p>
    <w:p>
      <w:pPr>
        <w:pStyle w:val="para1"/>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6.3 Implementation Strategy</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The implementation of the change programme will follow a structured approach combining Kotter’s (2012) principles of creating urgency, communicating vision and embedding change with ADKAR’s focus on employee adoption (Hiatt, 2006).</w:t>
      </w:r>
    </w:p>
    <w:p>
      <w:pPr>
        <w:pStyle w:val="para2"/>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Phase 1: Preparation and Change Readiness (Months 1-6)</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The first stage will focus on preparing the organisation for transformation.</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Key activities include:</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Establishing a strategic change leadership team.</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Conducting digital capability assessments.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Identifying manufacturing processes suitable for AI integration.</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Communicating the purpose and benefits of transformation.</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Consulting employees regarding expected changes.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This stage is essential because employee understanding and commitment significantly influence change success.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sz w:val="22"/>
          <w:szCs w:val="22"/>
        </w:rPr>
      </w:r>
      <w:r>
        <w:rPr>
          <w:noProof/>
        </w:rPr>
        <w:pict>
          <v:rect id="_x0000_i1031" style="width:0.00pt;height:0.65pt" o:hr="t" o:hrpct="1000" o:hralign="center" o:hrnoshade="t" fillcolor="#000000" stroked="f"/>
        </w:pict>
      </w:r>
      <w:r>
        <w:rPr>
          <w:rFonts w:ascii="Arial" w:hAnsi="Arial" w:eastAsia="Arial" w:cs="Arial"/>
          <w:sz w:val="22"/>
          <w:szCs w:val="22"/>
        </w:rPr>
      </w:r>
      <w:r>
        <w:rPr>
          <w:rFonts w:ascii="Arial" w:hAnsi="Arial" w:eastAsia="Arial" w:cs="Arial"/>
          <w:bCs/>
          <w:sz w:val="22"/>
          <w:szCs w:val="22"/>
        </w:rPr>
      </w:r>
    </w:p>
    <w:p>
      <w:pPr>
        <w:pStyle w:val="para2"/>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Phase 2: Technology Implementation (Months 6-24)</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During this phase, JLR will introduce:</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AI-supported manufacturing systems.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Predictive maintenance technology.</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Automated quality inspection.</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Digital twin technology for production optimisation.</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Advanced data analytics platforms.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Digital twins allow organisations to create virtual representations of physical systems, enabling manufacturers to test improvements before implementing them in real operations. This can reduce costs and improve decision-making.However, technology implementation must be carefully managed because excessive reliance on automation without workforce preparation may increase resistance and reduce acceptance.</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sz w:val="22"/>
          <w:szCs w:val="22"/>
        </w:rPr>
      </w:r>
      <w:r>
        <w:rPr>
          <w:noProof/>
        </w:rPr>
        <w:pict>
          <v:rect id="_x0000_i1032" style="width:0.00pt;height:0.65pt" o:hr="t" o:hrpct="1000" o:hralign="center" o:hrnoshade="t" fillcolor="#000000" stroked="f"/>
        </w:pict>
      </w:r>
      <w:r>
        <w:rPr>
          <w:rFonts w:ascii="Arial" w:hAnsi="Arial" w:eastAsia="Arial" w:cs="Arial"/>
          <w:sz w:val="22"/>
          <w:szCs w:val="22"/>
        </w:rPr>
      </w:r>
      <w:r>
        <w:rPr>
          <w:rFonts w:ascii="Arial" w:hAnsi="Arial" w:eastAsia="Arial" w:cs="Arial"/>
          <w:bCs/>
          <w:sz w:val="22"/>
          <w:szCs w:val="22"/>
        </w:rPr>
      </w:r>
    </w:p>
    <w:p>
      <w:pPr>
        <w:pStyle w:val="para2"/>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Phase 3: Capability Development and Cultural Integration (Months 12–36)</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The final phase focuses on ensuring that change becomes embedded within organisational culture.</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Actions include:</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Continuous employee training.</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Leadership development programmes.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Innovation workshops.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Digital skills certification.</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Recognition of employees supporting transformation.</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According to Schein and Schein (2021), sustainable organisational change occurs when new behaviours become integrated into shared organisational assumptions and values.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sz w:val="22"/>
          <w:szCs w:val="22"/>
        </w:rPr>
      </w:r>
      <w:r>
        <w:rPr>
          <w:noProof/>
        </w:rPr>
        <w:pict>
          <v:rect id="_x0000_i1033" style="width:0.00pt;height:0.65pt" o:hr="t" o:hrpct="1000" o:hralign="center" o:hrnoshade="t" fillcolor="#000000" stroked="f"/>
        </w:pict>
      </w:r>
      <w:r>
        <w:rPr>
          <w:rFonts w:ascii="Arial" w:hAnsi="Arial" w:eastAsia="Arial" w:cs="Arial"/>
          <w:sz w:val="22"/>
          <w:szCs w:val="22"/>
        </w:rPr>
      </w:r>
      <w:r>
        <w:rPr>
          <w:rFonts w:ascii="Arial" w:hAnsi="Arial" w:eastAsia="Arial" w:cs="Arial"/>
          <w:bCs/>
          <w:sz w:val="22"/>
          <w:szCs w:val="22"/>
        </w:rPr>
      </w:r>
    </w:p>
    <w:p>
      <w:pPr>
        <w:pStyle w:val="para1"/>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6.4 Financial Plan</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The proposed transformation requires significant investment; however, the expected long-term benefits include improved productivity, reduced operational costs and increased competitiveness.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Estimated investment:</w:t>
      </w:r>
    </w:p>
    <w:tbl>
      <w:tblPr>
        <w:tblStyle w:val="TableNormal"/>
        <w:name w:val="Table4"/>
        <w:tabOrder w:val="0"/>
        <w:jc w:val="left"/>
        <w:tblInd w:w="0" w:type="dxa"/>
        <w:tblW w:w="9360" w:type="dxa"/>
        <w:pPr>
          <w:keepNext/>
          <w:keepLines/>
          <w:rPr>
            <w:rFonts w:ascii="Arial" w:hAnsi="Arial" w:eastAsia="Arial" w:cs="Arial"/>
            <w:sz w:val="22"/>
            <w:szCs w:val="22"/>
          </w:rPr>
        </w:pPr>
        <w:tblLook w:val="0600" w:firstRow="0" w:lastRow="0" w:firstColumn="0" w:lastColumn="0" w:noHBand="1" w:noVBand="1"/>
      </w:tblPr>
      <w:tblGrid>
        <w:gridCol w:w="4680"/>
        <w:gridCol w:w="4680"/>
      </w:tblGrid>
      <w:tr>
        <w:trPr>
          <w:tblHeader/>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Investment Area</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spacing/>
              <w:jc w:val="right"/>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Estimated Cost (£ million)</w:t>
            </w:r>
          </w:p>
        </w:tc>
      </w:tr>
      <w:tr>
        <w:trPr>
          <w:tblHeader w:val="0"/>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AI manufacturing systems</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spacing/>
              <w:jc w:val="right"/>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90</w:t>
            </w:r>
          </w:p>
        </w:tc>
      </w:tr>
      <w:tr>
        <w:trPr>
          <w:tblHeader w:val="0"/>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Robotics and automation upgrades</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spacing/>
              <w:jc w:val="right"/>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130</w:t>
            </w:r>
          </w:p>
        </w:tc>
      </w:tr>
      <w:tr>
        <w:trPr>
          <w:tblHeader w:val="0"/>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Digital infrastructure and data platforms</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spacing/>
              <w:jc w:val="right"/>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50</w:t>
            </w:r>
          </w:p>
        </w:tc>
      </w:tr>
      <w:tr>
        <w:trPr>
          <w:tblHeader w:val="0"/>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Cybersecurity improvements</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spacing/>
              <w:jc w:val="right"/>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30</w:t>
            </w:r>
          </w:p>
        </w:tc>
      </w:tr>
      <w:tr>
        <w:trPr>
          <w:tblHeader w:val="0"/>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Employee training and development</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spacing/>
              <w:jc w:val="right"/>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25</w:t>
            </w:r>
          </w:p>
        </w:tc>
      </w:tr>
      <w:tr>
        <w:trPr>
          <w:tblHeader w:val="0"/>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EV manufacturing capability enhancement</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spacing/>
              <w:jc w:val="right"/>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175</w:t>
            </w:r>
          </w:p>
        </w:tc>
      </w:tr>
      <w:tr>
        <w:trPr>
          <w:tblHeader w:val="0"/>
          <w:cantSplit w:val="0"/>
          <w:trHeight w:val="0" w:hRule="auto"/>
        </w:trPr>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bCs/>
                <w:sz w:val="22"/>
                <w:szCs w:val="22"/>
              </w:rPr>
            </w:pPr>
            <w:r>
              <w:rPr>
                <w:rFonts w:ascii="Arial" w:hAnsi="Arial" w:eastAsia="Arial" w:cs="Arial"/>
                <w:b/>
                <w:bCs/>
                <w:sz w:val="22"/>
                <w:szCs w:val="22"/>
              </w:rPr>
              <w:t>Total Investment</w:t>
            </w:r>
          </w:p>
        </w:tc>
        <w:tc>
          <w:tcPr>
            <w:tcW w:w="4680"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spacing/>
              <w:jc w:val="right"/>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
                <w:bCs/>
                <w:sz w:val="22"/>
                <w:szCs w:val="22"/>
              </w:rPr>
            </w:pPr>
            <w:r>
              <w:rPr>
                <w:rFonts w:ascii="Arial" w:hAnsi="Arial" w:eastAsia="Arial" w:cs="Arial"/>
                <w:b/>
                <w:bCs/>
                <w:sz w:val="22"/>
                <w:szCs w:val="22"/>
              </w:rPr>
              <w:t>500 million</w:t>
            </w:r>
          </w:p>
        </w:tc>
      </w:tr>
    </w:tbl>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Although the initial investment is substantial, expected financial benefits include:</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Reduced production waste.</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Lower maintenance costs through predictive analytics.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Improved manufacturing productivity.</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Increased EV market competitiveness.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Additional revenue opportunities through connected vehicle services.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Kaplan and Norton (1996) argue that organisations should evaluate strategic investments through both financial and non-financial performance measures. Therefore, JLR should assess success through operational improvements, employee development and customer outcomes rather than financial returns alone.</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sz w:val="22"/>
          <w:szCs w:val="22"/>
        </w:rPr>
      </w:r>
      <w:r>
        <w:rPr>
          <w:noProof/>
        </w:rPr>
        <w:pict>
          <v:rect id="_x0000_i1034" style="width:0.00pt;height:0.65pt" o:hr="t" o:hrpct="1000" o:hralign="center" o:hrnoshade="t" fillcolor="#000000" stroked="f"/>
        </w:pict>
      </w:r>
      <w:r>
        <w:rPr>
          <w:rFonts w:ascii="Arial" w:hAnsi="Arial" w:eastAsia="Arial" w:cs="Arial"/>
          <w:sz w:val="22"/>
          <w:szCs w:val="22"/>
        </w:rPr>
      </w:r>
      <w:r>
        <w:rPr>
          <w:rFonts w:ascii="Arial" w:hAnsi="Arial" w:eastAsia="Arial" w:cs="Arial"/>
          <w:bCs/>
          <w:sz w:val="22"/>
          <w:szCs w:val="22"/>
        </w:rPr>
      </w:r>
    </w:p>
    <w:p>
      <w:pPr>
        <w:pStyle w:val="para1"/>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6.5 Communication Plan</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Effective communication is essential because uncertainty and poor information flow are major causes of employee resistance.</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The communication strategy will include:</w:t>
      </w:r>
    </w:p>
    <w:tbl>
      <w:tblPr>
        <w:tblStyle w:val="TableNormal"/>
        <w:name w:val="Table5"/>
        <w:tabOrder w:val="0"/>
        <w:jc w:val="left"/>
        <w:tblInd w:w="0" w:type="dxa"/>
        <w:tblW w:w="9351" w:type="dxa"/>
        <w:pPr>
          <w:keepNext/>
          <w:keepLines/>
          <w:rPr>
            <w:rFonts w:ascii="Arial" w:hAnsi="Arial" w:eastAsia="Arial" w:cs="Arial"/>
            <w:sz w:val="22"/>
            <w:szCs w:val="22"/>
          </w:rPr>
        </w:pPr>
        <w:tblLook w:val="0600" w:firstRow="0" w:lastRow="0" w:firstColumn="0" w:lastColumn="0" w:noHBand="1" w:noVBand="1"/>
      </w:tblPr>
      <w:tblGrid>
        <w:gridCol w:w="3117"/>
        <w:gridCol w:w="3117"/>
        <w:gridCol w:w="3117"/>
      </w:tblGrid>
      <w:tr>
        <w:trPr>
          <w:tblHeader/>
          <w:cantSplit w:val="0"/>
          <w:trHeight w:val="0" w:hRule="auto"/>
        </w:trPr>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Stakeholder</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Communication Method</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Purpose</w:t>
            </w:r>
          </w:p>
        </w:tc>
      </w:tr>
      <w:tr>
        <w:trPr>
          <w:tblHeader w:val="0"/>
          <w:cantSplit w:val="0"/>
          <w:trHeight w:val="0" w:hRule="auto"/>
        </w:trPr>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Employees</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Workshops, training sessions and internal platforms</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Explain benefits and provide support</w:t>
            </w:r>
          </w:p>
        </w:tc>
      </w:tr>
      <w:tr>
        <w:trPr>
          <w:tblHeader w:val="0"/>
          <w:cantSplit w:val="0"/>
          <w:trHeight w:val="0" w:hRule="auto"/>
        </w:trPr>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Managers</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Leadership briefings</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Ensure consistent implementation</w:t>
            </w:r>
          </w:p>
        </w:tc>
      </w:tr>
      <w:tr>
        <w:trPr>
          <w:tblHeader w:val="0"/>
          <w:cantSplit w:val="0"/>
          <w:trHeight w:val="0" w:hRule="auto"/>
        </w:trPr>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Suppliers</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Digital collaboration meetings</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Align supply chain transformation</w:t>
            </w:r>
          </w:p>
        </w:tc>
      </w:tr>
      <w:tr>
        <w:trPr>
          <w:tblHeader w:val="0"/>
          <w:cantSplit w:val="0"/>
          <w:trHeight w:val="0" w:hRule="auto"/>
        </w:trPr>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Customers</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Digital marketing and product communication</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Promote new technologies</w:t>
            </w:r>
          </w:p>
        </w:tc>
      </w:tr>
      <w:tr>
        <w:trPr>
          <w:tblHeader w:val="0"/>
          <w:cantSplit w:val="0"/>
          <w:trHeight w:val="0" w:hRule="auto"/>
        </w:trPr>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Investors</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Quarterly reports</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Demonstrate progress and financial value</w:t>
            </w:r>
          </w:p>
        </w:tc>
      </w:tr>
    </w:tbl>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Communication should be continuous rather than limited to the beginning of the programme. Kotter (2012) emphasises that change leaders must repeatedly communicate the transformation vision to maintain employee engagement.</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sz w:val="22"/>
          <w:szCs w:val="22"/>
        </w:rPr>
      </w:r>
      <w:r>
        <w:rPr>
          <w:noProof/>
        </w:rPr>
        <w:pict>
          <v:rect id="_x0000_i1035" style="width:0.00pt;height:0.65pt" o:hr="t" o:hrpct="1000" o:hralign="center" o:hrnoshade="t" fillcolor="#000000" stroked="f"/>
        </w:pict>
      </w:r>
      <w:r>
        <w:rPr>
          <w:rFonts w:ascii="Arial" w:hAnsi="Arial" w:eastAsia="Arial" w:cs="Arial"/>
          <w:sz w:val="22"/>
          <w:szCs w:val="22"/>
        </w:rPr>
      </w:r>
      <w:r>
        <w:rPr>
          <w:rFonts w:ascii="Arial" w:hAnsi="Arial" w:eastAsia="Arial" w:cs="Arial"/>
          <w:bCs/>
          <w:sz w:val="22"/>
          <w:szCs w:val="22"/>
        </w:rPr>
      </w:r>
    </w:p>
    <w:p>
      <w:pPr>
        <w:pStyle w:val="para1"/>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6.6 Risk Management Plan</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Strategic transformation involves several risks that must be actively managed.</w:t>
      </w:r>
    </w:p>
    <w:tbl>
      <w:tblPr>
        <w:tblStyle w:val="TableNormal"/>
        <w:name w:val="Table6"/>
        <w:tabOrder w:val="0"/>
        <w:jc w:val="left"/>
        <w:tblInd w:w="0" w:type="dxa"/>
        <w:tblW w:w="9351" w:type="dxa"/>
        <w:pPr>
          <w:keepNext/>
          <w:keepLines/>
          <w:rPr>
            <w:rFonts w:ascii="Arial" w:hAnsi="Arial" w:eastAsia="Arial" w:cs="Arial"/>
            <w:sz w:val="22"/>
            <w:szCs w:val="22"/>
          </w:rPr>
        </w:pPr>
        <w:tblLook w:val="0600" w:firstRow="0" w:lastRow="0" w:firstColumn="0" w:lastColumn="0" w:noHBand="1" w:noVBand="1"/>
      </w:tblPr>
      <w:tblGrid>
        <w:gridCol w:w="3117"/>
        <w:gridCol w:w="3117"/>
        <w:gridCol w:w="3117"/>
      </w:tblGrid>
      <w:tr>
        <w:trPr>
          <w:tblHeader/>
          <w:cantSplit w:val="0"/>
          <w:trHeight w:val="0" w:hRule="auto"/>
        </w:trPr>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Risk</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Impact</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Mitigation Strategy</w:t>
            </w:r>
          </w:p>
        </w:tc>
      </w:tr>
      <w:tr>
        <w:trPr>
          <w:tblHeader w:val="0"/>
          <w:cantSplit w:val="0"/>
          <w:trHeight w:val="0" w:hRule="auto"/>
        </w:trPr>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Employee resistance</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Slow adoption of new systems</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Training, involvement and transparent communication</w:t>
            </w:r>
          </w:p>
        </w:tc>
      </w:tr>
      <w:tr>
        <w:trPr>
          <w:tblHeader w:val="0"/>
          <w:cantSplit w:val="0"/>
          <w:trHeight w:val="0" w:hRule="auto"/>
        </w:trPr>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High implementation costs</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Financial pressure</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Phased investment approach</w:t>
            </w:r>
          </w:p>
        </w:tc>
      </w:tr>
      <w:tr>
        <w:trPr>
          <w:tblHeader w:val="0"/>
          <w:cantSplit w:val="0"/>
          <w:trHeight w:val="0" w:hRule="auto"/>
        </w:trPr>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Cybersecurity threats</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Data loss and reputational damage</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Advanced security systems and monitoring</w:t>
            </w:r>
          </w:p>
        </w:tc>
      </w:tr>
      <w:tr>
        <w:trPr>
          <w:tblHeader w:val="0"/>
          <w:cantSplit w:val="0"/>
          <w:trHeight w:val="0" w:hRule="auto"/>
        </w:trPr>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Technology failure</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Operational disruption</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Pilot testing before full implementation</w:t>
            </w:r>
          </w:p>
        </w:tc>
      </w:tr>
      <w:tr>
        <w:trPr>
          <w:tblHeader w:val="0"/>
          <w:cantSplit w:val="0"/>
          <w:trHeight w:val="0" w:hRule="auto"/>
        </w:trPr>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Skills shortages</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Difficulty implementing AI systems</w:t>
            </w:r>
          </w:p>
        </w:tc>
        <w:tc>
          <w:tcPr>
            <w:tcW w:w="3117" w:type="dxa"/>
            <w:shd w:val="none"/>
            <w:tcMar>
              <w:top w:w="56" w:type="dxa"/>
              <w:left w:w="56" w:type="dxa"/>
              <w:bottom w:w="56" w:type="dxa"/>
              <w:right w:w="56" w:type="dxa"/>
            </w:tcMar>
            <w:tcBorders>
              <w:top w:val="nil" w:sz="0" w:space="0" w:color="000000" tmln="20, 20, 20, 0, 0"/>
              <w:left w:val="nil" w:sz="0" w:space="0" w:color="000000" tmln="20, 20, 20, 0, 0"/>
              <w:bottom w:val="nil" w:sz="0" w:space="0" w:color="000000" tmln="20, 20, 20, 0, 0"/>
              <w:right w:val="nil" w:sz="0" w:space="0" w:color="000000" tmln="20, 20, 20, 0, 0"/>
              <w:tl2br w:val="nil" w:sz="0" w:space="0" w:color="000000" tmln="20, 20, 20, 0, 0"/>
              <w:tr2bl w:val="nil" w:sz="0" w:space="0" w:color="000000" tmln="20, 20, 20, 0, 0"/>
            </w:tcBorders>
            <w:tmTcPr id="1784155695" protected="0"/>
          </w:tcPr>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Recruitment and employee development</w:t>
            </w:r>
          </w:p>
        </w:tc>
      </w:tr>
    </w:tbl>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Effective risk management will improve the likelihood of successful transformation and protect organisational performance.</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sz w:val="22"/>
          <w:szCs w:val="22"/>
        </w:rPr>
      </w:r>
      <w:r>
        <w:rPr>
          <w:noProof/>
        </w:rPr>
        <w:pict>
          <v:rect id="_x0000_i1036" style="width:0.00pt;height:0.65pt" o:hr="t" o:hrpct="1000" o:hralign="center" o:hrnoshade="t" fillcolor="#000000" stroked="f"/>
        </w:pict>
      </w:r>
      <w:r>
        <w:rPr>
          <w:rFonts w:ascii="Arial" w:hAnsi="Arial" w:eastAsia="Arial" w:cs="Arial"/>
          <w:sz w:val="22"/>
          <w:szCs w:val="22"/>
        </w:rPr>
      </w:r>
      <w:r>
        <w:rPr>
          <w:rFonts w:ascii="Arial" w:hAnsi="Arial" w:eastAsia="Arial" w:cs="Arial"/>
          <w:bCs/>
          <w:sz w:val="22"/>
          <w:szCs w:val="22"/>
        </w:rPr>
      </w:r>
    </w:p>
    <w:p>
      <w:pPr>
        <w:pStyle w:val="para1"/>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6.7 Evaluation Plan and Key Performance Indicators</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The success of the change programme should be evaluated through a balanced performance framework. Kaplan and Norton’s (1996) Balanced Scorecard approach provides a suitable method because it considers financial, customer, internal process and learning perspectives.</w:t>
      </w:r>
    </w:p>
    <w:p>
      <w:pPr>
        <w:pStyle w:val="para2"/>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Financial Measures</w:t>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Return on investment from digital transformation.</w:t>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Reduction in manufacturing costs.</w:t>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Revenue growth from EV and digital services.</w:t>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pStyle w:val="para2"/>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Customer Measures</w:t>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Customer satisfaction ratings.</w:t>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Digital service adoption rates.</w:t>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Brand perception.</w:t>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pStyle w:val="para2"/>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Internal Process Measures</w:t>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Production efficiency improvements.</w:t>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Manufacturing defect reduction.</w:t>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Supply chain performance.</w:t>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pStyle w:val="para2"/>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Learning and Growth Measures</w:t>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Employee digital training completion.</w:t>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Innovation participation levels.</w:t>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Employee engagement scores.</w:t>
      </w:r>
    </w:p>
    <w:p>
      <w:pPr>
        <w:numPr>
          <w:ilvl w:val="0"/>
          <w:numId w:val="1"/>
        </w:numPr>
        <w:ind w:left="283" w:hanging="283"/>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Performance reviews should occur quarterly, allowing leaders to identify problems and adjust implementation strategies.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sz w:val="22"/>
          <w:szCs w:val="22"/>
        </w:rPr>
      </w:r>
      <w:r>
        <w:rPr>
          <w:noProof/>
        </w:rPr>
        <w:pict>
          <v:rect id="_x0000_i1037" style="width:0.00pt;height:0.65pt" o:hr="t" o:hrpct="1000" o:hralign="center" o:hrnoshade="t" fillcolor="#000000" stroked="f"/>
        </w:pict>
      </w:r>
      <w:r>
        <w:rPr>
          <w:rFonts w:ascii="Arial" w:hAnsi="Arial" w:eastAsia="Arial" w:cs="Arial"/>
          <w:sz w:val="22"/>
          <w:szCs w:val="22"/>
        </w:rPr>
      </w:r>
      <w:r>
        <w:rPr>
          <w:rFonts w:ascii="Arial" w:hAnsi="Arial" w:eastAsia="Arial" w:cs="Arial"/>
          <w:bCs/>
          <w:sz w:val="22"/>
          <w:szCs w:val="22"/>
        </w:rPr>
      </w:r>
    </w:p>
    <w:p>
      <w:pPr>
        <w:pStyle w:val="para1"/>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6.8 Overall Strategic Recommendation</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The proposed AI-enabled smart manufacturing and digital transformation programme provides JLR with a structured pathway to address current market challenges while developing future capabilities. The strategy recognises that technological investment alone is insufficient; successful transformation requires alignment between technology, leadership, organisational culture and employee capability.By implementing this programme, JLR can improve operational resilience, strengthen its position within the premium automotive sector and create sustainable competitive advantage in an increasingly digital and environmentally focused market.</w:t>
      </w:r>
    </w:p>
    <w:p>
      <w:pPr>
        <w:pStyle w:val="para1"/>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7. Conclusion</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This report has examined the strategic challenges and opportunities facing Jaguar Land Rover (JLR) within an increasingly complex and rapidly changing automotive environment. The analysis identified that technological disruption, artificial intelligence, automation, electrification, sustainability pressures and changing customer expectations are significantly influencing the future direction of the organisation.</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The internal analysis demonstrated that JLR possesses valuable strategic resources, including strong luxury brands, engineering expertise, manufacturing capability and global market recognition. However, challenges including high operating costs, dependence on premium vehicle markets and the need for new digital capabilities highlight the importance of continued strategic transformation. External analysis using PESTLE and Porter’s Five Forces demonstrated that competitive pressures within the automotive sector are increasing, particularly due to electric vehicle manufacturers, changing regulations and technological advancement.</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The evaluation of change management models highlighted that successful transformation requires a combination of structured approaches. Lewin’s Change Model provides useful guidance for preparing and embedding change, while Kotter’s Eight-Step Model highlights the importance of leadership, communication and organisational commitment. The ADKAR model provides valuable insight into employee adoption, while the McKinsey 7S framework demonstrates the importance of organisational alignment. These models indicate that JLR’s transformation must address both technological implementation and human factors.</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Leadership and organisational culture were identified as critical success factors. A transformational leadership approach is appropriate because JLR requires innovation, employee engagement and a shared vision to achieve its strategic objectives. However, leadership must also focus on practical implementation challenges, including workforce development and resistance management.</w:t>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spacing/>
        <w:jc w:val="both"/>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The proposed AI-enabled smart manufacturing and digital transformation programme provides JLR with a structured approach to achieving sustainable competitive advantage. Through investment in artificial intelligence, automation, employee capability development and digital customer solutions, JLR can improve operational efficiency while strengthening its position within the global luxury automotive market.Ultimately, the success of JLR’s transformation will depend on its ability to integrate technology with effective leadership, cultural adaptation and continuous organisational learning. In an environment characterised by constant disruption, organisations that develop the capability to adapt rapidly will be best positioned for long-term success.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r>
    </w:p>
    <w:p>
      <w:pPr>
        <w:pStyle w:val="para1"/>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eastAsia="Arial"/>
          <w:sz w:val="22"/>
          <w:szCs w:val="22"/>
        </w:rPr>
      </w:pPr>
      <w:r>
        <w:rPr>
          <w:rFonts w:eastAsia="Arial"/>
          <w:sz w:val="22"/>
          <w:szCs w:val="22"/>
        </w:rPr>
        <w:t>References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 xml:space="preserve">Barney, J.B. (1991) ‘Firm resources and sustained competitive advantage’, </w:t>
      </w:r>
      <w:r>
        <w:rPr>
          <w:rFonts w:ascii="Arial" w:hAnsi="Arial" w:eastAsia="Arial" w:cs="Arial"/>
          <w:bCs/>
          <w:i/>
          <w:sz w:val="22"/>
          <w:szCs w:val="22"/>
        </w:rPr>
        <w:t>Journal of Management</w:t>
      </w:r>
      <w:r>
        <w:rPr>
          <w:rFonts w:ascii="Arial" w:hAnsi="Arial" w:eastAsia="Arial" w:cs="Arial"/>
          <w:bCs/>
          <w:sz w:val="22"/>
          <w:szCs w:val="22"/>
        </w:rPr>
        <w:t>, 17(1), pp.99–120.</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 xml:space="preserve">Bass, B.M. and Riggio, R.E. (2006) </w:t>
      </w:r>
      <w:r>
        <w:rPr>
          <w:rFonts w:ascii="Arial" w:hAnsi="Arial" w:eastAsia="Arial" w:cs="Arial"/>
          <w:bCs/>
          <w:i/>
          <w:sz w:val="22"/>
          <w:szCs w:val="22"/>
        </w:rPr>
        <w:t>Transformational Leadership</w:t>
      </w:r>
      <w:r>
        <w:rPr>
          <w:rFonts w:ascii="Arial" w:hAnsi="Arial" w:eastAsia="Arial" w:cs="Arial"/>
          <w:bCs/>
          <w:sz w:val="22"/>
          <w:szCs w:val="22"/>
        </w:rPr>
        <w:t>. 2nd edn. Mahwah, NJ: Lawrence Erlbaum Associates.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 xml:space="preserve">Brynjolfsson, E. and McAfee, A. (2014) </w:t>
      </w:r>
      <w:r>
        <w:rPr>
          <w:rFonts w:ascii="Arial" w:hAnsi="Arial" w:eastAsia="Arial" w:cs="Arial"/>
          <w:bCs/>
          <w:i/>
          <w:sz w:val="22"/>
          <w:szCs w:val="22"/>
        </w:rPr>
        <w:t>The Second Machine Age: Work, Progress, and Prosperity in a Time of Brilliant Technologies</w:t>
      </w:r>
      <w:r>
        <w:rPr>
          <w:rFonts w:ascii="Arial" w:hAnsi="Arial" w:eastAsia="Arial" w:cs="Arial"/>
          <w:bCs/>
          <w:sz w:val="22"/>
          <w:szCs w:val="22"/>
        </w:rPr>
        <w:t>. New York: W.W. Norton &amp; Company.</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bCs/>
          <w:sz w:val="22"/>
          <w:szCs w:val="22"/>
        </w:rPr>
      </w:pPr>
      <w:r>
        <w:rPr>
          <w:rFonts w:ascii="Arial" w:hAnsi="Arial" w:eastAsia="Arial" w:cs="Arial"/>
          <w:bCs/>
          <w:sz w:val="22"/>
          <w:szCs w:val="22"/>
        </w:rPr>
        <w:t xml:space="preserve">Burnes, B. (2020) </w:t>
      </w:r>
      <w:r>
        <w:rPr>
          <w:rFonts w:ascii="Arial" w:hAnsi="Arial" w:eastAsia="Arial" w:cs="Arial"/>
          <w:bCs/>
          <w:i/>
          <w:sz w:val="22"/>
          <w:szCs w:val="22"/>
        </w:rPr>
        <w:t>Managing Change</w:t>
      </w:r>
      <w:r>
        <w:rPr>
          <w:rFonts w:ascii="Arial" w:hAnsi="Arial" w:eastAsia="Arial" w:cs="Arial"/>
          <w:bCs/>
          <w:sz w:val="22"/>
          <w:szCs w:val="22"/>
        </w:rPr>
        <w:t>. 8th edn. Harlow: Pearson.</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bCs/>
          <w:sz w:val="22"/>
          <w:szCs w:val="22"/>
        </w:rPr>
        <w:t xml:space="preserve">Deloitte (2024) </w:t>
      </w:r>
      <w:r>
        <w:rPr>
          <w:rFonts w:ascii="Arial" w:hAnsi="Arial" w:eastAsia="Arial" w:cs="Arial"/>
          <w:bCs/>
          <w:i/>
          <w:sz w:val="22"/>
          <w:szCs w:val="22"/>
        </w:rPr>
        <w:t>2024 Global Automotive Consumer Study</w:t>
      </w:r>
      <w:r>
        <w:rPr>
          <w:rFonts w:ascii="Arial" w:hAnsi="Arial" w:eastAsia="Arial" w:cs="Arial"/>
          <w:bCs/>
          <w:sz w:val="22"/>
          <w:szCs w:val="22"/>
        </w:rPr>
        <w:t xml:space="preserve">. Available at: </w:t>
      </w:r>
      <w:hyperlink r:id="rId8" w:history="1">
        <w:r>
          <w:rPr>
            <w:rStyle w:val="char1"/>
            <w:rFonts w:ascii="Arial" w:hAnsi="Arial" w:eastAsia="Arial" w:cs="Arial"/>
            <w:bCs/>
            <w:sz w:val="22"/>
            <w:szCs w:val="22"/>
          </w:rPr>
          <w:t>https://www.deloitte.com</w:t>
        </w:r>
      </w:hyperlink>
      <w:r>
        <w:rPr>
          <w:rFonts w:ascii="Arial" w:hAnsi="Arial" w:eastAsia="Arial" w:cs="Arial"/>
          <w:sz w:val="22"/>
          <w:szCs w:val="22"/>
        </w:rPr>
        <w:t xml:space="preserve"> (Accessed: 13 July 2026).</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t xml:space="preserve">Hayes, J. (2022) </w:t>
      </w:r>
      <w:r>
        <w:rPr>
          <w:rFonts w:ascii="Arial" w:hAnsi="Arial" w:eastAsia="Arial" w:cs="Arial"/>
          <w:i/>
          <w:sz w:val="22"/>
          <w:szCs w:val="22"/>
        </w:rPr>
        <w:t>The Theory and Practice of Change Management</w:t>
      </w:r>
      <w:r>
        <w:rPr>
          <w:rFonts w:ascii="Arial" w:hAnsi="Arial" w:eastAsia="Arial" w:cs="Arial"/>
          <w:sz w:val="22"/>
          <w:szCs w:val="22"/>
        </w:rPr>
        <w:t>. 6th edn. London: Palgrave Macmillan.</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t xml:space="preserve">Hiatt, J. (2006) </w:t>
      </w:r>
      <w:r>
        <w:rPr>
          <w:rFonts w:ascii="Arial" w:hAnsi="Arial" w:eastAsia="Arial" w:cs="Arial"/>
          <w:i/>
          <w:sz w:val="22"/>
          <w:szCs w:val="22"/>
        </w:rPr>
        <w:t>ADKAR: A Model for Change in Business, Government and Our Community</w:t>
      </w:r>
      <w:r>
        <w:rPr>
          <w:rFonts w:ascii="Arial" w:hAnsi="Arial" w:eastAsia="Arial" w:cs="Arial"/>
          <w:sz w:val="22"/>
          <w:szCs w:val="22"/>
        </w:rPr>
        <w:t>. Loveland, CO: Prosci.</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t xml:space="preserve">International Energy Agency (2024) </w:t>
      </w:r>
      <w:r>
        <w:rPr>
          <w:rFonts w:ascii="Arial" w:hAnsi="Arial" w:eastAsia="Arial" w:cs="Arial"/>
          <w:i/>
          <w:sz w:val="22"/>
          <w:szCs w:val="22"/>
        </w:rPr>
        <w:t>Global EV Outlook 2024</w:t>
      </w:r>
      <w:r>
        <w:rPr>
          <w:rFonts w:ascii="Arial" w:hAnsi="Arial" w:eastAsia="Arial" w:cs="Arial"/>
          <w:sz w:val="22"/>
          <w:szCs w:val="22"/>
        </w:rPr>
        <w:t xml:space="preserve">. Available at: </w:t>
      </w:r>
      <w:hyperlink r:id="rId9" w:history="1">
        <w:r>
          <w:rPr>
            <w:rStyle w:val="char1"/>
            <w:rFonts w:ascii="Arial" w:hAnsi="Arial" w:eastAsia="Arial" w:cs="Arial"/>
            <w:sz w:val="22"/>
            <w:szCs w:val="22"/>
          </w:rPr>
          <w:t>https://www.iea.org</w:t>
        </w:r>
      </w:hyperlink>
      <w:r>
        <w:rPr>
          <w:rFonts w:ascii="Arial" w:hAnsi="Arial" w:eastAsia="Arial" w:cs="Arial"/>
          <w:sz w:val="22"/>
          <w:szCs w:val="22"/>
        </w:rPr>
        <w:t xml:space="preserve"> (Accessed: 13 July 2026).</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t xml:space="preserve">Jaguar Land Rover (2024) </w:t>
      </w:r>
      <w:r>
        <w:rPr>
          <w:rFonts w:ascii="Arial" w:hAnsi="Arial" w:eastAsia="Arial" w:cs="Arial"/>
          <w:i/>
          <w:sz w:val="22"/>
          <w:szCs w:val="22"/>
        </w:rPr>
        <w:t>Annual Report 2024</w:t>
      </w:r>
      <w:r>
        <w:rPr>
          <w:rFonts w:ascii="Arial" w:hAnsi="Arial" w:eastAsia="Arial" w:cs="Arial"/>
          <w:sz w:val="22"/>
          <w:szCs w:val="22"/>
        </w:rPr>
        <w:t xml:space="preserve">. Available at: </w:t>
      </w:r>
      <w:hyperlink r:id="rId10" w:history="1">
        <w:r>
          <w:rPr>
            <w:rStyle w:val="char1"/>
            <w:rFonts w:ascii="Arial" w:hAnsi="Arial" w:eastAsia="Arial" w:cs="Arial"/>
            <w:sz w:val="22"/>
            <w:szCs w:val="22"/>
          </w:rPr>
          <w:t>https://www.jaguarlandrover.com</w:t>
        </w:r>
      </w:hyperlink>
      <w:r>
        <w:rPr>
          <w:rFonts w:ascii="Arial" w:hAnsi="Arial" w:eastAsia="Arial" w:cs="Arial"/>
          <w:sz w:val="22"/>
          <w:szCs w:val="22"/>
        </w:rPr>
        <w:t xml:space="preserve"> (Accessed: 13 July 2026).</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t xml:space="preserve">Jaguar Land Rover (2025) </w:t>
      </w:r>
      <w:r>
        <w:rPr>
          <w:rFonts w:ascii="Arial" w:hAnsi="Arial" w:eastAsia="Arial" w:cs="Arial"/>
          <w:i/>
          <w:sz w:val="22"/>
          <w:szCs w:val="22"/>
        </w:rPr>
        <w:t>Annual Report 2025</w:t>
      </w:r>
      <w:r>
        <w:rPr>
          <w:rFonts w:ascii="Arial" w:hAnsi="Arial" w:eastAsia="Arial" w:cs="Arial"/>
          <w:sz w:val="22"/>
          <w:szCs w:val="22"/>
        </w:rPr>
        <w:t xml:space="preserve">. Available at: </w:t>
      </w:r>
      <w:hyperlink r:id="rId10" w:history="1">
        <w:r>
          <w:rPr>
            <w:rStyle w:val="char1"/>
            <w:rFonts w:ascii="Arial" w:hAnsi="Arial" w:eastAsia="Arial" w:cs="Arial"/>
            <w:sz w:val="22"/>
            <w:szCs w:val="22"/>
          </w:rPr>
          <w:t>https://www.jaguarlandrover.com</w:t>
        </w:r>
      </w:hyperlink>
      <w:r>
        <w:rPr>
          <w:rFonts w:ascii="Arial" w:hAnsi="Arial" w:eastAsia="Arial" w:cs="Arial"/>
          <w:sz w:val="22"/>
          <w:szCs w:val="22"/>
        </w:rPr>
        <w:t xml:space="preserve"> (Accessed: 13 July 2026).</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t xml:space="preserve">Johnson, G., Scholes, K., Whittington, R. and Angwin, D. (2020) </w:t>
      </w:r>
      <w:r>
        <w:rPr>
          <w:rFonts w:ascii="Arial" w:hAnsi="Arial" w:eastAsia="Arial" w:cs="Arial"/>
          <w:i/>
          <w:sz w:val="22"/>
          <w:szCs w:val="22"/>
        </w:rPr>
        <w:t>Exploring Strategy</w:t>
      </w:r>
      <w:r>
        <w:rPr>
          <w:rFonts w:ascii="Arial" w:hAnsi="Arial" w:eastAsia="Arial" w:cs="Arial"/>
          <w:sz w:val="22"/>
          <w:szCs w:val="22"/>
        </w:rPr>
        <w:t>. 12th edn. Harlow: Pearson.</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t xml:space="preserve">Kaplan, R.S. and Norton, D.P. (1996) </w:t>
      </w:r>
      <w:r>
        <w:rPr>
          <w:rFonts w:ascii="Arial" w:hAnsi="Arial" w:eastAsia="Arial" w:cs="Arial"/>
          <w:i/>
          <w:sz w:val="22"/>
          <w:szCs w:val="22"/>
        </w:rPr>
        <w:t>The Balanced Scorecard: Translating Strategy into Action</w:t>
      </w:r>
      <w:r>
        <w:rPr>
          <w:rFonts w:ascii="Arial" w:hAnsi="Arial" w:eastAsia="Arial" w:cs="Arial"/>
          <w:sz w:val="22"/>
          <w:szCs w:val="22"/>
        </w:rPr>
        <w:t>. Boston: Harvard Business School Press.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t xml:space="preserve">Kotter, J.P. (2012) </w:t>
      </w:r>
      <w:r>
        <w:rPr>
          <w:rFonts w:ascii="Arial" w:hAnsi="Arial" w:eastAsia="Arial" w:cs="Arial"/>
          <w:i/>
          <w:sz w:val="22"/>
          <w:szCs w:val="22"/>
        </w:rPr>
        <w:t>Leading Change</w:t>
      </w:r>
      <w:r>
        <w:rPr>
          <w:rFonts w:ascii="Arial" w:hAnsi="Arial" w:eastAsia="Arial" w:cs="Arial"/>
          <w:sz w:val="22"/>
          <w:szCs w:val="22"/>
        </w:rPr>
        <w:t>. Boston: Harvard Business Review Press.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t xml:space="preserve">Lewin, K. (1951) </w:t>
      </w:r>
      <w:r>
        <w:rPr>
          <w:rFonts w:ascii="Arial" w:hAnsi="Arial" w:eastAsia="Arial" w:cs="Arial"/>
          <w:i/>
          <w:sz w:val="22"/>
          <w:szCs w:val="22"/>
        </w:rPr>
        <w:t>Field Theory in Social Science</w:t>
      </w:r>
      <w:r>
        <w:rPr>
          <w:rFonts w:ascii="Arial" w:hAnsi="Arial" w:eastAsia="Arial" w:cs="Arial"/>
          <w:sz w:val="22"/>
          <w:szCs w:val="22"/>
        </w:rPr>
        <w:t>. New York: Harper &amp; Row.</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t xml:space="preserve">Porter, M.E. (1985) </w:t>
      </w:r>
      <w:r>
        <w:rPr>
          <w:rFonts w:ascii="Arial" w:hAnsi="Arial" w:eastAsia="Arial" w:cs="Arial"/>
          <w:i/>
          <w:sz w:val="22"/>
          <w:szCs w:val="22"/>
        </w:rPr>
        <w:t>Competitive Advantage: Creating and Sustaining Superior Performance</w:t>
      </w:r>
      <w:r>
        <w:rPr>
          <w:rFonts w:ascii="Arial" w:hAnsi="Arial" w:eastAsia="Arial" w:cs="Arial"/>
          <w:sz w:val="22"/>
          <w:szCs w:val="22"/>
        </w:rPr>
        <w:t>. New York: Free Press.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t xml:space="preserve">Schein, E.H. and Schein, P.A. (2021) </w:t>
      </w:r>
      <w:r>
        <w:rPr>
          <w:rFonts w:ascii="Arial" w:hAnsi="Arial" w:eastAsia="Arial" w:cs="Arial"/>
          <w:i/>
          <w:sz w:val="22"/>
          <w:szCs w:val="22"/>
        </w:rPr>
        <w:t>Organizational Culture and Leadership</w:t>
      </w:r>
      <w:r>
        <w:rPr>
          <w:rFonts w:ascii="Arial" w:hAnsi="Arial" w:eastAsia="Arial" w:cs="Arial"/>
          <w:sz w:val="22"/>
          <w:szCs w:val="22"/>
        </w:rPr>
        <w:t>. 6th edn. Hoboken: Wiley.</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t xml:space="preserve">Teece, D.J. (2018) </w:t>
      </w:r>
      <w:r>
        <w:rPr>
          <w:rFonts w:ascii="Arial" w:hAnsi="Arial" w:eastAsia="Arial" w:cs="Arial"/>
          <w:i/>
          <w:sz w:val="22"/>
          <w:szCs w:val="22"/>
        </w:rPr>
        <w:t>Business Models and Dynamic Capabilities</w:t>
      </w:r>
      <w:r>
        <w:rPr>
          <w:rFonts w:ascii="Arial" w:hAnsi="Arial" w:eastAsia="Arial" w:cs="Arial"/>
          <w:sz w:val="22"/>
          <w:szCs w:val="22"/>
        </w:rPr>
        <w:t>. Oxford: Oxford University Press.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t xml:space="preserve">Vial, G. (2019) ‘Understanding digital transformation: A review and research agenda’, </w:t>
      </w:r>
      <w:r>
        <w:rPr>
          <w:rFonts w:ascii="Arial" w:hAnsi="Arial" w:eastAsia="Arial" w:cs="Arial"/>
          <w:i/>
          <w:sz w:val="22"/>
          <w:szCs w:val="22"/>
        </w:rPr>
        <w:t>The Journal of Strategic Information Systems</w:t>
      </w:r>
      <w:r>
        <w:rPr>
          <w:rFonts w:ascii="Arial" w:hAnsi="Arial" w:eastAsia="Arial" w:cs="Arial"/>
          <w:sz w:val="22"/>
          <w:szCs w:val="22"/>
        </w:rPr>
        <w:t>, 28(2), pp.118–144.</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Arial" w:cs="Arial"/>
          <w:sz w:val="22"/>
          <w:szCs w:val="22"/>
        </w:rPr>
      </w:pPr>
      <w:r>
        <w:rPr>
          <w:rFonts w:ascii="Arial" w:hAnsi="Arial" w:eastAsia="Arial" w:cs="Arial"/>
          <w:sz w:val="22"/>
          <w:szCs w:val="22"/>
        </w:rPr>
        <w:t xml:space="preserve">Westerman, G., Bonnet, D. and McAfee, A. (2014) </w:t>
      </w:r>
      <w:r>
        <w:rPr>
          <w:rFonts w:ascii="Arial" w:hAnsi="Arial" w:eastAsia="Arial" w:cs="Arial"/>
          <w:i/>
          <w:sz w:val="22"/>
          <w:szCs w:val="22"/>
        </w:rPr>
        <w:t>Leading Digital: Turning Technology into Business Transformation</w:t>
      </w:r>
      <w:r>
        <w:rPr>
          <w:rFonts w:ascii="Arial" w:hAnsi="Arial" w:eastAsia="Arial" w:cs="Arial"/>
          <w:sz w:val="22"/>
          <w:szCs w:val="22"/>
        </w:rPr>
        <w:t>. Boston: Harvard Business Review Press.</w:t>
      </w:r>
    </w:p>
    <w:p>
      <w:pPr>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pPr>
      <w:r>
        <w:rPr>
          <w:rFonts w:ascii="Arial" w:hAnsi="Arial" w:eastAsia="Arial" w:cs="Arial"/>
          <w:sz w:val="22"/>
          <w:szCs w:val="22"/>
        </w:rPr>
        <w:t xml:space="preserve">World Economic Forum (2023) </w:t>
      </w:r>
      <w:r>
        <w:rPr>
          <w:rFonts w:ascii="Arial" w:hAnsi="Arial" w:eastAsia="Arial" w:cs="Arial"/>
          <w:i/>
          <w:sz w:val="22"/>
          <w:szCs w:val="22"/>
        </w:rPr>
        <w:t>The Future of Jobs Report 20</w:t>
      </w:r>
      <w:r>
        <w:rPr>
          <w:i/>
        </w:rPr>
        <w:t>23</w:t>
      </w:r>
      <w:r>
        <w:t>. Geneva: World Economic Forum.</w:t>
      </w:r>
    </w:p>
    <w:sectPr>
      <w:footnotePr>
        <w:pos w:val="pageBottom"/>
        <w:numFmt w:val="decimal"/>
        <w:numStart w:val="1"/>
        <w:numRestart w:val="continuous"/>
      </w:footnotePr>
      <w:endnotePr>
        <w:pos w:val="docEnd"/>
        <w:numFmt w:val="lowerRoman"/>
        <w:numStart w:val="1"/>
        <w:numRestart w:val="continuous"/>
      </w:endnotePr>
      <w:type w:val="continuous"/>
      <w:pgSz w:h="15840" w:w="12240"/>
      <w:pgMar w:left="1440" w:top="1440" w:right="1440" w:bottom="1440" w:header="0" w:footer="0"/>
      <w:paperSrc w:first="0" w:other="0" a="0" b="0"/>
      <w:pgNumType w:fmt="decimal"/>
      <w:tmGutter w:val="1"/>
      <w:mirrorMargins w:val="0"/>
      <w:tmSection w:h="-1"/>
      <w:guidesAndGridMasterPages Id="0" numberOfVerticalGuides="0" numberOfHorizontalGuides="0"/>
      <w:guidesAndGridMasterPages Id="1" numberOfVerticalGuides="0" numberOfHorizontalGuides="0"/>
      <w:guidesAndGridMasterPages Id="2" numberOfVerticalGuides="0" numberOfHorizontalGuides="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default"/>
  </w:font>
  <w:font w:name="SimSun">
    <w:panose1 w:val="02010600030101010101"/>
    <w:charset w:val="00"/>
    <w:family w:val="auto"/>
    <w:pitch w:val="default"/>
  </w:font>
  <w:font w:name="Arial">
    <w:panose1 w:val="020B0604020202020204"/>
    <w:charset w:val="00"/>
    <w:family w:val="swiss"/>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abstractNum w:abstractNumId="0">
    <w:multiLevelType w:val="hybridMultilevel"/>
    <w:tmNoNumList/>
    <w:lvl w:ilvl="0">
      <w:numFmt w:val="none"/>
      <w:lvlText w:val=""/>
      <w:lvlJc w:val="left"/>
      <w:pPr>
        <w:tabs>
          <w:tab w:val="num" w:pos="360"/>
        </w:tabs>
        <w:ind w:left="360" w:hanging="360"/>
      </w:pPr>
    </w:lvl>
    <w:lvl w:ilvl="1">
      <w:numFmt w:val="none"/>
      <w:lvlText w:val=""/>
      <w:lvlJc w:val="left"/>
      <w:pPr>
        <w:tabs>
          <w:tab w:val="num" w:pos="360"/>
        </w:tabs>
        <w:ind w:left="360" w:hanging="360"/>
      </w:pPr>
    </w:lvl>
    <w:lvl w:ilvl="2">
      <w:numFmt w:val="none"/>
      <w:lvlText w:val=""/>
      <w:lvlJc w:val="left"/>
      <w:pPr>
        <w:tabs>
          <w:tab w:val="num" w:pos="360"/>
        </w:tabs>
        <w:ind w:left="360" w:hanging="360"/>
      </w:pPr>
    </w:lvl>
    <w:lvl w:ilvl="3">
      <w:numFmt w:val="none"/>
      <w:lvlText w:val=""/>
      <w:lvlJc w:val="left"/>
      <w:pPr>
        <w:tabs>
          <w:tab w:val="num" w:pos="360"/>
        </w:tabs>
        <w:ind w:left="360" w:hanging="360"/>
      </w:pPr>
    </w:lvl>
    <w:lvl w:ilvl="4">
      <w:numFmt w:val="none"/>
      <w:lvlText w:val=""/>
      <w:lvlJc w:val="left"/>
      <w:pPr>
        <w:tabs>
          <w:tab w:val="num" w:pos="360"/>
        </w:tabs>
        <w:ind w:left="360" w:hanging="360"/>
      </w:pPr>
    </w:lvl>
    <w:lvl w:ilvl="5">
      <w:numFmt w:val="none"/>
      <w:lvlText w:val=""/>
      <w:lvlJc w:val="left"/>
      <w:pPr>
        <w:tabs>
          <w:tab w:val="num" w:pos="360"/>
        </w:tabs>
        <w:ind w:left="360" w:hanging="360"/>
      </w:pPr>
    </w:lvl>
    <w:lvl w:ilvl="6">
      <w:numFmt w:val="none"/>
      <w:lvlText w:val=""/>
      <w:lvlJc w:val="left"/>
      <w:pPr>
        <w:tabs>
          <w:tab w:val="num" w:pos="360"/>
        </w:tabs>
        <w:ind w:left="360" w:hanging="360"/>
      </w:pPr>
    </w:lvl>
    <w:lvl w:ilvl="7">
      <w:numFmt w:val="none"/>
      <w:lvlText w:val=""/>
      <w:lvlJc w:val="left"/>
      <w:pPr>
        <w:tabs>
          <w:tab w:val="num" w:pos="360"/>
        </w:tabs>
        <w:ind w:left="360" w:hanging="360"/>
      </w:pPr>
    </w:lvl>
    <w:lvl w:ilvl="8">
      <w:numFmt w:val="none"/>
      <w:lvlText w:val=""/>
      <w:lvlJc w:val="left"/>
      <w:pPr>
        <w:tabs>
          <w:tab w:val="num" w:pos="360"/>
        </w:tabs>
        <w:ind w:left="360" w:hanging="360"/>
      </w:pPr>
    </w:lvl>
  </w:abstractNum>
  <w:abstractNum w:abstractNumId="1">
    <w:multiLevelType w:val="singleLevel"/>
    <w:name w:val="Bullet 1"/>
    <w:lvl w:ilvl="0">
      <w:numFmt w:val="bullet"/>
      <w:suff w:val="tab"/>
      <w:lvlText w:val=""/>
      <w:lvlJc w:val="left"/>
      <w:pPr>
        <w:ind w:left="0" w:hanging="0"/>
      </w:pPr>
      <w:rPr>
        <w:rFonts w:ascii="Wingdings" w:hAnsi="Wingdings" w:eastAsia="Wingdings" w:cs="Wingdings"/>
      </w:rPr>
    </w:lvl>
  </w:abstractNum>
  <w:abstractNum w:abstractNumId="2">
    <w:multiLevelType w:val="singleLevel"/>
    <w:name w:val="Bullet 2"/>
    <w:lvl w:ilvl="0">
      <w:start w:val="1"/>
      <w:numFmt w:val="ordinal"/>
      <w:suff w:val="tab"/>
      <w:lvlText w:val="%1"/>
      <w:lvlJc w:val="left"/>
      <w:pPr>
        <w:ind w:left="0" w:hanging="0"/>
      </w:pPr>
    </w:lvl>
  </w:abstractNum>
  <w:abstractNum w:abstractNumId="3">
    <w:multiLevelType w:val="singleLevel"/>
    <w:name w:val="Bullet 3"/>
    <w:lvl w:ilvl="0">
      <w:numFmt w:val="bullet"/>
      <w:lvlText w:val=""/>
      <w:lvlJc w:val="left"/>
      <w:pPr>
        <w:tabs>
          <w:tab w:val="num" w:pos="283"/>
        </w:tabs>
        <w:ind w:left="283" w:hanging="283"/>
      </w:pPr>
      <w:rPr>
        <w:rFonts w:ascii="Wingdings" w:hAnsi="Wingdings" w:eastAsia="Wingdings" w:cs="Wingdings"/>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view w:val="print"/>
  <w:defaultTabStop w:val="720"/>
  <w:autoHyphenation w:val="0"/>
  <w:doNotShadeFormData w:val="1"/>
  <w:captions>
    <w:caption w:name="Table" w:pos="below" w:numFmt="decimal"/>
    <w:caption w:name="Figure" w:pos="below" w:numFmt="decimal"/>
    <w:caption w:name="Picture" w:pos="below" w:numFmt="decimal"/>
  </w:captions>
  <w:drawingGridHorizontalSpacing w:val="283"/>
  <w:drawingGridVerticalSpacing w:val="283"/>
  <w:revisionView w:comments="1" w:markup="1" w:insDel="1" w:formatting="1"/>
  <w:footnotePr>
    <w:pos w:val="pageBottom"/>
    <w:numFmt w:val="decimal"/>
    <w:numStart w:val="1"/>
    <w:numRestart w:val="continuous"/>
  </w:footnotePr>
  <w:endnotePr>
    <w:pos w:val="docEnd"/>
    <w:numFmt w:val="lowerRoman"/>
    <w:numStart w:val="1"/>
    <w:numRestart w:val="continuous"/>
  </w:endnotePr>
  <w:compat>
    <w:suppressSpBfAfterPgBrk w:val="1"/>
    <w:compatSetting w:name="compatibilityMode" w:uri="http://schemas.microsoft.com/office/word" w:val="15"/>
  </w:compat>
  <w:shapeDefaults>
    <o:shapedefaults v:ext="edit" spidmax="1038"/>
    <o:shapelayout v:ext="edit">
      <o:rules v:ext="edit"/>
    </o:shapelayout>
  </w:shapeDefaults>
  <w:tmPrefOne w:val="16"/>
  <w:tmPrefTwo w:val="1"/>
  <w:tmFmtPref w:val="55090283"/>
  <w:tmCommentsPr>
    <w:tmCommentsPlace w:val="0"/>
    <w:tmCommentsWidth w:val="3240"/>
    <w:tmCommentsColor w:val="-1"/>
  </w:tmCommentsPr>
  <w:tmReviewPr>
    <w:tmReviewEnabled w:val="0"/>
    <w:tmReviewShow w:val="1"/>
    <w:tmReviewPrint w:val="0"/>
    <w:tmRevisionNum w:val="2"/>
    <w:tmReviewMarkIns w:val="4"/>
    <w:tmReviewColorIns w:val="-1"/>
    <w:tmReviewMarkDel w:val="6"/>
    <w:tmReviewColorDel w:val="-1"/>
    <w:tmReviewMarkFmt w:val="1"/>
    <w:tmReviewColorFmt w:val="-1"/>
    <w:tmReviewMarkLn w:val="1"/>
    <w:tmReviewColorLn w:val="0"/>
    <w:tmReviewToolTip w:val="1"/>
  </w:tmReviewPr>
  <w:tmLastPos>
    <w:tmLastPosPage w:val="2"/>
    <w:tmLastPosSelect w:val="0"/>
    <w:tmLastPosFrameIdx w:val="4"/>
    <w:tmLastPosCaret>
      <w:tmLastPosPgfIdx w:val="0"/>
      <w:tmLastPosIdx w:val="0"/>
    </w:tmLastPosCaret>
    <w:tmLastPosAnchor>
      <w:tmLastPosPgfIdx w:val="0"/>
      <w:tmLastPosIdx w:val="0"/>
    </w:tmLastPosAnchor>
    <w:tmLastPosTblRect w:left="0" w:top="0" w:right="0" w:bottom="0"/>
  </w:tmLastPos>
  <w:tmAppRevision w:date="1784155695" w:val="1234" w:fileVer="342" w:fileVerOS="4"/>
  <w:guidesAndGrid showGuides="1" lockGuides="0" snapToGuides="1" snapToPageMargins="0" tolerance="8" gridDistanceHorizontal="283" gridDistanceVertical="283" showGrid="0" snapToGrid="0"/>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hAnsi="Times New Roman" w:eastAsia="SimSun" w:cs="Times New Roman"/>
        <w:kern w:val="1"/>
        <w:sz w:val="20"/>
        <w:szCs w:val="20"/>
        <w:lang w:val="en-us" w:eastAsia="zh-cn" w:bidi="ar-sa"/>
      </w:rPr>
    </w:rPrDefault>
    <w:pPrDefault>
      <w:pPr>
        <w:widowControl w:val="0"/>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key w:val="1072"/>
  </w:style>
  <w:style w:type="paragraph" w:styleId="para1">
    <w:name w:val="heading 1"/>
    <w:qFormat/>
    <w:basedOn w:val="para0"/>
    <w:next w:val="para0"/>
    <w:pPr>
      <w:spacing w:before="240" w:after="60"/>
      <w:keepNext/>
      <w:outlineLvl w:val="0"/>
      <w:keepLines/>
    </w:pPr>
    <w:rPr>
      <w:rFonts w:ascii="Arial" w:hAnsi="Arial" w:cs="Arial"/>
      <w:b/>
      <w:bCs/>
      <w:sz w:val="36"/>
      <w:szCs w:val="36"/>
    </w:rPr>
    <w:key w:val="1073"/>
  </w:style>
  <w:style w:type="paragraph" w:styleId="para2">
    <w:name w:val="heading 2"/>
    <w:qFormat/>
    <w:basedOn w:val="para1"/>
    <w:next w:val="para0"/>
    <w:pPr>
      <w:outlineLvl w:val="1"/>
    </w:pPr>
    <w:rPr>
      <w:sz w:val="32"/>
      <w:szCs w:val="32"/>
    </w:rPr>
    <w:key w:val="1074"/>
  </w:style>
  <w:style w:type="paragraph" w:styleId="para3">
    <w:name w:val="heading 3"/>
    <w:qFormat/>
    <w:basedOn w:val="para2"/>
    <w:next w:val="para0"/>
    <w:pPr>
      <w:outlineLvl w:val="2"/>
    </w:pPr>
    <w:rPr>
      <w:sz w:val="28"/>
      <w:szCs w:val="28"/>
    </w:rPr>
    <w:key w:val="1075"/>
  </w:style>
  <w:style w:type="paragraph" w:styleId="para4">
    <w:name w:val="toc 1"/>
    <w:qFormat/>
    <w:basedOn w:val="para0"/>
    <w:next w:val="para0"/>
  </w:style>
  <w:style w:type="paragraph" w:styleId="para5">
    <w:name w:val="toc 2"/>
    <w:qFormat/>
    <w:basedOn w:val="para0"/>
    <w:next w:val="para0"/>
    <w:pPr>
      <w:ind w:left="288"/>
    </w:pPr>
  </w:style>
  <w:style w:type="paragraph" w:styleId="para6">
    <w:name w:val="toc 3"/>
    <w:qFormat/>
    <w:basedOn w:val="para0"/>
    <w:next w:val="para0"/>
    <w:pPr>
      <w:ind w:left="576"/>
    </w:pPr>
  </w:style>
  <w:style w:type="character" w:styleId="char0" w:default="1">
    <w:name w:val="Default Paragraph Font"/>
  </w:style>
  <w:style w:type="character" w:styleId="char1">
    <w:name w:val="Hyperlink"/>
    <w:rPr>
      <w:color w:val="0000ff"/>
      <w:u w:color="auto" w:val="single"/>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docDefaults>
    <w:rPrDefault>
      <w:rPr>
        <w:rFonts w:ascii="Times New Roman" w:hAnsi="Times New Roman" w:eastAsia="SimSun" w:cs="Times New Roman"/>
        <w:kern w:val="1"/>
        <w:sz w:val="20"/>
        <w:szCs w:val="20"/>
        <w:lang w:val="en-us" w:eastAsia="zh-cn" w:bidi="ar-sa"/>
      </w:rPr>
    </w:rPrDefault>
    <w:pPrDefault>
      <w:pPr>
        <w:widowControl w:val="0"/>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key w:val="1072"/>
  </w:style>
  <w:style w:type="paragraph" w:styleId="para1">
    <w:name w:val="heading 1"/>
    <w:qFormat/>
    <w:basedOn w:val="para0"/>
    <w:next w:val="para0"/>
    <w:pPr>
      <w:spacing w:before="240" w:after="60"/>
      <w:keepNext/>
      <w:outlineLvl w:val="0"/>
      <w:keepLines/>
    </w:pPr>
    <w:rPr>
      <w:rFonts w:ascii="Arial" w:hAnsi="Arial" w:cs="Arial"/>
      <w:b/>
      <w:bCs/>
      <w:sz w:val="36"/>
      <w:szCs w:val="36"/>
    </w:rPr>
    <w:key w:val="1073"/>
  </w:style>
  <w:style w:type="paragraph" w:styleId="para2">
    <w:name w:val="heading 2"/>
    <w:qFormat/>
    <w:basedOn w:val="para1"/>
    <w:next w:val="para0"/>
    <w:pPr>
      <w:outlineLvl w:val="1"/>
    </w:pPr>
    <w:rPr>
      <w:sz w:val="32"/>
      <w:szCs w:val="32"/>
    </w:rPr>
    <w:key w:val="1074"/>
  </w:style>
  <w:style w:type="paragraph" w:styleId="para3">
    <w:name w:val="heading 3"/>
    <w:qFormat/>
    <w:basedOn w:val="para2"/>
    <w:next w:val="para0"/>
    <w:pPr>
      <w:outlineLvl w:val="2"/>
    </w:pPr>
    <w:rPr>
      <w:sz w:val="28"/>
      <w:szCs w:val="28"/>
    </w:rPr>
    <w:key w:val="1075"/>
  </w:style>
  <w:style w:type="paragraph" w:styleId="para4">
    <w:name w:val="toc 1"/>
    <w:qFormat/>
    <w:basedOn w:val="para0"/>
    <w:next w:val="para0"/>
  </w:style>
  <w:style w:type="paragraph" w:styleId="para5">
    <w:name w:val="toc 2"/>
    <w:qFormat/>
    <w:basedOn w:val="para0"/>
    <w:next w:val="para0"/>
    <w:pPr>
      <w:ind w:left="288"/>
    </w:pPr>
  </w:style>
  <w:style w:type="paragraph" w:styleId="para6">
    <w:name w:val="toc 3"/>
    <w:qFormat/>
    <w:basedOn w:val="para0"/>
    <w:next w:val="para0"/>
    <w:pPr>
      <w:ind w:left="576"/>
    </w:pPr>
  </w:style>
  <w:style w:type="character" w:styleId="char0" w:default="1">
    <w:name w:val="Default Paragraph Font"/>
  </w:style>
  <w:style w:type="character" w:styleId="char1">
    <w:name w:val="Hyperlink"/>
    <w:rPr>
      <w:color w:val="0000ff"/>
      <w:u w:color="auto" w:val="single"/>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
<Relationships xmlns="http://schemas.openxmlformats.org/package/2006/relationships"><Relationship Id="rId1" Type="http://schemas.openxmlformats.org/officeDocument/2006/relationships/webSettings" Target="webSettings.xml"/><Relationship Id="rId2" Type="http://schemas.openxmlformats.org/officeDocument/2006/relationships/settings" Target="settings.xml"/><Relationship Id="rId3" Type="http://schemas.openxmlformats.org/officeDocument/2006/relationships/theme" Target="theme/theme1.xml"/><Relationship Id="rId4" Type="http://schemas.openxmlformats.org/officeDocument/2006/relationships/fontTable" Target="fontTable.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hyperlink" Target="https://www.deloitte.com/" TargetMode="External"/><Relationship Id="rId9" Type="http://schemas.openxmlformats.org/officeDocument/2006/relationships/hyperlink" Target="https://www.iea.org/" TargetMode="External"/><Relationship Id="rId10" Type="http://schemas.openxmlformats.org/officeDocument/2006/relationships/hyperlink" Target="https://www.jaguarlandrover.com/" TargetMode="Externa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Arial"/>
        <a:ea typeface="SimSun"/>
        <a:cs typeface="Arial"/>
      </a:majorFont>
      <a:minorFont>
        <a:latin typeface="Times New Roman"/>
        <a:ea typeface="SimSun"/>
        <a:cs typeface="Times New Roma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a:solidFill>
            <a:srgbClr val="000000"/>
          </a:solidFill>
        </a:ln>
      </a:spPr>
      <a:bodyPr spcFirstLastPara="1" vertOverflow="clip" horzOverflow="clip" upright="1">
        <a:prstTxWarp prst="textNoShape">
          <a:avLst/>
        </a:prstTxWarp>
        <a:noAutofit/>
      </a:bodyPr>
      <a:lstStyle/>
      <a:style>
        <a:lnRef idx="0">
          <a:schemeClr val="accent1"/>
        </a:lnRef>
        <a:fillRef idx="0">
          <a:schemeClr val="accent1"/>
        </a:fillRef>
        <a:effectRef idx="0">
          <a:schemeClr val="accent1"/>
        </a:effectRef>
        <a:fontRef idx="minor">
          <a:schemeClr val="lt1"/>
        </a:fontRef>
      </a:style>
    </a:spDef>
  </a:objectDefaults>
  <a:extraClrSchemeLst/>
</a:theme>
</file>

<file path=docProps/app.xml><?xml version="1.0" encoding="utf-8"?>
<Properties xmlns="http://schemas.openxmlformats.org/officeDocument/2006/extended-properties" xmlns:vt="http://schemas.openxmlformats.org/officeDocument/2006/docPropsVTypes">
  <Application>TextMaker free rev.1234</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cp:revision>
  <cp:lastPrinted>2026-07-15T22:48:34Z</cp:lastPrinted>
  <dcterms:created xsi:type="dcterms:W3CDTF">2026-07-13T00:32:55Z</dcterms:created>
  <dcterms:modified xsi:type="dcterms:W3CDTF">2026-07-15T22:48:15Z</dcterms:modified>
</cp:coreProperties>
</file>