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2D82A" w14:textId="77777777" w:rsidR="00207029" w:rsidRPr="00D471AF" w:rsidRDefault="00207029" w:rsidP="00D471AF">
      <w:pPr>
        <w:rPr>
          <w:rFonts w:ascii="Arial" w:hAnsi="Arial" w:cs="Arial"/>
          <w:b/>
          <w:bCs/>
          <w:sz w:val="24"/>
          <w:szCs w:val="24"/>
          <w:u w:val="single"/>
        </w:rPr>
      </w:pPr>
      <w:bookmarkStart w:id="0" w:name="_Hlk175747663"/>
      <w:r w:rsidRPr="00D471AF">
        <w:rPr>
          <w:rFonts w:ascii="Arial" w:hAnsi="Arial" w:cs="Arial"/>
          <w:b/>
          <w:bCs/>
          <w:sz w:val="24"/>
          <w:szCs w:val="24"/>
          <w:u w:val="single"/>
        </w:rPr>
        <w:t>1.1 Explain the principles of reward and its importance to organisational culture and performance management. 799</w:t>
      </w:r>
    </w:p>
    <w:p w14:paraId="35BBAF02" w14:textId="4CF63099" w:rsidR="00207029" w:rsidRPr="00D471AF" w:rsidRDefault="009E01B6" w:rsidP="00D471AF">
      <w:pPr>
        <w:rPr>
          <w:rFonts w:ascii="Arial" w:hAnsi="Arial" w:cs="Arial"/>
          <w:sz w:val="24"/>
          <w:szCs w:val="24"/>
        </w:rPr>
      </w:pPr>
      <w:bookmarkStart w:id="1" w:name="_Hlk205972679"/>
      <w:r w:rsidRPr="00D471AF">
        <w:rPr>
          <w:rFonts w:ascii="Arial" w:hAnsi="Arial" w:cs="Arial"/>
          <w:sz w:val="24"/>
          <w:szCs w:val="24"/>
        </w:rPr>
        <w:t>Schein (1992)</w:t>
      </w:r>
      <w:r w:rsidR="00207029" w:rsidRPr="00D471AF">
        <w:rPr>
          <w:rFonts w:ascii="Arial" w:hAnsi="Arial" w:cs="Arial"/>
          <w:sz w:val="24"/>
          <w:szCs w:val="24"/>
        </w:rPr>
        <w:t xml:space="preserve"> </w:t>
      </w:r>
      <w:bookmarkEnd w:id="1"/>
      <w:r w:rsidR="00207029" w:rsidRPr="00D471AF">
        <w:rPr>
          <w:rFonts w:ascii="Arial" w:hAnsi="Arial" w:cs="Arial"/>
          <w:sz w:val="24"/>
          <w:szCs w:val="24"/>
        </w:rPr>
        <w:t>describes organisational culture as a set of shared assumptions, values, and beliefs that govern how people behave in organisations. These shared values have a strong influence on the people in the organisation and dictate how they dress, act, and perform their jobs.</w:t>
      </w:r>
    </w:p>
    <w:p w14:paraId="7C35B1EB" w14:textId="6C32A1E6" w:rsidR="00207029" w:rsidRPr="00D471AF" w:rsidRDefault="00207029" w:rsidP="00D471AF">
      <w:pPr>
        <w:rPr>
          <w:rFonts w:ascii="Arial" w:hAnsi="Arial" w:cs="Arial"/>
          <w:sz w:val="24"/>
          <w:szCs w:val="24"/>
        </w:rPr>
      </w:pPr>
      <w:r w:rsidRPr="00D471AF">
        <w:rPr>
          <w:rFonts w:ascii="Arial" w:hAnsi="Arial" w:cs="Arial"/>
          <w:sz w:val="24"/>
          <w:szCs w:val="24"/>
        </w:rPr>
        <w:t>Armstrong (2006), defines performance management as a strategic and integrated approach to delivering sustained success to organisations by improving the performance of the people who work in them and by developing the capabilities of teams and individual contributors.</w:t>
      </w:r>
    </w:p>
    <w:p w14:paraId="32F78E8A" w14:textId="77777777" w:rsidR="00207029" w:rsidRPr="00D471AF" w:rsidRDefault="00207029" w:rsidP="00D471AF">
      <w:pPr>
        <w:rPr>
          <w:rFonts w:ascii="Arial" w:hAnsi="Arial" w:cs="Arial"/>
          <w:sz w:val="24"/>
          <w:szCs w:val="24"/>
        </w:rPr>
      </w:pPr>
      <w:r w:rsidRPr="00D471AF">
        <w:rPr>
          <w:rFonts w:ascii="Arial" w:hAnsi="Arial" w:cs="Arial"/>
          <w:sz w:val="24"/>
          <w:szCs w:val="24"/>
        </w:rPr>
        <w:t>According to Ghoshal and Bartlett (1995), the overall aim of reward management should be to ‘add value to people’. More specifically, the aims are to:</w:t>
      </w:r>
    </w:p>
    <w:p w14:paraId="5E241BDF"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 support the achievement of business goals through high performance.</w:t>
      </w:r>
    </w:p>
    <w:p w14:paraId="2A4E2EC0"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 develop and support the organization’s culture.</w:t>
      </w:r>
    </w:p>
    <w:p w14:paraId="14645571"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 define what is important in terms of behaviours and outcomes.</w:t>
      </w:r>
    </w:p>
    <w:p w14:paraId="682E93C9" w14:textId="77777777" w:rsidR="00207029" w:rsidRPr="00D471AF" w:rsidRDefault="00207029" w:rsidP="00D471AF">
      <w:pPr>
        <w:rPr>
          <w:rFonts w:ascii="Arial" w:hAnsi="Arial" w:cs="Arial"/>
          <w:sz w:val="24"/>
          <w:szCs w:val="24"/>
        </w:rPr>
      </w:pPr>
      <w:r w:rsidRPr="00D471AF">
        <w:rPr>
          <w:rFonts w:ascii="Arial" w:hAnsi="Arial" w:cs="Arial"/>
          <w:sz w:val="24"/>
          <w:szCs w:val="24"/>
        </w:rPr>
        <w:t>• reward people according to the value they create.</w:t>
      </w:r>
    </w:p>
    <w:p w14:paraId="5DE867A6"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 reward people according to what the organization values.</w:t>
      </w:r>
    </w:p>
    <w:p w14:paraId="37DD3F25"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 align reward practices with employee needs.</w:t>
      </w:r>
    </w:p>
    <w:p w14:paraId="5FEF8FFC" w14:textId="112D4457" w:rsidR="00207029" w:rsidRPr="00D471AF" w:rsidRDefault="00207029" w:rsidP="00D471AF">
      <w:pPr>
        <w:rPr>
          <w:rFonts w:ascii="Arial" w:hAnsi="Arial" w:cs="Arial"/>
          <w:sz w:val="24"/>
          <w:szCs w:val="24"/>
        </w:rPr>
      </w:pPr>
      <w:r w:rsidRPr="00D471AF">
        <w:rPr>
          <w:rFonts w:ascii="Arial" w:hAnsi="Arial" w:cs="Arial"/>
          <w:sz w:val="24"/>
          <w:szCs w:val="24"/>
        </w:rPr>
        <w:t xml:space="preserve"> • help to attract and retain the high-quality people the organisation needs.</w:t>
      </w:r>
      <w:r w:rsidRPr="00D471AF">
        <w:rPr>
          <w:rFonts w:ascii="Arial" w:hAnsi="Arial" w:cs="Arial"/>
          <w:sz w:val="24"/>
          <w:szCs w:val="24"/>
        </w:rPr>
        <w:br/>
      </w:r>
      <w:r w:rsidRPr="00D471AF">
        <w:rPr>
          <w:rFonts w:ascii="Arial" w:hAnsi="Arial" w:cs="Arial"/>
          <w:sz w:val="24"/>
          <w:szCs w:val="24"/>
        </w:rPr>
        <w:br/>
        <w:t xml:space="preserve">When deciding on our reward strategy It is imperative that we follow the following principles of reward: </w:t>
      </w:r>
    </w:p>
    <w:p w14:paraId="047393B0" w14:textId="77777777" w:rsidR="00207029" w:rsidRPr="00D471AF" w:rsidRDefault="00207029" w:rsidP="00D471AF">
      <w:pPr>
        <w:rPr>
          <w:rFonts w:ascii="Arial" w:hAnsi="Arial" w:cs="Arial"/>
          <w:sz w:val="24"/>
          <w:szCs w:val="24"/>
        </w:rPr>
      </w:pPr>
      <w:r w:rsidRPr="00D471AF">
        <w:rPr>
          <w:rFonts w:ascii="Arial" w:hAnsi="Arial" w:cs="Arial"/>
          <w:sz w:val="24"/>
          <w:szCs w:val="24"/>
        </w:rPr>
        <w:t>Fairness</w:t>
      </w:r>
    </w:p>
    <w:p w14:paraId="60F571F2" w14:textId="77777777" w:rsidR="00207029" w:rsidRPr="00D471AF" w:rsidRDefault="00207029" w:rsidP="00D471AF">
      <w:pPr>
        <w:rPr>
          <w:rFonts w:ascii="Arial" w:hAnsi="Arial" w:cs="Arial"/>
          <w:sz w:val="24"/>
          <w:szCs w:val="24"/>
        </w:rPr>
      </w:pPr>
      <w:r w:rsidRPr="00D471AF">
        <w:rPr>
          <w:rFonts w:ascii="Arial" w:hAnsi="Arial" w:cs="Arial"/>
          <w:sz w:val="24"/>
          <w:szCs w:val="24"/>
        </w:rPr>
        <w:t>Flexibility</w:t>
      </w:r>
    </w:p>
    <w:p w14:paraId="432134CB" w14:textId="77777777" w:rsidR="00207029" w:rsidRPr="00D471AF" w:rsidRDefault="00207029" w:rsidP="00D471AF">
      <w:pPr>
        <w:rPr>
          <w:rFonts w:ascii="Arial" w:hAnsi="Arial" w:cs="Arial"/>
          <w:sz w:val="24"/>
          <w:szCs w:val="24"/>
        </w:rPr>
      </w:pPr>
      <w:r w:rsidRPr="00D471AF">
        <w:rPr>
          <w:rFonts w:ascii="Arial" w:hAnsi="Arial" w:cs="Arial"/>
          <w:sz w:val="24"/>
          <w:szCs w:val="24"/>
        </w:rPr>
        <w:t>Transparency</w:t>
      </w:r>
    </w:p>
    <w:p w14:paraId="6BF32E74" w14:textId="77777777" w:rsidR="00207029" w:rsidRPr="00D471AF" w:rsidRDefault="00207029" w:rsidP="00D471AF">
      <w:pPr>
        <w:rPr>
          <w:rFonts w:ascii="Arial" w:hAnsi="Arial" w:cs="Arial"/>
          <w:sz w:val="24"/>
          <w:szCs w:val="24"/>
        </w:rPr>
      </w:pPr>
      <w:r w:rsidRPr="00D471AF">
        <w:rPr>
          <w:rFonts w:ascii="Arial" w:hAnsi="Arial" w:cs="Arial"/>
          <w:sz w:val="24"/>
          <w:szCs w:val="24"/>
        </w:rPr>
        <w:t>Fairness</w:t>
      </w:r>
    </w:p>
    <w:p w14:paraId="6B4A08C1"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Armstrong (2010) explains, A fair reward system is one that operates in alignment with the principles of distributive and procedural justice. Ceplenski (2013) explains that the idea of fairness within an organisation also determines if an employee will make an extra effort to reach organisational goals or even their own personal objectives. This further supports the point employees’ perception of fair treatment is a key driver of retention, engagement and performance. </w:t>
      </w:r>
    </w:p>
    <w:p w14:paraId="123ED49E"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While fairness is a fundamental principle in reward management, it does not necessarily mean that all employees should receive identical rewards. For example, it is generally accepted that managers may receive higher compensation than entry-level staff due to the greater scope and impact of their responsibilities on organisational outcomes. However, this assumes that employees will automatically understand and accept such distinctions, which may not always be the case. </w:t>
      </w:r>
    </w:p>
    <w:p w14:paraId="0F6F78A9" w14:textId="77777777" w:rsidR="00207029" w:rsidRPr="00D471AF" w:rsidRDefault="00207029" w:rsidP="00D471AF">
      <w:pPr>
        <w:rPr>
          <w:rFonts w:ascii="Arial" w:hAnsi="Arial" w:cs="Arial"/>
          <w:sz w:val="24"/>
          <w:szCs w:val="24"/>
        </w:rPr>
      </w:pPr>
      <w:r w:rsidRPr="00D471AF">
        <w:rPr>
          <w:rFonts w:ascii="Arial" w:hAnsi="Arial" w:cs="Arial"/>
          <w:sz w:val="24"/>
          <w:szCs w:val="24"/>
        </w:rPr>
        <w:lastRenderedPageBreak/>
        <w:t>Furthermore, interpreting what constitutes ‘fairness’ can vary significantly from one individual to another. The subjective nature of fairness, when applied to reward strategies, may lead to employee dissatisfaction if personal expectations differ from organisational decisions. This also conforms to the ‘felt-fair’ principle formulated by Eliot Jaques (1961), which explains that pay systems will be fair if they are ‘felt’ to be fair.</w:t>
      </w:r>
    </w:p>
    <w:p w14:paraId="427494E8" w14:textId="77777777" w:rsidR="00207029" w:rsidRPr="00D471AF" w:rsidRDefault="00207029" w:rsidP="00D471AF">
      <w:pPr>
        <w:rPr>
          <w:rFonts w:ascii="Arial" w:hAnsi="Arial" w:cs="Arial"/>
          <w:b/>
          <w:bCs/>
          <w:sz w:val="24"/>
          <w:szCs w:val="24"/>
          <w:u w:val="single"/>
        </w:rPr>
      </w:pPr>
      <w:r w:rsidRPr="00D471AF">
        <w:rPr>
          <w:rFonts w:ascii="Arial" w:hAnsi="Arial" w:cs="Arial"/>
          <w:b/>
          <w:bCs/>
          <w:sz w:val="24"/>
          <w:szCs w:val="24"/>
          <w:u w:val="single"/>
        </w:rPr>
        <w:t>Flexibility</w:t>
      </w:r>
    </w:p>
    <w:p w14:paraId="0D8153E3" w14:textId="77777777" w:rsidR="00207029" w:rsidRPr="00D471AF" w:rsidRDefault="00207029" w:rsidP="00D471AF">
      <w:pPr>
        <w:rPr>
          <w:rFonts w:ascii="Arial" w:hAnsi="Arial" w:cs="Arial"/>
          <w:sz w:val="24"/>
          <w:szCs w:val="24"/>
        </w:rPr>
      </w:pPr>
      <w:r w:rsidRPr="00D471AF">
        <w:rPr>
          <w:rFonts w:ascii="Arial" w:hAnsi="Arial" w:cs="Arial"/>
          <w:sz w:val="24"/>
          <w:szCs w:val="24"/>
        </w:rPr>
        <w:t>Reward systems should be adaptable to reflect the evolving needs and expectations of employees. As Pierce et al. (2003) emphasised, effective reward strategies are dynamic and continuously refined to maintain employee engagement. By aligning reward structures with current workforce trends and priorities, organisations demonstrate responsiveness and a commitment to employee well-being. Cavrenne (2022), highlights that actively listening to employees and translating their feedback into meaningful rewards fosters trust and reinforces a culture of recognition. This approach encourages employees to align with organisational goals, as individuals are generally driven by personal needs that seek fulfilment (Ngwa et al., 2019). Consequently, a responsive reward system can enhance motivation, performance, and contribute to a more cohesive and positive working environment.</w:t>
      </w:r>
    </w:p>
    <w:p w14:paraId="357BE982" w14:textId="77777777" w:rsidR="00207029" w:rsidRPr="00D471AF" w:rsidRDefault="00207029" w:rsidP="00D471AF">
      <w:pPr>
        <w:rPr>
          <w:rFonts w:ascii="Arial" w:hAnsi="Arial" w:cs="Arial"/>
          <w:sz w:val="24"/>
          <w:szCs w:val="24"/>
        </w:rPr>
      </w:pPr>
      <w:r w:rsidRPr="00D471AF">
        <w:rPr>
          <w:rFonts w:ascii="Arial" w:hAnsi="Arial" w:cs="Arial"/>
          <w:sz w:val="24"/>
          <w:szCs w:val="24"/>
        </w:rPr>
        <w:t>However, implementing flexible reward systems can present significant challenges and may inadvertently undermine other core principles of reward management. Employees might perceive frequent changes to reward criteria as inconsistent or unfair, leading to disengagement and frustration. As Ceplenski (2013) suggests, fairness does not always equate to equality, but the rationale behind the changes must be clearly understood. Additionally, constantly redefining performance expectations complicates performance management processes and may result in increased administrative and financial costs.</w:t>
      </w:r>
    </w:p>
    <w:p w14:paraId="6DB9E2FC" w14:textId="77777777" w:rsidR="00207029" w:rsidRPr="00D471AF" w:rsidRDefault="00207029" w:rsidP="00D471AF">
      <w:pPr>
        <w:rPr>
          <w:rFonts w:ascii="Arial" w:hAnsi="Arial" w:cs="Arial"/>
          <w:b/>
          <w:bCs/>
          <w:sz w:val="24"/>
          <w:szCs w:val="24"/>
          <w:u w:val="single"/>
        </w:rPr>
      </w:pPr>
      <w:r w:rsidRPr="00D471AF">
        <w:rPr>
          <w:rFonts w:ascii="Arial" w:hAnsi="Arial" w:cs="Arial"/>
          <w:b/>
          <w:bCs/>
          <w:sz w:val="24"/>
          <w:szCs w:val="24"/>
          <w:u w:val="single"/>
        </w:rPr>
        <w:t>Transparency</w:t>
      </w:r>
    </w:p>
    <w:p w14:paraId="0F45D7AF" w14:textId="72A2629B" w:rsidR="00207029" w:rsidRPr="00D471AF" w:rsidRDefault="00207029" w:rsidP="00D471AF">
      <w:pPr>
        <w:rPr>
          <w:rFonts w:ascii="Arial" w:hAnsi="Arial" w:cs="Arial"/>
          <w:sz w:val="24"/>
          <w:szCs w:val="24"/>
        </w:rPr>
      </w:pPr>
      <w:r w:rsidRPr="00D471AF">
        <w:rPr>
          <w:rFonts w:ascii="Arial" w:hAnsi="Arial" w:cs="Arial"/>
          <w:sz w:val="24"/>
          <w:szCs w:val="24"/>
        </w:rPr>
        <w:t>Armstrong explains (2010) ‘transparency exists when people understand how reward process’s function and how they are affected by them’. O’Neil (2017) suggests that transparency in reward systems enhances employee engagement and trust, which in turn contributes to increased productivity and job satisfaction. A transparent workplace encourages open dialogue between managers and employees, fostering honest discussions around goals, expectations, and performance. This clarity helps reduce ambiguity and dispels perceptions of unfairness. Moreover, transparency is a straightforward principle to implement; organisations can reinforce it by consistently applying clear standards across the workforce, ensuring all employees are treated according to the same criteria. This aligns with Rahman (2023)</w:t>
      </w:r>
      <w:r w:rsidR="009E01B6">
        <w:rPr>
          <w:rFonts w:ascii="Arial" w:hAnsi="Arial" w:cs="Arial"/>
          <w:sz w:val="24"/>
          <w:szCs w:val="24"/>
        </w:rPr>
        <w:t>,</w:t>
      </w:r>
      <w:r w:rsidRPr="00D471AF">
        <w:rPr>
          <w:rFonts w:ascii="Arial" w:hAnsi="Arial" w:cs="Arial"/>
          <w:sz w:val="24"/>
          <w:szCs w:val="24"/>
        </w:rPr>
        <w:t xml:space="preserve"> explaining that organisations with high transparency, report profit margins 21% higher than average and lower turnover.</w:t>
      </w:r>
    </w:p>
    <w:p w14:paraId="05700B0D"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Despite its benefits, transparency can present challenges for organisations. Rewarding employees differently based on their roles, such as offering higher compensation to managers than to associates may be justified by the varying impact each role has on performance outcomes. However, without clear communication, </w:t>
      </w:r>
      <w:r w:rsidRPr="00D471AF">
        <w:rPr>
          <w:rFonts w:ascii="Arial" w:hAnsi="Arial" w:cs="Arial"/>
          <w:sz w:val="24"/>
          <w:szCs w:val="24"/>
        </w:rPr>
        <w:lastRenderedPageBreak/>
        <w:t>such disparities can lead to misunderstandings and resentment among lower-level staff who may perceive the system as unfair. This misalignment can negatively affect morale, hinder performance, and disrupt the organisational culture. Moreover, inconsistent messaging around reward decisions may undermine trust and make it more difficult to manage expectations effectively.</w:t>
      </w:r>
    </w:p>
    <w:bookmarkEnd w:id="0"/>
    <w:p w14:paraId="3664A739" w14:textId="77777777" w:rsidR="00207029" w:rsidRPr="00D471AF" w:rsidRDefault="00207029" w:rsidP="00D471AF">
      <w:pPr>
        <w:rPr>
          <w:rFonts w:ascii="Arial" w:hAnsi="Arial" w:cs="Arial"/>
          <w:sz w:val="24"/>
          <w:szCs w:val="24"/>
        </w:rPr>
      </w:pPr>
    </w:p>
    <w:p w14:paraId="4E7003B5" w14:textId="77777777" w:rsidR="00207029" w:rsidRPr="00D471AF" w:rsidRDefault="00207029" w:rsidP="00D471AF">
      <w:pPr>
        <w:rPr>
          <w:rFonts w:ascii="Arial" w:hAnsi="Arial" w:cs="Arial"/>
          <w:b/>
          <w:bCs/>
          <w:sz w:val="24"/>
          <w:szCs w:val="24"/>
          <w:u w:val="single"/>
        </w:rPr>
      </w:pPr>
      <w:r w:rsidRPr="00D471AF">
        <w:rPr>
          <w:rFonts w:ascii="Arial" w:hAnsi="Arial" w:cs="Arial"/>
          <w:b/>
          <w:bCs/>
          <w:sz w:val="24"/>
          <w:szCs w:val="24"/>
          <w:u w:val="single"/>
        </w:rPr>
        <w:t>1.2 Assessing the contribution of extrinsic and intrinsic rewards to improving employee contribution and sustained organizational performance 341</w:t>
      </w:r>
    </w:p>
    <w:p w14:paraId="3A4B13F7" w14:textId="77777777" w:rsidR="00207029" w:rsidRPr="00D471AF" w:rsidRDefault="00207029" w:rsidP="00D471AF">
      <w:pPr>
        <w:rPr>
          <w:rFonts w:ascii="Arial" w:hAnsi="Arial" w:cs="Arial"/>
          <w:sz w:val="24"/>
          <w:szCs w:val="24"/>
        </w:rPr>
      </w:pPr>
    </w:p>
    <w:p w14:paraId="6D49C312" w14:textId="77777777" w:rsidR="00207029" w:rsidRPr="00D471AF" w:rsidRDefault="00207029" w:rsidP="00D471AF">
      <w:pPr>
        <w:rPr>
          <w:rFonts w:ascii="Arial" w:hAnsi="Arial" w:cs="Arial"/>
          <w:sz w:val="24"/>
          <w:szCs w:val="24"/>
        </w:rPr>
      </w:pPr>
      <w:r w:rsidRPr="00D471AF">
        <w:rPr>
          <w:rFonts w:ascii="Arial" w:hAnsi="Arial" w:cs="Arial"/>
          <w:sz w:val="24"/>
          <w:szCs w:val="24"/>
        </w:rPr>
        <w:t>Extrinsic rewards are tangible, covering pay, bonuses and benefits. Intrinsic rewards are the psychological benefits each employee gains from making a meaningful contribution through their work. (Hajduk, 2017).</w:t>
      </w:r>
    </w:p>
    <w:p w14:paraId="41CD694C" w14:textId="77777777" w:rsidR="00207029" w:rsidRPr="00D471AF" w:rsidRDefault="00207029" w:rsidP="00D471AF">
      <w:pPr>
        <w:rPr>
          <w:rFonts w:ascii="Arial" w:hAnsi="Arial" w:cs="Arial"/>
          <w:sz w:val="24"/>
          <w:szCs w:val="24"/>
        </w:rPr>
      </w:pPr>
      <w:r w:rsidRPr="00D471AF">
        <w:rPr>
          <w:rFonts w:ascii="Arial" w:hAnsi="Arial" w:cs="Arial"/>
          <w:sz w:val="24"/>
          <w:szCs w:val="24"/>
        </w:rPr>
        <w:t>Shah and Kumar (2007) argue that as individuals' fundamental needs are fulfilled, they tend to progress up the motivational hierarchy, leading them to seek different types of rewards. In today’s workplace, employees are increasingly driven by more than just financial compensation. Bhattacharya and Mukherjee (2009) emphasise that high salaries alone are no longer sufficient to retain top talent. Supporting this view, Skaggs et al. (1991) recommend that organisations offer a combination of intrinsic and extrinsic rewards such as bonuses, recognition, and social benefits to enhance both employee and organisational performance.</w:t>
      </w:r>
    </w:p>
    <w:p w14:paraId="004D67D9" w14:textId="77777777" w:rsidR="00207029" w:rsidRPr="00D471AF" w:rsidRDefault="00207029" w:rsidP="00D471AF">
      <w:pPr>
        <w:rPr>
          <w:rFonts w:ascii="Arial" w:hAnsi="Arial" w:cs="Arial"/>
          <w:sz w:val="24"/>
          <w:szCs w:val="24"/>
        </w:rPr>
      </w:pPr>
      <w:r w:rsidRPr="00D471AF">
        <w:rPr>
          <w:rFonts w:ascii="Arial" w:hAnsi="Arial" w:cs="Arial"/>
          <w:sz w:val="24"/>
          <w:szCs w:val="24"/>
        </w:rPr>
        <w:t>Social Exchange Theory also supports the idea that rewards positively influence employee contribution and performance. This theory suggests that workplace relationships are built on a cost-benefit analysis, where mutual obligations arise through ongoing reciprocal interactions (Sake &amp; Rotman, 2006). It highlights that well-structured rewards benefit both the employee through increased satisfaction and the employer through enhanced productivity.</w:t>
      </w:r>
      <w:r w:rsidRPr="00D471AF">
        <w:rPr>
          <w:rFonts w:ascii="Arial" w:hAnsi="Arial" w:cs="Arial"/>
          <w:sz w:val="24"/>
          <w:szCs w:val="24"/>
        </w:rPr>
        <w:br/>
      </w:r>
      <w:r w:rsidRPr="00D471AF">
        <w:rPr>
          <w:rFonts w:ascii="Arial" w:hAnsi="Arial" w:cs="Arial"/>
          <w:sz w:val="24"/>
          <w:szCs w:val="24"/>
        </w:rPr>
        <w:br/>
        <w:t>Maslow’s Hierarchy of Needs (1943) illustrates human motivation as a tiered pyramid, encompassing both intrinsic and extrinsic rewards. The model consists of five levels, beginning with physiological needs and culminating in self-actualisation. Maslow suggests that this framework can help organizations ensure they are addressing employees’ needs effectively, thereby fostering higher levels of performance. Simply put, when a company successfully meets employees’ basic needs, it lays the foundation for greater motivation and achievement.</w:t>
      </w:r>
    </w:p>
    <w:p w14:paraId="34959E24" w14:textId="77777777" w:rsidR="00207029" w:rsidRPr="00D471AF" w:rsidRDefault="00207029" w:rsidP="00D471AF">
      <w:pPr>
        <w:rPr>
          <w:rFonts w:ascii="Arial" w:hAnsi="Arial" w:cs="Arial"/>
          <w:sz w:val="24"/>
          <w:szCs w:val="24"/>
        </w:rPr>
      </w:pPr>
      <w:r w:rsidRPr="00D471AF">
        <w:rPr>
          <w:rFonts w:ascii="Arial" w:hAnsi="Arial" w:cs="Arial"/>
          <w:sz w:val="24"/>
          <w:szCs w:val="24"/>
        </w:rPr>
        <w:t>Additionally, the Path-Goal Theory, first introduced by Evans in 1970, emphasises that focusing on employee motivation leads to improved performance and satisfaction for both parties. The model proposes that when employees perceive a clear and attainable path to achieving rewards, they are more likely to perform at a high level. This is supported by Latham and Locke (1979), who argue that motivation and performance are significantly boosted when goals are clearly defined and achievable. Carraher et al. (2006) further reinforce this by stating that linking rewards directly to productivity results in measurable performance improvements.</w:t>
      </w:r>
    </w:p>
    <w:p w14:paraId="6AE0884B" w14:textId="77777777" w:rsidR="00207029" w:rsidRPr="00D471AF" w:rsidRDefault="00207029" w:rsidP="00D471AF">
      <w:pPr>
        <w:rPr>
          <w:rFonts w:ascii="Arial" w:hAnsi="Arial" w:cs="Arial"/>
          <w:b/>
          <w:bCs/>
          <w:sz w:val="24"/>
          <w:szCs w:val="24"/>
          <w:u w:val="single"/>
        </w:rPr>
      </w:pPr>
      <w:r w:rsidRPr="00D471AF">
        <w:rPr>
          <w:rFonts w:ascii="Arial" w:hAnsi="Arial" w:cs="Arial"/>
          <w:sz w:val="24"/>
          <w:szCs w:val="24"/>
        </w:rPr>
        <w:lastRenderedPageBreak/>
        <w:br/>
      </w:r>
      <w:r w:rsidRPr="00D471AF">
        <w:rPr>
          <w:rFonts w:ascii="Arial" w:hAnsi="Arial" w:cs="Arial"/>
          <w:sz w:val="24"/>
          <w:szCs w:val="24"/>
        </w:rPr>
        <w:br/>
      </w:r>
      <w:r w:rsidRPr="00D471AF">
        <w:rPr>
          <w:rFonts w:ascii="Arial" w:hAnsi="Arial" w:cs="Arial"/>
          <w:b/>
          <w:bCs/>
          <w:sz w:val="24"/>
          <w:szCs w:val="24"/>
          <w:u w:val="single"/>
        </w:rPr>
        <w:t xml:space="preserve">2.1 Explain the differences between types of </w:t>
      </w:r>
      <w:proofErr w:type="gramStart"/>
      <w:r w:rsidRPr="00D471AF">
        <w:rPr>
          <w:rFonts w:ascii="Arial" w:hAnsi="Arial" w:cs="Arial"/>
          <w:b/>
          <w:bCs/>
          <w:sz w:val="24"/>
          <w:szCs w:val="24"/>
          <w:u w:val="single"/>
        </w:rPr>
        <w:t>grade</w:t>
      </w:r>
      <w:proofErr w:type="gramEnd"/>
      <w:r w:rsidRPr="00D471AF">
        <w:rPr>
          <w:rFonts w:ascii="Arial" w:hAnsi="Arial" w:cs="Arial"/>
          <w:b/>
          <w:bCs/>
          <w:sz w:val="24"/>
          <w:szCs w:val="24"/>
          <w:u w:val="single"/>
        </w:rPr>
        <w:t xml:space="preserve"> and pay structures 432</w:t>
      </w:r>
    </w:p>
    <w:p w14:paraId="42D99CD5" w14:textId="77777777" w:rsidR="00207029" w:rsidRPr="00D471AF" w:rsidRDefault="00207029" w:rsidP="00D471AF">
      <w:pPr>
        <w:rPr>
          <w:rFonts w:ascii="Arial" w:hAnsi="Arial" w:cs="Arial"/>
          <w:sz w:val="24"/>
          <w:szCs w:val="24"/>
        </w:rPr>
      </w:pPr>
      <w:r w:rsidRPr="00D471AF">
        <w:rPr>
          <w:rFonts w:ascii="Arial" w:hAnsi="Arial" w:cs="Arial"/>
          <w:sz w:val="24"/>
          <w:szCs w:val="24"/>
        </w:rPr>
        <w:t>A pay structure refers to a systematic arrangement of grades, levels, or bands that link related roles within an organisational hierarchy. It serves as a framework for implementing reward strategies and policies, aligning them with the organisation’s mission, vision, culture, and business objectives. Pay structures help promote desired behaviours and performance, provide clarity in managing salary progression and career development, and support fairness and legal compliance, particularly in avoiding pay discrimination. According to the CIPD’s 2019 Reward Management Survey, 67% of employers utilise a formal pay structure, with usage being most prevalent among large and public sector organisations (CIPD, 2024). Organisations may adopt various types of pay structures, with the most suitable approach depending on several factors, including the size and nature of the business, its strategic objectives, and the composition of its workforce (Morris, 2023).</w:t>
      </w:r>
    </w:p>
    <w:p w14:paraId="31626D53" w14:textId="77777777" w:rsidR="00207029" w:rsidRPr="00D471AF" w:rsidRDefault="00207029" w:rsidP="00D471AF">
      <w:pPr>
        <w:rPr>
          <w:rFonts w:ascii="Arial" w:hAnsi="Arial" w:cs="Arial"/>
          <w:sz w:val="24"/>
          <w:szCs w:val="24"/>
        </w:rPr>
      </w:pPr>
      <w:r w:rsidRPr="00D471AF">
        <w:rPr>
          <w:rFonts w:ascii="Arial" w:hAnsi="Arial" w:cs="Arial"/>
          <w:sz w:val="24"/>
          <w:szCs w:val="24"/>
        </w:rPr>
        <w:t>Pay structures are defined by two key characteristics, the number of bands included within the structure and the span or range of each band.</w:t>
      </w:r>
    </w:p>
    <w:p w14:paraId="2808C9BE"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Broad-banded pay structures, which typically consist of four or five bands, are designed to offer greater flexibility in salary progression compared to narrow-graded systems. These structures often lack defined limits for pay advancement within each band, allowing for more adaptable reward management. However, some organisations have reintroduced more structured elements to address concerns around equal pay and ensure compliance with fairness and transparency standards. </w:t>
      </w:r>
    </w:p>
    <w:p w14:paraId="74304786" w14:textId="77777777" w:rsidR="00207029" w:rsidRPr="00D471AF" w:rsidRDefault="00207029" w:rsidP="00D471AF">
      <w:pPr>
        <w:rPr>
          <w:rFonts w:ascii="Arial" w:hAnsi="Arial" w:cs="Arial"/>
          <w:sz w:val="24"/>
          <w:szCs w:val="24"/>
        </w:rPr>
      </w:pPr>
      <w:r w:rsidRPr="00D471AF">
        <w:rPr>
          <w:rFonts w:ascii="Arial" w:hAnsi="Arial" w:cs="Arial"/>
          <w:sz w:val="24"/>
          <w:szCs w:val="24"/>
        </w:rPr>
        <w:t>Flexibility is a key differentiating factor in pay structures. Broad-banded systems offer greater flexibility in salary determination, allowing employees within the same band to receive varying pay levels based on factors such as experience and performance. In contrast, individual rate structures are more rigid, offering limited flexibility and resulting in smaller pay differentials between roles. This rigidity can increase consistency but may restrict the organisation’s ability to tailor rewards to individual contributions.</w:t>
      </w:r>
    </w:p>
    <w:p w14:paraId="7B34E726" w14:textId="221DF73B" w:rsidR="00207029" w:rsidRPr="00D471AF" w:rsidRDefault="00207029" w:rsidP="00D471AF">
      <w:pPr>
        <w:rPr>
          <w:rFonts w:ascii="Arial" w:hAnsi="Arial" w:cs="Arial"/>
          <w:sz w:val="24"/>
          <w:szCs w:val="24"/>
        </w:rPr>
      </w:pPr>
      <w:r w:rsidRPr="00D471AF">
        <w:rPr>
          <w:rFonts w:ascii="Arial" w:hAnsi="Arial" w:cs="Arial"/>
          <w:sz w:val="24"/>
          <w:szCs w:val="24"/>
        </w:rPr>
        <w:t>Another key distinction between pay structures lies in the rate of progression. Broad-banded systems typically offer fewer opportunities for formal promotion due to the limited number of bands, with progression occurring primarily through salary increases within the same band. In contrast, individual pay rate structures tend to support more frequent promotions, as employees move between clearly defined grades. This is often facilitated by structured career pathways, which provide greater transparency and help employees understand the steps required for advancement (CIPD, 202</w:t>
      </w:r>
      <w:r w:rsidR="009E01B6">
        <w:rPr>
          <w:rFonts w:ascii="Arial" w:hAnsi="Arial" w:cs="Arial"/>
          <w:sz w:val="24"/>
          <w:szCs w:val="24"/>
        </w:rPr>
        <w:t>2</w:t>
      </w:r>
      <w:r w:rsidRPr="00D471AF">
        <w:rPr>
          <w:rFonts w:ascii="Arial" w:hAnsi="Arial" w:cs="Arial"/>
          <w:sz w:val="24"/>
          <w:szCs w:val="24"/>
        </w:rPr>
        <w:t>).</w:t>
      </w:r>
    </w:p>
    <w:p w14:paraId="3794863B" w14:textId="77777777" w:rsidR="00207029" w:rsidRPr="00D471AF" w:rsidRDefault="00207029" w:rsidP="00D471AF">
      <w:pPr>
        <w:rPr>
          <w:rFonts w:ascii="Arial" w:hAnsi="Arial" w:cs="Arial"/>
          <w:sz w:val="24"/>
          <w:szCs w:val="24"/>
        </w:rPr>
      </w:pPr>
      <w:r w:rsidRPr="00D471AF">
        <w:rPr>
          <w:rFonts w:ascii="Arial" w:hAnsi="Arial" w:cs="Arial"/>
          <w:sz w:val="24"/>
          <w:szCs w:val="24"/>
        </w:rPr>
        <w:br/>
        <w:t xml:space="preserve">The choice between broad-graded pay structures and broad banding depends on an organisation’s strategic priorities. Broad-graded structures support internal equity and clearer career progression, while broad banding offers greater simplicity and flexibility in salary management. Each approach has distinct advantages, and </w:t>
      </w:r>
      <w:r w:rsidRPr="00D471AF">
        <w:rPr>
          <w:rFonts w:ascii="Arial" w:hAnsi="Arial" w:cs="Arial"/>
          <w:sz w:val="24"/>
          <w:szCs w:val="24"/>
        </w:rPr>
        <w:lastRenderedPageBreak/>
        <w:t>organisations should select a structure that aligns with their specific goals, workforce composition, and operational needs.</w:t>
      </w:r>
      <w:r w:rsidRPr="00D471AF">
        <w:rPr>
          <w:rFonts w:ascii="Arial" w:hAnsi="Arial" w:cs="Arial"/>
          <w:sz w:val="24"/>
          <w:szCs w:val="24"/>
        </w:rPr>
        <w:br/>
      </w:r>
    </w:p>
    <w:p w14:paraId="57EE4ECA" w14:textId="77777777" w:rsidR="00207029" w:rsidRPr="00D471AF" w:rsidRDefault="00207029" w:rsidP="00D471AF">
      <w:pPr>
        <w:rPr>
          <w:rFonts w:ascii="Arial" w:hAnsi="Arial" w:cs="Arial"/>
          <w:b/>
          <w:bCs/>
          <w:sz w:val="24"/>
          <w:szCs w:val="24"/>
          <w:u w:val="single"/>
        </w:rPr>
      </w:pPr>
      <w:r w:rsidRPr="008E3969">
        <w:rPr>
          <w:rFonts w:ascii="Arial" w:hAnsi="Arial" w:cs="Arial"/>
          <w:b/>
          <w:bCs/>
          <w:sz w:val="24"/>
          <w:szCs w:val="24"/>
          <w:u w:val="single"/>
        </w:rPr>
        <w:t>2.2 Explain how contingent rewards can impact individual, team and organisational performance.477</w:t>
      </w:r>
    </w:p>
    <w:p w14:paraId="6C516E8D" w14:textId="77777777" w:rsidR="00207029" w:rsidRPr="00D471AF" w:rsidRDefault="00207029" w:rsidP="00D471AF">
      <w:pPr>
        <w:rPr>
          <w:rFonts w:ascii="Arial" w:hAnsi="Arial" w:cs="Arial"/>
          <w:sz w:val="24"/>
          <w:szCs w:val="24"/>
        </w:rPr>
      </w:pPr>
      <w:bookmarkStart w:id="2" w:name="_Hlk174959545"/>
      <w:r w:rsidRPr="00D471AF">
        <w:rPr>
          <w:rFonts w:ascii="Arial" w:hAnsi="Arial" w:cs="Arial"/>
          <w:sz w:val="24"/>
          <w:szCs w:val="24"/>
        </w:rPr>
        <w:t>There are three main reasons that are generally given as to the importance of giving employee rewards, which are to motivate, secure and retain. (Perkins, S.J. and White, G, 2020)</w:t>
      </w:r>
    </w:p>
    <w:p w14:paraId="0B0B08E4" w14:textId="77777777" w:rsidR="00207029" w:rsidRPr="00D471AF" w:rsidRDefault="00207029" w:rsidP="00D471AF">
      <w:pPr>
        <w:rPr>
          <w:rFonts w:ascii="Arial" w:hAnsi="Arial" w:cs="Arial"/>
          <w:sz w:val="24"/>
          <w:szCs w:val="24"/>
        </w:rPr>
      </w:pPr>
      <w:r w:rsidRPr="00D471AF">
        <w:rPr>
          <w:rFonts w:ascii="Arial" w:hAnsi="Arial" w:cs="Arial"/>
          <w:sz w:val="24"/>
          <w:szCs w:val="24"/>
        </w:rPr>
        <w:t>Smith (2000) conducted an analysis of the organisational impact of employee benefits by categorising them into three dimensions: their contribution to the human resource management (HRM) function, their influence on organisational performance, and their role as motivational tools. Perkins (1998), however, contends that such benefits will only enhance organisational performance if they are perceived as valuable by employees. To determine what an organisation can offer its employees, it is essential to evaluate team effectiveness through performance management. This process underpins the reward system by aligning recognition with employees’ contributions toward organisational objectives. Enhancing performance requires active management, including coaching, regular feedback, and ongoing support. Such managerial practices help align individual goals with those of the organisation, thereby fostering the achievement of strategic objectives (Capri et al., 2017).</w:t>
      </w:r>
    </w:p>
    <w:p w14:paraId="4160DB6F" w14:textId="77777777" w:rsidR="00207029" w:rsidRPr="00D471AF" w:rsidRDefault="00207029" w:rsidP="00D471AF">
      <w:pPr>
        <w:rPr>
          <w:rFonts w:ascii="Arial" w:hAnsi="Arial" w:cs="Arial"/>
          <w:sz w:val="24"/>
          <w:szCs w:val="24"/>
        </w:rPr>
      </w:pPr>
      <w:r w:rsidRPr="00D471AF">
        <w:rPr>
          <w:rFonts w:ascii="Arial" w:hAnsi="Arial" w:cs="Arial"/>
          <w:sz w:val="24"/>
          <w:szCs w:val="24"/>
        </w:rPr>
        <w:t>However, individuals are attracted to different types of rewards, which significantly influences how organisations structure their reward strategies. As Rajkumar (2014) highlights, employee preferences for rewards vary based on factors such as age, role, and motivational orientation. This diversity means that a one-size-fits-all approach to rewards is often ineffective. Instead, organisations must adopt flexible and inclusive reward systems that reflect the varied values and expectations of their workforce. By doing so, they can enhance employee satisfaction and engagement, ultimately supporting improved performance and retention.</w:t>
      </w:r>
    </w:p>
    <w:p w14:paraId="3BCF0B8A" w14:textId="77777777" w:rsidR="00207029" w:rsidRPr="00D471AF" w:rsidRDefault="00207029" w:rsidP="00D471AF">
      <w:pPr>
        <w:rPr>
          <w:rFonts w:ascii="Arial" w:hAnsi="Arial" w:cs="Arial"/>
          <w:sz w:val="24"/>
          <w:szCs w:val="24"/>
        </w:rPr>
      </w:pPr>
      <w:r w:rsidRPr="00D471AF">
        <w:rPr>
          <w:rFonts w:ascii="Arial" w:hAnsi="Arial" w:cs="Arial"/>
          <w:sz w:val="24"/>
          <w:szCs w:val="24"/>
        </w:rPr>
        <w:t>It is also crucial to consider the organisation’s overall performance when evaluating reward approaches. Organisations that successfully meet their strategic objectives are typically better positioned to offer more substantial and diverse rewards. Conversely, underperformance may mean cost-cutting measures are necessary, including reductions in reward investments. This dynamic was particularly evident during and after the Covid-19 pandemic in 2020, when many organisations faced significant operational and financial challenges, prompting a reassessment of their reward policies to align with constrained resources and shifting priorities.</w:t>
      </w:r>
    </w:p>
    <w:p w14:paraId="10FA7B49" w14:textId="77777777" w:rsidR="00207029" w:rsidRPr="00D471AF" w:rsidRDefault="00207029" w:rsidP="00D471AF">
      <w:pPr>
        <w:rPr>
          <w:rFonts w:ascii="Arial" w:hAnsi="Arial" w:cs="Arial"/>
          <w:sz w:val="24"/>
          <w:szCs w:val="24"/>
        </w:rPr>
      </w:pPr>
      <w:r w:rsidRPr="00D471AF">
        <w:rPr>
          <w:rFonts w:ascii="Arial" w:hAnsi="Arial" w:cs="Arial"/>
          <w:sz w:val="24"/>
          <w:szCs w:val="24"/>
        </w:rPr>
        <w:t>Moreover, Armstrong (2010) emphasises that reward systems are closely tied to business strategy, which itself is shaped by external environmental factors, including competitive pressures. Organisations must remain aware of what competitors are offering in terms of rewards to ensure their own strategies remain attractive and effective. This alignment helps maintain competitiveness in attracting and retaining talent.</w:t>
      </w:r>
    </w:p>
    <w:bookmarkEnd w:id="2"/>
    <w:p w14:paraId="7458644D" w14:textId="77777777" w:rsidR="00207029" w:rsidRPr="00D471AF" w:rsidRDefault="00207029" w:rsidP="00D471AF">
      <w:pPr>
        <w:rPr>
          <w:rFonts w:ascii="Arial" w:hAnsi="Arial" w:cs="Arial"/>
          <w:sz w:val="24"/>
          <w:szCs w:val="24"/>
        </w:rPr>
      </w:pPr>
      <w:r w:rsidRPr="00D471AF">
        <w:rPr>
          <w:rFonts w:ascii="Arial" w:hAnsi="Arial" w:cs="Arial"/>
          <w:sz w:val="24"/>
          <w:szCs w:val="24"/>
        </w:rPr>
        <w:lastRenderedPageBreak/>
        <w:t>Finally, internal factors such as working hours and historical organisational practices can significantly influence how reward strategies are developed and implemented. In terms of working hours, employers must ensure that teams are allocated sufficient time to meet performance expectations, while also avoiding excessive workloads that could lead to burnout and reduced efficiency. Additionally, historical expectations, such as previously offered rewards and past organisational performance must be considered. If current circumstances mean a more conservative approach to rewards is required, it is essential that this is communicated to employees with honesty and transparency, ensuring trust and understanding are maintained.</w:t>
      </w:r>
    </w:p>
    <w:p w14:paraId="7E0CD46E" w14:textId="77777777" w:rsidR="00207029" w:rsidRPr="00D471AF" w:rsidRDefault="00207029" w:rsidP="00D471AF">
      <w:pPr>
        <w:rPr>
          <w:rFonts w:ascii="Arial" w:hAnsi="Arial" w:cs="Arial"/>
          <w:sz w:val="24"/>
          <w:szCs w:val="24"/>
        </w:rPr>
      </w:pPr>
    </w:p>
    <w:p w14:paraId="4D3E86E8" w14:textId="77777777" w:rsidR="00207029" w:rsidRPr="00D471AF" w:rsidRDefault="00207029" w:rsidP="00D471AF">
      <w:pPr>
        <w:rPr>
          <w:rFonts w:ascii="Arial" w:hAnsi="Arial" w:cs="Arial"/>
          <w:b/>
          <w:bCs/>
          <w:sz w:val="24"/>
          <w:szCs w:val="24"/>
          <w:u w:val="single"/>
        </w:rPr>
      </w:pPr>
      <w:bookmarkStart w:id="3" w:name="_Hlk175747827"/>
      <w:r w:rsidRPr="00D471AF">
        <w:rPr>
          <w:rFonts w:ascii="Arial" w:hAnsi="Arial" w:cs="Arial"/>
          <w:b/>
          <w:bCs/>
          <w:sz w:val="24"/>
          <w:szCs w:val="24"/>
          <w:u w:val="single"/>
        </w:rPr>
        <w:t>2.3 Compare different types of benefits offered by organisations and the merits of each. 316</w:t>
      </w:r>
    </w:p>
    <w:p w14:paraId="72CA515D"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Recent data from the CIPD, (2025) Good Work Index, indicates that 54% of UK employees </w:t>
      </w:r>
      <w:proofErr w:type="gramStart"/>
      <w:r w:rsidRPr="00D471AF">
        <w:rPr>
          <w:rFonts w:ascii="Arial" w:hAnsi="Arial" w:cs="Arial"/>
          <w:sz w:val="24"/>
          <w:szCs w:val="24"/>
        </w:rPr>
        <w:t>are able to</w:t>
      </w:r>
      <w:proofErr w:type="gramEnd"/>
      <w:r w:rsidRPr="00D471AF">
        <w:rPr>
          <w:rFonts w:ascii="Arial" w:hAnsi="Arial" w:cs="Arial"/>
          <w:sz w:val="24"/>
          <w:szCs w:val="24"/>
        </w:rPr>
        <w:t xml:space="preserve"> manage their financial obligations without difficulty, reflecting a modest improvement from 50% the previous year. This increase in financial stability is closely associated with enhanced job performance, improved mental health, and a reduced intention to leave the organisation. The report highlights the continued importance of pay and formal benefits, such as pensions and healthcare, as central components of job satisfaction and employee wellbeing.</w:t>
      </w:r>
    </w:p>
    <w:p w14:paraId="56A049E1" w14:textId="65A20372" w:rsidR="00207029" w:rsidRPr="00D471AF" w:rsidRDefault="00207029" w:rsidP="00D471AF">
      <w:pPr>
        <w:rPr>
          <w:rFonts w:ascii="Arial" w:hAnsi="Arial" w:cs="Arial"/>
          <w:sz w:val="24"/>
          <w:szCs w:val="24"/>
        </w:rPr>
      </w:pPr>
      <w:r w:rsidRPr="00D471AF">
        <w:rPr>
          <w:rFonts w:ascii="Arial" w:hAnsi="Arial" w:cs="Arial"/>
          <w:sz w:val="24"/>
          <w:szCs w:val="24"/>
        </w:rPr>
        <w:t>Formal benefits are a foundational element of organisational reward systems, designed to provide structured and consistent support to employees. These typically include offerings such as health insurance, retirement plans, paid leave, and other contractual entitlements. Gabriel, Amah, and Okocha (2021)</w:t>
      </w:r>
      <w:r w:rsidR="00C33767">
        <w:rPr>
          <w:rFonts w:ascii="Arial" w:hAnsi="Arial" w:cs="Arial"/>
          <w:sz w:val="24"/>
          <w:szCs w:val="24"/>
        </w:rPr>
        <w:t>,</w:t>
      </w:r>
      <w:r w:rsidRPr="00D471AF">
        <w:rPr>
          <w:rFonts w:ascii="Arial" w:hAnsi="Arial" w:cs="Arial"/>
          <w:sz w:val="24"/>
          <w:szCs w:val="24"/>
        </w:rPr>
        <w:t xml:space="preserve"> emphasise that such benefits are not only instrumental in enhancing individual performance and organisational efficiency but also serve as strategic tools for talent retention and competitive positioning. When aligned with employee expectations and embedded well, formal benefits contribute to a stable and motivating work environment, reinforcing both loyalty and productivity.</w:t>
      </w:r>
    </w:p>
    <w:p w14:paraId="5E3F288F" w14:textId="77777777" w:rsidR="00207029" w:rsidRPr="00D471AF" w:rsidRDefault="00207029" w:rsidP="00D471AF">
      <w:pPr>
        <w:rPr>
          <w:rFonts w:ascii="Arial" w:hAnsi="Arial" w:cs="Arial"/>
          <w:sz w:val="24"/>
          <w:szCs w:val="24"/>
        </w:rPr>
      </w:pPr>
      <w:r w:rsidRPr="00D471AF">
        <w:rPr>
          <w:rFonts w:ascii="Arial" w:hAnsi="Arial" w:cs="Arial"/>
          <w:sz w:val="24"/>
          <w:szCs w:val="24"/>
        </w:rPr>
        <w:t>Alongside formal reward systems, informal incentives serve as a vital component in fostering employee motivation and shaping workplace culture. These non-monetary forms of recognition, such as verbal commendation, peer recognition, and public acknowledgment, can significantly boost motivation and strengthen employees’ sense of belonging. According to Cotton, Gifford, and Young (2022), informal incentives are often more immediate and personally meaningful, making them particularly effective in reinforcing positive behaviours and enhancing engagement. When thoughtfully integrated with formal reward mechanisms, informal incentives contribute to a more comprehensive and adaptive approach to performance management.</w:t>
      </w:r>
    </w:p>
    <w:p w14:paraId="3803DE66"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The comparison between different types of benefits offered by an organisation is largely influenced by individual preferences. To develop an attractive and comprehensive rewards strategy, organisations must strike a balance between formal and informal benefits. This approach enables them to address the diverse </w:t>
      </w:r>
      <w:r w:rsidRPr="00D471AF">
        <w:rPr>
          <w:rFonts w:ascii="Arial" w:hAnsi="Arial" w:cs="Arial"/>
          <w:sz w:val="24"/>
          <w:szCs w:val="24"/>
        </w:rPr>
        <w:lastRenderedPageBreak/>
        <w:t>needs and expectations of their workforce, thereby enhancing employee satisfaction and engagement.</w:t>
      </w:r>
    </w:p>
    <w:p w14:paraId="0777D0D7" w14:textId="77777777" w:rsidR="00207029" w:rsidRPr="00D471AF" w:rsidRDefault="00207029" w:rsidP="00D471AF">
      <w:pPr>
        <w:rPr>
          <w:rFonts w:ascii="Arial" w:hAnsi="Arial" w:cs="Arial"/>
          <w:sz w:val="24"/>
          <w:szCs w:val="24"/>
        </w:rPr>
      </w:pPr>
    </w:p>
    <w:p w14:paraId="1A937D28" w14:textId="0E9A0B21" w:rsidR="00207029" w:rsidRPr="00D471AF" w:rsidRDefault="00207029" w:rsidP="00D471AF">
      <w:pPr>
        <w:rPr>
          <w:rFonts w:ascii="Arial" w:hAnsi="Arial" w:cs="Arial"/>
          <w:b/>
          <w:bCs/>
          <w:sz w:val="24"/>
          <w:szCs w:val="24"/>
          <w:u w:val="single"/>
        </w:rPr>
      </w:pPr>
      <w:r w:rsidRPr="00D471AF">
        <w:rPr>
          <w:rFonts w:ascii="Arial" w:hAnsi="Arial" w:cs="Arial"/>
          <w:b/>
          <w:bCs/>
          <w:sz w:val="24"/>
          <w:szCs w:val="24"/>
          <w:u w:val="single"/>
        </w:rPr>
        <w:t>2.4 Explain the merits of different types of recognition offered by organisations</w:t>
      </w:r>
      <w:r w:rsidR="008E3969">
        <w:rPr>
          <w:rFonts w:ascii="Arial" w:hAnsi="Arial" w:cs="Arial"/>
          <w:b/>
          <w:bCs/>
          <w:sz w:val="24"/>
          <w:szCs w:val="24"/>
          <w:u w:val="single"/>
        </w:rPr>
        <w:t>.239</w:t>
      </w:r>
    </w:p>
    <w:p w14:paraId="27353216"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Employee recognition is a vital component in cultivating a positive organisational culture and encouraging high levels of performance. Informal recognition, which is typically spontaneous and unstructured, enhances the authenticity of appreciation and strengthens interpersonal relationships within teams (Johnivan, 2024). Its versatility allows it to take many forms, including day-to-day verbal praise, acknowledgment of milestones such as work anniversaries and birthdays, and casual expressions of gratitude. These gestures create a direct and immediate link between employee actions and organisational appreciation, reinforcing desired behaviours and validating individual contributions. Moreover, informal recognition is generally low-cost yet high impact, making it an attractive and practical tool for employers like Eco-Insulate seeking to boost morale and motivation without significant financial investment. </w:t>
      </w:r>
    </w:p>
    <w:p w14:paraId="3ECF4591" w14:textId="0E9EEEA9" w:rsidR="00207029" w:rsidRPr="00D471AF" w:rsidRDefault="00207029" w:rsidP="00D471AF">
      <w:pPr>
        <w:rPr>
          <w:rFonts w:ascii="Arial" w:hAnsi="Arial" w:cs="Arial"/>
          <w:sz w:val="24"/>
          <w:szCs w:val="24"/>
        </w:rPr>
      </w:pPr>
      <w:r w:rsidRPr="00D471AF">
        <w:rPr>
          <w:rFonts w:ascii="Arial" w:hAnsi="Arial" w:cs="Arial"/>
          <w:sz w:val="24"/>
          <w:szCs w:val="24"/>
        </w:rPr>
        <w:t xml:space="preserve">Recognising high-performing employees through structured initiatives, such as an "Employee of the Month" programme, can have several benefits for organisations like Eco-Insulate. Macro-recognition not only reinforces desired behaviours but also contributes to a culture of performance and appreciation. </w:t>
      </w:r>
      <w:r w:rsidR="00B66B37">
        <w:rPr>
          <w:rFonts w:ascii="Arial" w:hAnsi="Arial" w:cs="Arial"/>
          <w:sz w:val="24"/>
          <w:szCs w:val="24"/>
        </w:rPr>
        <w:t>Harvey et al.,</w:t>
      </w:r>
      <w:r w:rsidRPr="00D471AF">
        <w:rPr>
          <w:rFonts w:ascii="Arial" w:hAnsi="Arial" w:cs="Arial"/>
          <w:sz w:val="24"/>
          <w:szCs w:val="24"/>
        </w:rPr>
        <w:t xml:space="preserve"> (2022) argue that publicly acknowledging individuals who demonstrate excellence and align with organisational values serves as a form of internal promotion, enhancing their visibility and status within the company. For Eco-Insulate, implementing formal recognition schemes can be a strategic tool to retain talent, foster engagement, and strengthen alignment between individual contributions and business objectives.</w:t>
      </w:r>
    </w:p>
    <w:p w14:paraId="30ACA1C5" w14:textId="27C19D58" w:rsidR="00207029" w:rsidRPr="00D471AF" w:rsidRDefault="00207029" w:rsidP="00D471AF">
      <w:pPr>
        <w:rPr>
          <w:rFonts w:ascii="Arial" w:hAnsi="Arial" w:cs="Arial"/>
          <w:sz w:val="24"/>
          <w:szCs w:val="24"/>
        </w:rPr>
      </w:pPr>
      <w:r w:rsidRPr="00D471AF">
        <w:rPr>
          <w:rFonts w:ascii="Arial" w:hAnsi="Arial" w:cs="Arial"/>
          <w:sz w:val="24"/>
          <w:szCs w:val="24"/>
        </w:rPr>
        <w:t>Non-monetary recognition, including flexible work arrangements and professional development opportunities, supports employee well-being and long-term engagement by aligning rewards with personal values and goals (Figueiredo et al., 2025).</w:t>
      </w:r>
    </w:p>
    <w:p w14:paraId="69C6D117" w14:textId="77777777" w:rsidR="00207029" w:rsidRPr="00D471AF" w:rsidRDefault="00207029" w:rsidP="00D471AF">
      <w:pPr>
        <w:rPr>
          <w:rFonts w:ascii="Arial" w:hAnsi="Arial" w:cs="Arial"/>
          <w:sz w:val="24"/>
          <w:szCs w:val="24"/>
        </w:rPr>
      </w:pPr>
    </w:p>
    <w:p w14:paraId="0B5046FC" w14:textId="77777777" w:rsidR="00207029" w:rsidRPr="00D471AF" w:rsidRDefault="00207029" w:rsidP="00D471AF">
      <w:pPr>
        <w:rPr>
          <w:rFonts w:ascii="Arial" w:hAnsi="Arial" w:cs="Arial"/>
          <w:b/>
          <w:bCs/>
          <w:sz w:val="24"/>
          <w:szCs w:val="24"/>
          <w:u w:val="single"/>
        </w:rPr>
      </w:pPr>
      <w:bookmarkStart w:id="4" w:name="_Hlk175747953"/>
      <w:bookmarkEnd w:id="3"/>
      <w:r w:rsidRPr="00D471AF">
        <w:rPr>
          <w:rFonts w:ascii="Arial" w:hAnsi="Arial" w:cs="Arial"/>
          <w:b/>
          <w:bCs/>
          <w:sz w:val="24"/>
          <w:szCs w:val="24"/>
          <w:u w:val="single"/>
        </w:rPr>
        <w:t>3.1 Assess the business context of the reward environment.321</w:t>
      </w:r>
    </w:p>
    <w:p w14:paraId="21BFED0B" w14:textId="75F770D0" w:rsidR="00207029" w:rsidRPr="00D471AF" w:rsidRDefault="00207029" w:rsidP="00D471AF">
      <w:pPr>
        <w:rPr>
          <w:rFonts w:ascii="Arial" w:hAnsi="Arial" w:cs="Arial"/>
          <w:sz w:val="24"/>
          <w:szCs w:val="24"/>
        </w:rPr>
      </w:pPr>
      <w:r w:rsidRPr="00D471AF">
        <w:rPr>
          <w:rFonts w:ascii="Arial" w:hAnsi="Arial" w:cs="Arial"/>
          <w:sz w:val="24"/>
          <w:szCs w:val="24"/>
        </w:rPr>
        <w:t>Effective reward management requires consideration of the external business environment, as its relevance and impact may evolve over time. A PESTLE analysis helps identify key macro-environmental factors, political, economic, social, technological, legal, and environmental, that can influence organisational reward decisions (CIPD, 202</w:t>
      </w:r>
      <w:r w:rsidR="00B66B37">
        <w:rPr>
          <w:rFonts w:ascii="Arial" w:hAnsi="Arial" w:cs="Arial"/>
          <w:sz w:val="24"/>
          <w:szCs w:val="24"/>
        </w:rPr>
        <w:t>5b</w:t>
      </w:r>
      <w:r w:rsidRPr="00D471AF">
        <w:rPr>
          <w:rFonts w:ascii="Arial" w:hAnsi="Arial" w:cs="Arial"/>
          <w:sz w:val="24"/>
          <w:szCs w:val="24"/>
        </w:rPr>
        <w:t>). For Eco-Insulate, three components of the PESTLE framework are particularly influential: legal regulations, economic conditions, and social expectations, all of which shape how rewards are structured and delivered.</w:t>
      </w:r>
    </w:p>
    <w:p w14:paraId="5AF57B03" w14:textId="77777777" w:rsidR="00207029" w:rsidRPr="00D471AF" w:rsidRDefault="00207029" w:rsidP="00D471AF">
      <w:pPr>
        <w:rPr>
          <w:rFonts w:ascii="Arial" w:hAnsi="Arial" w:cs="Arial"/>
          <w:sz w:val="24"/>
          <w:szCs w:val="24"/>
        </w:rPr>
      </w:pPr>
    </w:p>
    <w:p w14:paraId="56B0EA6A" w14:textId="424B6247" w:rsidR="00207029" w:rsidRPr="00D471AF" w:rsidRDefault="00207029" w:rsidP="00D471AF">
      <w:pPr>
        <w:rPr>
          <w:rFonts w:ascii="Arial" w:hAnsi="Arial" w:cs="Arial"/>
          <w:sz w:val="24"/>
          <w:szCs w:val="24"/>
        </w:rPr>
      </w:pPr>
      <w:r w:rsidRPr="00D471AF">
        <w:rPr>
          <w:rFonts w:ascii="Arial" w:hAnsi="Arial" w:cs="Arial"/>
          <w:sz w:val="24"/>
          <w:szCs w:val="24"/>
        </w:rPr>
        <w:lastRenderedPageBreak/>
        <w:t>Legal considerations, such as those outlined in the UK Equality Act 2010, require organisations to ensure equitable pay practices across gender, ethnicity, and disability. This legal framework obliges employers to conduct regular audits of their compensation structures to maintain compliance, thereby shaping the design and implementation of remuneration policies (CIPD, 202</w:t>
      </w:r>
      <w:r w:rsidR="00B66B37">
        <w:rPr>
          <w:rFonts w:ascii="Arial" w:hAnsi="Arial" w:cs="Arial"/>
          <w:sz w:val="24"/>
          <w:szCs w:val="24"/>
        </w:rPr>
        <w:t>4</w:t>
      </w:r>
      <w:r w:rsidRPr="00D471AF">
        <w:rPr>
          <w:rFonts w:ascii="Arial" w:hAnsi="Arial" w:cs="Arial"/>
          <w:sz w:val="24"/>
          <w:szCs w:val="24"/>
        </w:rPr>
        <w:t>). While organisations may comply with legislative requirements, such regulations they often only establish the minimum standards, and working conditions may still fall short of employee expectations. In this context, trade unions play a critical role that help ensure fair and consistent treatment of employees.</w:t>
      </w:r>
    </w:p>
    <w:p w14:paraId="7B055A8C" w14:textId="6E2267BB" w:rsidR="00207029" w:rsidRPr="00D471AF" w:rsidRDefault="00207029" w:rsidP="00D471AF">
      <w:pPr>
        <w:rPr>
          <w:rFonts w:ascii="Arial" w:hAnsi="Arial" w:cs="Arial"/>
          <w:sz w:val="24"/>
          <w:szCs w:val="24"/>
        </w:rPr>
      </w:pPr>
      <w:r w:rsidRPr="00D471AF">
        <w:rPr>
          <w:rFonts w:ascii="Arial" w:hAnsi="Arial" w:cs="Arial"/>
          <w:sz w:val="24"/>
          <w:szCs w:val="24"/>
        </w:rPr>
        <w:t>Social dynamics, particularly the evolving employee expectations around wellbeing and work-life balance, play a significant role in shaping organisational reward strategies. There has been an increase in this especially those from younger and more diverse demographics who place a high value on benefits such as flexible working arrangements, extended parental leave, and meaningful recognition initiatives (Hammer &amp; Palmgren, 2019).</w:t>
      </w:r>
    </w:p>
    <w:p w14:paraId="176F965C" w14:textId="77777777" w:rsidR="00207029" w:rsidRPr="00D471AF" w:rsidRDefault="00207029" w:rsidP="00D471AF">
      <w:pPr>
        <w:rPr>
          <w:rFonts w:ascii="Arial" w:hAnsi="Arial" w:cs="Arial"/>
          <w:sz w:val="24"/>
          <w:szCs w:val="24"/>
        </w:rPr>
      </w:pPr>
      <w:r w:rsidRPr="00D471AF">
        <w:rPr>
          <w:rFonts w:ascii="Arial" w:hAnsi="Arial" w:cs="Arial"/>
          <w:sz w:val="24"/>
          <w:szCs w:val="24"/>
        </w:rPr>
        <w:t>Finally, economic conditions are a critical external factor when influencing how an organisation will structure and adapt their reward systems. During periods of economic uncertainty or market volatility, businesses may be compelled to revise their compensation strategies to maintain financial viability. This could involve implementing variable pay schemes, freezing salary increases, or reducing working hours. Such adjustments are often necessary to balance cost management with the need to retain and motivate talent. A responsive reward strategy that accounts for economic fluctuations not only supports organisational sustainability but also helps preserve employee engagement and morale during challenging times.</w:t>
      </w:r>
    </w:p>
    <w:p w14:paraId="2EE817AC" w14:textId="77777777" w:rsidR="00207029" w:rsidRPr="00D471AF" w:rsidRDefault="00207029" w:rsidP="00D471AF">
      <w:pPr>
        <w:rPr>
          <w:rFonts w:ascii="Arial" w:hAnsi="Arial" w:cs="Arial"/>
          <w:sz w:val="24"/>
          <w:szCs w:val="24"/>
        </w:rPr>
      </w:pPr>
    </w:p>
    <w:p w14:paraId="18E0E991" w14:textId="77777777" w:rsidR="00207029" w:rsidRPr="00D471AF" w:rsidRDefault="00207029" w:rsidP="00D471AF">
      <w:pPr>
        <w:rPr>
          <w:rFonts w:ascii="Arial" w:hAnsi="Arial" w:cs="Arial"/>
          <w:b/>
          <w:bCs/>
          <w:sz w:val="24"/>
          <w:szCs w:val="24"/>
          <w:u w:val="single"/>
        </w:rPr>
      </w:pPr>
      <w:bookmarkStart w:id="5" w:name="_Hlk175747998"/>
      <w:bookmarkEnd w:id="4"/>
      <w:r w:rsidRPr="00D471AF">
        <w:rPr>
          <w:rFonts w:ascii="Arial" w:hAnsi="Arial" w:cs="Arial"/>
          <w:b/>
          <w:bCs/>
          <w:sz w:val="24"/>
          <w:szCs w:val="24"/>
          <w:u w:val="single"/>
        </w:rPr>
        <w:t>3.2 Evaluate the most appropriate ways in which benchmarking data can be gathered and measured to develop insight 297</w:t>
      </w:r>
    </w:p>
    <w:bookmarkEnd w:id="5"/>
    <w:p w14:paraId="076D2F7A" w14:textId="77777777" w:rsidR="00207029" w:rsidRPr="00D471AF" w:rsidRDefault="00207029" w:rsidP="00D471AF">
      <w:pPr>
        <w:rPr>
          <w:rFonts w:ascii="Arial" w:hAnsi="Arial" w:cs="Arial"/>
          <w:sz w:val="24"/>
          <w:szCs w:val="24"/>
        </w:rPr>
      </w:pPr>
      <w:r w:rsidRPr="00D471AF">
        <w:rPr>
          <w:rFonts w:ascii="Arial" w:hAnsi="Arial" w:cs="Arial"/>
          <w:sz w:val="24"/>
          <w:szCs w:val="24"/>
        </w:rPr>
        <w:t>Fallon (2022) defines benchmarking as the process of evaluating a company’s quality, performance, and growth by comparing its practices with those of other organisations. This comparative analysis can inspire innovation and improvements in internal processes.</w:t>
      </w:r>
    </w:p>
    <w:p w14:paraId="02C31FF5" w14:textId="77777777" w:rsidR="00207029" w:rsidRPr="00D471AF" w:rsidRDefault="00207029" w:rsidP="00D471AF">
      <w:pPr>
        <w:rPr>
          <w:rFonts w:ascii="Arial" w:hAnsi="Arial" w:cs="Arial"/>
          <w:sz w:val="24"/>
          <w:szCs w:val="24"/>
        </w:rPr>
      </w:pPr>
      <w:r w:rsidRPr="00D471AF">
        <w:rPr>
          <w:rFonts w:ascii="Arial" w:hAnsi="Arial" w:cs="Arial"/>
          <w:sz w:val="24"/>
          <w:szCs w:val="24"/>
        </w:rPr>
        <w:t>Competitive benchmarking involves setting performance goals based on the activities and standards of competitors. By understanding what others in the industry are offering, organisations can aim to match or surpass those benchmarks. One method of competitive benchmarking is through public surveys, which may provide insights into base salaries, employee turnover, and hiring trends. However, the reliability of such data can be questionable. Competitors may choose not to disclose strategic details or may misrepresent aspects of their operations, leading to inaccurate or misleading information that offers limited strategic value.</w:t>
      </w:r>
    </w:p>
    <w:p w14:paraId="12ADBC2B"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Another common tool is salary surveys, which assess how competitive an organisation’s pay structure is within the broader market. These surveys are typically conducted annually, but in fast-moving industries, a 12-month gap can render the data outdated and less reflective of current trends. Additionally, salary surveys often </w:t>
      </w:r>
      <w:r w:rsidRPr="00D471AF">
        <w:rPr>
          <w:rFonts w:ascii="Arial" w:hAnsi="Arial" w:cs="Arial"/>
          <w:sz w:val="24"/>
          <w:szCs w:val="24"/>
        </w:rPr>
        <w:lastRenderedPageBreak/>
        <w:t>fail to account for variations in skills and experience across similar roles. For example, one company may offer higher pay due to unique competencies within its workforce, making direct comparisons less meaningful.</w:t>
      </w:r>
    </w:p>
    <w:p w14:paraId="2E188003" w14:textId="2FCDA985" w:rsidR="00207029" w:rsidRPr="00D471AF" w:rsidRDefault="00207029" w:rsidP="00D471AF">
      <w:pPr>
        <w:rPr>
          <w:rFonts w:ascii="Arial" w:hAnsi="Arial" w:cs="Arial"/>
          <w:sz w:val="24"/>
          <w:szCs w:val="24"/>
        </w:rPr>
      </w:pPr>
      <w:r w:rsidRPr="00D471AF">
        <w:rPr>
          <w:rFonts w:ascii="Arial" w:hAnsi="Arial" w:cs="Arial"/>
          <w:sz w:val="24"/>
          <w:szCs w:val="24"/>
        </w:rPr>
        <w:t>An example of a</w:t>
      </w:r>
      <w:r w:rsidR="00D471AF" w:rsidRPr="00D471AF">
        <w:rPr>
          <w:rFonts w:ascii="Arial" w:hAnsi="Arial" w:cs="Arial"/>
          <w:sz w:val="24"/>
          <w:szCs w:val="24"/>
        </w:rPr>
        <w:t xml:space="preserve"> </w:t>
      </w:r>
      <w:r w:rsidRPr="00D471AF">
        <w:rPr>
          <w:rFonts w:ascii="Arial" w:hAnsi="Arial" w:cs="Arial"/>
          <w:sz w:val="24"/>
          <w:szCs w:val="24"/>
        </w:rPr>
        <w:t>benchmarking method is the use of platforms like Glassdoor or LinkedIn Salary Insights, where organisations can access aggregated salary data based on employee-reported information. These tools allow companies to compare compensation packages across roles, industries, and locations, helping them align their reward strategies with market expectations. However, as with other sources, the accuracy of self-reported data can vary, and should be used alongside other validated sources.</w:t>
      </w:r>
    </w:p>
    <w:p w14:paraId="2D5A970B" w14:textId="38F25F27" w:rsidR="00207029" w:rsidRPr="00D471AF" w:rsidRDefault="00207029" w:rsidP="00D471AF">
      <w:pPr>
        <w:rPr>
          <w:rFonts w:ascii="Arial" w:hAnsi="Arial" w:cs="Arial"/>
          <w:sz w:val="24"/>
          <w:szCs w:val="24"/>
        </w:rPr>
      </w:pPr>
      <w:r w:rsidRPr="00D471AF">
        <w:rPr>
          <w:rFonts w:ascii="Arial" w:hAnsi="Arial" w:cs="Arial"/>
          <w:sz w:val="24"/>
          <w:szCs w:val="24"/>
        </w:rPr>
        <w:t>Overall, while benchmarking can be a valuable tool in shaping reward strategies, organisations must critically assess the validity and relevance of the data they use.</w:t>
      </w:r>
    </w:p>
    <w:p w14:paraId="07614DF4" w14:textId="77777777" w:rsidR="00207029" w:rsidRPr="00D471AF" w:rsidRDefault="00207029" w:rsidP="00D471AF">
      <w:pPr>
        <w:rPr>
          <w:rFonts w:ascii="Arial" w:hAnsi="Arial" w:cs="Arial"/>
          <w:sz w:val="24"/>
          <w:szCs w:val="24"/>
        </w:rPr>
      </w:pPr>
    </w:p>
    <w:p w14:paraId="3AF82BA9" w14:textId="77777777" w:rsidR="00207029" w:rsidRPr="00D471AF" w:rsidRDefault="00207029" w:rsidP="00D471AF">
      <w:pPr>
        <w:rPr>
          <w:rFonts w:ascii="Arial" w:hAnsi="Arial" w:cs="Arial"/>
          <w:b/>
          <w:bCs/>
          <w:sz w:val="24"/>
          <w:szCs w:val="24"/>
          <w:u w:val="single"/>
        </w:rPr>
      </w:pPr>
      <w:r w:rsidRPr="00D471AF">
        <w:rPr>
          <w:rFonts w:ascii="Arial" w:hAnsi="Arial" w:cs="Arial"/>
          <w:b/>
          <w:bCs/>
          <w:sz w:val="24"/>
          <w:szCs w:val="24"/>
          <w:u w:val="single"/>
        </w:rPr>
        <w:t>3.3 Explain approaches to job evaluation 403</w:t>
      </w:r>
    </w:p>
    <w:p w14:paraId="5DAFB7B4" w14:textId="77777777" w:rsidR="00207029" w:rsidRPr="00D471AF" w:rsidRDefault="00207029" w:rsidP="00D471AF">
      <w:pPr>
        <w:rPr>
          <w:rFonts w:ascii="Arial" w:hAnsi="Arial" w:cs="Arial"/>
          <w:sz w:val="24"/>
          <w:szCs w:val="24"/>
        </w:rPr>
      </w:pPr>
      <w:r w:rsidRPr="00D471AF">
        <w:rPr>
          <w:rFonts w:ascii="Arial" w:hAnsi="Arial" w:cs="Arial"/>
          <w:sz w:val="24"/>
          <w:szCs w:val="24"/>
        </w:rPr>
        <w:t>ACAS, (2014) defines job evaluation as a method of determining on a systematic basis the relative importance of several different jobs. This is particularly valuable because job titles can often be vague or lack specificity. In large organisations, it’s also unrealistic to expect people professionals to have detailed knowledge of every individual role.</w:t>
      </w:r>
    </w:p>
    <w:p w14:paraId="39274EE8" w14:textId="77777777" w:rsidR="00207029" w:rsidRPr="00D471AF" w:rsidRDefault="00207029" w:rsidP="00D471AF">
      <w:pPr>
        <w:rPr>
          <w:rFonts w:ascii="Arial" w:hAnsi="Arial" w:cs="Arial"/>
          <w:sz w:val="24"/>
          <w:szCs w:val="24"/>
        </w:rPr>
      </w:pPr>
      <w:r w:rsidRPr="00D471AF">
        <w:rPr>
          <w:rFonts w:ascii="Arial" w:hAnsi="Arial" w:cs="Arial"/>
          <w:sz w:val="24"/>
          <w:szCs w:val="24"/>
        </w:rPr>
        <w:t>Formal job evaluation is a highly structured and systematic process, typically involving detailed criteria and ranking mechanisms supported by official documentation. This approach is often used to justify pay structures and ensure transparency. In contrast, informal job evaluation methods are less standardised and rely more on the observations and professional judgement of senior management and HR practitioners. Decisions in informal evaluations are often guided by intuition and experience rather than formal metrics.</w:t>
      </w:r>
    </w:p>
    <w:p w14:paraId="1FF14137" w14:textId="425F3569" w:rsidR="00207029" w:rsidRPr="00D471AF" w:rsidRDefault="00207029" w:rsidP="00D471AF">
      <w:pPr>
        <w:rPr>
          <w:rFonts w:ascii="Arial" w:hAnsi="Arial" w:cs="Arial"/>
          <w:sz w:val="24"/>
          <w:szCs w:val="24"/>
        </w:rPr>
      </w:pPr>
      <w:r w:rsidRPr="00D471AF">
        <w:rPr>
          <w:rFonts w:ascii="Arial" w:hAnsi="Arial" w:cs="Arial"/>
          <w:sz w:val="24"/>
          <w:szCs w:val="24"/>
        </w:rPr>
        <w:t>CIPD (2025</w:t>
      </w:r>
      <w:r w:rsidR="00B66B37">
        <w:rPr>
          <w:rFonts w:ascii="Arial" w:hAnsi="Arial" w:cs="Arial"/>
          <w:sz w:val="24"/>
          <w:szCs w:val="24"/>
        </w:rPr>
        <w:t>c</w:t>
      </w:r>
      <w:r w:rsidRPr="00D471AF">
        <w:rPr>
          <w:rFonts w:ascii="Arial" w:hAnsi="Arial" w:cs="Arial"/>
          <w:sz w:val="24"/>
          <w:szCs w:val="24"/>
        </w:rPr>
        <w:t>) explains there are two main approaches to job evaluation, analytical schemes, where jobs are broken down into their core components, and non-analytical schemes, where whole jobs are viewed.</w:t>
      </w:r>
    </w:p>
    <w:p w14:paraId="055FAC95" w14:textId="5990D2F0" w:rsidR="00207029" w:rsidRPr="00D471AF" w:rsidRDefault="00207029" w:rsidP="00D471AF">
      <w:pPr>
        <w:rPr>
          <w:rFonts w:ascii="Arial" w:hAnsi="Arial" w:cs="Arial"/>
          <w:sz w:val="24"/>
          <w:szCs w:val="24"/>
        </w:rPr>
      </w:pPr>
      <w:r w:rsidRPr="00D471AF">
        <w:rPr>
          <w:rFonts w:ascii="Arial" w:hAnsi="Arial" w:cs="Arial"/>
          <w:sz w:val="24"/>
          <w:szCs w:val="24"/>
        </w:rPr>
        <w:t>Analytical job evaluation schemes offer a more objective approach by systematically breaking down roles into measurable components. Common methods include points rating and factor comparison. In the points rating method, jobs are assessed against predefined factors such as knowledge, responsibility, physical effort, communication skills, and initiative, with each factor assigned a weighted score based on its demands. The total score reflects the job’s relative value within the organisation. Similarly factor comparison also evaluates roles based on similar criteria, however, is does not assign numerical values, making it less commonly used. These methods provide a structured framework for evaluating roles, supporting consistency and fairness in job grading and reward decisions. CIPD (2025</w:t>
      </w:r>
      <w:r w:rsidR="00B66B37">
        <w:rPr>
          <w:rFonts w:ascii="Arial" w:hAnsi="Arial" w:cs="Arial"/>
          <w:sz w:val="24"/>
          <w:szCs w:val="24"/>
        </w:rPr>
        <w:t>c</w:t>
      </w:r>
      <w:r w:rsidRPr="00D471AF">
        <w:rPr>
          <w:rFonts w:ascii="Arial" w:hAnsi="Arial" w:cs="Arial"/>
          <w:sz w:val="24"/>
          <w:szCs w:val="24"/>
        </w:rPr>
        <w:t>) suggest that employers are more likely to use an analytical scheme. This is because such schemes help provide a defence against equal pay claims.</w:t>
      </w:r>
    </w:p>
    <w:p w14:paraId="426C7C30" w14:textId="77777777" w:rsidR="00207029" w:rsidRPr="00D471AF" w:rsidRDefault="00207029" w:rsidP="00D471AF">
      <w:pPr>
        <w:rPr>
          <w:rFonts w:ascii="Arial" w:hAnsi="Arial" w:cs="Arial"/>
          <w:sz w:val="24"/>
          <w:szCs w:val="24"/>
        </w:rPr>
      </w:pPr>
    </w:p>
    <w:p w14:paraId="56E50FC8" w14:textId="77777777" w:rsidR="00207029" w:rsidRPr="00D471AF" w:rsidRDefault="00207029" w:rsidP="00D471AF">
      <w:pPr>
        <w:rPr>
          <w:rFonts w:ascii="Arial" w:hAnsi="Arial" w:cs="Arial"/>
          <w:sz w:val="24"/>
          <w:szCs w:val="24"/>
        </w:rPr>
      </w:pPr>
      <w:r w:rsidRPr="00D471AF">
        <w:rPr>
          <w:rFonts w:ascii="Arial" w:hAnsi="Arial" w:cs="Arial"/>
          <w:sz w:val="24"/>
          <w:szCs w:val="24"/>
        </w:rPr>
        <w:lastRenderedPageBreak/>
        <w:t>Although these methods are generally less objective than analytical job evaluation schemes, they are often preferred for their simplicity, cost-effectiveness, and speed of implementation. Common approaches used by employers include job ranking, paired comparisons, and job classification. Job ranking involves ordering roles based on their perceived importance, complexity, or value to the organisation. Paired comparisons take a more detailed approach by evaluating each job against others individually, which can be more time-consuming. Job classification, on the other hand, assigns roles to a set number of predefined grades, based on criteria such as tasks performed, required skills and competencies. This method ensures clear distinctions between grades and facilitates consistent job placement across the organisation.</w:t>
      </w:r>
    </w:p>
    <w:p w14:paraId="2C9B5D66" w14:textId="77777777" w:rsidR="00207029" w:rsidRPr="00D471AF" w:rsidRDefault="00207029" w:rsidP="00D471AF">
      <w:pPr>
        <w:rPr>
          <w:rFonts w:ascii="Arial" w:hAnsi="Arial" w:cs="Arial"/>
          <w:sz w:val="24"/>
          <w:szCs w:val="24"/>
        </w:rPr>
      </w:pPr>
      <w:r w:rsidRPr="00D471AF">
        <w:rPr>
          <w:rFonts w:ascii="Arial" w:hAnsi="Arial" w:cs="Arial"/>
          <w:sz w:val="24"/>
          <w:szCs w:val="24"/>
        </w:rPr>
        <w:t xml:space="preserve">   </w:t>
      </w:r>
    </w:p>
    <w:p w14:paraId="5F5AE18D" w14:textId="77777777" w:rsidR="00207029" w:rsidRPr="00D471AF" w:rsidRDefault="00207029" w:rsidP="00D471AF">
      <w:pPr>
        <w:rPr>
          <w:rFonts w:ascii="Arial" w:hAnsi="Arial" w:cs="Arial"/>
          <w:b/>
          <w:bCs/>
          <w:sz w:val="24"/>
          <w:szCs w:val="24"/>
          <w:u w:val="single"/>
        </w:rPr>
      </w:pPr>
      <w:bookmarkStart w:id="6" w:name="_Hlk175748078"/>
      <w:r w:rsidRPr="00D471AF">
        <w:rPr>
          <w:rFonts w:ascii="Arial" w:hAnsi="Arial" w:cs="Arial"/>
          <w:b/>
          <w:bCs/>
          <w:sz w:val="24"/>
          <w:szCs w:val="24"/>
          <w:u w:val="single"/>
        </w:rPr>
        <w:t>3.4 Explain the legislative requirements that impact reward practice. 212</w:t>
      </w:r>
    </w:p>
    <w:p w14:paraId="3C8BD3B6" w14:textId="77777777" w:rsidR="00207029" w:rsidRPr="00D471AF" w:rsidRDefault="00207029" w:rsidP="00D471AF">
      <w:pPr>
        <w:rPr>
          <w:rFonts w:ascii="Arial" w:hAnsi="Arial" w:cs="Arial"/>
          <w:sz w:val="24"/>
          <w:szCs w:val="24"/>
        </w:rPr>
      </w:pPr>
    </w:p>
    <w:p w14:paraId="1DDA8318" w14:textId="3FD2D277" w:rsidR="00207029" w:rsidRPr="00D471AF" w:rsidRDefault="00207029" w:rsidP="00D471AF">
      <w:pPr>
        <w:rPr>
          <w:rFonts w:ascii="Arial" w:hAnsi="Arial" w:cs="Arial"/>
          <w:sz w:val="24"/>
          <w:szCs w:val="24"/>
        </w:rPr>
      </w:pPr>
      <w:r w:rsidRPr="00D471AF">
        <w:rPr>
          <w:rFonts w:ascii="Arial" w:hAnsi="Arial" w:cs="Arial"/>
          <w:sz w:val="24"/>
          <w:szCs w:val="24"/>
        </w:rPr>
        <w:t>Reward practices in the UK are significantly shaped by employment legislation, particularly those governing pay, equality, and employee entitlements. The National Minimum Wage Act 1998 mandates that all employees receive at least the statutory minimum wage, which is reviewed annually. Employers must ensure that any bonuses or deductions do not reduce an employee’s pay below this threshold.</w:t>
      </w:r>
    </w:p>
    <w:p w14:paraId="5D4A72EB" w14:textId="15E10283" w:rsidR="00207029" w:rsidRPr="00D471AF" w:rsidRDefault="00207029" w:rsidP="00D471AF">
      <w:pPr>
        <w:rPr>
          <w:rFonts w:ascii="Arial" w:hAnsi="Arial" w:cs="Arial"/>
          <w:sz w:val="24"/>
          <w:szCs w:val="24"/>
        </w:rPr>
      </w:pPr>
      <w:r w:rsidRPr="00D471AF">
        <w:rPr>
          <w:rFonts w:ascii="Arial" w:hAnsi="Arial" w:cs="Arial"/>
          <w:sz w:val="24"/>
          <w:szCs w:val="24"/>
        </w:rPr>
        <w:t>The Equality Act 2010 requires that men and women receive equal pay for equal work. This includes not only base salary but also bonuses, benefits, and other contractual terms. Reward schemes must therefore be designed to avoid any form of discrimination and to ensure fairness across all protected characteristics. Annual leave entitlements are governed by the Working Time Regulations 1998, which stipulate a minimum of 5.6 weeks of paid holiday per year for all workers, regardless of contract type. This legal minimum must be factored into any reward strategy, particularly when offering time-off as a benefit. Additionally, the Pensions Act 2008 obliges employers to contribute a minimum of 3% of an employee’s qualifying earnings into a workplace pension scheme. This statutory requirement directly influences the structure of total reward packages offered by organisations.</w:t>
      </w:r>
    </w:p>
    <w:bookmarkEnd w:id="6"/>
    <w:p w14:paraId="643DFACD" w14:textId="711B80DE" w:rsidR="00207029" w:rsidRPr="00D471AF" w:rsidRDefault="008E3969" w:rsidP="00D471AF">
      <w:r w:rsidRPr="008E3969">
        <w:rPr>
          <w:rFonts w:ascii="Arial" w:hAnsi="Arial" w:cs="Arial"/>
          <w:sz w:val="24"/>
          <w:szCs w:val="24"/>
        </w:rPr>
        <w:t xml:space="preserve">Recent legislative developments in the UK have significantly influenced organisational reward strategies, </w:t>
      </w:r>
      <w:r>
        <w:rPr>
          <w:rFonts w:ascii="Arial" w:hAnsi="Arial" w:cs="Arial"/>
          <w:sz w:val="24"/>
          <w:szCs w:val="24"/>
        </w:rPr>
        <w:t xml:space="preserve">placing importance on </w:t>
      </w:r>
      <w:r w:rsidRPr="008E3969">
        <w:rPr>
          <w:rFonts w:ascii="Arial" w:hAnsi="Arial" w:cs="Arial"/>
          <w:sz w:val="24"/>
          <w:szCs w:val="24"/>
        </w:rPr>
        <w:t xml:space="preserve">a more inclusive, flexible, and transparent approach. These changes compel employers to align their reward practices not only with legal compliance but also with evolving employee expectations. For instance, the expansion of statutory rights around flexible working, pay transparency, and family-friendly policies </w:t>
      </w:r>
      <w:r>
        <w:rPr>
          <w:rFonts w:ascii="Arial" w:hAnsi="Arial" w:cs="Arial"/>
          <w:sz w:val="24"/>
          <w:szCs w:val="24"/>
        </w:rPr>
        <w:t xml:space="preserve">means </w:t>
      </w:r>
      <w:r w:rsidRPr="008E3969">
        <w:rPr>
          <w:rFonts w:ascii="Arial" w:hAnsi="Arial" w:cs="Arial"/>
          <w:sz w:val="24"/>
          <w:szCs w:val="24"/>
        </w:rPr>
        <w:t>organisations</w:t>
      </w:r>
      <w:r>
        <w:rPr>
          <w:rFonts w:ascii="Arial" w:hAnsi="Arial" w:cs="Arial"/>
          <w:sz w:val="24"/>
          <w:szCs w:val="24"/>
        </w:rPr>
        <w:t xml:space="preserve"> need</w:t>
      </w:r>
      <w:r w:rsidRPr="008E3969">
        <w:rPr>
          <w:rFonts w:ascii="Arial" w:hAnsi="Arial" w:cs="Arial"/>
          <w:sz w:val="24"/>
          <w:szCs w:val="24"/>
        </w:rPr>
        <w:t xml:space="preserve"> to reassess how they structure and deliver rewards. A well-designed reward strategy should integrate both tangible and intangible elements that employees value, ensuring that the organisation remains competitive in attracting and retaining talent. As outlined by the CIPD, strategic reward involves balancing organisational goals with employee needs, and total reward encompasses a holistic view of compensation, benefits, and recognition (CIPD, 2025</w:t>
      </w:r>
      <w:r>
        <w:rPr>
          <w:rFonts w:ascii="Arial" w:hAnsi="Arial" w:cs="Arial"/>
          <w:sz w:val="24"/>
          <w:szCs w:val="24"/>
        </w:rPr>
        <w:t>d</w:t>
      </w:r>
      <w:r w:rsidRPr="008E3969">
        <w:rPr>
          <w:rFonts w:ascii="Arial" w:hAnsi="Arial" w:cs="Arial"/>
          <w:sz w:val="24"/>
          <w:szCs w:val="24"/>
        </w:rPr>
        <w:t>)</w:t>
      </w:r>
      <w:r>
        <w:rPr>
          <w:rFonts w:ascii="Arial" w:hAnsi="Arial" w:cs="Arial"/>
          <w:sz w:val="24"/>
          <w:szCs w:val="24"/>
        </w:rPr>
        <w:t>.</w:t>
      </w:r>
    </w:p>
    <w:p w14:paraId="38CB7758" w14:textId="77777777" w:rsidR="00207029" w:rsidRDefault="00207029" w:rsidP="00207029">
      <w:pPr>
        <w:rPr>
          <w:rFonts w:ascii="Arial" w:hAnsi="Arial" w:cs="Arial"/>
        </w:rPr>
      </w:pPr>
    </w:p>
    <w:p w14:paraId="1070843C" w14:textId="77777777" w:rsidR="00D471AF" w:rsidRDefault="00D471AF" w:rsidP="00207029">
      <w:pPr>
        <w:rPr>
          <w:rFonts w:ascii="Arial" w:hAnsi="Arial" w:cs="Arial"/>
        </w:rPr>
      </w:pPr>
    </w:p>
    <w:p w14:paraId="1FA2C4C2" w14:textId="77777777" w:rsidR="00D471AF" w:rsidRDefault="00D471AF" w:rsidP="00207029">
      <w:pPr>
        <w:rPr>
          <w:rFonts w:ascii="Arial" w:hAnsi="Arial" w:cs="Arial"/>
        </w:rPr>
      </w:pPr>
    </w:p>
    <w:p w14:paraId="6F06DEAA" w14:textId="77777777" w:rsidR="00D471AF" w:rsidRDefault="00D471AF" w:rsidP="00207029">
      <w:pPr>
        <w:rPr>
          <w:rFonts w:ascii="Arial" w:hAnsi="Arial" w:cs="Arial"/>
        </w:rPr>
      </w:pPr>
    </w:p>
    <w:p w14:paraId="0E0FF641" w14:textId="77777777" w:rsidR="00D471AF" w:rsidRPr="00207029" w:rsidRDefault="00D471AF" w:rsidP="00207029">
      <w:pPr>
        <w:rPr>
          <w:rFonts w:ascii="Arial" w:hAnsi="Arial" w:cs="Arial"/>
        </w:rPr>
      </w:pPr>
    </w:p>
    <w:p w14:paraId="70AE41E2" w14:textId="77777777" w:rsidR="00207029" w:rsidRPr="00207029" w:rsidRDefault="00207029" w:rsidP="00207029">
      <w:pPr>
        <w:rPr>
          <w:rFonts w:ascii="Arial" w:hAnsi="Arial" w:cs="Arial"/>
          <w:b/>
          <w:bCs/>
          <w:sz w:val="24"/>
          <w:szCs w:val="24"/>
          <w:u w:val="single"/>
        </w:rPr>
      </w:pPr>
    </w:p>
    <w:p w14:paraId="68226FEA" w14:textId="77777777" w:rsidR="00207029" w:rsidRPr="00207029" w:rsidRDefault="00207029" w:rsidP="00207029">
      <w:pPr>
        <w:rPr>
          <w:rFonts w:ascii="Arial" w:hAnsi="Arial" w:cs="Arial"/>
          <w:b/>
          <w:bCs/>
          <w:sz w:val="24"/>
          <w:szCs w:val="24"/>
          <w:u w:val="single"/>
        </w:rPr>
      </w:pPr>
      <w:r w:rsidRPr="00207029">
        <w:rPr>
          <w:rFonts w:ascii="Arial" w:hAnsi="Arial" w:cs="Arial"/>
          <w:b/>
          <w:bCs/>
          <w:sz w:val="24"/>
          <w:szCs w:val="24"/>
          <w:u w:val="single"/>
        </w:rPr>
        <w:t>References</w:t>
      </w:r>
    </w:p>
    <w:p w14:paraId="37FD69BD" w14:textId="2647B398" w:rsidR="00207029" w:rsidRPr="009E01B6" w:rsidRDefault="00207029" w:rsidP="009E01B6">
      <w:pPr>
        <w:rPr>
          <w:rFonts w:ascii="Arial" w:hAnsi="Arial" w:cs="Arial"/>
        </w:rPr>
      </w:pPr>
      <w:proofErr w:type="spellStart"/>
      <w:r w:rsidRPr="009E01B6">
        <w:rPr>
          <w:rFonts w:ascii="Arial" w:hAnsi="Arial" w:cs="Arial"/>
        </w:rPr>
        <w:t>Acas</w:t>
      </w:r>
      <w:proofErr w:type="spellEnd"/>
      <w:r w:rsidRPr="009E01B6">
        <w:rPr>
          <w:rFonts w:ascii="Arial" w:hAnsi="Arial" w:cs="Arial"/>
        </w:rPr>
        <w:t>. (2014). Job evaluation: Considerations and risks advice booklet. https://www.acas.org.uk/job-evaluation-considerations-and-risks-advice-booklet (Accessed 14th August 2025).</w:t>
      </w:r>
    </w:p>
    <w:p w14:paraId="1955F39C" w14:textId="6DAA43F1" w:rsidR="00207029" w:rsidRPr="009E01B6" w:rsidRDefault="00207029" w:rsidP="009E01B6">
      <w:pPr>
        <w:rPr>
          <w:rFonts w:ascii="Arial" w:hAnsi="Arial" w:cs="Arial"/>
        </w:rPr>
      </w:pPr>
      <w:r w:rsidRPr="009E01B6">
        <w:rPr>
          <w:rFonts w:ascii="Arial" w:hAnsi="Arial" w:cs="Arial"/>
        </w:rPr>
        <w:t>Afful-Broni, A. (2012) Relationship between Motivation and Job Performance at the University of Mines and Technology, Tarkwa, Ghana: Leadership Lessons. Creative Education. 3, 309-314.</w:t>
      </w:r>
    </w:p>
    <w:p w14:paraId="116F5F32" w14:textId="77777777" w:rsidR="00207029" w:rsidRPr="009E01B6" w:rsidRDefault="00207029" w:rsidP="009E01B6">
      <w:pPr>
        <w:rPr>
          <w:rFonts w:ascii="Arial" w:hAnsi="Arial" w:cs="Arial"/>
        </w:rPr>
      </w:pPr>
      <w:r w:rsidRPr="009E01B6">
        <w:rPr>
          <w:rFonts w:ascii="Arial" w:hAnsi="Arial" w:cs="Arial"/>
        </w:rPr>
        <w:t>Armstrong, M. (2010) A Handbook of Employee Reward Management and Practice. 2nd Edition. London: Kogan Page.</w:t>
      </w:r>
    </w:p>
    <w:p w14:paraId="78A3CB7D" w14:textId="77777777" w:rsidR="00207029" w:rsidRPr="009E01B6" w:rsidRDefault="00207029" w:rsidP="009E01B6">
      <w:pPr>
        <w:rPr>
          <w:rFonts w:ascii="Arial" w:hAnsi="Arial" w:cs="Arial"/>
        </w:rPr>
      </w:pPr>
      <w:r w:rsidRPr="009E01B6">
        <w:rPr>
          <w:rFonts w:ascii="Arial" w:hAnsi="Arial" w:cs="Arial"/>
        </w:rPr>
        <w:t>Armstrong, M. (2006). Performance Management: Key Strategies and Practical Guidelines. 3rd ed. London: Kogan Page.</w:t>
      </w:r>
    </w:p>
    <w:p w14:paraId="179A5085" w14:textId="05A17340" w:rsidR="00207029" w:rsidRPr="009E01B6" w:rsidRDefault="00207029" w:rsidP="009E01B6">
      <w:pPr>
        <w:rPr>
          <w:rFonts w:ascii="Arial" w:hAnsi="Arial" w:cs="Arial"/>
        </w:rPr>
      </w:pPr>
      <w:r w:rsidRPr="009E01B6">
        <w:rPr>
          <w:rFonts w:ascii="Arial" w:hAnsi="Arial" w:cs="Arial"/>
        </w:rPr>
        <w:t xml:space="preserve">Bhattacharya, S. &amp; Preetha, M. (2009) Rewards as a Key to Employee Engagement : A Comparative Study on I.T. Professionals. </w:t>
      </w:r>
      <w:r w:rsidRPr="008E3969">
        <w:rPr>
          <w:rFonts w:ascii="Arial" w:hAnsi="Arial" w:cs="Arial"/>
        </w:rPr>
        <w:t>ASBM Journal of Management</w:t>
      </w:r>
      <w:r w:rsidRPr="009E01B6">
        <w:rPr>
          <w:rFonts w:ascii="Arial" w:hAnsi="Arial" w:cs="Arial"/>
        </w:rPr>
        <w:t>. 2(1) 160-175.</w:t>
      </w:r>
    </w:p>
    <w:p w14:paraId="160FC607" w14:textId="77777777" w:rsidR="00207029" w:rsidRPr="009E01B6" w:rsidRDefault="00207029" w:rsidP="009E01B6">
      <w:pPr>
        <w:rPr>
          <w:rFonts w:ascii="Arial" w:hAnsi="Arial" w:cs="Arial"/>
        </w:rPr>
      </w:pPr>
      <w:r w:rsidRPr="009E01B6">
        <w:rPr>
          <w:rFonts w:ascii="Arial" w:hAnsi="Arial" w:cs="Arial"/>
        </w:rPr>
        <w:t xml:space="preserve">Carraher, D., Schliemann, A., Brizuela, B., &amp; Earnest, D. (2006) Arithmetic and algebra in early mathematics education. Journal for Research in Mathematics Education. 37. 87-115. </w:t>
      </w:r>
    </w:p>
    <w:p w14:paraId="762CA77F" w14:textId="77777777" w:rsidR="00207029" w:rsidRPr="009E01B6" w:rsidRDefault="00207029" w:rsidP="009E01B6">
      <w:pPr>
        <w:rPr>
          <w:rFonts w:ascii="Arial" w:hAnsi="Arial" w:cs="Arial"/>
        </w:rPr>
      </w:pPr>
      <w:r w:rsidRPr="009E01B6">
        <w:rPr>
          <w:rFonts w:ascii="Arial" w:hAnsi="Arial" w:cs="Arial"/>
        </w:rPr>
        <w:t>Cavrenne, P. (2022) How flexible rewards are playing a key role in employee engagement. Available at: https://www.ey.com/en_be/workforce/how-flexible-rewards-are-playing-a-key-role-in-employee-engagement  (Accessed August 14th</w:t>
      </w:r>
      <w:proofErr w:type="gramStart"/>
      <w:r w:rsidRPr="009E01B6">
        <w:rPr>
          <w:rFonts w:ascii="Arial" w:hAnsi="Arial" w:cs="Arial"/>
        </w:rPr>
        <w:t xml:space="preserve"> 2025</w:t>
      </w:r>
      <w:proofErr w:type="gramEnd"/>
      <w:r w:rsidRPr="009E01B6">
        <w:rPr>
          <w:rFonts w:ascii="Arial" w:hAnsi="Arial" w:cs="Arial"/>
        </w:rPr>
        <w:t xml:space="preserve">). </w:t>
      </w:r>
    </w:p>
    <w:p w14:paraId="1DA5C882" w14:textId="1AEDA608" w:rsidR="00B66B37" w:rsidRPr="009E01B6" w:rsidRDefault="00B66B37" w:rsidP="009E01B6">
      <w:pPr>
        <w:rPr>
          <w:rFonts w:ascii="Arial" w:hAnsi="Arial" w:cs="Arial"/>
        </w:rPr>
      </w:pPr>
      <w:r w:rsidRPr="009E01B6">
        <w:rPr>
          <w:rFonts w:ascii="Arial" w:hAnsi="Arial" w:cs="Arial"/>
        </w:rPr>
        <w:t>CIPD. (2025b). PESTLE analysis factsheet. Chartered Institute of Personnel and Development. Available at: https://www.cipd.org/uk/knowledge/factsheets/pestle-analysis-factsheet/ (Accessed 17 Aug. 2025).</w:t>
      </w:r>
    </w:p>
    <w:p w14:paraId="2A22B2BE" w14:textId="6C7BD7A3" w:rsidR="00207029" w:rsidRDefault="00207029" w:rsidP="009E01B6">
      <w:pPr>
        <w:rPr>
          <w:rFonts w:ascii="Arial" w:hAnsi="Arial" w:cs="Arial"/>
        </w:rPr>
      </w:pPr>
      <w:r w:rsidRPr="009E01B6">
        <w:rPr>
          <w:rFonts w:ascii="Arial" w:hAnsi="Arial" w:cs="Arial"/>
        </w:rPr>
        <w:t>CIPD. (2025</w:t>
      </w:r>
      <w:r w:rsidR="00B66B37" w:rsidRPr="009E01B6">
        <w:rPr>
          <w:rFonts w:ascii="Arial" w:hAnsi="Arial" w:cs="Arial"/>
        </w:rPr>
        <w:t>c</w:t>
      </w:r>
      <w:r w:rsidRPr="009E01B6">
        <w:rPr>
          <w:rFonts w:ascii="Arial" w:hAnsi="Arial" w:cs="Arial"/>
        </w:rPr>
        <w:t>). Market pricing: Factsheet. Chartered Institute of Personnel and Development. </w:t>
      </w:r>
      <w:r w:rsidR="008E3969" w:rsidRPr="008E3969">
        <w:rPr>
          <w:rFonts w:ascii="Arial" w:hAnsi="Arial" w:cs="Arial"/>
        </w:rPr>
        <w:t>https://www.cipd.org/uk/knowledge/factsheets/market-pricing-factsheet/</w:t>
      </w:r>
    </w:p>
    <w:p w14:paraId="7365855F" w14:textId="53F5E791" w:rsidR="008E3969" w:rsidRPr="009E01B6" w:rsidRDefault="008E3969" w:rsidP="009E01B6">
      <w:pPr>
        <w:rPr>
          <w:rFonts w:ascii="Arial" w:hAnsi="Arial" w:cs="Arial"/>
        </w:rPr>
      </w:pPr>
      <w:r w:rsidRPr="008E3969">
        <w:rPr>
          <w:rFonts w:ascii="Arial" w:hAnsi="Arial" w:cs="Arial"/>
        </w:rPr>
        <w:t>CIPD. (2025). </w:t>
      </w:r>
      <w:r w:rsidRPr="008E3969">
        <w:rPr>
          <w:rFonts w:ascii="Arial" w:hAnsi="Arial" w:cs="Arial"/>
          <w:i/>
          <w:iCs/>
        </w:rPr>
        <w:t>Strategic reward and total reward factsheet</w:t>
      </w:r>
      <w:r w:rsidRPr="008E3969">
        <w:rPr>
          <w:rFonts w:ascii="Arial" w:hAnsi="Arial" w:cs="Arial"/>
        </w:rPr>
        <w:t>. Chartered Institute of Personnel and Development. Available at: https://www.cipd.org/uk/knowledge/factsheets/strategic-total-factsheet/ </w:t>
      </w:r>
      <w:r>
        <w:rPr>
          <w:rFonts w:ascii="Arial" w:hAnsi="Arial" w:cs="Arial"/>
        </w:rPr>
        <w:t>(</w:t>
      </w:r>
      <w:r w:rsidRPr="008E3969">
        <w:rPr>
          <w:rFonts w:ascii="Arial" w:hAnsi="Arial" w:cs="Arial"/>
        </w:rPr>
        <w:t>Accessed 18 Aug. 2025</w:t>
      </w:r>
      <w:r>
        <w:rPr>
          <w:rFonts w:ascii="Arial" w:hAnsi="Arial" w:cs="Arial"/>
        </w:rPr>
        <w:t>)</w:t>
      </w:r>
    </w:p>
    <w:p w14:paraId="183327EE" w14:textId="77777777" w:rsidR="00207029" w:rsidRPr="009E01B6" w:rsidRDefault="00207029" w:rsidP="009E01B6">
      <w:pPr>
        <w:rPr>
          <w:rFonts w:ascii="Arial" w:hAnsi="Arial" w:cs="Arial"/>
        </w:rPr>
      </w:pPr>
      <w:r w:rsidRPr="009E01B6">
        <w:rPr>
          <w:rFonts w:ascii="Arial" w:hAnsi="Arial" w:cs="Arial"/>
        </w:rPr>
        <w:t>CIPD (2025) Good Work Index 2025: UK Working Lives. London: Chartered Institute of Personnel and Development. Available at: https://www.cipd.org (Accessed: 15 August 2025).</w:t>
      </w:r>
    </w:p>
    <w:p w14:paraId="7BE3559B" w14:textId="70B6D0E6" w:rsidR="00B66B37" w:rsidRPr="009E01B6" w:rsidRDefault="00B66B37" w:rsidP="009E01B6">
      <w:pPr>
        <w:rPr>
          <w:rFonts w:ascii="Arial" w:hAnsi="Arial" w:cs="Arial"/>
        </w:rPr>
      </w:pPr>
      <w:r w:rsidRPr="009E01B6">
        <w:rPr>
          <w:rFonts w:ascii="Arial" w:hAnsi="Arial" w:cs="Arial"/>
        </w:rPr>
        <w:t>CIPD. (2024). Pay, performance and transparency 2024. Chartered Institute of Personnel and Development. Available at: https://www.cipd.org/uk/knowledge/reports/pay-performance-transparency/ (Accessed 17 Aug. 2025).</w:t>
      </w:r>
    </w:p>
    <w:p w14:paraId="7D8F9C91" w14:textId="77777777" w:rsidR="00207029" w:rsidRPr="009E01B6" w:rsidRDefault="00207029" w:rsidP="009E01B6">
      <w:pPr>
        <w:rPr>
          <w:rFonts w:ascii="Arial" w:hAnsi="Arial" w:cs="Arial"/>
        </w:rPr>
      </w:pPr>
      <w:r w:rsidRPr="009E01B6">
        <w:rPr>
          <w:rFonts w:ascii="Arial" w:hAnsi="Arial" w:cs="Arial"/>
        </w:rPr>
        <w:t>CIPD (2022) Pay structures and pay progression | Factsheets. [online] Available at: https://www.cipd.co.uk/knowledge/fundamentals/people/pay/structures-factsheet#gref. (Accessed August10th 2025).</w:t>
      </w:r>
    </w:p>
    <w:p w14:paraId="09764EFB" w14:textId="77777777" w:rsidR="00207029" w:rsidRPr="009E01B6" w:rsidRDefault="00207029" w:rsidP="009E01B6">
      <w:pPr>
        <w:rPr>
          <w:rFonts w:ascii="Arial" w:hAnsi="Arial" w:cs="Arial"/>
        </w:rPr>
      </w:pPr>
      <w:r w:rsidRPr="009E01B6">
        <w:rPr>
          <w:rFonts w:ascii="Arial" w:hAnsi="Arial" w:cs="Arial"/>
        </w:rPr>
        <w:lastRenderedPageBreak/>
        <w:t>CIPD (2021) Job Evaluation &amp; Market Pricing | Factsheets. [online] CIPD. Available at: https://www.cipd.co.uk/knowledge/strategy/reward/market-pricing-factsheet#gref (Accessed August 10th</w:t>
      </w:r>
      <w:proofErr w:type="gramStart"/>
      <w:r w:rsidRPr="009E01B6">
        <w:rPr>
          <w:rFonts w:ascii="Arial" w:hAnsi="Arial" w:cs="Arial"/>
        </w:rPr>
        <w:t xml:space="preserve"> 2025</w:t>
      </w:r>
      <w:proofErr w:type="gramEnd"/>
      <w:r w:rsidRPr="009E01B6">
        <w:rPr>
          <w:rFonts w:ascii="Arial" w:hAnsi="Arial" w:cs="Arial"/>
        </w:rPr>
        <w:t>).</w:t>
      </w:r>
    </w:p>
    <w:p w14:paraId="4DC2FC85" w14:textId="595987E4" w:rsidR="00B66B37" w:rsidRPr="009E01B6" w:rsidRDefault="00B66B37" w:rsidP="009E01B6">
      <w:pPr>
        <w:rPr>
          <w:rFonts w:ascii="Arial" w:hAnsi="Arial" w:cs="Arial"/>
        </w:rPr>
      </w:pPr>
      <w:r w:rsidRPr="009E01B6">
        <w:rPr>
          <w:rFonts w:ascii="Arial" w:hAnsi="Arial" w:cs="Arial"/>
        </w:rPr>
        <w:t>Ceplenski, C. (2013) Employee Rewards: The Importance of Perceived Fairness. Available at: https://hrdailyadvisor.blr.com/2013/06/29/employee-rewards-the-importance-of-perceived-fairness/ (Accessed August 11th</w:t>
      </w:r>
      <w:proofErr w:type="gramStart"/>
      <w:r w:rsidRPr="009E01B6">
        <w:rPr>
          <w:rFonts w:ascii="Arial" w:hAnsi="Arial" w:cs="Arial"/>
        </w:rPr>
        <w:t xml:space="preserve"> 2025</w:t>
      </w:r>
      <w:proofErr w:type="gramEnd"/>
      <w:r w:rsidRPr="009E01B6">
        <w:rPr>
          <w:rFonts w:ascii="Arial" w:hAnsi="Arial" w:cs="Arial"/>
        </w:rPr>
        <w:t>).</w:t>
      </w:r>
    </w:p>
    <w:p w14:paraId="3AC810C6" w14:textId="19FAF339" w:rsidR="008971A9" w:rsidRPr="009E01B6" w:rsidRDefault="008971A9" w:rsidP="009E01B6">
      <w:pPr>
        <w:rPr>
          <w:rFonts w:ascii="Arial" w:hAnsi="Arial" w:cs="Arial"/>
        </w:rPr>
      </w:pPr>
      <w:r w:rsidRPr="009E01B6">
        <w:rPr>
          <w:rFonts w:ascii="Arial" w:hAnsi="Arial" w:cs="Arial"/>
        </w:rPr>
        <w:t>Cotton, C., Gifford, J. and Young, J. (2022). Incentives and recognition: an evidence review. Practice summary and recommendations. London: Chartered Institute of Personnel and Development. Available at: https://www.cipd.org/globalassets/media/knowledge/knowledge-hub/evidence-reviews/incentives-recognition-practice-summary_tcm18-105466.pdf (Accessed 15 Aug. 2025)</w:t>
      </w:r>
    </w:p>
    <w:p w14:paraId="1AC0A0AB" w14:textId="77777777" w:rsidR="00207029" w:rsidRPr="009E01B6" w:rsidRDefault="00207029" w:rsidP="009E01B6">
      <w:pPr>
        <w:rPr>
          <w:rFonts w:ascii="Arial" w:hAnsi="Arial" w:cs="Arial"/>
        </w:rPr>
      </w:pPr>
      <w:r w:rsidRPr="009E01B6">
        <w:rPr>
          <w:rFonts w:ascii="Arial" w:hAnsi="Arial" w:cs="Arial"/>
        </w:rPr>
        <w:t>Delgado, M. (2019) The path to prosperity. Why the future of work is human. Available at: https://www2.deloitte.com/au/en/blog/diversity-inclusion-blog/2019/path-to-prosperity-why-future-of-work-is-human.html (Accessed on July16th 2025).</w:t>
      </w:r>
    </w:p>
    <w:p w14:paraId="6AE07D69" w14:textId="77777777" w:rsidR="00207029" w:rsidRPr="009E01B6" w:rsidRDefault="00207029" w:rsidP="009E01B6">
      <w:pPr>
        <w:rPr>
          <w:rFonts w:ascii="Arial" w:hAnsi="Arial" w:cs="Arial"/>
        </w:rPr>
      </w:pPr>
      <w:r w:rsidRPr="009E01B6">
        <w:rPr>
          <w:rFonts w:ascii="Arial" w:hAnsi="Arial" w:cs="Arial"/>
        </w:rPr>
        <w:t>Edgar Schein (1992), Schein, E. H. (1992). Organizational culture and Leadership. Jossey-Bass.</w:t>
      </w:r>
    </w:p>
    <w:p w14:paraId="41381550" w14:textId="77777777" w:rsidR="00207029" w:rsidRPr="009E01B6" w:rsidRDefault="00207029" w:rsidP="009E01B6">
      <w:pPr>
        <w:rPr>
          <w:rFonts w:ascii="Arial" w:hAnsi="Arial" w:cs="Arial"/>
        </w:rPr>
      </w:pPr>
      <w:r w:rsidRPr="009E01B6">
        <w:rPr>
          <w:rFonts w:ascii="Arial" w:hAnsi="Arial" w:cs="Arial"/>
        </w:rPr>
        <w:t>Fallon, N. (2022) The benefits of benchmarking in Business Operations. Available at: https://www.businessnewsdaily.com/15960-benchmarking-benefits-small-business.html (Accessed 15th August 2025).</w:t>
      </w:r>
    </w:p>
    <w:p w14:paraId="1F9674C2" w14:textId="77777777" w:rsidR="00207029" w:rsidRPr="009E01B6" w:rsidRDefault="00207029" w:rsidP="009E01B6">
      <w:pPr>
        <w:rPr>
          <w:rFonts w:ascii="Arial" w:hAnsi="Arial" w:cs="Arial"/>
        </w:rPr>
      </w:pPr>
      <w:r w:rsidRPr="009E01B6">
        <w:rPr>
          <w:rFonts w:ascii="Arial" w:hAnsi="Arial" w:cs="Arial"/>
        </w:rPr>
        <w:t>Figueiredo, M., Ferreira, J.J., &amp; Fernandes, C.I., (2025). Reward systems and intellectual capital: A systematic literature review. Journal of the Knowledge Economy. Available at: https://link.springer.com/article/10.1007/s13132-024-02492-w (Accessed 15 Aug. 2025).</w:t>
      </w:r>
    </w:p>
    <w:p w14:paraId="100BED0D" w14:textId="282641E9" w:rsidR="00C33767" w:rsidRPr="009E01B6" w:rsidRDefault="00C33767" w:rsidP="009E01B6">
      <w:pPr>
        <w:rPr>
          <w:rFonts w:ascii="Arial" w:hAnsi="Arial" w:cs="Arial"/>
        </w:rPr>
      </w:pPr>
      <w:r w:rsidRPr="009E01B6">
        <w:rPr>
          <w:rFonts w:ascii="Arial" w:hAnsi="Arial" w:cs="Arial"/>
        </w:rPr>
        <w:t>Gabriel, A., Amah, E. and Okocha, B.F. (2021). Micromanaging Behaviour and Employee Productivity in SMEs in Rivers State. ResearchGate. Available at: https://www.researchgate.net/publication/360820711_Micromanaging_Behaviour_and_Employee_Productivity_in_SMEs_in_Rivers_State (Accessed 17th Aug. 2025)</w:t>
      </w:r>
    </w:p>
    <w:p w14:paraId="1A49DCD7" w14:textId="77777777" w:rsidR="00207029" w:rsidRPr="009E01B6" w:rsidRDefault="00207029" w:rsidP="009E01B6">
      <w:pPr>
        <w:rPr>
          <w:rFonts w:ascii="Arial" w:hAnsi="Arial" w:cs="Arial"/>
        </w:rPr>
      </w:pPr>
      <w:r w:rsidRPr="009E01B6">
        <w:rPr>
          <w:rFonts w:ascii="Arial" w:hAnsi="Arial" w:cs="Arial"/>
        </w:rPr>
        <w:t>Ghoshal, S and Bartlett, C A (1995) Changing the role of top management: beyond structure to process, Harvard Business Review, January–February, pp 86–96</w:t>
      </w:r>
    </w:p>
    <w:p w14:paraId="1EA9E299" w14:textId="77777777" w:rsidR="00207029" w:rsidRPr="009E01B6" w:rsidRDefault="00207029" w:rsidP="009E01B6">
      <w:pPr>
        <w:rPr>
          <w:rFonts w:ascii="Arial" w:hAnsi="Arial" w:cs="Arial"/>
        </w:rPr>
      </w:pPr>
      <w:r w:rsidRPr="009E01B6">
        <w:rPr>
          <w:rFonts w:ascii="Arial" w:hAnsi="Arial" w:cs="Arial"/>
        </w:rPr>
        <w:t>Grant, A. M. (2008) Does intrinsic motivation fuel the prosocial fire? Motivational synergy in predicting persistence, performance, and productivity. Journal of Applied Psychology, 93(1), 48–58.</w:t>
      </w:r>
    </w:p>
    <w:p w14:paraId="7666CDC9" w14:textId="77777777" w:rsidR="00207029" w:rsidRPr="009E01B6" w:rsidRDefault="00207029" w:rsidP="009E01B6">
      <w:pPr>
        <w:rPr>
          <w:rFonts w:ascii="Arial" w:hAnsi="Arial" w:cs="Arial"/>
        </w:rPr>
      </w:pPr>
      <w:r w:rsidRPr="009E01B6">
        <w:rPr>
          <w:rFonts w:ascii="Arial" w:hAnsi="Arial" w:cs="Arial"/>
        </w:rPr>
        <w:t>Hajduk, P.(2017). The real value of reward. People Management, Available at: https://www.peoplemanagement.co.uk/article/1743866/real-value-reward (Accessed 14 Aug. 2025).</w:t>
      </w:r>
    </w:p>
    <w:p w14:paraId="60F19FCA" w14:textId="77777777" w:rsidR="00207029" w:rsidRPr="009E01B6" w:rsidRDefault="00207029" w:rsidP="009E01B6">
      <w:pPr>
        <w:rPr>
          <w:rFonts w:ascii="Arial" w:hAnsi="Arial" w:cs="Arial"/>
        </w:rPr>
      </w:pPr>
      <w:r w:rsidRPr="009E01B6">
        <w:rPr>
          <w:rFonts w:ascii="Arial" w:hAnsi="Arial" w:cs="Arial"/>
        </w:rPr>
        <w:t>Hammer, P. and Palmgren, R., (2019). </w:t>
      </w:r>
      <w:proofErr w:type="gramStart"/>
      <w:r w:rsidRPr="009E01B6">
        <w:rPr>
          <w:rFonts w:ascii="Arial" w:hAnsi="Arial" w:cs="Arial"/>
        </w:rPr>
        <w:t>How</w:t>
      </w:r>
      <w:proofErr w:type="gramEnd"/>
      <w:r w:rsidRPr="009E01B6">
        <w:rPr>
          <w:rFonts w:ascii="Arial" w:hAnsi="Arial" w:cs="Arial"/>
        </w:rPr>
        <w:t xml:space="preserve"> parental leave policies influence employee engagement. Bachelor’s thesis. University of </w:t>
      </w:r>
      <w:proofErr w:type="spellStart"/>
      <w:r w:rsidRPr="009E01B6">
        <w:rPr>
          <w:rFonts w:ascii="Arial" w:hAnsi="Arial" w:cs="Arial"/>
        </w:rPr>
        <w:t>Gävle</w:t>
      </w:r>
      <w:proofErr w:type="spellEnd"/>
      <w:r w:rsidRPr="009E01B6">
        <w:rPr>
          <w:rFonts w:ascii="Arial" w:hAnsi="Arial" w:cs="Arial"/>
        </w:rPr>
        <w:t>. Available at: https://www.diva-portal.org/smash/get/diva2:1331586/FULLTEXT01.pdf (Accessed 15 Aug. 2025)</w:t>
      </w:r>
    </w:p>
    <w:p w14:paraId="11EE0DDF" w14:textId="0BEABD60" w:rsidR="00B66B37" w:rsidRPr="009E01B6" w:rsidRDefault="00B66B37" w:rsidP="009E01B6">
      <w:pPr>
        <w:rPr>
          <w:rFonts w:ascii="Arial" w:hAnsi="Arial" w:cs="Arial"/>
        </w:rPr>
      </w:pPr>
      <w:r w:rsidRPr="009E01B6">
        <w:rPr>
          <w:rFonts w:ascii="Arial" w:hAnsi="Arial" w:cs="Arial"/>
        </w:rPr>
        <w:t xml:space="preserve">Harvey, W.S., Osman, S. &amp; </w:t>
      </w:r>
      <w:proofErr w:type="spellStart"/>
      <w:r w:rsidRPr="009E01B6">
        <w:rPr>
          <w:rFonts w:ascii="Arial" w:hAnsi="Arial" w:cs="Arial"/>
        </w:rPr>
        <w:t>Tourky</w:t>
      </w:r>
      <w:proofErr w:type="spellEnd"/>
      <w:r w:rsidRPr="009E01B6">
        <w:rPr>
          <w:rFonts w:ascii="Arial" w:hAnsi="Arial" w:cs="Arial"/>
        </w:rPr>
        <w:t>, M. (2022). Building internal reputation from organisational values. Corporate Reputation Review, 25, pp.19–32. Available at: https://link.springer.com/article/10.1057/s41299-020-00109-x (Accessed 16 Aug. 2025)</w:t>
      </w:r>
    </w:p>
    <w:p w14:paraId="308BE751" w14:textId="77777777" w:rsidR="00207029" w:rsidRPr="009E01B6" w:rsidRDefault="00207029" w:rsidP="009E01B6">
      <w:pPr>
        <w:rPr>
          <w:rFonts w:ascii="Arial" w:hAnsi="Arial" w:cs="Arial"/>
        </w:rPr>
      </w:pPr>
      <w:r w:rsidRPr="009E01B6">
        <w:rPr>
          <w:rFonts w:ascii="Arial" w:hAnsi="Arial" w:cs="Arial"/>
        </w:rPr>
        <w:t xml:space="preserve">Herzberg, F., Mausner, B., &amp; </w:t>
      </w:r>
      <w:proofErr w:type="spellStart"/>
      <w:r w:rsidRPr="009E01B6">
        <w:rPr>
          <w:rFonts w:ascii="Arial" w:hAnsi="Arial" w:cs="Arial"/>
        </w:rPr>
        <w:t>Snydermann</w:t>
      </w:r>
      <w:proofErr w:type="spellEnd"/>
      <w:r w:rsidRPr="009E01B6">
        <w:rPr>
          <w:rFonts w:ascii="Arial" w:hAnsi="Arial" w:cs="Arial"/>
        </w:rPr>
        <w:t>, B. (1959) The motivation to work. New York: Wiley.</w:t>
      </w:r>
    </w:p>
    <w:p w14:paraId="0235ED97" w14:textId="77777777" w:rsidR="00207029" w:rsidRPr="009E01B6" w:rsidRDefault="00207029" w:rsidP="009E01B6">
      <w:pPr>
        <w:rPr>
          <w:rFonts w:ascii="Arial" w:hAnsi="Arial" w:cs="Arial"/>
        </w:rPr>
      </w:pPr>
      <w:r w:rsidRPr="009E01B6">
        <w:rPr>
          <w:rFonts w:ascii="Arial" w:hAnsi="Arial" w:cs="Arial"/>
        </w:rPr>
        <w:lastRenderedPageBreak/>
        <w:t>Howlett, M., Ramesh, M., &amp; Capano, G (2022) The role of tool calibrations and policy specifications in policy change: evidence from healthcare reform efforts in Korea 1990-2020. Journal of Asian Public Policy. 15(3), 487-497.</w:t>
      </w:r>
    </w:p>
    <w:p w14:paraId="69E86131" w14:textId="77777777" w:rsidR="00207029" w:rsidRPr="009E01B6" w:rsidRDefault="00207029" w:rsidP="009E01B6">
      <w:pPr>
        <w:rPr>
          <w:rFonts w:ascii="Arial" w:hAnsi="Arial" w:cs="Arial"/>
        </w:rPr>
      </w:pPr>
      <w:r w:rsidRPr="009E01B6">
        <w:rPr>
          <w:rFonts w:ascii="Arial" w:hAnsi="Arial" w:cs="Arial"/>
        </w:rPr>
        <w:t>Jaques, E., (1961). Equitable payment: A general theory of work, differential payment, and individual progress.</w:t>
      </w:r>
    </w:p>
    <w:p w14:paraId="593138E5" w14:textId="321A5DD3" w:rsidR="00582724" w:rsidRPr="009E01B6" w:rsidRDefault="00582724" w:rsidP="009E01B6">
      <w:pPr>
        <w:rPr>
          <w:rFonts w:ascii="Arial" w:hAnsi="Arial" w:cs="Arial"/>
        </w:rPr>
      </w:pPr>
      <w:proofErr w:type="spellStart"/>
      <w:r w:rsidRPr="009E01B6">
        <w:rPr>
          <w:rFonts w:ascii="Arial" w:hAnsi="Arial" w:cs="Arial"/>
        </w:rPr>
        <w:t>Johnivan</w:t>
      </w:r>
      <w:proofErr w:type="spellEnd"/>
      <w:r w:rsidRPr="009E01B6">
        <w:rPr>
          <w:rFonts w:ascii="Arial" w:hAnsi="Arial" w:cs="Arial"/>
        </w:rPr>
        <w:t xml:space="preserve">, J.R. (2024). Informal Employee Recognition: Benefits, Implementation &amp; More. </w:t>
      </w:r>
      <w:proofErr w:type="spellStart"/>
      <w:r w:rsidRPr="009E01B6">
        <w:rPr>
          <w:rFonts w:ascii="Arial" w:hAnsi="Arial" w:cs="Arial"/>
        </w:rPr>
        <w:t>SelectSoftware</w:t>
      </w:r>
      <w:proofErr w:type="spellEnd"/>
      <w:r w:rsidRPr="009E01B6">
        <w:rPr>
          <w:rFonts w:ascii="Arial" w:hAnsi="Arial" w:cs="Arial"/>
        </w:rPr>
        <w:t xml:space="preserve"> Reviews. Available at: https://www.selectsoftwarereviews.com/blog/informal-employee-recognition (Accessed 16 Aug. 2025).</w:t>
      </w:r>
    </w:p>
    <w:p w14:paraId="12E57C82" w14:textId="77777777" w:rsidR="00207029" w:rsidRPr="009E01B6" w:rsidRDefault="00207029" w:rsidP="009E01B6">
      <w:pPr>
        <w:rPr>
          <w:rFonts w:ascii="Arial" w:hAnsi="Arial" w:cs="Arial"/>
        </w:rPr>
      </w:pPr>
      <w:r w:rsidRPr="009E01B6">
        <w:rPr>
          <w:rFonts w:ascii="Arial" w:hAnsi="Arial" w:cs="Arial"/>
        </w:rPr>
        <w:t>Joseph, C. (2019) The advantages of a decentralized organizational structure. Available at: https://smallbusiness.chron.com/advantages-decentralized-organizational-structure-603.html (Accessed August 15th</w:t>
      </w:r>
      <w:proofErr w:type="gramStart"/>
      <w:r w:rsidRPr="009E01B6">
        <w:rPr>
          <w:rFonts w:ascii="Arial" w:hAnsi="Arial" w:cs="Arial"/>
        </w:rPr>
        <w:t xml:space="preserve"> 2025</w:t>
      </w:r>
      <w:proofErr w:type="gramEnd"/>
      <w:r w:rsidRPr="009E01B6">
        <w:rPr>
          <w:rFonts w:ascii="Arial" w:hAnsi="Arial" w:cs="Arial"/>
        </w:rPr>
        <w:t>).</w:t>
      </w:r>
    </w:p>
    <w:p w14:paraId="08E63A55" w14:textId="77777777" w:rsidR="00207029" w:rsidRPr="009E01B6" w:rsidRDefault="00207029" w:rsidP="009E01B6">
      <w:pPr>
        <w:rPr>
          <w:rFonts w:ascii="Arial" w:hAnsi="Arial" w:cs="Arial"/>
        </w:rPr>
      </w:pPr>
      <w:r w:rsidRPr="009E01B6">
        <w:rPr>
          <w:rFonts w:ascii="Arial" w:hAnsi="Arial" w:cs="Arial"/>
        </w:rPr>
        <w:t>Johnson, G. (1990) ‘Managing strategic change: the role of symbolic action’, British Journal of Management, 1(1): 183–200.</w:t>
      </w:r>
    </w:p>
    <w:p w14:paraId="03587DB7" w14:textId="77777777" w:rsidR="00207029" w:rsidRPr="009E01B6" w:rsidRDefault="00207029" w:rsidP="009E01B6">
      <w:pPr>
        <w:rPr>
          <w:rFonts w:ascii="Arial" w:hAnsi="Arial" w:cs="Arial"/>
        </w:rPr>
      </w:pPr>
      <w:r w:rsidRPr="009E01B6">
        <w:rPr>
          <w:rFonts w:ascii="Arial" w:hAnsi="Arial" w:cs="Arial"/>
        </w:rPr>
        <w:t>Latham, G. &amp; Locke, E. (1979) Goal Setting—A Motivational Technique That Works. Organizational Dynamics, 8, 68-80.</w:t>
      </w:r>
    </w:p>
    <w:p w14:paraId="2267701B" w14:textId="77777777" w:rsidR="00207029" w:rsidRPr="009E01B6" w:rsidRDefault="00207029" w:rsidP="009E01B6">
      <w:pPr>
        <w:rPr>
          <w:rFonts w:ascii="Arial" w:hAnsi="Arial" w:cs="Arial"/>
        </w:rPr>
      </w:pPr>
      <w:r w:rsidRPr="009E01B6">
        <w:rPr>
          <w:rFonts w:ascii="Arial" w:hAnsi="Arial" w:cs="Arial"/>
        </w:rPr>
        <w:t>Locke, E (2002) Latham GP. Building a practically useful theory of goal setting and task motivation: A 35-year odyssey. American Psychologist. 5, 705–717.</w:t>
      </w:r>
    </w:p>
    <w:p w14:paraId="754472E1" w14:textId="77777777" w:rsidR="00207029" w:rsidRPr="009E01B6" w:rsidRDefault="00207029" w:rsidP="009E01B6">
      <w:pPr>
        <w:rPr>
          <w:rFonts w:ascii="Arial" w:hAnsi="Arial" w:cs="Arial"/>
        </w:rPr>
      </w:pPr>
      <w:r w:rsidRPr="009E01B6">
        <w:rPr>
          <w:rFonts w:ascii="Arial" w:hAnsi="Arial" w:cs="Arial"/>
        </w:rPr>
        <w:t>Maslow, A. H. (1943) A theory of human motivation. Psychological Review. 50(4), 370–396.</w:t>
      </w:r>
    </w:p>
    <w:p w14:paraId="5DF80EFB" w14:textId="77777777" w:rsidR="00207029" w:rsidRPr="009E01B6" w:rsidRDefault="00207029" w:rsidP="009E01B6">
      <w:pPr>
        <w:rPr>
          <w:rFonts w:ascii="Arial" w:hAnsi="Arial" w:cs="Arial"/>
        </w:rPr>
      </w:pPr>
      <w:r w:rsidRPr="009E01B6">
        <w:rPr>
          <w:rFonts w:ascii="Arial" w:hAnsi="Arial" w:cs="Arial"/>
        </w:rPr>
        <w:t>Matthews, M (2019) How to create an Employee Rewards and Recognition Policy. Available at: https://hrdailyadvisor.blr.com/2019/06/28/how-to-create-an-employee-rewards-and-recognition-policy/ (Accessed August 13th</w:t>
      </w:r>
      <w:proofErr w:type="gramStart"/>
      <w:r w:rsidRPr="009E01B6">
        <w:rPr>
          <w:rFonts w:ascii="Arial" w:hAnsi="Arial" w:cs="Arial"/>
        </w:rPr>
        <w:t xml:space="preserve"> 2025</w:t>
      </w:r>
      <w:proofErr w:type="gramEnd"/>
      <w:r w:rsidRPr="009E01B6">
        <w:rPr>
          <w:rFonts w:ascii="Arial" w:hAnsi="Arial" w:cs="Arial"/>
        </w:rPr>
        <w:t>)</w:t>
      </w:r>
    </w:p>
    <w:p w14:paraId="1063AD18" w14:textId="77777777" w:rsidR="00207029" w:rsidRPr="009E01B6" w:rsidRDefault="00207029" w:rsidP="009E01B6">
      <w:pPr>
        <w:rPr>
          <w:rFonts w:ascii="Arial" w:hAnsi="Arial" w:cs="Arial"/>
        </w:rPr>
      </w:pPr>
      <w:r w:rsidRPr="009E01B6">
        <w:rPr>
          <w:rFonts w:ascii="Arial" w:hAnsi="Arial" w:cs="Arial"/>
        </w:rPr>
        <w:t xml:space="preserve">Ngwa, W., </w:t>
      </w:r>
      <w:proofErr w:type="spellStart"/>
      <w:r w:rsidRPr="009E01B6">
        <w:rPr>
          <w:rFonts w:ascii="Arial" w:hAnsi="Arial" w:cs="Arial"/>
        </w:rPr>
        <w:t>Adeleke,B</w:t>
      </w:r>
      <w:proofErr w:type="spellEnd"/>
      <w:r w:rsidRPr="009E01B6">
        <w:rPr>
          <w:rFonts w:ascii="Arial" w:hAnsi="Arial" w:cs="Arial"/>
        </w:rPr>
        <w:t xml:space="preserve">., </w:t>
      </w:r>
      <w:proofErr w:type="spellStart"/>
      <w:r w:rsidRPr="009E01B6">
        <w:rPr>
          <w:rFonts w:ascii="Arial" w:hAnsi="Arial" w:cs="Arial"/>
        </w:rPr>
        <w:t>Agbaeze</w:t>
      </w:r>
      <w:proofErr w:type="spellEnd"/>
      <w:r w:rsidRPr="009E01B6">
        <w:rPr>
          <w:rFonts w:ascii="Arial" w:hAnsi="Arial" w:cs="Arial"/>
        </w:rPr>
        <w:t xml:space="preserve">, E., Ghasi, N., &amp; </w:t>
      </w:r>
      <w:proofErr w:type="spellStart"/>
      <w:r w:rsidRPr="009E01B6">
        <w:rPr>
          <w:rFonts w:ascii="Arial" w:hAnsi="Arial" w:cs="Arial"/>
        </w:rPr>
        <w:t>Imhanrenialena</w:t>
      </w:r>
      <w:proofErr w:type="spellEnd"/>
      <w:r w:rsidRPr="009E01B6">
        <w:rPr>
          <w:rFonts w:ascii="Arial" w:hAnsi="Arial" w:cs="Arial"/>
        </w:rPr>
        <w:t xml:space="preserve">, B. (2019) Effect of reward system on employee performance among selected manufacturing firms in the </w:t>
      </w:r>
      <w:proofErr w:type="spellStart"/>
      <w:r w:rsidRPr="009E01B6">
        <w:rPr>
          <w:rFonts w:ascii="Arial" w:hAnsi="Arial" w:cs="Arial"/>
        </w:rPr>
        <w:t>litoral</w:t>
      </w:r>
      <w:proofErr w:type="spellEnd"/>
      <w:r w:rsidRPr="009E01B6">
        <w:rPr>
          <w:rFonts w:ascii="Arial" w:hAnsi="Arial" w:cs="Arial"/>
        </w:rPr>
        <w:t xml:space="preserve"> region of Cameroon. Academy of Strategic Management Journal, 18 (3), 1-16. </w:t>
      </w:r>
    </w:p>
    <w:p w14:paraId="5AF43980" w14:textId="77777777" w:rsidR="00207029" w:rsidRPr="009E01B6" w:rsidRDefault="00207029" w:rsidP="009E01B6">
      <w:pPr>
        <w:rPr>
          <w:rFonts w:ascii="Arial" w:hAnsi="Arial" w:cs="Arial"/>
        </w:rPr>
      </w:pPr>
      <w:r w:rsidRPr="009E01B6">
        <w:rPr>
          <w:rFonts w:ascii="Arial" w:hAnsi="Arial" w:cs="Arial"/>
        </w:rPr>
        <w:t>Ogbonnaya, C., &amp; Messersmith, J. (2019) Employee performance, well</w:t>
      </w:r>
      <w:r w:rsidRPr="009E01B6">
        <w:rPr>
          <w:rFonts w:ascii="Cambria Math" w:hAnsi="Cambria Math" w:cs="Cambria Math"/>
        </w:rPr>
        <w:t>‐</w:t>
      </w:r>
      <w:r w:rsidRPr="009E01B6">
        <w:rPr>
          <w:rFonts w:ascii="Arial" w:hAnsi="Arial" w:cs="Arial"/>
        </w:rPr>
        <w:t xml:space="preserve">being, and differential effects of human resource management subdimensions: Mutual gains or conflicting </w:t>
      </w:r>
      <w:proofErr w:type="gramStart"/>
      <w:r w:rsidRPr="009E01B6">
        <w:rPr>
          <w:rFonts w:ascii="Arial" w:hAnsi="Arial" w:cs="Arial"/>
        </w:rPr>
        <w:t>outcomes?.</w:t>
      </w:r>
      <w:proofErr w:type="gramEnd"/>
      <w:r w:rsidRPr="009E01B6">
        <w:rPr>
          <w:rFonts w:ascii="Arial" w:hAnsi="Arial" w:cs="Arial"/>
        </w:rPr>
        <w:t xml:space="preserve"> Human Resource Management Journal. 29 (3), 509-526. </w:t>
      </w:r>
    </w:p>
    <w:p w14:paraId="664EBDC9" w14:textId="77777777" w:rsidR="00207029" w:rsidRPr="009E01B6" w:rsidRDefault="00207029" w:rsidP="009E01B6">
      <w:pPr>
        <w:rPr>
          <w:rFonts w:ascii="Arial" w:hAnsi="Arial" w:cs="Arial"/>
        </w:rPr>
      </w:pPr>
      <w:r w:rsidRPr="009E01B6">
        <w:rPr>
          <w:rFonts w:ascii="Arial" w:hAnsi="Arial" w:cs="Arial"/>
        </w:rPr>
        <w:t>O’Neil, G. (2017) Let's get transparent in reward. Available at: https://www.changeboard.com/article-details/15372/let-s-get-transparent-in-reward/ (Accessed August 13th</w:t>
      </w:r>
      <w:proofErr w:type="gramStart"/>
      <w:r w:rsidRPr="009E01B6">
        <w:rPr>
          <w:rFonts w:ascii="Arial" w:hAnsi="Arial" w:cs="Arial"/>
        </w:rPr>
        <w:t xml:space="preserve"> 2025</w:t>
      </w:r>
      <w:proofErr w:type="gramEnd"/>
      <w:r w:rsidRPr="009E01B6">
        <w:rPr>
          <w:rFonts w:ascii="Arial" w:hAnsi="Arial" w:cs="Arial"/>
        </w:rPr>
        <w:t xml:space="preserve">) </w:t>
      </w:r>
    </w:p>
    <w:p w14:paraId="75D3C380" w14:textId="77777777" w:rsidR="00207029" w:rsidRPr="009E01B6" w:rsidRDefault="00207029" w:rsidP="009E01B6">
      <w:pPr>
        <w:rPr>
          <w:rFonts w:ascii="Arial" w:hAnsi="Arial" w:cs="Arial"/>
        </w:rPr>
      </w:pPr>
      <w:r w:rsidRPr="009E01B6">
        <w:rPr>
          <w:rFonts w:ascii="Arial" w:hAnsi="Arial" w:cs="Arial"/>
        </w:rPr>
        <w:t xml:space="preserve">ONS (2022) Is hybrid working here to stay? Available at: https://www.ons.gov.uk/employmentandlabourmarket/peopleinwork/employmentandemployeetypes/articles/ishybridworkingheretostay/2022-05-23#:~:text=The%20proportion%20of%20people%20planning,of%20work%20in%20the%20future. (Accessed 15th August 2025). </w:t>
      </w:r>
    </w:p>
    <w:p w14:paraId="2F2CC8FA" w14:textId="1A0D0D5F" w:rsidR="009E01B6" w:rsidRDefault="009E01B6" w:rsidP="009E01B6">
      <w:pPr>
        <w:rPr>
          <w:rFonts w:ascii="Arial" w:hAnsi="Arial" w:cs="Arial"/>
        </w:rPr>
      </w:pPr>
      <w:r w:rsidRPr="009E01B6">
        <w:rPr>
          <w:rFonts w:ascii="Arial" w:hAnsi="Arial" w:cs="Arial"/>
        </w:rPr>
        <w:t>Perkins, S.J. (1998). Reward Management: Alternatives, Consequences and Contexts. London: Chartered Institute of Personnel and Development.</w:t>
      </w:r>
    </w:p>
    <w:p w14:paraId="2B6300C0" w14:textId="6B858FBE" w:rsidR="00900E7F" w:rsidRPr="009E01B6" w:rsidRDefault="00900E7F" w:rsidP="009E01B6">
      <w:pPr>
        <w:rPr>
          <w:rFonts w:ascii="Arial" w:hAnsi="Arial" w:cs="Arial"/>
        </w:rPr>
      </w:pPr>
      <w:r w:rsidRPr="00900E7F">
        <w:rPr>
          <w:rFonts w:ascii="Arial" w:hAnsi="Arial" w:cs="Arial"/>
        </w:rPr>
        <w:t>Perkins, S.J. and White, G. (2020). </w:t>
      </w:r>
      <w:r w:rsidRPr="00900E7F">
        <w:rPr>
          <w:rFonts w:ascii="Arial" w:hAnsi="Arial" w:cs="Arial"/>
          <w:i/>
          <w:iCs/>
        </w:rPr>
        <w:t>Reward Management: A Critical Text</w:t>
      </w:r>
      <w:r w:rsidRPr="00900E7F">
        <w:rPr>
          <w:rFonts w:ascii="Arial" w:hAnsi="Arial" w:cs="Arial"/>
        </w:rPr>
        <w:t>. 3rd ed. London: CIPD/Kogan Page.</w:t>
      </w:r>
    </w:p>
    <w:p w14:paraId="57FFEC86" w14:textId="77777777" w:rsidR="00207029" w:rsidRPr="009E01B6" w:rsidRDefault="00207029" w:rsidP="009E01B6">
      <w:pPr>
        <w:rPr>
          <w:rFonts w:ascii="Arial" w:hAnsi="Arial" w:cs="Arial"/>
        </w:rPr>
      </w:pPr>
      <w:r w:rsidRPr="009E01B6">
        <w:rPr>
          <w:rFonts w:ascii="Arial" w:hAnsi="Arial" w:cs="Arial"/>
        </w:rPr>
        <w:t>Pierce, W.D., Cameron, J., Banko, K.M., &amp; So, S. (2003) Positive effects of rewards and performance standards on intrinsic motivation. The psychological record, 53 (4), 561-578.</w:t>
      </w:r>
    </w:p>
    <w:p w14:paraId="7AF2CFCE" w14:textId="4D90CD1F" w:rsidR="00207029" w:rsidRPr="009E01B6" w:rsidRDefault="00207029" w:rsidP="009E01B6">
      <w:pPr>
        <w:rPr>
          <w:rFonts w:ascii="Arial" w:hAnsi="Arial" w:cs="Arial"/>
        </w:rPr>
      </w:pPr>
      <w:proofErr w:type="spellStart"/>
      <w:r w:rsidRPr="009E01B6">
        <w:rPr>
          <w:rFonts w:ascii="Arial" w:hAnsi="Arial" w:cs="Arial"/>
        </w:rPr>
        <w:lastRenderedPageBreak/>
        <w:t>R.Carpi</w:t>
      </w:r>
      <w:proofErr w:type="spellEnd"/>
      <w:r w:rsidRPr="009E01B6">
        <w:rPr>
          <w:rFonts w:ascii="Arial" w:hAnsi="Arial" w:cs="Arial"/>
        </w:rPr>
        <w:t>, J. Douglas, F. Gascon. (2017). Performance management: Why keeping score is so important, and so hard. McKinsey &amp; Company. https://www.mckinsey.com/capabilities/operations/our-insights/performance-management-why-keeping-score-is-so-important-and-so-hard (Accessed 25 June 2025)</w:t>
      </w:r>
    </w:p>
    <w:p w14:paraId="501B1DE0" w14:textId="77777777" w:rsidR="00207029" w:rsidRPr="009E01B6" w:rsidRDefault="00207029" w:rsidP="009E01B6">
      <w:pPr>
        <w:rPr>
          <w:rFonts w:ascii="Arial" w:hAnsi="Arial" w:cs="Arial"/>
        </w:rPr>
      </w:pPr>
      <w:r w:rsidRPr="009E01B6">
        <w:rPr>
          <w:rFonts w:ascii="Arial" w:hAnsi="Arial" w:cs="Arial"/>
        </w:rPr>
        <w:t>Saks, A. &amp; Rotman, J. (2006) Antecedents and Consequences of Employee Engagement. Journal of Managerial Psychology. 21, 600-619.</w:t>
      </w:r>
    </w:p>
    <w:p w14:paraId="3B5606F2" w14:textId="77777777" w:rsidR="00207029" w:rsidRPr="009E01B6" w:rsidRDefault="00207029" w:rsidP="009E01B6">
      <w:pPr>
        <w:rPr>
          <w:rFonts w:ascii="Arial" w:hAnsi="Arial" w:cs="Arial"/>
        </w:rPr>
      </w:pPr>
      <w:r w:rsidRPr="009E01B6">
        <w:rPr>
          <w:rFonts w:ascii="Arial" w:hAnsi="Arial" w:cs="Arial"/>
        </w:rPr>
        <w:t xml:space="preserve">Shah, K and Kumar, M. (2007)  Distributed Independent Reinforcement Learning (DIRL) Approach to Resource Management in Wireless Sensor Networks. 2007 IEEE International Conference on Mobile </w:t>
      </w:r>
      <w:proofErr w:type="spellStart"/>
      <w:r w:rsidRPr="009E01B6">
        <w:rPr>
          <w:rFonts w:ascii="Arial" w:hAnsi="Arial" w:cs="Arial"/>
        </w:rPr>
        <w:t>Adhoc</w:t>
      </w:r>
      <w:proofErr w:type="spellEnd"/>
      <w:r w:rsidRPr="009E01B6">
        <w:rPr>
          <w:rFonts w:ascii="Arial" w:hAnsi="Arial" w:cs="Arial"/>
        </w:rPr>
        <w:t xml:space="preserve"> and Sensor Systems. 1-9</w:t>
      </w:r>
    </w:p>
    <w:p w14:paraId="6E555351" w14:textId="77777777" w:rsidR="00207029" w:rsidRPr="009E01B6" w:rsidRDefault="00207029" w:rsidP="009E01B6">
      <w:pPr>
        <w:rPr>
          <w:rFonts w:ascii="Arial" w:hAnsi="Arial" w:cs="Arial"/>
        </w:rPr>
      </w:pPr>
      <w:r w:rsidRPr="009E01B6">
        <w:rPr>
          <w:rFonts w:ascii="Arial" w:hAnsi="Arial" w:cs="Arial"/>
        </w:rPr>
        <w:t>Skaggs, R., Gilliam, W. &amp; Evans, R. (1991) A computer simulation study of pocosin hydrology. Wetlands. 11(1), 399–416.</w:t>
      </w:r>
    </w:p>
    <w:p w14:paraId="5A6A4FB9" w14:textId="77777777" w:rsidR="00207029" w:rsidRPr="009E01B6" w:rsidRDefault="00207029" w:rsidP="009E01B6">
      <w:pPr>
        <w:rPr>
          <w:rFonts w:ascii="Arial" w:hAnsi="Arial" w:cs="Arial"/>
        </w:rPr>
      </w:pPr>
      <w:r w:rsidRPr="009E01B6">
        <w:rPr>
          <w:rFonts w:ascii="Arial" w:hAnsi="Arial" w:cs="Arial"/>
        </w:rPr>
        <w:t xml:space="preserve"> Wessels, K. (2018) Employee Benefits: The Evolution of Benefits. Society for Human Resource Management. Available at: https://www.shrm.org/hr-today/trends-and-forecasting/research-and-surveys/Documents/2018%20Employee%20Benefits%20Report.pdf (Accessed August 14th</w:t>
      </w:r>
      <w:proofErr w:type="gramStart"/>
      <w:r w:rsidRPr="009E01B6">
        <w:rPr>
          <w:rFonts w:ascii="Arial" w:hAnsi="Arial" w:cs="Arial"/>
        </w:rPr>
        <w:t xml:space="preserve"> 2025</w:t>
      </w:r>
      <w:proofErr w:type="gramEnd"/>
      <w:r w:rsidRPr="009E01B6">
        <w:rPr>
          <w:rFonts w:ascii="Arial" w:hAnsi="Arial" w:cs="Arial"/>
        </w:rPr>
        <w:t>).</w:t>
      </w:r>
    </w:p>
    <w:p w14:paraId="29E239A6" w14:textId="77777777" w:rsidR="00207029" w:rsidRDefault="00207029"/>
    <w:sectPr w:rsidR="00207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41CCC"/>
    <w:multiLevelType w:val="hybridMultilevel"/>
    <w:tmpl w:val="D3FE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29"/>
    <w:rsid w:val="00065177"/>
    <w:rsid w:val="00207029"/>
    <w:rsid w:val="004F6483"/>
    <w:rsid w:val="0056372B"/>
    <w:rsid w:val="00582724"/>
    <w:rsid w:val="006B372F"/>
    <w:rsid w:val="008971A9"/>
    <w:rsid w:val="008E3969"/>
    <w:rsid w:val="00900E7F"/>
    <w:rsid w:val="009E01B6"/>
    <w:rsid w:val="00B66B37"/>
    <w:rsid w:val="00C33767"/>
    <w:rsid w:val="00D47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2EF4"/>
  <w15:chartTrackingRefBased/>
  <w15:docId w15:val="{5E624372-59AE-46A1-8912-EB4BFBD9C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029"/>
    <w:pPr>
      <w:spacing w:line="259" w:lineRule="auto"/>
    </w:pPr>
    <w:rPr>
      <w:kern w:val="0"/>
      <w:sz w:val="22"/>
      <w:szCs w:val="22"/>
      <w14:ligatures w14:val="none"/>
    </w:rPr>
  </w:style>
  <w:style w:type="paragraph" w:styleId="Heading1">
    <w:name w:val="heading 1"/>
    <w:basedOn w:val="Normal"/>
    <w:next w:val="Normal"/>
    <w:link w:val="Heading1Char"/>
    <w:uiPriority w:val="9"/>
    <w:qFormat/>
    <w:rsid w:val="00207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029"/>
    <w:rPr>
      <w:rFonts w:eastAsiaTheme="majorEastAsia" w:cstheme="majorBidi"/>
      <w:color w:val="272727" w:themeColor="text1" w:themeTint="D8"/>
    </w:rPr>
  </w:style>
  <w:style w:type="paragraph" w:styleId="Title">
    <w:name w:val="Title"/>
    <w:basedOn w:val="Normal"/>
    <w:next w:val="Normal"/>
    <w:link w:val="TitleChar"/>
    <w:uiPriority w:val="10"/>
    <w:qFormat/>
    <w:rsid w:val="00207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029"/>
    <w:pPr>
      <w:spacing w:before="160"/>
      <w:jc w:val="center"/>
    </w:pPr>
    <w:rPr>
      <w:i/>
      <w:iCs/>
      <w:color w:val="404040" w:themeColor="text1" w:themeTint="BF"/>
    </w:rPr>
  </w:style>
  <w:style w:type="character" w:customStyle="1" w:styleId="QuoteChar">
    <w:name w:val="Quote Char"/>
    <w:basedOn w:val="DefaultParagraphFont"/>
    <w:link w:val="Quote"/>
    <w:uiPriority w:val="29"/>
    <w:rsid w:val="00207029"/>
    <w:rPr>
      <w:i/>
      <w:iCs/>
      <w:color w:val="404040" w:themeColor="text1" w:themeTint="BF"/>
    </w:rPr>
  </w:style>
  <w:style w:type="paragraph" w:styleId="ListParagraph">
    <w:name w:val="List Paragraph"/>
    <w:basedOn w:val="Normal"/>
    <w:uiPriority w:val="34"/>
    <w:qFormat/>
    <w:rsid w:val="00207029"/>
    <w:pPr>
      <w:ind w:left="720"/>
      <w:contextualSpacing/>
    </w:pPr>
  </w:style>
  <w:style w:type="character" w:styleId="IntenseEmphasis">
    <w:name w:val="Intense Emphasis"/>
    <w:basedOn w:val="DefaultParagraphFont"/>
    <w:uiPriority w:val="21"/>
    <w:qFormat/>
    <w:rsid w:val="00207029"/>
    <w:rPr>
      <w:i/>
      <w:iCs/>
      <w:color w:val="0F4761" w:themeColor="accent1" w:themeShade="BF"/>
    </w:rPr>
  </w:style>
  <w:style w:type="paragraph" w:styleId="IntenseQuote">
    <w:name w:val="Intense Quote"/>
    <w:basedOn w:val="Normal"/>
    <w:next w:val="Normal"/>
    <w:link w:val="IntenseQuoteChar"/>
    <w:uiPriority w:val="30"/>
    <w:qFormat/>
    <w:rsid w:val="00207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029"/>
    <w:rPr>
      <w:i/>
      <w:iCs/>
      <w:color w:val="0F4761" w:themeColor="accent1" w:themeShade="BF"/>
    </w:rPr>
  </w:style>
  <w:style w:type="character" w:styleId="IntenseReference">
    <w:name w:val="Intense Reference"/>
    <w:basedOn w:val="DefaultParagraphFont"/>
    <w:uiPriority w:val="32"/>
    <w:qFormat/>
    <w:rsid w:val="00207029"/>
    <w:rPr>
      <w:b/>
      <w:bCs/>
      <w:smallCaps/>
      <w:color w:val="0F4761" w:themeColor="accent1" w:themeShade="BF"/>
      <w:spacing w:val="5"/>
    </w:rPr>
  </w:style>
  <w:style w:type="paragraph" w:customStyle="1" w:styleId="ContactInfo">
    <w:name w:val="Contact Info"/>
    <w:basedOn w:val="Normal"/>
    <w:uiPriority w:val="4"/>
    <w:qFormat/>
    <w:rsid w:val="00207029"/>
    <w:pPr>
      <w:spacing w:after="0" w:line="264" w:lineRule="auto"/>
      <w:jc w:val="center"/>
    </w:pPr>
    <w:rPr>
      <w:color w:val="595959" w:themeColor="text1" w:themeTint="A6"/>
      <w:lang w:val="en-US"/>
    </w:rPr>
  </w:style>
  <w:style w:type="character" w:styleId="Hyperlink">
    <w:name w:val="Hyperlink"/>
    <w:basedOn w:val="DefaultParagraphFont"/>
    <w:uiPriority w:val="99"/>
    <w:unhideWhenUsed/>
    <w:rsid w:val="00207029"/>
    <w:rPr>
      <w:color w:val="0000FF"/>
      <w:u w:val="single"/>
    </w:rPr>
  </w:style>
  <w:style w:type="character" w:styleId="Emphasis">
    <w:name w:val="Emphasis"/>
    <w:basedOn w:val="DefaultParagraphFont"/>
    <w:uiPriority w:val="20"/>
    <w:qFormat/>
    <w:rsid w:val="00207029"/>
    <w:rPr>
      <w:i/>
      <w:iCs/>
    </w:rPr>
  </w:style>
  <w:style w:type="character" w:customStyle="1" w:styleId="truncatedauthor">
    <w:name w:val="truncatedauthor"/>
    <w:basedOn w:val="DefaultParagraphFont"/>
    <w:rsid w:val="00207029"/>
  </w:style>
  <w:style w:type="character" w:customStyle="1" w:styleId="jnlarticle">
    <w:name w:val="jnlarticle"/>
    <w:basedOn w:val="DefaultParagraphFont"/>
    <w:rsid w:val="00207029"/>
  </w:style>
  <w:style w:type="character" w:styleId="Strong">
    <w:name w:val="Strong"/>
    <w:basedOn w:val="DefaultParagraphFont"/>
    <w:uiPriority w:val="22"/>
    <w:qFormat/>
    <w:rsid w:val="00207029"/>
    <w:rPr>
      <w:b/>
      <w:bCs/>
    </w:rPr>
  </w:style>
  <w:style w:type="character" w:customStyle="1" w:styleId="mixed-citation">
    <w:name w:val="mixed-citation"/>
    <w:basedOn w:val="DefaultParagraphFont"/>
    <w:rsid w:val="00207029"/>
  </w:style>
  <w:style w:type="character" w:customStyle="1" w:styleId="ref-title">
    <w:name w:val="ref-title"/>
    <w:basedOn w:val="DefaultParagraphFont"/>
    <w:rsid w:val="00207029"/>
  </w:style>
  <w:style w:type="character" w:customStyle="1" w:styleId="ref-journal">
    <w:name w:val="ref-journal"/>
    <w:basedOn w:val="DefaultParagraphFont"/>
    <w:rsid w:val="00207029"/>
  </w:style>
  <w:style w:type="character" w:customStyle="1" w:styleId="ref-vol">
    <w:name w:val="ref-vol"/>
    <w:basedOn w:val="DefaultParagraphFont"/>
    <w:rsid w:val="00207029"/>
  </w:style>
  <w:style w:type="character" w:styleId="UnresolvedMention">
    <w:name w:val="Unresolved Mention"/>
    <w:basedOn w:val="DefaultParagraphFont"/>
    <w:uiPriority w:val="99"/>
    <w:semiHidden/>
    <w:unhideWhenUsed/>
    <w:rsid w:val="00207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14</Pages>
  <Words>5810</Words>
  <Characters>33123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Brown</dc:creator>
  <cp:keywords/>
  <dc:description/>
  <cp:lastModifiedBy>Alexandra Brown</cp:lastModifiedBy>
  <cp:revision>4</cp:revision>
  <cp:lastPrinted>2025-08-18T09:36:00Z</cp:lastPrinted>
  <dcterms:created xsi:type="dcterms:W3CDTF">2025-08-15T14:46:00Z</dcterms:created>
  <dcterms:modified xsi:type="dcterms:W3CDTF">2025-08-18T10:41:00Z</dcterms:modified>
</cp:coreProperties>
</file>