
<file path=[Content_Types].xml><?xml version="1.0" encoding="utf-8"?>
<Types xmlns="http://schemas.openxmlformats.org/package/2006/content-types">
  <Default Extension="jpeg" ContentType="image/jpe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44BC07E" w14:textId="27CA5E86" w:rsidR="00D01B37" w:rsidRPr="00A05EE8" w:rsidRDefault="00D01B37" w:rsidP="00A05EE8">
      <w:pPr>
        <w:jc w:val="center"/>
        <w:rPr>
          <w:rFonts w:ascii="Arial" w:hAnsi="Arial" w:cs="Arial"/>
          <w:b/>
          <w:bCs/>
          <w:sz w:val="32"/>
          <w:szCs w:val="32"/>
        </w:rPr>
      </w:pPr>
      <w:r w:rsidRPr="00A05EE8">
        <w:rPr>
          <w:rFonts w:ascii="Arial" w:hAnsi="Arial" w:cs="Arial"/>
          <w:b/>
          <w:bCs/>
          <w:sz w:val="32"/>
          <w:szCs w:val="32"/>
        </w:rPr>
        <w:t xml:space="preserve">Component 1: </w:t>
      </w:r>
      <w:r w:rsidR="00BD65C1" w:rsidRPr="00BD65C1">
        <w:rPr>
          <w:rFonts w:ascii="Arial" w:hAnsi="Arial" w:cs="Arial"/>
          <w:b/>
          <w:bCs/>
          <w:sz w:val="32"/>
          <w:szCs w:val="32"/>
        </w:rPr>
        <w:t>Coursework: Written Report</w:t>
      </w:r>
    </w:p>
    <w:p w14:paraId="49247DB6" w14:textId="77777777" w:rsidR="00D01B37" w:rsidRPr="00A05EE8" w:rsidRDefault="00D01B37" w:rsidP="00A05EE8">
      <w:pPr>
        <w:jc w:val="center"/>
        <w:rPr>
          <w:rFonts w:ascii="Arial" w:hAnsi="Arial" w:cs="Arial"/>
          <w:b/>
          <w:bCs/>
          <w:sz w:val="32"/>
          <w:szCs w:val="32"/>
        </w:rPr>
      </w:pPr>
      <w:r w:rsidRPr="00A05EE8">
        <w:rPr>
          <w:rFonts w:ascii="Arial" w:hAnsi="Arial" w:cs="Arial"/>
          <w:b/>
          <w:bCs/>
          <w:sz w:val="32"/>
          <w:szCs w:val="32"/>
        </w:rPr>
        <w:t>Student Name: Radu Acris</w:t>
      </w:r>
    </w:p>
    <w:p w14:paraId="17F78417" w14:textId="77777777" w:rsidR="00D01B37" w:rsidRPr="00A05EE8" w:rsidRDefault="00D01B37" w:rsidP="00A05EE8">
      <w:pPr>
        <w:jc w:val="center"/>
        <w:rPr>
          <w:rFonts w:ascii="Arial" w:hAnsi="Arial" w:cs="Arial"/>
          <w:b/>
          <w:bCs/>
          <w:sz w:val="32"/>
          <w:szCs w:val="32"/>
        </w:rPr>
      </w:pPr>
      <w:r w:rsidRPr="00A05EE8">
        <w:rPr>
          <w:rFonts w:ascii="Arial" w:hAnsi="Arial" w:cs="Arial"/>
          <w:b/>
          <w:bCs/>
          <w:sz w:val="32"/>
          <w:szCs w:val="32"/>
        </w:rPr>
        <w:t>Student Number: 2239621</w:t>
      </w:r>
    </w:p>
    <w:p w14:paraId="0D931916" w14:textId="77777777" w:rsidR="00D01B37" w:rsidRPr="00A05EE8" w:rsidRDefault="00D01B37" w:rsidP="00A05EE8">
      <w:pPr>
        <w:jc w:val="center"/>
        <w:rPr>
          <w:rFonts w:ascii="Arial" w:hAnsi="Arial" w:cs="Arial"/>
          <w:b/>
          <w:bCs/>
          <w:sz w:val="32"/>
          <w:szCs w:val="32"/>
        </w:rPr>
      </w:pPr>
      <w:r w:rsidRPr="00A05EE8">
        <w:rPr>
          <w:rFonts w:ascii="Arial" w:hAnsi="Arial" w:cs="Arial"/>
          <w:b/>
          <w:bCs/>
          <w:sz w:val="32"/>
          <w:szCs w:val="32"/>
        </w:rPr>
        <w:t>Lecturer Name: Masud Ibrahim</w:t>
      </w:r>
    </w:p>
    <w:p w14:paraId="5F361358" w14:textId="5189F44A" w:rsidR="00D01B37" w:rsidRPr="00A05EE8" w:rsidRDefault="00D01B37" w:rsidP="00A05EE8">
      <w:pPr>
        <w:jc w:val="center"/>
        <w:rPr>
          <w:rFonts w:ascii="Arial" w:hAnsi="Arial" w:cs="Arial"/>
          <w:b/>
          <w:bCs/>
          <w:sz w:val="32"/>
          <w:szCs w:val="32"/>
        </w:rPr>
      </w:pPr>
      <w:r w:rsidRPr="00A05EE8">
        <w:rPr>
          <w:rFonts w:ascii="Arial" w:hAnsi="Arial" w:cs="Arial"/>
          <w:b/>
          <w:bCs/>
          <w:sz w:val="32"/>
          <w:szCs w:val="32"/>
        </w:rPr>
        <w:t>BA (Hons) Business Management</w:t>
      </w:r>
    </w:p>
    <w:p w14:paraId="60EBFD6A" w14:textId="77777777" w:rsidR="00DF16A9" w:rsidRDefault="00DF16A9" w:rsidP="00A05EE8">
      <w:pPr>
        <w:jc w:val="center"/>
        <w:rPr>
          <w:rFonts w:ascii="Arial" w:hAnsi="Arial" w:cs="Arial"/>
          <w:b/>
          <w:bCs/>
          <w:sz w:val="32"/>
          <w:szCs w:val="32"/>
        </w:rPr>
      </w:pPr>
      <w:r w:rsidRPr="00DF16A9">
        <w:rPr>
          <w:rFonts w:ascii="Arial" w:hAnsi="Arial" w:cs="Arial"/>
          <w:b/>
          <w:bCs/>
          <w:sz w:val="32"/>
          <w:szCs w:val="32"/>
        </w:rPr>
        <w:t xml:space="preserve">Strategic Management and Sustainability  </w:t>
      </w:r>
    </w:p>
    <w:p w14:paraId="0EAB2DDC" w14:textId="736145D2" w:rsidR="00EF63C7" w:rsidRDefault="00D01B37" w:rsidP="00A05EE8">
      <w:pPr>
        <w:jc w:val="center"/>
        <w:rPr>
          <w:rFonts w:ascii="Arial" w:hAnsi="Arial" w:cs="Arial"/>
          <w:b/>
          <w:bCs/>
          <w:sz w:val="32"/>
          <w:szCs w:val="32"/>
        </w:rPr>
      </w:pPr>
      <w:r w:rsidRPr="00A05EE8">
        <w:rPr>
          <w:rFonts w:ascii="Arial" w:hAnsi="Arial" w:cs="Arial"/>
          <w:b/>
          <w:bCs/>
          <w:sz w:val="32"/>
          <w:szCs w:val="32"/>
        </w:rPr>
        <w:t>LCBB</w:t>
      </w:r>
      <w:r w:rsidR="003F5910">
        <w:rPr>
          <w:rFonts w:ascii="Arial" w:hAnsi="Arial" w:cs="Arial"/>
          <w:b/>
          <w:bCs/>
          <w:sz w:val="32"/>
          <w:szCs w:val="32"/>
        </w:rPr>
        <w:t>6004</w:t>
      </w:r>
    </w:p>
    <w:p w14:paraId="51ADE2DF" w14:textId="77777777" w:rsidR="00CC31AC" w:rsidRDefault="00CC31AC" w:rsidP="00CC31AC">
      <w:pPr>
        <w:rPr>
          <w:rFonts w:ascii="Arial" w:hAnsi="Arial" w:cs="Arial"/>
          <w:b/>
          <w:bCs/>
          <w:sz w:val="32"/>
          <w:szCs w:val="32"/>
        </w:rPr>
      </w:pPr>
    </w:p>
    <w:p w14:paraId="7A2C6F14" w14:textId="7533AD4A" w:rsidR="00CC31AC" w:rsidRDefault="00CC31AC" w:rsidP="00CC31AC">
      <w:pPr>
        <w:tabs>
          <w:tab w:val="left" w:pos="3590"/>
        </w:tabs>
        <w:rPr>
          <w:rFonts w:ascii="Arial" w:hAnsi="Arial" w:cs="Arial"/>
          <w:sz w:val="32"/>
          <w:szCs w:val="32"/>
        </w:rPr>
      </w:pPr>
      <w:r>
        <w:rPr>
          <w:rFonts w:ascii="Arial" w:hAnsi="Arial" w:cs="Arial"/>
          <w:sz w:val="32"/>
          <w:szCs w:val="32"/>
        </w:rPr>
        <w:tab/>
      </w:r>
    </w:p>
    <w:p w14:paraId="5A8BE392" w14:textId="77777777" w:rsidR="00CC31AC" w:rsidRDefault="00CC31AC">
      <w:pPr>
        <w:rPr>
          <w:rFonts w:ascii="Arial" w:hAnsi="Arial" w:cs="Arial"/>
          <w:sz w:val="32"/>
          <w:szCs w:val="32"/>
        </w:rPr>
      </w:pPr>
      <w:r>
        <w:rPr>
          <w:rFonts w:ascii="Arial" w:hAnsi="Arial" w:cs="Arial"/>
          <w:sz w:val="32"/>
          <w:szCs w:val="32"/>
        </w:rPr>
        <w:br w:type="page"/>
      </w:r>
    </w:p>
    <w:sdt>
      <w:sdtPr>
        <w:rPr>
          <w:rFonts w:asciiTheme="minorHAnsi" w:eastAsiaTheme="minorHAnsi" w:hAnsiTheme="minorHAnsi" w:cstheme="minorBidi"/>
          <w:color w:val="auto"/>
          <w:kern w:val="2"/>
          <w:sz w:val="24"/>
          <w:szCs w:val="24"/>
          <w:lang w:val="en-GB"/>
          <w14:ligatures w14:val="standardContextual"/>
        </w:rPr>
        <w:id w:val="-380478879"/>
        <w:docPartObj>
          <w:docPartGallery w:val="Table of Contents"/>
          <w:docPartUnique/>
        </w:docPartObj>
      </w:sdtPr>
      <w:sdtEndPr>
        <w:rPr>
          <w:b/>
          <w:bCs/>
          <w:noProof/>
        </w:rPr>
      </w:sdtEndPr>
      <w:sdtContent>
        <w:p w14:paraId="3184D08D" w14:textId="41E12087" w:rsidR="009B2599" w:rsidRPr="009B2599" w:rsidRDefault="009B2599">
          <w:pPr>
            <w:pStyle w:val="TOCHeading"/>
            <w:rPr>
              <w:rFonts w:ascii="Arial" w:hAnsi="Arial" w:cs="Arial"/>
              <w:b/>
              <w:bCs/>
              <w:color w:val="000000" w:themeColor="text1"/>
              <w:sz w:val="28"/>
              <w:szCs w:val="28"/>
            </w:rPr>
          </w:pPr>
          <w:r w:rsidRPr="009B2599">
            <w:rPr>
              <w:rFonts w:ascii="Arial" w:hAnsi="Arial" w:cs="Arial"/>
              <w:b/>
              <w:bCs/>
              <w:color w:val="000000" w:themeColor="text1"/>
              <w:sz w:val="28"/>
              <w:szCs w:val="28"/>
            </w:rPr>
            <w:t>Table of Contents</w:t>
          </w:r>
        </w:p>
        <w:p w14:paraId="4C1BC79D" w14:textId="3582BF3F" w:rsidR="00652A95" w:rsidRDefault="009B2599">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211877785" w:history="1">
            <w:r w:rsidR="00652A95" w:rsidRPr="004F6628">
              <w:rPr>
                <w:rStyle w:val="Hyperlink"/>
                <w:rFonts w:ascii="Arial" w:hAnsi="Arial" w:cs="Arial"/>
                <w:b/>
                <w:bCs/>
                <w:noProof/>
              </w:rPr>
              <w:t>1.Introduction.</w:t>
            </w:r>
            <w:r w:rsidR="00652A95">
              <w:rPr>
                <w:noProof/>
                <w:webHidden/>
              </w:rPr>
              <w:tab/>
            </w:r>
            <w:r w:rsidR="00652A95">
              <w:rPr>
                <w:noProof/>
                <w:webHidden/>
              </w:rPr>
              <w:fldChar w:fldCharType="begin"/>
            </w:r>
            <w:r w:rsidR="00652A95">
              <w:rPr>
                <w:noProof/>
                <w:webHidden/>
              </w:rPr>
              <w:instrText xml:space="preserve"> PAGEREF _Toc211877785 \h </w:instrText>
            </w:r>
            <w:r w:rsidR="00652A95">
              <w:rPr>
                <w:noProof/>
                <w:webHidden/>
              </w:rPr>
            </w:r>
            <w:r w:rsidR="00652A95">
              <w:rPr>
                <w:noProof/>
                <w:webHidden/>
              </w:rPr>
              <w:fldChar w:fldCharType="separate"/>
            </w:r>
            <w:r w:rsidR="00652A95">
              <w:rPr>
                <w:noProof/>
                <w:webHidden/>
              </w:rPr>
              <w:t>4</w:t>
            </w:r>
            <w:r w:rsidR="00652A95">
              <w:rPr>
                <w:noProof/>
                <w:webHidden/>
              </w:rPr>
              <w:fldChar w:fldCharType="end"/>
            </w:r>
          </w:hyperlink>
        </w:p>
        <w:p w14:paraId="60C5A97A" w14:textId="4959533D" w:rsidR="00652A95" w:rsidRDefault="00652A95">
          <w:pPr>
            <w:pStyle w:val="TOC1"/>
            <w:tabs>
              <w:tab w:val="right" w:leader="dot" w:pos="9016"/>
            </w:tabs>
            <w:rPr>
              <w:rFonts w:eastAsiaTheme="minorEastAsia"/>
              <w:noProof/>
              <w:lang w:eastAsia="en-GB"/>
            </w:rPr>
          </w:pPr>
          <w:hyperlink w:anchor="_Toc211877786" w:history="1">
            <w:r w:rsidRPr="004F6628">
              <w:rPr>
                <w:rStyle w:val="Hyperlink"/>
                <w:rFonts w:ascii="Arial" w:hAnsi="Arial" w:cs="Arial"/>
                <w:b/>
                <w:bCs/>
                <w:noProof/>
              </w:rPr>
              <w:t>2.</w:t>
            </w:r>
            <w:r w:rsidRPr="004F6628">
              <w:rPr>
                <w:rStyle w:val="Hyperlink"/>
                <w:noProof/>
              </w:rPr>
              <w:t xml:space="preserve"> </w:t>
            </w:r>
            <w:r w:rsidRPr="004F6628">
              <w:rPr>
                <w:rStyle w:val="Hyperlink"/>
                <w:rFonts w:ascii="Arial" w:hAnsi="Arial" w:cs="Arial"/>
                <w:b/>
                <w:bCs/>
                <w:noProof/>
              </w:rPr>
              <w:t>External Environment Analysis (PESTEL Framework).</w:t>
            </w:r>
            <w:r>
              <w:rPr>
                <w:noProof/>
                <w:webHidden/>
              </w:rPr>
              <w:tab/>
            </w:r>
            <w:r>
              <w:rPr>
                <w:noProof/>
                <w:webHidden/>
              </w:rPr>
              <w:fldChar w:fldCharType="begin"/>
            </w:r>
            <w:r>
              <w:rPr>
                <w:noProof/>
                <w:webHidden/>
              </w:rPr>
              <w:instrText xml:space="preserve"> PAGEREF _Toc211877786 \h </w:instrText>
            </w:r>
            <w:r>
              <w:rPr>
                <w:noProof/>
                <w:webHidden/>
              </w:rPr>
            </w:r>
            <w:r>
              <w:rPr>
                <w:noProof/>
                <w:webHidden/>
              </w:rPr>
              <w:fldChar w:fldCharType="separate"/>
            </w:r>
            <w:r>
              <w:rPr>
                <w:noProof/>
                <w:webHidden/>
              </w:rPr>
              <w:t>5</w:t>
            </w:r>
            <w:r>
              <w:rPr>
                <w:noProof/>
                <w:webHidden/>
              </w:rPr>
              <w:fldChar w:fldCharType="end"/>
            </w:r>
          </w:hyperlink>
        </w:p>
        <w:p w14:paraId="1A038630" w14:textId="2C667FD4" w:rsidR="00652A95" w:rsidRDefault="00652A95">
          <w:pPr>
            <w:pStyle w:val="TOC2"/>
            <w:tabs>
              <w:tab w:val="right" w:leader="dot" w:pos="9016"/>
            </w:tabs>
            <w:rPr>
              <w:rFonts w:eastAsiaTheme="minorEastAsia"/>
              <w:noProof/>
              <w:lang w:eastAsia="en-GB"/>
            </w:rPr>
          </w:pPr>
          <w:hyperlink w:anchor="_Toc211877787" w:history="1">
            <w:r w:rsidRPr="004F6628">
              <w:rPr>
                <w:rStyle w:val="Hyperlink"/>
                <w:b/>
                <w:bCs/>
                <w:i/>
                <w:iCs/>
                <w:noProof/>
              </w:rPr>
              <w:t>2.1. Political Factors:</w:t>
            </w:r>
            <w:r>
              <w:rPr>
                <w:noProof/>
                <w:webHidden/>
              </w:rPr>
              <w:tab/>
            </w:r>
            <w:r>
              <w:rPr>
                <w:noProof/>
                <w:webHidden/>
              </w:rPr>
              <w:fldChar w:fldCharType="begin"/>
            </w:r>
            <w:r>
              <w:rPr>
                <w:noProof/>
                <w:webHidden/>
              </w:rPr>
              <w:instrText xml:space="preserve"> PAGEREF _Toc211877787 \h </w:instrText>
            </w:r>
            <w:r>
              <w:rPr>
                <w:noProof/>
                <w:webHidden/>
              </w:rPr>
            </w:r>
            <w:r>
              <w:rPr>
                <w:noProof/>
                <w:webHidden/>
              </w:rPr>
              <w:fldChar w:fldCharType="separate"/>
            </w:r>
            <w:r>
              <w:rPr>
                <w:noProof/>
                <w:webHidden/>
              </w:rPr>
              <w:t>5</w:t>
            </w:r>
            <w:r>
              <w:rPr>
                <w:noProof/>
                <w:webHidden/>
              </w:rPr>
              <w:fldChar w:fldCharType="end"/>
            </w:r>
          </w:hyperlink>
        </w:p>
        <w:p w14:paraId="143FA340" w14:textId="60EBF010" w:rsidR="00652A95" w:rsidRDefault="00652A95">
          <w:pPr>
            <w:pStyle w:val="TOC2"/>
            <w:tabs>
              <w:tab w:val="right" w:leader="dot" w:pos="9016"/>
            </w:tabs>
            <w:rPr>
              <w:rFonts w:eastAsiaTheme="minorEastAsia"/>
              <w:noProof/>
              <w:lang w:eastAsia="en-GB"/>
            </w:rPr>
          </w:pPr>
          <w:hyperlink w:anchor="_Toc211877788" w:history="1">
            <w:r w:rsidRPr="004F6628">
              <w:rPr>
                <w:rStyle w:val="Hyperlink"/>
                <w:rFonts w:cs="Arial"/>
                <w:b/>
                <w:bCs/>
                <w:i/>
                <w:iCs/>
                <w:noProof/>
              </w:rPr>
              <w:t>2.2. Economic Factors:</w:t>
            </w:r>
            <w:r>
              <w:rPr>
                <w:noProof/>
                <w:webHidden/>
              </w:rPr>
              <w:tab/>
            </w:r>
            <w:r>
              <w:rPr>
                <w:noProof/>
                <w:webHidden/>
              </w:rPr>
              <w:fldChar w:fldCharType="begin"/>
            </w:r>
            <w:r>
              <w:rPr>
                <w:noProof/>
                <w:webHidden/>
              </w:rPr>
              <w:instrText xml:space="preserve"> PAGEREF _Toc211877788 \h </w:instrText>
            </w:r>
            <w:r>
              <w:rPr>
                <w:noProof/>
                <w:webHidden/>
              </w:rPr>
            </w:r>
            <w:r>
              <w:rPr>
                <w:noProof/>
                <w:webHidden/>
              </w:rPr>
              <w:fldChar w:fldCharType="separate"/>
            </w:r>
            <w:r>
              <w:rPr>
                <w:noProof/>
                <w:webHidden/>
              </w:rPr>
              <w:t>5</w:t>
            </w:r>
            <w:r>
              <w:rPr>
                <w:noProof/>
                <w:webHidden/>
              </w:rPr>
              <w:fldChar w:fldCharType="end"/>
            </w:r>
          </w:hyperlink>
        </w:p>
        <w:p w14:paraId="6866907C" w14:textId="0EA6D241" w:rsidR="00652A95" w:rsidRDefault="00652A95">
          <w:pPr>
            <w:pStyle w:val="TOC2"/>
            <w:tabs>
              <w:tab w:val="right" w:leader="dot" w:pos="9016"/>
            </w:tabs>
            <w:rPr>
              <w:rFonts w:eastAsiaTheme="minorEastAsia"/>
              <w:noProof/>
              <w:lang w:eastAsia="en-GB"/>
            </w:rPr>
          </w:pPr>
          <w:hyperlink w:anchor="_Toc211877789" w:history="1">
            <w:r w:rsidRPr="004F6628">
              <w:rPr>
                <w:rStyle w:val="Hyperlink"/>
                <w:b/>
                <w:bCs/>
                <w:i/>
                <w:iCs/>
                <w:noProof/>
              </w:rPr>
              <w:t>2.3. Social Factors:</w:t>
            </w:r>
            <w:r>
              <w:rPr>
                <w:noProof/>
                <w:webHidden/>
              </w:rPr>
              <w:tab/>
            </w:r>
            <w:r>
              <w:rPr>
                <w:noProof/>
                <w:webHidden/>
              </w:rPr>
              <w:fldChar w:fldCharType="begin"/>
            </w:r>
            <w:r>
              <w:rPr>
                <w:noProof/>
                <w:webHidden/>
              </w:rPr>
              <w:instrText xml:space="preserve"> PAGEREF _Toc211877789 \h </w:instrText>
            </w:r>
            <w:r>
              <w:rPr>
                <w:noProof/>
                <w:webHidden/>
              </w:rPr>
            </w:r>
            <w:r>
              <w:rPr>
                <w:noProof/>
                <w:webHidden/>
              </w:rPr>
              <w:fldChar w:fldCharType="separate"/>
            </w:r>
            <w:r>
              <w:rPr>
                <w:noProof/>
                <w:webHidden/>
              </w:rPr>
              <w:t>6</w:t>
            </w:r>
            <w:r>
              <w:rPr>
                <w:noProof/>
                <w:webHidden/>
              </w:rPr>
              <w:fldChar w:fldCharType="end"/>
            </w:r>
          </w:hyperlink>
        </w:p>
        <w:p w14:paraId="41C1D4C4" w14:textId="1FDCA933" w:rsidR="00652A95" w:rsidRDefault="00652A95">
          <w:pPr>
            <w:pStyle w:val="TOC2"/>
            <w:tabs>
              <w:tab w:val="right" w:leader="dot" w:pos="9016"/>
            </w:tabs>
            <w:rPr>
              <w:rFonts w:eastAsiaTheme="minorEastAsia"/>
              <w:noProof/>
              <w:lang w:eastAsia="en-GB"/>
            </w:rPr>
          </w:pPr>
          <w:hyperlink w:anchor="_Toc211877790" w:history="1">
            <w:r w:rsidRPr="004F6628">
              <w:rPr>
                <w:rStyle w:val="Hyperlink"/>
                <w:b/>
                <w:bCs/>
                <w:i/>
                <w:iCs/>
                <w:noProof/>
              </w:rPr>
              <w:t>2.4. Technological Factors:</w:t>
            </w:r>
            <w:r>
              <w:rPr>
                <w:noProof/>
                <w:webHidden/>
              </w:rPr>
              <w:tab/>
            </w:r>
            <w:r>
              <w:rPr>
                <w:noProof/>
                <w:webHidden/>
              </w:rPr>
              <w:fldChar w:fldCharType="begin"/>
            </w:r>
            <w:r>
              <w:rPr>
                <w:noProof/>
                <w:webHidden/>
              </w:rPr>
              <w:instrText xml:space="preserve"> PAGEREF _Toc211877790 \h </w:instrText>
            </w:r>
            <w:r>
              <w:rPr>
                <w:noProof/>
                <w:webHidden/>
              </w:rPr>
            </w:r>
            <w:r>
              <w:rPr>
                <w:noProof/>
                <w:webHidden/>
              </w:rPr>
              <w:fldChar w:fldCharType="separate"/>
            </w:r>
            <w:r>
              <w:rPr>
                <w:noProof/>
                <w:webHidden/>
              </w:rPr>
              <w:t>6</w:t>
            </w:r>
            <w:r>
              <w:rPr>
                <w:noProof/>
                <w:webHidden/>
              </w:rPr>
              <w:fldChar w:fldCharType="end"/>
            </w:r>
          </w:hyperlink>
        </w:p>
        <w:p w14:paraId="440C3660" w14:textId="7F43AA75" w:rsidR="00652A95" w:rsidRDefault="00652A95">
          <w:pPr>
            <w:pStyle w:val="TOC2"/>
            <w:tabs>
              <w:tab w:val="right" w:leader="dot" w:pos="9016"/>
            </w:tabs>
            <w:rPr>
              <w:rFonts w:eastAsiaTheme="minorEastAsia"/>
              <w:noProof/>
              <w:lang w:eastAsia="en-GB"/>
            </w:rPr>
          </w:pPr>
          <w:hyperlink w:anchor="_Toc211877791" w:history="1">
            <w:r w:rsidRPr="004F6628">
              <w:rPr>
                <w:rStyle w:val="Hyperlink"/>
                <w:b/>
                <w:bCs/>
                <w:i/>
                <w:iCs/>
                <w:noProof/>
              </w:rPr>
              <w:t>2.5. Environmental Factors:</w:t>
            </w:r>
            <w:r>
              <w:rPr>
                <w:noProof/>
                <w:webHidden/>
              </w:rPr>
              <w:tab/>
            </w:r>
            <w:r>
              <w:rPr>
                <w:noProof/>
                <w:webHidden/>
              </w:rPr>
              <w:fldChar w:fldCharType="begin"/>
            </w:r>
            <w:r>
              <w:rPr>
                <w:noProof/>
                <w:webHidden/>
              </w:rPr>
              <w:instrText xml:space="preserve"> PAGEREF _Toc211877791 \h </w:instrText>
            </w:r>
            <w:r>
              <w:rPr>
                <w:noProof/>
                <w:webHidden/>
              </w:rPr>
            </w:r>
            <w:r>
              <w:rPr>
                <w:noProof/>
                <w:webHidden/>
              </w:rPr>
              <w:fldChar w:fldCharType="separate"/>
            </w:r>
            <w:r>
              <w:rPr>
                <w:noProof/>
                <w:webHidden/>
              </w:rPr>
              <w:t>6</w:t>
            </w:r>
            <w:r>
              <w:rPr>
                <w:noProof/>
                <w:webHidden/>
              </w:rPr>
              <w:fldChar w:fldCharType="end"/>
            </w:r>
          </w:hyperlink>
        </w:p>
        <w:p w14:paraId="238ECC2E" w14:textId="3217EA43" w:rsidR="00652A95" w:rsidRDefault="00652A95">
          <w:pPr>
            <w:pStyle w:val="TOC2"/>
            <w:tabs>
              <w:tab w:val="right" w:leader="dot" w:pos="9016"/>
            </w:tabs>
            <w:rPr>
              <w:rFonts w:eastAsiaTheme="minorEastAsia"/>
              <w:noProof/>
              <w:lang w:eastAsia="en-GB"/>
            </w:rPr>
          </w:pPr>
          <w:hyperlink w:anchor="_Toc211877792" w:history="1">
            <w:r w:rsidRPr="004F6628">
              <w:rPr>
                <w:rStyle w:val="Hyperlink"/>
                <w:b/>
                <w:bCs/>
                <w:i/>
                <w:iCs/>
                <w:noProof/>
              </w:rPr>
              <w:t>2.6. Legal Factors:</w:t>
            </w:r>
            <w:r>
              <w:rPr>
                <w:noProof/>
                <w:webHidden/>
              </w:rPr>
              <w:tab/>
            </w:r>
            <w:r>
              <w:rPr>
                <w:noProof/>
                <w:webHidden/>
              </w:rPr>
              <w:fldChar w:fldCharType="begin"/>
            </w:r>
            <w:r>
              <w:rPr>
                <w:noProof/>
                <w:webHidden/>
              </w:rPr>
              <w:instrText xml:space="preserve"> PAGEREF _Toc211877792 \h </w:instrText>
            </w:r>
            <w:r>
              <w:rPr>
                <w:noProof/>
                <w:webHidden/>
              </w:rPr>
            </w:r>
            <w:r>
              <w:rPr>
                <w:noProof/>
                <w:webHidden/>
              </w:rPr>
              <w:fldChar w:fldCharType="separate"/>
            </w:r>
            <w:r>
              <w:rPr>
                <w:noProof/>
                <w:webHidden/>
              </w:rPr>
              <w:t>7</w:t>
            </w:r>
            <w:r>
              <w:rPr>
                <w:noProof/>
                <w:webHidden/>
              </w:rPr>
              <w:fldChar w:fldCharType="end"/>
            </w:r>
          </w:hyperlink>
        </w:p>
        <w:p w14:paraId="383BC93E" w14:textId="6B355F56" w:rsidR="00652A95" w:rsidRDefault="00652A95">
          <w:pPr>
            <w:pStyle w:val="TOC1"/>
            <w:tabs>
              <w:tab w:val="right" w:leader="dot" w:pos="9016"/>
            </w:tabs>
            <w:rPr>
              <w:rFonts w:eastAsiaTheme="minorEastAsia"/>
              <w:noProof/>
              <w:lang w:eastAsia="en-GB"/>
            </w:rPr>
          </w:pPr>
          <w:hyperlink w:anchor="_Toc211877793" w:history="1">
            <w:r w:rsidRPr="004F6628">
              <w:rPr>
                <w:rStyle w:val="Hyperlink"/>
                <w:rFonts w:ascii="Arial" w:hAnsi="Arial" w:cs="Arial"/>
                <w:b/>
                <w:bCs/>
                <w:noProof/>
              </w:rPr>
              <w:t>3. Industry Environment Analysis (Porter’s Five Forces).</w:t>
            </w:r>
            <w:r>
              <w:rPr>
                <w:noProof/>
                <w:webHidden/>
              </w:rPr>
              <w:tab/>
            </w:r>
            <w:r>
              <w:rPr>
                <w:noProof/>
                <w:webHidden/>
              </w:rPr>
              <w:fldChar w:fldCharType="begin"/>
            </w:r>
            <w:r>
              <w:rPr>
                <w:noProof/>
                <w:webHidden/>
              </w:rPr>
              <w:instrText xml:space="preserve"> PAGEREF _Toc211877793 \h </w:instrText>
            </w:r>
            <w:r>
              <w:rPr>
                <w:noProof/>
                <w:webHidden/>
              </w:rPr>
            </w:r>
            <w:r>
              <w:rPr>
                <w:noProof/>
                <w:webHidden/>
              </w:rPr>
              <w:fldChar w:fldCharType="separate"/>
            </w:r>
            <w:r>
              <w:rPr>
                <w:noProof/>
                <w:webHidden/>
              </w:rPr>
              <w:t>7</w:t>
            </w:r>
            <w:r>
              <w:rPr>
                <w:noProof/>
                <w:webHidden/>
              </w:rPr>
              <w:fldChar w:fldCharType="end"/>
            </w:r>
          </w:hyperlink>
        </w:p>
        <w:p w14:paraId="68A422C4" w14:textId="3F19E268" w:rsidR="00652A95" w:rsidRDefault="00652A95">
          <w:pPr>
            <w:pStyle w:val="TOC1"/>
            <w:tabs>
              <w:tab w:val="right" w:leader="dot" w:pos="9016"/>
            </w:tabs>
            <w:rPr>
              <w:rFonts w:eastAsiaTheme="minorEastAsia"/>
              <w:noProof/>
              <w:lang w:eastAsia="en-GB"/>
            </w:rPr>
          </w:pPr>
          <w:hyperlink w:anchor="_Toc211877794" w:history="1">
            <w:r w:rsidRPr="004F6628">
              <w:rPr>
                <w:rStyle w:val="Hyperlink"/>
                <w:rFonts w:ascii="Arial" w:hAnsi="Arial" w:cs="Arial"/>
                <w:b/>
                <w:bCs/>
                <w:noProof/>
                <w:lang w:val="fr-FR"/>
              </w:rPr>
              <w:t>4.</w:t>
            </w:r>
            <w:r w:rsidRPr="004F6628">
              <w:rPr>
                <w:rStyle w:val="Hyperlink"/>
                <w:b/>
                <w:bCs/>
                <w:noProof/>
                <w:lang w:val="fr-FR"/>
              </w:rPr>
              <w:t xml:space="preserve"> </w:t>
            </w:r>
            <w:r w:rsidRPr="004F6628">
              <w:rPr>
                <w:rStyle w:val="Hyperlink"/>
                <w:rFonts w:ascii="Arial" w:hAnsi="Arial" w:cs="Arial"/>
                <w:b/>
                <w:bCs/>
                <w:noProof/>
                <w:lang w:val="fr-FR"/>
              </w:rPr>
              <w:t>Internal Environment Audit: Value Chain Analysis.</w:t>
            </w:r>
            <w:r>
              <w:rPr>
                <w:noProof/>
                <w:webHidden/>
              </w:rPr>
              <w:tab/>
            </w:r>
            <w:r>
              <w:rPr>
                <w:noProof/>
                <w:webHidden/>
              </w:rPr>
              <w:fldChar w:fldCharType="begin"/>
            </w:r>
            <w:r>
              <w:rPr>
                <w:noProof/>
                <w:webHidden/>
              </w:rPr>
              <w:instrText xml:space="preserve"> PAGEREF _Toc211877794 \h </w:instrText>
            </w:r>
            <w:r>
              <w:rPr>
                <w:noProof/>
                <w:webHidden/>
              </w:rPr>
            </w:r>
            <w:r>
              <w:rPr>
                <w:noProof/>
                <w:webHidden/>
              </w:rPr>
              <w:fldChar w:fldCharType="separate"/>
            </w:r>
            <w:r>
              <w:rPr>
                <w:noProof/>
                <w:webHidden/>
              </w:rPr>
              <w:t>8</w:t>
            </w:r>
            <w:r>
              <w:rPr>
                <w:noProof/>
                <w:webHidden/>
              </w:rPr>
              <w:fldChar w:fldCharType="end"/>
            </w:r>
          </w:hyperlink>
        </w:p>
        <w:p w14:paraId="7BD6B1D6" w14:textId="726FE6CF" w:rsidR="00652A95" w:rsidRDefault="00652A95">
          <w:pPr>
            <w:pStyle w:val="TOC2"/>
            <w:tabs>
              <w:tab w:val="right" w:leader="dot" w:pos="9016"/>
            </w:tabs>
            <w:rPr>
              <w:rFonts w:eastAsiaTheme="minorEastAsia"/>
              <w:noProof/>
              <w:lang w:eastAsia="en-GB"/>
            </w:rPr>
          </w:pPr>
          <w:hyperlink w:anchor="_Toc211877795" w:history="1">
            <w:r w:rsidRPr="004F6628">
              <w:rPr>
                <w:rStyle w:val="Hyperlink"/>
                <w:b/>
                <w:bCs/>
                <w:i/>
                <w:iCs/>
                <w:noProof/>
              </w:rPr>
              <w:t>4.1. Primary and support activities:</w:t>
            </w:r>
            <w:r>
              <w:rPr>
                <w:noProof/>
                <w:webHidden/>
              </w:rPr>
              <w:tab/>
            </w:r>
            <w:r>
              <w:rPr>
                <w:noProof/>
                <w:webHidden/>
              </w:rPr>
              <w:fldChar w:fldCharType="begin"/>
            </w:r>
            <w:r>
              <w:rPr>
                <w:noProof/>
                <w:webHidden/>
              </w:rPr>
              <w:instrText xml:space="preserve"> PAGEREF _Toc211877795 \h </w:instrText>
            </w:r>
            <w:r>
              <w:rPr>
                <w:noProof/>
                <w:webHidden/>
              </w:rPr>
            </w:r>
            <w:r>
              <w:rPr>
                <w:noProof/>
                <w:webHidden/>
              </w:rPr>
              <w:fldChar w:fldCharType="separate"/>
            </w:r>
            <w:r>
              <w:rPr>
                <w:noProof/>
                <w:webHidden/>
              </w:rPr>
              <w:t>8</w:t>
            </w:r>
            <w:r>
              <w:rPr>
                <w:noProof/>
                <w:webHidden/>
              </w:rPr>
              <w:fldChar w:fldCharType="end"/>
            </w:r>
          </w:hyperlink>
        </w:p>
        <w:p w14:paraId="76714983" w14:textId="1364E976" w:rsidR="00652A95" w:rsidRDefault="00652A95">
          <w:pPr>
            <w:pStyle w:val="TOC2"/>
            <w:tabs>
              <w:tab w:val="right" w:leader="dot" w:pos="9016"/>
            </w:tabs>
            <w:rPr>
              <w:rFonts w:eastAsiaTheme="minorEastAsia"/>
              <w:noProof/>
              <w:lang w:eastAsia="en-GB"/>
            </w:rPr>
          </w:pPr>
          <w:hyperlink w:anchor="_Toc211877796" w:history="1">
            <w:r w:rsidRPr="004F6628">
              <w:rPr>
                <w:rStyle w:val="Hyperlink"/>
                <w:b/>
                <w:bCs/>
                <w:i/>
                <w:iCs/>
                <w:noProof/>
              </w:rPr>
              <w:t>4.2. Summary of Value Chain Insights:</w:t>
            </w:r>
            <w:r>
              <w:rPr>
                <w:noProof/>
                <w:webHidden/>
              </w:rPr>
              <w:tab/>
            </w:r>
            <w:r>
              <w:rPr>
                <w:noProof/>
                <w:webHidden/>
              </w:rPr>
              <w:fldChar w:fldCharType="begin"/>
            </w:r>
            <w:r>
              <w:rPr>
                <w:noProof/>
                <w:webHidden/>
              </w:rPr>
              <w:instrText xml:space="preserve"> PAGEREF _Toc211877796 \h </w:instrText>
            </w:r>
            <w:r>
              <w:rPr>
                <w:noProof/>
                <w:webHidden/>
              </w:rPr>
            </w:r>
            <w:r>
              <w:rPr>
                <w:noProof/>
                <w:webHidden/>
              </w:rPr>
              <w:fldChar w:fldCharType="separate"/>
            </w:r>
            <w:r>
              <w:rPr>
                <w:noProof/>
                <w:webHidden/>
              </w:rPr>
              <w:t>9</w:t>
            </w:r>
            <w:r>
              <w:rPr>
                <w:noProof/>
                <w:webHidden/>
              </w:rPr>
              <w:fldChar w:fldCharType="end"/>
            </w:r>
          </w:hyperlink>
        </w:p>
        <w:p w14:paraId="731E20A5" w14:textId="0A56DC7A" w:rsidR="00652A95" w:rsidRDefault="00652A95">
          <w:pPr>
            <w:pStyle w:val="TOC1"/>
            <w:tabs>
              <w:tab w:val="right" w:leader="dot" w:pos="9016"/>
            </w:tabs>
            <w:rPr>
              <w:rFonts w:eastAsiaTheme="minorEastAsia"/>
              <w:noProof/>
              <w:lang w:eastAsia="en-GB"/>
            </w:rPr>
          </w:pPr>
          <w:hyperlink w:anchor="_Toc211877797" w:history="1">
            <w:r w:rsidRPr="004F6628">
              <w:rPr>
                <w:rStyle w:val="Hyperlink"/>
                <w:rFonts w:ascii="Arial" w:hAnsi="Arial" w:cs="Arial"/>
                <w:b/>
                <w:bCs/>
                <w:noProof/>
              </w:rPr>
              <w:t>5. Internal Analysis (SWOT Framework).</w:t>
            </w:r>
            <w:r>
              <w:rPr>
                <w:noProof/>
                <w:webHidden/>
              </w:rPr>
              <w:tab/>
            </w:r>
            <w:r>
              <w:rPr>
                <w:noProof/>
                <w:webHidden/>
              </w:rPr>
              <w:fldChar w:fldCharType="begin"/>
            </w:r>
            <w:r>
              <w:rPr>
                <w:noProof/>
                <w:webHidden/>
              </w:rPr>
              <w:instrText xml:space="preserve"> PAGEREF _Toc211877797 \h </w:instrText>
            </w:r>
            <w:r>
              <w:rPr>
                <w:noProof/>
                <w:webHidden/>
              </w:rPr>
            </w:r>
            <w:r>
              <w:rPr>
                <w:noProof/>
                <w:webHidden/>
              </w:rPr>
              <w:fldChar w:fldCharType="separate"/>
            </w:r>
            <w:r>
              <w:rPr>
                <w:noProof/>
                <w:webHidden/>
              </w:rPr>
              <w:t>10</w:t>
            </w:r>
            <w:r>
              <w:rPr>
                <w:noProof/>
                <w:webHidden/>
              </w:rPr>
              <w:fldChar w:fldCharType="end"/>
            </w:r>
          </w:hyperlink>
        </w:p>
        <w:p w14:paraId="65D75618" w14:textId="748649A9" w:rsidR="00652A95" w:rsidRDefault="00652A95">
          <w:pPr>
            <w:pStyle w:val="TOC1"/>
            <w:tabs>
              <w:tab w:val="right" w:leader="dot" w:pos="9016"/>
            </w:tabs>
            <w:rPr>
              <w:rFonts w:eastAsiaTheme="minorEastAsia"/>
              <w:noProof/>
              <w:lang w:eastAsia="en-GB"/>
            </w:rPr>
          </w:pPr>
          <w:hyperlink w:anchor="_Toc211877798" w:history="1">
            <w:r w:rsidRPr="004F6628">
              <w:rPr>
                <w:rStyle w:val="Hyperlink"/>
                <w:rFonts w:ascii="Arial" w:hAnsi="Arial" w:cs="Arial"/>
                <w:b/>
                <w:bCs/>
                <w:noProof/>
              </w:rPr>
              <w:t>6. Strategic Challenges and Strategic Recommendations (Forward-Looking Strategies).</w:t>
            </w:r>
            <w:r>
              <w:rPr>
                <w:noProof/>
                <w:webHidden/>
              </w:rPr>
              <w:tab/>
            </w:r>
            <w:r>
              <w:rPr>
                <w:noProof/>
                <w:webHidden/>
              </w:rPr>
              <w:fldChar w:fldCharType="begin"/>
            </w:r>
            <w:r>
              <w:rPr>
                <w:noProof/>
                <w:webHidden/>
              </w:rPr>
              <w:instrText xml:space="preserve"> PAGEREF _Toc211877798 \h </w:instrText>
            </w:r>
            <w:r>
              <w:rPr>
                <w:noProof/>
                <w:webHidden/>
              </w:rPr>
            </w:r>
            <w:r>
              <w:rPr>
                <w:noProof/>
                <w:webHidden/>
              </w:rPr>
              <w:fldChar w:fldCharType="separate"/>
            </w:r>
            <w:r>
              <w:rPr>
                <w:noProof/>
                <w:webHidden/>
              </w:rPr>
              <w:t>11</w:t>
            </w:r>
            <w:r>
              <w:rPr>
                <w:noProof/>
                <w:webHidden/>
              </w:rPr>
              <w:fldChar w:fldCharType="end"/>
            </w:r>
          </w:hyperlink>
        </w:p>
        <w:p w14:paraId="110ED62D" w14:textId="419F0CC7" w:rsidR="00652A95" w:rsidRDefault="00652A95">
          <w:pPr>
            <w:pStyle w:val="TOC2"/>
            <w:tabs>
              <w:tab w:val="right" w:leader="dot" w:pos="9016"/>
            </w:tabs>
            <w:rPr>
              <w:rFonts w:eastAsiaTheme="minorEastAsia"/>
              <w:noProof/>
              <w:lang w:eastAsia="en-GB"/>
            </w:rPr>
          </w:pPr>
          <w:hyperlink w:anchor="_Toc211877799" w:history="1">
            <w:r w:rsidRPr="004F6628">
              <w:rPr>
                <w:rStyle w:val="Hyperlink"/>
                <w:b/>
                <w:bCs/>
                <w:i/>
                <w:iCs/>
                <w:noProof/>
              </w:rPr>
              <w:t>6.1. Strategic Recommendations:</w:t>
            </w:r>
            <w:r>
              <w:rPr>
                <w:noProof/>
                <w:webHidden/>
              </w:rPr>
              <w:tab/>
            </w:r>
            <w:r>
              <w:rPr>
                <w:noProof/>
                <w:webHidden/>
              </w:rPr>
              <w:fldChar w:fldCharType="begin"/>
            </w:r>
            <w:r>
              <w:rPr>
                <w:noProof/>
                <w:webHidden/>
              </w:rPr>
              <w:instrText xml:space="preserve"> PAGEREF _Toc211877799 \h </w:instrText>
            </w:r>
            <w:r>
              <w:rPr>
                <w:noProof/>
                <w:webHidden/>
              </w:rPr>
            </w:r>
            <w:r>
              <w:rPr>
                <w:noProof/>
                <w:webHidden/>
              </w:rPr>
              <w:fldChar w:fldCharType="separate"/>
            </w:r>
            <w:r>
              <w:rPr>
                <w:noProof/>
                <w:webHidden/>
              </w:rPr>
              <w:t>12</w:t>
            </w:r>
            <w:r>
              <w:rPr>
                <w:noProof/>
                <w:webHidden/>
              </w:rPr>
              <w:fldChar w:fldCharType="end"/>
            </w:r>
          </w:hyperlink>
        </w:p>
        <w:p w14:paraId="013B2EB4" w14:textId="367D5F03" w:rsidR="00652A95" w:rsidRDefault="00652A95">
          <w:pPr>
            <w:pStyle w:val="TOC1"/>
            <w:tabs>
              <w:tab w:val="right" w:leader="dot" w:pos="9016"/>
            </w:tabs>
            <w:rPr>
              <w:rFonts w:eastAsiaTheme="minorEastAsia"/>
              <w:noProof/>
              <w:lang w:eastAsia="en-GB"/>
            </w:rPr>
          </w:pPr>
          <w:hyperlink w:anchor="_Toc211877800" w:history="1">
            <w:r w:rsidRPr="004F6628">
              <w:rPr>
                <w:rStyle w:val="Hyperlink"/>
                <w:rFonts w:ascii="Arial" w:hAnsi="Arial" w:cs="Arial"/>
                <w:b/>
                <w:bCs/>
                <w:noProof/>
              </w:rPr>
              <w:t>7. Conclusion:</w:t>
            </w:r>
            <w:r>
              <w:rPr>
                <w:noProof/>
                <w:webHidden/>
              </w:rPr>
              <w:tab/>
            </w:r>
            <w:r>
              <w:rPr>
                <w:noProof/>
                <w:webHidden/>
              </w:rPr>
              <w:fldChar w:fldCharType="begin"/>
            </w:r>
            <w:r>
              <w:rPr>
                <w:noProof/>
                <w:webHidden/>
              </w:rPr>
              <w:instrText xml:space="preserve"> PAGEREF _Toc211877800 \h </w:instrText>
            </w:r>
            <w:r>
              <w:rPr>
                <w:noProof/>
                <w:webHidden/>
              </w:rPr>
            </w:r>
            <w:r>
              <w:rPr>
                <w:noProof/>
                <w:webHidden/>
              </w:rPr>
              <w:fldChar w:fldCharType="separate"/>
            </w:r>
            <w:r>
              <w:rPr>
                <w:noProof/>
                <w:webHidden/>
              </w:rPr>
              <w:t>13</w:t>
            </w:r>
            <w:r>
              <w:rPr>
                <w:noProof/>
                <w:webHidden/>
              </w:rPr>
              <w:fldChar w:fldCharType="end"/>
            </w:r>
          </w:hyperlink>
        </w:p>
        <w:p w14:paraId="567B6543" w14:textId="22020213" w:rsidR="00652A95" w:rsidRDefault="00652A95">
          <w:pPr>
            <w:pStyle w:val="TOC1"/>
            <w:tabs>
              <w:tab w:val="right" w:leader="dot" w:pos="9016"/>
            </w:tabs>
            <w:rPr>
              <w:rFonts w:eastAsiaTheme="minorEastAsia"/>
              <w:noProof/>
              <w:lang w:eastAsia="en-GB"/>
            </w:rPr>
          </w:pPr>
          <w:hyperlink w:anchor="_Toc211877801" w:history="1">
            <w:r w:rsidRPr="004F6628">
              <w:rPr>
                <w:rStyle w:val="Hyperlink"/>
                <w:rFonts w:ascii="Arial" w:hAnsi="Arial" w:cs="Arial"/>
                <w:b/>
                <w:bCs/>
                <w:noProof/>
              </w:rPr>
              <w:t>8.Bibliography:</w:t>
            </w:r>
            <w:r>
              <w:rPr>
                <w:noProof/>
                <w:webHidden/>
              </w:rPr>
              <w:tab/>
            </w:r>
            <w:r>
              <w:rPr>
                <w:noProof/>
                <w:webHidden/>
              </w:rPr>
              <w:fldChar w:fldCharType="begin"/>
            </w:r>
            <w:r>
              <w:rPr>
                <w:noProof/>
                <w:webHidden/>
              </w:rPr>
              <w:instrText xml:space="preserve"> PAGEREF _Toc211877801 \h </w:instrText>
            </w:r>
            <w:r>
              <w:rPr>
                <w:noProof/>
                <w:webHidden/>
              </w:rPr>
            </w:r>
            <w:r>
              <w:rPr>
                <w:noProof/>
                <w:webHidden/>
              </w:rPr>
              <w:fldChar w:fldCharType="separate"/>
            </w:r>
            <w:r>
              <w:rPr>
                <w:noProof/>
                <w:webHidden/>
              </w:rPr>
              <w:t>14</w:t>
            </w:r>
            <w:r>
              <w:rPr>
                <w:noProof/>
                <w:webHidden/>
              </w:rPr>
              <w:fldChar w:fldCharType="end"/>
            </w:r>
          </w:hyperlink>
        </w:p>
        <w:p w14:paraId="4F41739C" w14:textId="56E8AC2F" w:rsidR="009B2599" w:rsidRDefault="009B2599">
          <w:r>
            <w:rPr>
              <w:b/>
              <w:bCs/>
              <w:noProof/>
            </w:rPr>
            <w:fldChar w:fldCharType="end"/>
          </w:r>
        </w:p>
      </w:sdtContent>
    </w:sdt>
    <w:p w14:paraId="4926EBDF" w14:textId="71A225A4" w:rsidR="000B1BA4" w:rsidRDefault="000B1BA4" w:rsidP="00CC31AC">
      <w:pPr>
        <w:tabs>
          <w:tab w:val="left" w:pos="3590"/>
        </w:tabs>
        <w:rPr>
          <w:rFonts w:ascii="Arial" w:hAnsi="Arial" w:cs="Arial"/>
          <w:sz w:val="22"/>
          <w:szCs w:val="22"/>
        </w:rPr>
      </w:pPr>
    </w:p>
    <w:p w14:paraId="748B0274" w14:textId="1A3BAD75" w:rsidR="009907D5" w:rsidRDefault="000B1BA4">
      <w:pPr>
        <w:rPr>
          <w:rFonts w:ascii="Arial" w:hAnsi="Arial" w:cs="Arial"/>
          <w:sz w:val="22"/>
          <w:szCs w:val="22"/>
        </w:rPr>
      </w:pPr>
      <w:r>
        <w:rPr>
          <w:rFonts w:ascii="Arial" w:hAnsi="Arial" w:cs="Arial"/>
          <w:sz w:val="22"/>
          <w:szCs w:val="22"/>
        </w:rPr>
        <w:br w:type="page"/>
      </w:r>
    </w:p>
    <w:p w14:paraId="380055B0" w14:textId="77777777" w:rsidR="00AA7E9A" w:rsidRDefault="00BE18EA" w:rsidP="00BE18EA">
      <w:pPr>
        <w:jc w:val="center"/>
        <w:rPr>
          <w:rFonts w:ascii="Arial" w:hAnsi="Arial" w:cs="Arial"/>
          <w:b/>
          <w:bCs/>
          <w:i/>
          <w:iCs/>
          <w:sz w:val="44"/>
          <w:szCs w:val="44"/>
        </w:rPr>
      </w:pPr>
      <w:r w:rsidRPr="00AA7E9A">
        <w:rPr>
          <w:rFonts w:ascii="Arial" w:hAnsi="Arial" w:cs="Arial"/>
          <w:b/>
          <w:bCs/>
          <w:i/>
          <w:iCs/>
          <w:sz w:val="44"/>
          <w:szCs w:val="44"/>
        </w:rPr>
        <w:lastRenderedPageBreak/>
        <w:t>‘’Strategic Analysis and Future Strategy Proposal for Jaguar Land Rover</w:t>
      </w:r>
    </w:p>
    <w:p w14:paraId="19D60FD5" w14:textId="3EBB718F" w:rsidR="00BE18EA" w:rsidRPr="00AA7E9A" w:rsidRDefault="00BE18EA" w:rsidP="00BE18EA">
      <w:pPr>
        <w:jc w:val="center"/>
        <w:rPr>
          <w:rFonts w:ascii="Arial" w:hAnsi="Arial" w:cs="Arial"/>
          <w:b/>
          <w:bCs/>
          <w:i/>
          <w:iCs/>
          <w:sz w:val="44"/>
          <w:szCs w:val="44"/>
        </w:rPr>
      </w:pPr>
      <w:r w:rsidRPr="00AA7E9A">
        <w:rPr>
          <w:rFonts w:ascii="Arial" w:hAnsi="Arial" w:cs="Arial"/>
          <w:b/>
          <w:bCs/>
          <w:i/>
          <w:iCs/>
          <w:sz w:val="44"/>
          <w:szCs w:val="44"/>
        </w:rPr>
        <w:t xml:space="preserve"> (JLR)’’.</w:t>
      </w:r>
    </w:p>
    <w:p w14:paraId="2C45397D" w14:textId="77777777" w:rsidR="00BE18EA" w:rsidRDefault="00BE18EA" w:rsidP="00BE18EA">
      <w:pPr>
        <w:jc w:val="center"/>
        <w:rPr>
          <w:rFonts w:ascii="Arial" w:hAnsi="Arial" w:cs="Arial"/>
          <w:sz w:val="40"/>
          <w:szCs w:val="40"/>
        </w:rPr>
      </w:pPr>
    </w:p>
    <w:p w14:paraId="1D1E8C00" w14:textId="309D41DF" w:rsidR="008B5386" w:rsidRPr="00BE18EA" w:rsidRDefault="008B5386" w:rsidP="00BE18EA">
      <w:pPr>
        <w:jc w:val="center"/>
        <w:rPr>
          <w:rFonts w:ascii="Arial" w:hAnsi="Arial" w:cs="Arial"/>
          <w:sz w:val="40"/>
          <w:szCs w:val="40"/>
        </w:rPr>
      </w:pPr>
      <w:r>
        <w:rPr>
          <w:rFonts w:ascii="Arial" w:hAnsi="Arial" w:cs="Arial"/>
          <w:noProof/>
          <w:sz w:val="40"/>
          <w:szCs w:val="40"/>
        </w:rPr>
        <w:drawing>
          <wp:inline distT="0" distB="0" distL="0" distR="0" wp14:anchorId="1BF4D843" wp14:editId="7562A6A2">
            <wp:extent cx="5731510" cy="3744595"/>
            <wp:effectExtent l="0" t="0" r="2540" b="8255"/>
            <wp:docPr id="1804293338" name="Picture 1" descr="Several logos of car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04293338" name="Picture 1" descr="Several logos of cars&#10;&#10;AI-generated content may be incorrect."/>
                    <pic:cNvPicPr/>
                  </pic:nvPicPr>
                  <pic:blipFill>
                    <a:blip r:embed="rId8">
                      <a:extLst>
                        <a:ext uri="{28A0092B-C50C-407E-A947-70E740481C1C}">
                          <a14:useLocalDpi xmlns:a14="http://schemas.microsoft.com/office/drawing/2010/main" val="0"/>
                        </a:ext>
                      </a:extLst>
                    </a:blip>
                    <a:stretch>
                      <a:fillRect/>
                    </a:stretch>
                  </pic:blipFill>
                  <pic:spPr>
                    <a:xfrm>
                      <a:off x="0" y="0"/>
                      <a:ext cx="5731510" cy="3744595"/>
                    </a:xfrm>
                    <a:prstGeom prst="rect">
                      <a:avLst/>
                    </a:prstGeom>
                  </pic:spPr>
                </pic:pic>
              </a:graphicData>
            </a:graphic>
          </wp:inline>
        </w:drawing>
      </w:r>
    </w:p>
    <w:p w14:paraId="1D1B7D2E" w14:textId="77777777" w:rsidR="00BE18EA" w:rsidRDefault="00BE18EA">
      <w:pPr>
        <w:rPr>
          <w:rFonts w:ascii="Arial" w:hAnsi="Arial" w:cs="Arial"/>
          <w:sz w:val="22"/>
          <w:szCs w:val="22"/>
        </w:rPr>
      </w:pPr>
    </w:p>
    <w:p w14:paraId="41F9A79C" w14:textId="77777777" w:rsidR="00BE18EA" w:rsidRDefault="00BE18EA">
      <w:pPr>
        <w:rPr>
          <w:rFonts w:ascii="Arial" w:hAnsi="Arial" w:cs="Arial"/>
          <w:sz w:val="22"/>
          <w:szCs w:val="22"/>
        </w:rPr>
      </w:pPr>
    </w:p>
    <w:p w14:paraId="0F7695C8" w14:textId="77777777" w:rsidR="00BE18EA" w:rsidRDefault="00BE18EA">
      <w:pPr>
        <w:rPr>
          <w:rFonts w:ascii="Arial" w:hAnsi="Arial" w:cs="Arial"/>
          <w:sz w:val="22"/>
          <w:szCs w:val="22"/>
        </w:rPr>
      </w:pPr>
    </w:p>
    <w:p w14:paraId="29F725DF" w14:textId="77777777" w:rsidR="00BE18EA" w:rsidRDefault="00BE18EA">
      <w:pPr>
        <w:rPr>
          <w:rFonts w:ascii="Arial" w:hAnsi="Arial" w:cs="Arial"/>
          <w:sz w:val="22"/>
          <w:szCs w:val="22"/>
        </w:rPr>
      </w:pPr>
    </w:p>
    <w:p w14:paraId="59B6E8CD" w14:textId="77777777" w:rsidR="00BE18EA" w:rsidRDefault="00BE18EA">
      <w:pPr>
        <w:rPr>
          <w:rFonts w:ascii="Arial" w:hAnsi="Arial" w:cs="Arial"/>
          <w:sz w:val="22"/>
          <w:szCs w:val="22"/>
        </w:rPr>
      </w:pPr>
    </w:p>
    <w:p w14:paraId="073D158B" w14:textId="77777777" w:rsidR="00BE18EA" w:rsidRDefault="00BE18EA">
      <w:pPr>
        <w:rPr>
          <w:rFonts w:ascii="Arial" w:hAnsi="Arial" w:cs="Arial"/>
          <w:sz w:val="22"/>
          <w:szCs w:val="22"/>
        </w:rPr>
      </w:pPr>
    </w:p>
    <w:p w14:paraId="6381A2E3" w14:textId="77777777" w:rsidR="00BE18EA" w:rsidRDefault="00BE18EA">
      <w:pPr>
        <w:rPr>
          <w:rFonts w:ascii="Arial" w:hAnsi="Arial" w:cs="Arial"/>
          <w:sz w:val="22"/>
          <w:szCs w:val="22"/>
        </w:rPr>
      </w:pPr>
    </w:p>
    <w:p w14:paraId="234D1BD2" w14:textId="77777777" w:rsidR="00BE18EA" w:rsidRDefault="00BE18EA">
      <w:pPr>
        <w:rPr>
          <w:rFonts w:ascii="Arial" w:hAnsi="Arial" w:cs="Arial"/>
          <w:sz w:val="22"/>
          <w:szCs w:val="22"/>
        </w:rPr>
      </w:pPr>
    </w:p>
    <w:p w14:paraId="54E56249" w14:textId="77777777" w:rsidR="00BE18EA" w:rsidRDefault="00BE18EA">
      <w:pPr>
        <w:rPr>
          <w:rFonts w:ascii="Arial" w:hAnsi="Arial" w:cs="Arial"/>
          <w:sz w:val="22"/>
          <w:szCs w:val="22"/>
        </w:rPr>
      </w:pPr>
    </w:p>
    <w:p w14:paraId="19B63487" w14:textId="77777777" w:rsidR="00BE18EA" w:rsidRDefault="00BE18EA">
      <w:pPr>
        <w:rPr>
          <w:rFonts w:ascii="Arial" w:hAnsi="Arial" w:cs="Arial"/>
          <w:sz w:val="22"/>
          <w:szCs w:val="22"/>
        </w:rPr>
      </w:pPr>
    </w:p>
    <w:p w14:paraId="76A3F7A1" w14:textId="77777777" w:rsidR="00BE18EA" w:rsidRDefault="00BE18EA">
      <w:pPr>
        <w:rPr>
          <w:rFonts w:ascii="Arial" w:hAnsi="Arial" w:cs="Arial"/>
          <w:sz w:val="22"/>
          <w:szCs w:val="22"/>
        </w:rPr>
      </w:pPr>
    </w:p>
    <w:p w14:paraId="6027CAF6" w14:textId="19979895" w:rsidR="00CC31AC" w:rsidRDefault="00506EDD" w:rsidP="00506EDD">
      <w:pPr>
        <w:pStyle w:val="Heading1"/>
        <w:rPr>
          <w:rFonts w:ascii="Arial" w:hAnsi="Arial" w:cs="Arial"/>
          <w:b/>
          <w:bCs/>
          <w:color w:val="000000" w:themeColor="text1"/>
          <w:sz w:val="28"/>
          <w:szCs w:val="28"/>
        </w:rPr>
      </w:pPr>
      <w:bookmarkStart w:id="0" w:name="_Toc211877785"/>
      <w:r w:rsidRPr="00506EDD">
        <w:rPr>
          <w:rFonts w:ascii="Arial" w:hAnsi="Arial" w:cs="Arial"/>
          <w:b/>
          <w:bCs/>
          <w:color w:val="000000" w:themeColor="text1"/>
          <w:sz w:val="28"/>
          <w:szCs w:val="28"/>
        </w:rPr>
        <w:lastRenderedPageBreak/>
        <w:t>1.Introduction.</w:t>
      </w:r>
      <w:bookmarkEnd w:id="0"/>
    </w:p>
    <w:p w14:paraId="41348955" w14:textId="77777777" w:rsidR="00506EDD" w:rsidRDefault="00506EDD" w:rsidP="00506EDD"/>
    <w:p w14:paraId="1B0B738F" w14:textId="2A33D55C" w:rsidR="00E30DDF" w:rsidRDefault="00E30DDF" w:rsidP="0030467C">
      <w:pPr>
        <w:spacing w:line="360" w:lineRule="auto"/>
        <w:ind w:firstLine="720"/>
        <w:jc w:val="both"/>
        <w:rPr>
          <w:rFonts w:ascii="Arial" w:hAnsi="Arial" w:cs="Arial"/>
          <w:sz w:val="22"/>
          <w:szCs w:val="22"/>
        </w:rPr>
      </w:pPr>
      <w:r w:rsidRPr="00E30DDF">
        <w:rPr>
          <w:rFonts w:ascii="Arial" w:hAnsi="Arial" w:cs="Arial"/>
          <w:sz w:val="22"/>
          <w:szCs w:val="22"/>
        </w:rPr>
        <w:t>The automotive industry is a cornerstone of the United Kingdom’s economy, generating over £70 billion each year and providing employment for more than 800,000 people</w:t>
      </w:r>
      <w:sdt>
        <w:sdtPr>
          <w:rPr>
            <w:rFonts w:ascii="Arial" w:hAnsi="Arial" w:cs="Arial"/>
            <w:sz w:val="22"/>
            <w:szCs w:val="22"/>
          </w:rPr>
          <w:id w:val="-1372149265"/>
          <w:citation/>
        </w:sdtPr>
        <w:sdtContent>
          <w:r w:rsidR="00611DC6">
            <w:rPr>
              <w:rFonts w:ascii="Arial" w:hAnsi="Arial" w:cs="Arial"/>
              <w:sz w:val="22"/>
              <w:szCs w:val="22"/>
            </w:rPr>
            <w:fldChar w:fldCharType="begin"/>
          </w:r>
          <w:r w:rsidR="00611DC6">
            <w:rPr>
              <w:rFonts w:ascii="Arial" w:hAnsi="Arial" w:cs="Arial"/>
              <w:sz w:val="22"/>
              <w:szCs w:val="22"/>
              <w:lang w:val="en-US"/>
            </w:rPr>
            <w:instrText xml:space="preserve"> CITATION Lou23 \l 1033 </w:instrText>
          </w:r>
          <w:r w:rsidR="00611DC6">
            <w:rPr>
              <w:rFonts w:ascii="Arial" w:hAnsi="Arial" w:cs="Arial"/>
              <w:sz w:val="22"/>
              <w:szCs w:val="22"/>
            </w:rPr>
            <w:fldChar w:fldCharType="separate"/>
          </w:r>
          <w:r w:rsidR="00161368">
            <w:rPr>
              <w:rFonts w:ascii="Arial" w:hAnsi="Arial" w:cs="Arial"/>
              <w:noProof/>
              <w:sz w:val="22"/>
              <w:szCs w:val="22"/>
              <w:lang w:val="en-US"/>
            </w:rPr>
            <w:t xml:space="preserve"> </w:t>
          </w:r>
          <w:r w:rsidR="00161368" w:rsidRPr="00161368">
            <w:rPr>
              <w:rFonts w:ascii="Arial" w:hAnsi="Arial" w:cs="Arial"/>
              <w:noProof/>
              <w:sz w:val="22"/>
              <w:szCs w:val="22"/>
              <w:lang w:val="en-US"/>
            </w:rPr>
            <w:t>(Loughran, 2023)</w:t>
          </w:r>
          <w:r w:rsidR="00611DC6">
            <w:rPr>
              <w:rFonts w:ascii="Arial" w:hAnsi="Arial" w:cs="Arial"/>
              <w:sz w:val="22"/>
              <w:szCs w:val="22"/>
            </w:rPr>
            <w:fldChar w:fldCharType="end"/>
          </w:r>
        </w:sdtContent>
      </w:sdt>
      <w:r w:rsidR="00611DC6">
        <w:rPr>
          <w:rFonts w:ascii="Arial" w:hAnsi="Arial" w:cs="Arial"/>
          <w:sz w:val="22"/>
          <w:szCs w:val="22"/>
        </w:rPr>
        <w:t xml:space="preserve">. </w:t>
      </w:r>
      <w:r w:rsidR="003E1892" w:rsidRPr="00E30DDF">
        <w:rPr>
          <w:rFonts w:ascii="Arial" w:hAnsi="Arial" w:cs="Arial"/>
          <w:sz w:val="22"/>
          <w:szCs w:val="22"/>
        </w:rPr>
        <w:t>However</w:t>
      </w:r>
      <w:r w:rsidRPr="00E30DDF">
        <w:rPr>
          <w:rFonts w:ascii="Arial" w:hAnsi="Arial" w:cs="Arial"/>
          <w:sz w:val="22"/>
          <w:szCs w:val="22"/>
        </w:rPr>
        <w:t xml:space="preserve">, the sector is currently experiencing a </w:t>
      </w:r>
      <w:r w:rsidR="00CB16AE" w:rsidRPr="00E30DDF">
        <w:rPr>
          <w:rFonts w:ascii="Arial" w:hAnsi="Arial" w:cs="Arial"/>
          <w:sz w:val="22"/>
          <w:szCs w:val="22"/>
        </w:rPr>
        <w:t>deep</w:t>
      </w:r>
      <w:r w:rsidRPr="00E30DDF">
        <w:rPr>
          <w:rFonts w:ascii="Arial" w:hAnsi="Arial" w:cs="Arial"/>
          <w:sz w:val="22"/>
          <w:szCs w:val="22"/>
        </w:rPr>
        <w:t xml:space="preserve"> transformation, </w:t>
      </w:r>
      <w:r w:rsidR="00CB16AE" w:rsidRPr="00E30DDF">
        <w:rPr>
          <w:rFonts w:ascii="Arial" w:hAnsi="Arial" w:cs="Arial"/>
          <w:sz w:val="22"/>
          <w:szCs w:val="22"/>
        </w:rPr>
        <w:t>mostly</w:t>
      </w:r>
      <w:r w:rsidRPr="00E30DDF">
        <w:rPr>
          <w:rFonts w:ascii="Arial" w:hAnsi="Arial" w:cs="Arial"/>
          <w:sz w:val="22"/>
          <w:szCs w:val="22"/>
        </w:rPr>
        <w:t xml:space="preserve"> influenced by the accelerating transition toward electric vehicles (EVs), stricter environmental regulations and shifting consumer preferences for cleaner, sustainable transportation options.</w:t>
      </w:r>
    </w:p>
    <w:p w14:paraId="3A4F676B" w14:textId="1DE68438" w:rsidR="0030467C" w:rsidRPr="00E30DDF" w:rsidRDefault="0030467C" w:rsidP="007547C5">
      <w:pPr>
        <w:spacing w:line="360" w:lineRule="auto"/>
        <w:jc w:val="both"/>
        <w:rPr>
          <w:rFonts w:ascii="Arial" w:hAnsi="Arial" w:cs="Arial"/>
          <w:sz w:val="22"/>
          <w:szCs w:val="22"/>
        </w:rPr>
      </w:pPr>
      <w:r w:rsidRPr="0030467C">
        <w:rPr>
          <w:rFonts w:ascii="Arial" w:hAnsi="Arial" w:cs="Arial"/>
          <w:sz w:val="22"/>
          <w:szCs w:val="22"/>
        </w:rPr>
        <w:t>Jaguar Land Rover (JLR) has deep roots in the United Kingdom’s automotive heritage, representing two of the most iconic British car brands. Jaguar originated in 1922 as the Swallow Sidecar Company, initially producing motorcycle sidecars before transitioning to luxury vehicles renowned for their performance and design. Land Rover, on the other hand, was introduced in 1948 by the Rover Company, inspired by the rugged versatility of wartime vehicles and designed for both agricultural and off-road use. Over the decades, both brands became symbols of British innovation and craftsmanship.</w:t>
      </w:r>
    </w:p>
    <w:p w14:paraId="70D7A220" w14:textId="16307C70" w:rsidR="00506EDD" w:rsidRDefault="00E30DDF" w:rsidP="0030467C">
      <w:pPr>
        <w:spacing w:line="360" w:lineRule="auto"/>
        <w:jc w:val="both"/>
        <w:rPr>
          <w:rFonts w:ascii="Arial" w:hAnsi="Arial" w:cs="Arial"/>
          <w:sz w:val="22"/>
          <w:szCs w:val="22"/>
        </w:rPr>
      </w:pPr>
      <w:r w:rsidRPr="00E30DDF">
        <w:rPr>
          <w:rFonts w:ascii="Arial" w:hAnsi="Arial" w:cs="Arial"/>
          <w:sz w:val="22"/>
          <w:szCs w:val="22"/>
        </w:rPr>
        <w:t xml:space="preserve">This report focuses on Jaguar Land Rover (JLR), the UK’s leading automotive manufacturer, which has been owned by Tata Motors since 2008. JLR designs and produces premium vehicles under the Jaguar and Land Rover brands, with major production sites in Solihull, Halewood and Wolverhampton. The analysis examines the external and internal strategic factors shaping JLR’s operations, evaluates the challenges and opportunities arising from global industry trends and presents strategic recommendations to </w:t>
      </w:r>
      <w:r w:rsidR="00A05CE6" w:rsidRPr="00E30DDF">
        <w:rPr>
          <w:rFonts w:ascii="Arial" w:hAnsi="Arial" w:cs="Arial"/>
          <w:sz w:val="22"/>
          <w:szCs w:val="22"/>
        </w:rPr>
        <w:t>improve</w:t>
      </w:r>
      <w:r w:rsidRPr="00E30DDF">
        <w:rPr>
          <w:rFonts w:ascii="Arial" w:hAnsi="Arial" w:cs="Arial"/>
          <w:sz w:val="22"/>
          <w:szCs w:val="22"/>
        </w:rPr>
        <w:t xml:space="preserve"> innovation, competitiveness and long-term sustainability</w:t>
      </w:r>
      <w:r w:rsidR="00A05CE6">
        <w:rPr>
          <w:rFonts w:ascii="Arial" w:hAnsi="Arial" w:cs="Arial"/>
          <w:sz w:val="22"/>
          <w:szCs w:val="22"/>
        </w:rPr>
        <w:t>,</w:t>
      </w:r>
      <w:r w:rsidRPr="00E30DDF">
        <w:rPr>
          <w:rFonts w:ascii="Arial" w:hAnsi="Arial" w:cs="Arial"/>
          <w:sz w:val="22"/>
          <w:szCs w:val="22"/>
        </w:rPr>
        <w:t xml:space="preserve"> in a fast-changing international market</w:t>
      </w:r>
      <w:sdt>
        <w:sdtPr>
          <w:rPr>
            <w:rFonts w:ascii="Arial" w:hAnsi="Arial" w:cs="Arial"/>
            <w:sz w:val="22"/>
            <w:szCs w:val="22"/>
          </w:rPr>
          <w:id w:val="988054770"/>
          <w:citation/>
        </w:sdtPr>
        <w:sdtContent>
          <w:r w:rsidR="00D8372A">
            <w:rPr>
              <w:rFonts w:ascii="Arial" w:hAnsi="Arial" w:cs="Arial"/>
              <w:sz w:val="22"/>
              <w:szCs w:val="22"/>
            </w:rPr>
            <w:fldChar w:fldCharType="begin"/>
          </w:r>
          <w:r w:rsidR="00D8372A">
            <w:rPr>
              <w:rFonts w:ascii="Arial" w:hAnsi="Arial" w:cs="Arial"/>
              <w:sz w:val="22"/>
              <w:szCs w:val="22"/>
              <w:lang w:val="en-US"/>
            </w:rPr>
            <w:instrText xml:space="preserve"> CITATION Pat16 \l 1033 </w:instrText>
          </w:r>
          <w:r w:rsidR="00D8372A">
            <w:rPr>
              <w:rFonts w:ascii="Arial" w:hAnsi="Arial" w:cs="Arial"/>
              <w:sz w:val="22"/>
              <w:szCs w:val="22"/>
            </w:rPr>
            <w:fldChar w:fldCharType="separate"/>
          </w:r>
          <w:r w:rsidR="00161368">
            <w:rPr>
              <w:rFonts w:ascii="Arial" w:hAnsi="Arial" w:cs="Arial"/>
              <w:noProof/>
              <w:sz w:val="22"/>
              <w:szCs w:val="22"/>
              <w:lang w:val="en-US"/>
            </w:rPr>
            <w:t xml:space="preserve"> </w:t>
          </w:r>
          <w:r w:rsidR="00161368" w:rsidRPr="00161368">
            <w:rPr>
              <w:rFonts w:ascii="Arial" w:hAnsi="Arial" w:cs="Arial"/>
              <w:noProof/>
              <w:sz w:val="22"/>
              <w:szCs w:val="22"/>
              <w:lang w:val="en-US"/>
            </w:rPr>
            <w:t>(Pathak, 2016)</w:t>
          </w:r>
          <w:r w:rsidR="00D8372A">
            <w:rPr>
              <w:rFonts w:ascii="Arial" w:hAnsi="Arial" w:cs="Arial"/>
              <w:sz w:val="22"/>
              <w:szCs w:val="22"/>
            </w:rPr>
            <w:fldChar w:fldCharType="end"/>
          </w:r>
        </w:sdtContent>
      </w:sdt>
      <w:r w:rsidRPr="00E30DDF">
        <w:rPr>
          <w:rFonts w:ascii="Arial" w:hAnsi="Arial" w:cs="Arial"/>
          <w:sz w:val="22"/>
          <w:szCs w:val="22"/>
        </w:rPr>
        <w:t>.</w:t>
      </w:r>
    </w:p>
    <w:p w14:paraId="0710C428" w14:textId="77777777" w:rsidR="00891ED9" w:rsidRDefault="00891ED9" w:rsidP="0030467C">
      <w:pPr>
        <w:spacing w:line="360" w:lineRule="auto"/>
        <w:jc w:val="both"/>
        <w:rPr>
          <w:rFonts w:ascii="Arial" w:hAnsi="Arial" w:cs="Arial"/>
          <w:sz w:val="22"/>
          <w:szCs w:val="22"/>
        </w:rPr>
      </w:pPr>
    </w:p>
    <w:p w14:paraId="61667DC8" w14:textId="77777777" w:rsidR="00891ED9" w:rsidRDefault="00891ED9" w:rsidP="0030467C">
      <w:pPr>
        <w:spacing w:line="360" w:lineRule="auto"/>
        <w:jc w:val="both"/>
        <w:rPr>
          <w:rFonts w:ascii="Arial" w:hAnsi="Arial" w:cs="Arial"/>
          <w:sz w:val="22"/>
          <w:szCs w:val="22"/>
        </w:rPr>
      </w:pPr>
    </w:p>
    <w:p w14:paraId="407DB08D" w14:textId="77777777" w:rsidR="00891ED9" w:rsidRDefault="00891ED9" w:rsidP="0030467C">
      <w:pPr>
        <w:spacing w:line="360" w:lineRule="auto"/>
        <w:jc w:val="both"/>
        <w:rPr>
          <w:rFonts w:ascii="Arial" w:hAnsi="Arial" w:cs="Arial"/>
          <w:sz w:val="22"/>
          <w:szCs w:val="22"/>
        </w:rPr>
      </w:pPr>
    </w:p>
    <w:p w14:paraId="40C6E549" w14:textId="77777777" w:rsidR="00891ED9" w:rsidRDefault="00891ED9" w:rsidP="0030467C">
      <w:pPr>
        <w:spacing w:line="360" w:lineRule="auto"/>
        <w:jc w:val="both"/>
        <w:rPr>
          <w:rFonts w:ascii="Arial" w:hAnsi="Arial" w:cs="Arial"/>
          <w:sz w:val="22"/>
          <w:szCs w:val="22"/>
        </w:rPr>
      </w:pPr>
    </w:p>
    <w:p w14:paraId="073DFDE2" w14:textId="77777777" w:rsidR="00891ED9" w:rsidRDefault="00891ED9" w:rsidP="0030467C">
      <w:pPr>
        <w:spacing w:line="360" w:lineRule="auto"/>
        <w:jc w:val="both"/>
        <w:rPr>
          <w:rFonts w:ascii="Arial" w:hAnsi="Arial" w:cs="Arial"/>
          <w:sz w:val="22"/>
          <w:szCs w:val="22"/>
        </w:rPr>
      </w:pPr>
    </w:p>
    <w:p w14:paraId="1D781560" w14:textId="77777777" w:rsidR="00891ED9" w:rsidRDefault="00891ED9" w:rsidP="0030467C">
      <w:pPr>
        <w:spacing w:line="360" w:lineRule="auto"/>
        <w:jc w:val="both"/>
        <w:rPr>
          <w:rFonts w:ascii="Arial" w:hAnsi="Arial" w:cs="Arial"/>
          <w:sz w:val="22"/>
          <w:szCs w:val="22"/>
        </w:rPr>
      </w:pPr>
    </w:p>
    <w:p w14:paraId="72E71C5C" w14:textId="77777777" w:rsidR="00891ED9" w:rsidRDefault="00891ED9" w:rsidP="0030467C">
      <w:pPr>
        <w:spacing w:line="360" w:lineRule="auto"/>
        <w:jc w:val="both"/>
        <w:rPr>
          <w:rFonts w:ascii="Arial" w:hAnsi="Arial" w:cs="Arial"/>
          <w:sz w:val="22"/>
          <w:szCs w:val="22"/>
        </w:rPr>
      </w:pPr>
    </w:p>
    <w:p w14:paraId="269226FF" w14:textId="77777777" w:rsidR="00891ED9" w:rsidRDefault="00891ED9" w:rsidP="0030467C">
      <w:pPr>
        <w:spacing w:line="360" w:lineRule="auto"/>
        <w:jc w:val="both"/>
        <w:rPr>
          <w:rFonts w:ascii="Arial" w:hAnsi="Arial" w:cs="Arial"/>
          <w:sz w:val="22"/>
          <w:szCs w:val="22"/>
        </w:rPr>
      </w:pPr>
    </w:p>
    <w:p w14:paraId="070CE118" w14:textId="77777777" w:rsidR="00891ED9" w:rsidRDefault="00891ED9" w:rsidP="0030467C">
      <w:pPr>
        <w:spacing w:line="360" w:lineRule="auto"/>
        <w:jc w:val="both"/>
        <w:rPr>
          <w:rFonts w:ascii="Arial" w:hAnsi="Arial" w:cs="Arial"/>
          <w:sz w:val="22"/>
          <w:szCs w:val="22"/>
        </w:rPr>
      </w:pPr>
    </w:p>
    <w:p w14:paraId="23830DA7" w14:textId="7E689DC5" w:rsidR="00891ED9" w:rsidRDefault="00374CCA" w:rsidP="00374CCA">
      <w:pPr>
        <w:pStyle w:val="Heading1"/>
        <w:rPr>
          <w:rFonts w:ascii="Arial" w:hAnsi="Arial" w:cs="Arial"/>
          <w:b/>
          <w:bCs/>
          <w:color w:val="000000" w:themeColor="text1"/>
          <w:sz w:val="28"/>
          <w:szCs w:val="28"/>
        </w:rPr>
      </w:pPr>
      <w:bookmarkStart w:id="1" w:name="_Toc211877786"/>
      <w:r w:rsidRPr="00207E89">
        <w:rPr>
          <w:rFonts w:ascii="Arial" w:hAnsi="Arial" w:cs="Arial"/>
          <w:b/>
          <w:bCs/>
          <w:color w:val="000000" w:themeColor="text1"/>
          <w:sz w:val="28"/>
          <w:szCs w:val="28"/>
        </w:rPr>
        <w:lastRenderedPageBreak/>
        <w:t>2.</w:t>
      </w:r>
      <w:r w:rsidR="00E021A0" w:rsidRPr="00207E89">
        <w:rPr>
          <w:color w:val="000000" w:themeColor="text1"/>
        </w:rPr>
        <w:t xml:space="preserve"> </w:t>
      </w:r>
      <w:r w:rsidR="00E021A0" w:rsidRPr="00207E89">
        <w:rPr>
          <w:rFonts w:ascii="Arial" w:hAnsi="Arial" w:cs="Arial"/>
          <w:b/>
          <w:bCs/>
          <w:color w:val="000000" w:themeColor="text1"/>
          <w:sz w:val="28"/>
          <w:szCs w:val="28"/>
        </w:rPr>
        <w:t>External Environment Analysis (PESTEL Framework).</w:t>
      </w:r>
      <w:bookmarkEnd w:id="1"/>
    </w:p>
    <w:p w14:paraId="77C13579" w14:textId="60891897" w:rsidR="00521CAC" w:rsidRPr="00521CAC" w:rsidRDefault="00AB7D25" w:rsidP="00521CAC">
      <w:r w:rsidRPr="00BD5639">
        <w:rPr>
          <w:rFonts w:ascii="Arial" w:hAnsi="Arial" w:cs="Arial"/>
          <w:noProof/>
        </w:rPr>
        <w:drawing>
          <wp:anchor distT="0" distB="0" distL="114300" distR="114300" simplePos="0" relativeHeight="251658240" behindDoc="0" locked="0" layoutInCell="1" allowOverlap="1" wp14:anchorId="7A12D60A" wp14:editId="58EFD8E6">
            <wp:simplePos x="0" y="0"/>
            <wp:positionH relativeFrom="margin">
              <wp:align>left</wp:align>
            </wp:positionH>
            <wp:positionV relativeFrom="paragraph">
              <wp:posOffset>315595</wp:posOffset>
            </wp:positionV>
            <wp:extent cx="3081655" cy="2311400"/>
            <wp:effectExtent l="0" t="0" r="4445" b="0"/>
            <wp:wrapSquare wrapText="bothSides"/>
            <wp:docPr id="1071892938" name="Picture 2" descr="A diagram of a pestel&#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71892938" name="Picture 2" descr="A diagram of a pestel&#10;&#10;AI-generated content may be incorrect."/>
                    <pic:cNvPicPr/>
                  </pic:nvPicPr>
                  <pic:blipFill>
                    <a:blip r:embed="rId9" cstate="print">
                      <a:extLst>
                        <a:ext uri="{28A0092B-C50C-407E-A947-70E740481C1C}">
                          <a14:useLocalDpi xmlns:a14="http://schemas.microsoft.com/office/drawing/2010/main" val="0"/>
                        </a:ext>
                      </a:extLst>
                    </a:blip>
                    <a:stretch>
                      <a:fillRect/>
                    </a:stretch>
                  </pic:blipFill>
                  <pic:spPr>
                    <a:xfrm>
                      <a:off x="0" y="0"/>
                      <a:ext cx="3081655" cy="2311400"/>
                    </a:xfrm>
                    <a:prstGeom prst="rect">
                      <a:avLst/>
                    </a:prstGeom>
                  </pic:spPr>
                </pic:pic>
              </a:graphicData>
            </a:graphic>
            <wp14:sizeRelH relativeFrom="margin">
              <wp14:pctWidth>0</wp14:pctWidth>
            </wp14:sizeRelH>
            <wp14:sizeRelV relativeFrom="margin">
              <wp14:pctHeight>0</wp14:pctHeight>
            </wp14:sizeRelV>
          </wp:anchor>
        </w:drawing>
      </w:r>
    </w:p>
    <w:p w14:paraId="6C62F6BB" w14:textId="680FCDEE" w:rsidR="00652A95" w:rsidRPr="00BD5639" w:rsidRDefault="00BD5639" w:rsidP="00BD5639">
      <w:pPr>
        <w:spacing w:line="360" w:lineRule="auto"/>
        <w:rPr>
          <w:rFonts w:ascii="Arial" w:hAnsi="Arial" w:cs="Arial"/>
        </w:rPr>
      </w:pPr>
      <w:r w:rsidRPr="00BD5639">
        <w:rPr>
          <w:rFonts w:ascii="Arial" w:hAnsi="Arial" w:cs="Arial"/>
          <w:sz w:val="22"/>
          <w:szCs w:val="22"/>
        </w:rPr>
        <w:t xml:space="preserve">The </w:t>
      </w:r>
      <w:r w:rsidRPr="008953C5">
        <w:rPr>
          <w:rFonts w:ascii="Arial" w:hAnsi="Arial" w:cs="Arial"/>
          <w:sz w:val="22"/>
          <w:szCs w:val="22"/>
          <w:u w:val="single"/>
        </w:rPr>
        <w:t>PESTEL</w:t>
      </w:r>
      <w:r w:rsidRPr="00BD5639">
        <w:rPr>
          <w:rFonts w:ascii="Arial" w:hAnsi="Arial" w:cs="Arial"/>
          <w:sz w:val="22"/>
          <w:szCs w:val="22"/>
        </w:rPr>
        <w:t xml:space="preserve"> framework offers a structured lens through which to examine the macro-environmental forces influencing Jaguar Land Rover’s (JLR) strategic direction and long-term performance. This analysis is important as it helps identify external opportunities and threats, enabling JLR to adapt its strategies and maintain competitiveness in a changing global market.</w:t>
      </w:r>
      <w:r w:rsidRPr="00BD5639">
        <w:rPr>
          <w:rFonts w:ascii="Arial" w:hAnsi="Arial" w:cs="Arial"/>
        </w:rPr>
        <w:t xml:space="preserve"> </w:t>
      </w:r>
    </w:p>
    <w:p w14:paraId="29B5C38C" w14:textId="670F9709" w:rsidR="00207E89" w:rsidRDefault="00652A95" w:rsidP="00207E89">
      <w:r>
        <w:tab/>
      </w:r>
      <w:r>
        <w:tab/>
      </w:r>
      <w:r>
        <w:tab/>
        <w:t>Fig.1.</w:t>
      </w:r>
    </w:p>
    <w:p w14:paraId="37CFE9D4" w14:textId="3490EF31" w:rsidR="00AB7D25" w:rsidRDefault="00935514" w:rsidP="00935514">
      <w:pPr>
        <w:pStyle w:val="Heading2"/>
        <w:rPr>
          <w:b/>
          <w:bCs/>
          <w:i/>
          <w:iCs/>
          <w:color w:val="000000" w:themeColor="text1"/>
          <w:sz w:val="28"/>
          <w:szCs w:val="28"/>
        </w:rPr>
      </w:pPr>
      <w:bookmarkStart w:id="2" w:name="_Toc211877787"/>
      <w:r w:rsidRPr="002549BC">
        <w:rPr>
          <w:b/>
          <w:bCs/>
          <w:i/>
          <w:iCs/>
          <w:color w:val="000000" w:themeColor="text1"/>
          <w:sz w:val="28"/>
          <w:szCs w:val="28"/>
        </w:rPr>
        <w:t>2.1.</w:t>
      </w:r>
      <w:r w:rsidR="002549BC" w:rsidRPr="002549BC">
        <w:rPr>
          <w:b/>
          <w:bCs/>
          <w:i/>
          <w:iCs/>
          <w:color w:val="000000" w:themeColor="text1"/>
          <w:sz w:val="28"/>
          <w:szCs w:val="28"/>
        </w:rPr>
        <w:t xml:space="preserve"> Political Factors:</w:t>
      </w:r>
      <w:bookmarkEnd w:id="2"/>
    </w:p>
    <w:p w14:paraId="03EF4812" w14:textId="05AAC094" w:rsidR="002549BC" w:rsidRDefault="002549BC" w:rsidP="002549BC">
      <w:pPr>
        <w:spacing w:line="360" w:lineRule="auto"/>
        <w:rPr>
          <w:rFonts w:ascii="Arial" w:hAnsi="Arial" w:cs="Arial"/>
          <w:sz w:val="22"/>
          <w:szCs w:val="22"/>
        </w:rPr>
      </w:pPr>
      <w:r w:rsidRPr="002549BC">
        <w:rPr>
          <w:rFonts w:ascii="Arial" w:hAnsi="Arial" w:cs="Arial"/>
          <w:sz w:val="22"/>
          <w:szCs w:val="22"/>
        </w:rPr>
        <w:t>Post-Brexit trade adjustments have introduced new tariffs and customs complexities affecting automotive exports and supply chains. However, UK government initiatives such as incentives for battery production and the establishment of Tata’s gigafactory in Somerset provide strategic support for domestic EV manufacturing. Political stability and alignment with green industrial policy strengthen JLR’s long-term strategic positioning</w:t>
      </w:r>
      <w:sdt>
        <w:sdtPr>
          <w:rPr>
            <w:rFonts w:ascii="Arial" w:hAnsi="Arial" w:cs="Arial"/>
            <w:sz w:val="22"/>
            <w:szCs w:val="22"/>
          </w:rPr>
          <w:id w:val="-2037572893"/>
          <w:citation/>
        </w:sdtPr>
        <w:sdtContent>
          <w:r w:rsidR="008432A1">
            <w:rPr>
              <w:rFonts w:ascii="Arial" w:hAnsi="Arial" w:cs="Arial"/>
              <w:sz w:val="22"/>
              <w:szCs w:val="22"/>
            </w:rPr>
            <w:fldChar w:fldCharType="begin"/>
          </w:r>
          <w:r w:rsidR="008432A1">
            <w:rPr>
              <w:rFonts w:ascii="Arial" w:hAnsi="Arial" w:cs="Arial"/>
              <w:sz w:val="22"/>
              <w:szCs w:val="22"/>
              <w:lang w:val="en-US"/>
            </w:rPr>
            <w:instrText xml:space="preserve"> CITATION ALL24 \l 1033 </w:instrText>
          </w:r>
          <w:r w:rsidR="008432A1">
            <w:rPr>
              <w:rFonts w:ascii="Arial" w:hAnsi="Arial" w:cs="Arial"/>
              <w:sz w:val="22"/>
              <w:szCs w:val="22"/>
            </w:rPr>
            <w:fldChar w:fldCharType="separate"/>
          </w:r>
          <w:r w:rsidR="00161368">
            <w:rPr>
              <w:rFonts w:ascii="Arial" w:hAnsi="Arial" w:cs="Arial"/>
              <w:noProof/>
              <w:sz w:val="22"/>
              <w:szCs w:val="22"/>
              <w:lang w:val="en-US"/>
            </w:rPr>
            <w:t xml:space="preserve"> </w:t>
          </w:r>
          <w:r w:rsidR="00161368" w:rsidRPr="00161368">
            <w:rPr>
              <w:rFonts w:ascii="Arial" w:hAnsi="Arial" w:cs="Arial"/>
              <w:noProof/>
              <w:sz w:val="22"/>
              <w:szCs w:val="22"/>
              <w:lang w:val="en-US"/>
            </w:rPr>
            <w:t>(ALLAN &amp; Nahm, 2024)</w:t>
          </w:r>
          <w:r w:rsidR="008432A1">
            <w:rPr>
              <w:rFonts w:ascii="Arial" w:hAnsi="Arial" w:cs="Arial"/>
              <w:sz w:val="22"/>
              <w:szCs w:val="22"/>
            </w:rPr>
            <w:fldChar w:fldCharType="end"/>
          </w:r>
        </w:sdtContent>
      </w:sdt>
      <w:r w:rsidRPr="002549BC">
        <w:rPr>
          <w:rFonts w:ascii="Arial" w:hAnsi="Arial" w:cs="Arial"/>
          <w:sz w:val="22"/>
          <w:szCs w:val="22"/>
        </w:rPr>
        <w:t>.</w:t>
      </w:r>
    </w:p>
    <w:p w14:paraId="4491DAE0" w14:textId="5E262FC7" w:rsidR="00303CFB" w:rsidRDefault="00B90003" w:rsidP="00B90003">
      <w:pPr>
        <w:pStyle w:val="Heading2"/>
        <w:rPr>
          <w:rFonts w:asciiTheme="minorHAnsi" w:hAnsiTheme="minorHAnsi" w:cs="Arial"/>
          <w:b/>
          <w:bCs/>
          <w:i/>
          <w:iCs/>
          <w:color w:val="000000" w:themeColor="text1"/>
          <w:sz w:val="28"/>
          <w:szCs w:val="28"/>
        </w:rPr>
      </w:pPr>
      <w:bookmarkStart w:id="3" w:name="_Toc211877788"/>
      <w:r w:rsidRPr="00B90003">
        <w:rPr>
          <w:rFonts w:asciiTheme="minorHAnsi" w:hAnsiTheme="minorHAnsi" w:cs="Arial"/>
          <w:b/>
          <w:bCs/>
          <w:i/>
          <w:iCs/>
          <w:color w:val="000000" w:themeColor="text1"/>
          <w:sz w:val="28"/>
          <w:szCs w:val="28"/>
        </w:rPr>
        <w:t>2.2. Economic Factors:</w:t>
      </w:r>
      <w:bookmarkEnd w:id="3"/>
    </w:p>
    <w:p w14:paraId="5EC7727C" w14:textId="07C95429" w:rsidR="0003648B" w:rsidRDefault="002744AF" w:rsidP="002744AF">
      <w:pPr>
        <w:spacing w:line="360" w:lineRule="auto"/>
        <w:rPr>
          <w:rFonts w:ascii="Arial" w:hAnsi="Arial" w:cs="Arial"/>
          <w:sz w:val="22"/>
          <w:szCs w:val="22"/>
        </w:rPr>
      </w:pPr>
      <w:r w:rsidRPr="002744AF">
        <w:rPr>
          <w:rFonts w:ascii="Arial" w:hAnsi="Arial" w:cs="Arial"/>
          <w:sz w:val="22"/>
          <w:szCs w:val="22"/>
        </w:rPr>
        <w:t>Economic volatility, including inflation and global raw material shortages, has raised operational costs across the industry. Despite this, luxury car markets have remained resilient, with growing demand in North America, China, and the Middle</w:t>
      </w:r>
      <w:sdt>
        <w:sdtPr>
          <w:rPr>
            <w:rFonts w:ascii="Arial" w:hAnsi="Arial" w:cs="Arial"/>
            <w:sz w:val="22"/>
            <w:szCs w:val="22"/>
          </w:rPr>
          <w:id w:val="-1114505094"/>
          <w:citation/>
        </w:sdtPr>
        <w:sdtContent>
          <w:r w:rsidR="00F07DCE">
            <w:rPr>
              <w:rFonts w:ascii="Arial" w:hAnsi="Arial" w:cs="Arial"/>
              <w:sz w:val="22"/>
              <w:szCs w:val="22"/>
            </w:rPr>
            <w:fldChar w:fldCharType="begin"/>
          </w:r>
          <w:r w:rsidR="00F07DCE">
            <w:rPr>
              <w:rFonts w:ascii="Arial" w:hAnsi="Arial" w:cs="Arial"/>
              <w:sz w:val="22"/>
              <w:szCs w:val="22"/>
              <w:lang w:val="en-US"/>
            </w:rPr>
            <w:instrText xml:space="preserve"> CITATION Gri18 \l 1033 </w:instrText>
          </w:r>
          <w:r w:rsidR="00F07DCE">
            <w:rPr>
              <w:rFonts w:ascii="Arial" w:hAnsi="Arial" w:cs="Arial"/>
              <w:sz w:val="22"/>
              <w:szCs w:val="22"/>
            </w:rPr>
            <w:fldChar w:fldCharType="separate"/>
          </w:r>
          <w:r w:rsidR="00161368">
            <w:rPr>
              <w:rFonts w:ascii="Arial" w:hAnsi="Arial" w:cs="Arial"/>
              <w:noProof/>
              <w:sz w:val="22"/>
              <w:szCs w:val="22"/>
              <w:lang w:val="en-US"/>
            </w:rPr>
            <w:t xml:space="preserve"> </w:t>
          </w:r>
          <w:r w:rsidR="00161368" w:rsidRPr="00161368">
            <w:rPr>
              <w:rFonts w:ascii="Arial" w:hAnsi="Arial" w:cs="Arial"/>
              <w:noProof/>
              <w:sz w:val="22"/>
              <w:szCs w:val="22"/>
              <w:lang w:val="en-US"/>
            </w:rPr>
            <w:t>(Grinsteins, 2018)</w:t>
          </w:r>
          <w:r w:rsidR="00F07DCE">
            <w:rPr>
              <w:rFonts w:ascii="Arial" w:hAnsi="Arial" w:cs="Arial"/>
              <w:sz w:val="22"/>
              <w:szCs w:val="22"/>
            </w:rPr>
            <w:fldChar w:fldCharType="end"/>
          </w:r>
        </w:sdtContent>
      </w:sdt>
      <w:r w:rsidR="00F07DCE">
        <w:rPr>
          <w:rFonts w:ascii="Arial" w:hAnsi="Arial" w:cs="Arial"/>
          <w:sz w:val="22"/>
          <w:szCs w:val="22"/>
        </w:rPr>
        <w:t xml:space="preserve">. </w:t>
      </w:r>
      <w:r w:rsidRPr="002744AF">
        <w:rPr>
          <w:rFonts w:ascii="Arial" w:hAnsi="Arial" w:cs="Arial"/>
          <w:sz w:val="22"/>
          <w:szCs w:val="22"/>
        </w:rPr>
        <w:t>East. JLR’s premium market focus allows it to maintain profitability even amid cost pressures Additionally, fluctuations in exchange rates and international trade policies continue to impact export revenues and supply chain efficiency, making financial planning and risk management critical. Strategic investment in localised production, cost-effective electric vehicle technologies, and supply chain diversification can help JLR mitigate economic risks and sustain long-term growth in volatile global markets.</w:t>
      </w:r>
    </w:p>
    <w:p w14:paraId="567D9F47" w14:textId="77777777" w:rsidR="000E0B3E" w:rsidRDefault="000E0B3E" w:rsidP="002744AF">
      <w:pPr>
        <w:spacing w:line="360" w:lineRule="auto"/>
        <w:rPr>
          <w:rFonts w:ascii="Arial" w:hAnsi="Arial" w:cs="Arial"/>
          <w:sz w:val="22"/>
          <w:szCs w:val="22"/>
        </w:rPr>
      </w:pPr>
    </w:p>
    <w:p w14:paraId="37FE0FFD" w14:textId="77777777" w:rsidR="000E0B3E" w:rsidRDefault="000E0B3E" w:rsidP="002744AF">
      <w:pPr>
        <w:spacing w:line="360" w:lineRule="auto"/>
        <w:rPr>
          <w:rFonts w:ascii="Arial" w:hAnsi="Arial" w:cs="Arial"/>
          <w:sz w:val="22"/>
          <w:szCs w:val="22"/>
        </w:rPr>
      </w:pPr>
    </w:p>
    <w:p w14:paraId="77006804" w14:textId="275B45B5" w:rsidR="002744AF" w:rsidRDefault="000E0B3E" w:rsidP="000E0B3E">
      <w:pPr>
        <w:pStyle w:val="Heading2"/>
        <w:rPr>
          <w:b/>
          <w:bCs/>
          <w:i/>
          <w:iCs/>
          <w:color w:val="000000" w:themeColor="text1"/>
          <w:sz w:val="28"/>
          <w:szCs w:val="28"/>
        </w:rPr>
      </w:pPr>
      <w:bookmarkStart w:id="4" w:name="_Toc211877789"/>
      <w:r w:rsidRPr="000E0B3E">
        <w:rPr>
          <w:b/>
          <w:bCs/>
          <w:i/>
          <w:iCs/>
          <w:color w:val="000000" w:themeColor="text1"/>
          <w:sz w:val="28"/>
          <w:szCs w:val="28"/>
        </w:rPr>
        <w:lastRenderedPageBreak/>
        <w:t>2.3. Social Factors:</w:t>
      </w:r>
      <w:bookmarkEnd w:id="4"/>
    </w:p>
    <w:p w14:paraId="2A47C5C1" w14:textId="5F635AC0" w:rsidR="000E0B3E" w:rsidRDefault="00ED3C2C" w:rsidP="00ED3C2C">
      <w:pPr>
        <w:spacing w:line="360" w:lineRule="auto"/>
        <w:rPr>
          <w:rFonts w:ascii="Arial" w:hAnsi="Arial" w:cs="Arial"/>
          <w:sz w:val="22"/>
          <w:szCs w:val="22"/>
        </w:rPr>
      </w:pPr>
      <w:r w:rsidRPr="00ED3C2C">
        <w:rPr>
          <w:rFonts w:ascii="Arial" w:hAnsi="Arial" w:cs="Arial"/>
          <w:sz w:val="22"/>
          <w:szCs w:val="22"/>
        </w:rPr>
        <w:t>Consumers are increasingly concerned with sustainability, digital connectivity, and brand ethics. The growing preference for electric and hybrid vehicles is reshaping customer expectations</w:t>
      </w:r>
      <w:sdt>
        <w:sdtPr>
          <w:rPr>
            <w:rFonts w:ascii="Arial" w:hAnsi="Arial" w:cs="Arial"/>
            <w:sz w:val="22"/>
            <w:szCs w:val="22"/>
          </w:rPr>
          <w:id w:val="-421564914"/>
          <w:citation/>
        </w:sdtPr>
        <w:sdtContent>
          <w:r w:rsidR="000B70C7">
            <w:rPr>
              <w:rFonts w:ascii="Arial" w:hAnsi="Arial" w:cs="Arial"/>
              <w:sz w:val="22"/>
              <w:szCs w:val="22"/>
            </w:rPr>
            <w:fldChar w:fldCharType="begin"/>
          </w:r>
          <w:r w:rsidR="000B70C7">
            <w:rPr>
              <w:rFonts w:ascii="Arial" w:hAnsi="Arial" w:cs="Arial"/>
              <w:sz w:val="22"/>
              <w:szCs w:val="22"/>
              <w:lang w:val="en-US"/>
            </w:rPr>
            <w:instrText xml:space="preserve">CITATION Cle13 \l 1033 </w:instrText>
          </w:r>
          <w:r w:rsidR="000B70C7">
            <w:rPr>
              <w:rFonts w:ascii="Arial" w:hAnsi="Arial" w:cs="Arial"/>
              <w:sz w:val="22"/>
              <w:szCs w:val="22"/>
            </w:rPr>
            <w:fldChar w:fldCharType="separate"/>
          </w:r>
          <w:r w:rsidR="00161368">
            <w:rPr>
              <w:rFonts w:ascii="Arial" w:hAnsi="Arial" w:cs="Arial"/>
              <w:noProof/>
              <w:sz w:val="22"/>
              <w:szCs w:val="22"/>
              <w:lang w:val="en-US"/>
            </w:rPr>
            <w:t xml:space="preserve"> </w:t>
          </w:r>
          <w:r w:rsidR="00161368" w:rsidRPr="00161368">
            <w:rPr>
              <w:rFonts w:ascii="Arial" w:hAnsi="Arial" w:cs="Arial"/>
              <w:noProof/>
              <w:sz w:val="22"/>
              <w:szCs w:val="22"/>
              <w:lang w:val="en-US"/>
            </w:rPr>
            <w:t>(Ben &amp; Simon, 2013)</w:t>
          </w:r>
          <w:r w:rsidR="000B70C7">
            <w:rPr>
              <w:rFonts w:ascii="Arial" w:hAnsi="Arial" w:cs="Arial"/>
              <w:sz w:val="22"/>
              <w:szCs w:val="22"/>
            </w:rPr>
            <w:fldChar w:fldCharType="end"/>
          </w:r>
        </w:sdtContent>
      </w:sdt>
      <w:r w:rsidRPr="00ED3C2C">
        <w:rPr>
          <w:rFonts w:ascii="Arial" w:hAnsi="Arial" w:cs="Arial"/>
          <w:sz w:val="22"/>
          <w:szCs w:val="22"/>
        </w:rPr>
        <w:t>. JLR must adapt its product portfolio to align with the lifestyle values of eco-conscious luxury consumers. Additionally, buyers now expect seamless digital experiences, from in-car connectivity and infotainment systems to online purchasing and personalised services. Social trends also highlight a shift toward ethical consumption, where transparency in sourcing, production practices, and corporate social responsibility influences brand loyalty. By responding to these evolving preferences, JLR can strengthen its reputation, attract younger and more environmentally aware customers, and maintain its position as a leading luxury automaker</w:t>
      </w:r>
      <w:sdt>
        <w:sdtPr>
          <w:rPr>
            <w:rFonts w:ascii="Arial" w:hAnsi="Arial" w:cs="Arial"/>
            <w:sz w:val="22"/>
            <w:szCs w:val="22"/>
          </w:rPr>
          <w:id w:val="-1519762123"/>
          <w:citation/>
        </w:sdtPr>
        <w:sdtContent>
          <w:r w:rsidR="001054FD">
            <w:rPr>
              <w:rFonts w:ascii="Arial" w:hAnsi="Arial" w:cs="Arial"/>
              <w:sz w:val="22"/>
              <w:szCs w:val="22"/>
            </w:rPr>
            <w:fldChar w:fldCharType="begin"/>
          </w:r>
          <w:r w:rsidR="001054FD">
            <w:rPr>
              <w:rFonts w:ascii="Arial" w:hAnsi="Arial" w:cs="Arial"/>
              <w:sz w:val="22"/>
              <w:szCs w:val="22"/>
              <w:lang w:val="en-US"/>
            </w:rPr>
            <w:instrText xml:space="preserve"> CITATION Cle13 \l 1033 </w:instrText>
          </w:r>
          <w:r w:rsidR="001054FD">
            <w:rPr>
              <w:rFonts w:ascii="Arial" w:hAnsi="Arial" w:cs="Arial"/>
              <w:sz w:val="22"/>
              <w:szCs w:val="22"/>
            </w:rPr>
            <w:fldChar w:fldCharType="separate"/>
          </w:r>
          <w:r w:rsidR="00161368">
            <w:rPr>
              <w:rFonts w:ascii="Arial" w:hAnsi="Arial" w:cs="Arial"/>
              <w:noProof/>
              <w:sz w:val="22"/>
              <w:szCs w:val="22"/>
              <w:lang w:val="en-US"/>
            </w:rPr>
            <w:t xml:space="preserve"> </w:t>
          </w:r>
          <w:r w:rsidR="00161368" w:rsidRPr="00161368">
            <w:rPr>
              <w:rFonts w:ascii="Arial" w:hAnsi="Arial" w:cs="Arial"/>
              <w:noProof/>
              <w:sz w:val="22"/>
              <w:szCs w:val="22"/>
              <w:lang w:val="en-US"/>
            </w:rPr>
            <w:t>(Ben &amp; Simon, 2013)</w:t>
          </w:r>
          <w:r w:rsidR="001054FD">
            <w:rPr>
              <w:rFonts w:ascii="Arial" w:hAnsi="Arial" w:cs="Arial"/>
              <w:sz w:val="22"/>
              <w:szCs w:val="22"/>
            </w:rPr>
            <w:fldChar w:fldCharType="end"/>
          </w:r>
        </w:sdtContent>
      </w:sdt>
      <w:r w:rsidRPr="00ED3C2C">
        <w:rPr>
          <w:rFonts w:ascii="Arial" w:hAnsi="Arial" w:cs="Arial"/>
          <w:sz w:val="22"/>
          <w:szCs w:val="22"/>
        </w:rPr>
        <w:t>.</w:t>
      </w:r>
    </w:p>
    <w:p w14:paraId="43F5D697" w14:textId="77777777" w:rsidR="00ED3C2C" w:rsidRDefault="00ED3C2C" w:rsidP="00ED3C2C">
      <w:pPr>
        <w:spacing w:line="360" w:lineRule="auto"/>
        <w:rPr>
          <w:rFonts w:ascii="Arial" w:hAnsi="Arial" w:cs="Arial"/>
          <w:sz w:val="22"/>
          <w:szCs w:val="22"/>
        </w:rPr>
      </w:pPr>
    </w:p>
    <w:p w14:paraId="3D5576ED" w14:textId="5B15DAD9" w:rsidR="00ED3C2C" w:rsidRDefault="00BC4D37" w:rsidP="00BC4D37">
      <w:pPr>
        <w:pStyle w:val="Heading2"/>
        <w:rPr>
          <w:b/>
          <w:bCs/>
          <w:i/>
          <w:iCs/>
          <w:color w:val="000000" w:themeColor="text1"/>
          <w:sz w:val="28"/>
          <w:szCs w:val="28"/>
        </w:rPr>
      </w:pPr>
      <w:bookmarkStart w:id="5" w:name="_Toc211877790"/>
      <w:r w:rsidRPr="00BC4D37">
        <w:rPr>
          <w:b/>
          <w:bCs/>
          <w:i/>
          <w:iCs/>
          <w:color w:val="000000" w:themeColor="text1"/>
          <w:sz w:val="28"/>
          <w:szCs w:val="28"/>
        </w:rPr>
        <w:t>2.4. Technological Factors:</w:t>
      </w:r>
      <w:bookmarkEnd w:id="5"/>
    </w:p>
    <w:p w14:paraId="032E6278" w14:textId="7D8F2060" w:rsidR="00BC4D37" w:rsidRDefault="00673D07" w:rsidP="00673D07">
      <w:pPr>
        <w:spacing w:line="360" w:lineRule="auto"/>
        <w:rPr>
          <w:rFonts w:ascii="Arial" w:hAnsi="Arial" w:cs="Arial"/>
          <w:sz w:val="22"/>
          <w:szCs w:val="22"/>
        </w:rPr>
      </w:pPr>
      <w:r w:rsidRPr="00673D07">
        <w:rPr>
          <w:rFonts w:ascii="Arial" w:hAnsi="Arial" w:cs="Arial"/>
          <w:sz w:val="22"/>
          <w:szCs w:val="22"/>
        </w:rPr>
        <w:t>Significant progress in battery technology, autonomous driving, and digital connectivity is reshaping the competitive landscape in the automotive industry. JLR’s “Reimagine Strategy” highlights its commitment to technological innovation, prioritising the development of a new electric vehicle platform and expanding its software capabilities. Investments such as the Jaguar Electric Architecture (JEA) and collaborations with Nvidia for artificial intelligence integration illustrate JLR’s proactive approach to aligning with emerging industry trends and enhancing its technological leadership.</w:t>
      </w:r>
    </w:p>
    <w:p w14:paraId="3CA32A96" w14:textId="77777777" w:rsidR="0096674D" w:rsidRDefault="0096674D" w:rsidP="00673D07">
      <w:pPr>
        <w:spacing w:line="360" w:lineRule="auto"/>
        <w:rPr>
          <w:rFonts w:ascii="Arial" w:hAnsi="Arial" w:cs="Arial"/>
          <w:sz w:val="22"/>
          <w:szCs w:val="22"/>
        </w:rPr>
      </w:pPr>
    </w:p>
    <w:p w14:paraId="5669E824" w14:textId="1BE41DA4" w:rsidR="00CE57B8" w:rsidRPr="00B80D83" w:rsidRDefault="00BA52C0" w:rsidP="00B80D83">
      <w:pPr>
        <w:pStyle w:val="Heading2"/>
        <w:rPr>
          <w:b/>
          <w:bCs/>
          <w:i/>
          <w:iCs/>
          <w:color w:val="000000" w:themeColor="text1"/>
          <w:sz w:val="28"/>
          <w:szCs w:val="28"/>
        </w:rPr>
      </w:pPr>
      <w:bookmarkStart w:id="6" w:name="_Toc211877791"/>
      <w:r w:rsidRPr="00BA52C0">
        <w:rPr>
          <w:b/>
          <w:bCs/>
          <w:i/>
          <w:iCs/>
          <w:color w:val="000000" w:themeColor="text1"/>
          <w:sz w:val="28"/>
          <w:szCs w:val="28"/>
        </w:rPr>
        <w:t>2.5.</w:t>
      </w:r>
      <w:r w:rsidRPr="00BA52C0">
        <w:rPr>
          <w:rFonts w:asciiTheme="minorHAnsi" w:eastAsiaTheme="minorHAnsi" w:hAnsiTheme="minorHAnsi" w:cstheme="minorBidi"/>
          <w:b/>
          <w:bCs/>
          <w:i/>
          <w:iCs/>
          <w:color w:val="000000" w:themeColor="text1"/>
          <w:sz w:val="22"/>
          <w:szCs w:val="22"/>
        </w:rPr>
        <w:t xml:space="preserve"> </w:t>
      </w:r>
      <w:r w:rsidRPr="00BA52C0">
        <w:rPr>
          <w:b/>
          <w:bCs/>
          <w:i/>
          <w:iCs/>
          <w:color w:val="000000" w:themeColor="text1"/>
          <w:sz w:val="28"/>
          <w:szCs w:val="28"/>
        </w:rPr>
        <w:t>Environmental Factors:</w:t>
      </w:r>
      <w:r w:rsidR="00CE57B8">
        <w:rPr>
          <w:noProof/>
        </w:rPr>
        <w:drawing>
          <wp:anchor distT="0" distB="0" distL="114300" distR="114300" simplePos="0" relativeHeight="251659264" behindDoc="0" locked="0" layoutInCell="1" allowOverlap="1" wp14:anchorId="1F01C07F" wp14:editId="30A9E616">
            <wp:simplePos x="0" y="0"/>
            <wp:positionH relativeFrom="margin">
              <wp:align>right</wp:align>
            </wp:positionH>
            <wp:positionV relativeFrom="paragraph">
              <wp:posOffset>38735</wp:posOffset>
            </wp:positionV>
            <wp:extent cx="2612417" cy="1784350"/>
            <wp:effectExtent l="0" t="0" r="0" b="6350"/>
            <wp:wrapSquare wrapText="bothSides"/>
            <wp:docPr id="365406255" name="Picture 3" descr="A green electric car logo&#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65406255" name="Picture 3" descr="A green electric car logo&#10;&#10;AI-generated content may be incorrect."/>
                    <pic:cNvPicPr/>
                  </pic:nvPicPr>
                  <pic:blipFill>
                    <a:blip r:embed="rId10">
                      <a:extLst>
                        <a:ext uri="{28A0092B-C50C-407E-A947-70E740481C1C}">
                          <a14:useLocalDpi xmlns:a14="http://schemas.microsoft.com/office/drawing/2010/main" val="0"/>
                        </a:ext>
                      </a:extLst>
                    </a:blip>
                    <a:stretch>
                      <a:fillRect/>
                    </a:stretch>
                  </pic:blipFill>
                  <pic:spPr>
                    <a:xfrm>
                      <a:off x="0" y="0"/>
                      <a:ext cx="2612417" cy="1784350"/>
                    </a:xfrm>
                    <a:prstGeom prst="rect">
                      <a:avLst/>
                    </a:prstGeom>
                  </pic:spPr>
                </pic:pic>
              </a:graphicData>
            </a:graphic>
          </wp:anchor>
        </w:drawing>
      </w:r>
      <w:bookmarkEnd w:id="6"/>
    </w:p>
    <w:p w14:paraId="3CB0625D" w14:textId="2AC7EB2C" w:rsidR="00BA52C0" w:rsidRDefault="008122A2" w:rsidP="008122A2">
      <w:pPr>
        <w:spacing w:line="360" w:lineRule="auto"/>
        <w:rPr>
          <w:rFonts w:ascii="Arial" w:hAnsi="Arial" w:cs="Arial"/>
          <w:color w:val="000000" w:themeColor="text1"/>
          <w:sz w:val="22"/>
          <w:szCs w:val="22"/>
        </w:rPr>
      </w:pPr>
      <w:r w:rsidRPr="008122A2">
        <w:rPr>
          <w:rFonts w:ascii="Arial" w:hAnsi="Arial" w:cs="Arial"/>
          <w:color w:val="000000" w:themeColor="text1"/>
          <w:sz w:val="22"/>
          <w:szCs w:val="22"/>
        </w:rPr>
        <w:t>Environmental sustainability is central to automotive competitiveness. The UK’s commitment to phase out petrol and diesel car sales by 2035 pressures JLR to accelerate electrification</w:t>
      </w:r>
      <w:sdt>
        <w:sdtPr>
          <w:rPr>
            <w:rFonts w:ascii="Arial" w:hAnsi="Arial" w:cs="Arial"/>
            <w:color w:val="000000" w:themeColor="text1"/>
            <w:sz w:val="22"/>
            <w:szCs w:val="22"/>
          </w:rPr>
          <w:id w:val="-1196389870"/>
          <w:citation/>
        </w:sdtPr>
        <w:sdtContent>
          <w:r w:rsidR="007C7C9B">
            <w:rPr>
              <w:rFonts w:ascii="Arial" w:hAnsi="Arial" w:cs="Arial"/>
              <w:color w:val="000000" w:themeColor="text1"/>
              <w:sz w:val="22"/>
              <w:szCs w:val="22"/>
            </w:rPr>
            <w:fldChar w:fldCharType="begin"/>
          </w:r>
          <w:r w:rsidR="007C7C9B">
            <w:rPr>
              <w:rFonts w:ascii="Arial" w:hAnsi="Arial" w:cs="Arial"/>
              <w:color w:val="000000" w:themeColor="text1"/>
              <w:sz w:val="22"/>
              <w:szCs w:val="22"/>
              <w:lang w:val="en-US"/>
            </w:rPr>
            <w:instrText xml:space="preserve"> CITATION Wal20 \l 1033 </w:instrText>
          </w:r>
          <w:r w:rsidR="007C7C9B">
            <w:rPr>
              <w:rFonts w:ascii="Arial" w:hAnsi="Arial" w:cs="Arial"/>
              <w:color w:val="000000" w:themeColor="text1"/>
              <w:sz w:val="22"/>
              <w:szCs w:val="22"/>
            </w:rPr>
            <w:fldChar w:fldCharType="separate"/>
          </w:r>
          <w:r w:rsidR="00161368">
            <w:rPr>
              <w:rFonts w:ascii="Arial" w:hAnsi="Arial" w:cs="Arial"/>
              <w:noProof/>
              <w:color w:val="000000" w:themeColor="text1"/>
              <w:sz w:val="22"/>
              <w:szCs w:val="22"/>
              <w:lang w:val="en-US"/>
            </w:rPr>
            <w:t xml:space="preserve"> </w:t>
          </w:r>
          <w:r w:rsidR="00161368" w:rsidRPr="00161368">
            <w:rPr>
              <w:rFonts w:ascii="Arial" w:hAnsi="Arial" w:cs="Arial"/>
              <w:noProof/>
              <w:color w:val="000000" w:themeColor="text1"/>
              <w:sz w:val="22"/>
              <w:szCs w:val="22"/>
              <w:lang w:val="en-US"/>
            </w:rPr>
            <w:t>(Walker, 2020)</w:t>
          </w:r>
          <w:r w:rsidR="007C7C9B">
            <w:rPr>
              <w:rFonts w:ascii="Arial" w:hAnsi="Arial" w:cs="Arial"/>
              <w:color w:val="000000" w:themeColor="text1"/>
              <w:sz w:val="22"/>
              <w:szCs w:val="22"/>
            </w:rPr>
            <w:fldChar w:fldCharType="end"/>
          </w:r>
        </w:sdtContent>
      </w:sdt>
      <w:r w:rsidRPr="008122A2">
        <w:rPr>
          <w:rFonts w:ascii="Arial" w:hAnsi="Arial" w:cs="Arial"/>
          <w:color w:val="000000" w:themeColor="text1"/>
          <w:sz w:val="22"/>
          <w:szCs w:val="22"/>
        </w:rPr>
        <w:t>. The company’s target to achieve net-zero carbon emissions by 2039 aligns with global ESG priorities and improves brand legitimacy.</w:t>
      </w:r>
      <w:r w:rsidR="00652A95">
        <w:rPr>
          <w:rFonts w:ascii="Arial" w:hAnsi="Arial" w:cs="Arial"/>
          <w:color w:val="000000" w:themeColor="text1"/>
          <w:sz w:val="22"/>
          <w:szCs w:val="22"/>
        </w:rPr>
        <w:tab/>
      </w:r>
      <w:r w:rsidR="00652A95">
        <w:rPr>
          <w:rFonts w:ascii="Arial" w:hAnsi="Arial" w:cs="Arial"/>
          <w:color w:val="000000" w:themeColor="text1"/>
          <w:sz w:val="22"/>
          <w:szCs w:val="22"/>
        </w:rPr>
        <w:tab/>
      </w:r>
      <w:r w:rsidR="00652A95">
        <w:rPr>
          <w:rFonts w:ascii="Arial" w:hAnsi="Arial" w:cs="Arial"/>
          <w:color w:val="000000" w:themeColor="text1"/>
          <w:sz w:val="22"/>
          <w:szCs w:val="22"/>
        </w:rPr>
        <w:tab/>
      </w:r>
      <w:r w:rsidR="00652A95">
        <w:rPr>
          <w:rFonts w:ascii="Arial" w:hAnsi="Arial" w:cs="Arial"/>
          <w:color w:val="000000" w:themeColor="text1"/>
          <w:sz w:val="22"/>
          <w:szCs w:val="22"/>
        </w:rPr>
        <w:tab/>
      </w:r>
      <w:r w:rsidR="00652A95">
        <w:rPr>
          <w:rFonts w:ascii="Arial" w:hAnsi="Arial" w:cs="Arial"/>
          <w:color w:val="000000" w:themeColor="text1"/>
          <w:sz w:val="22"/>
          <w:szCs w:val="22"/>
        </w:rPr>
        <w:tab/>
      </w:r>
      <w:r w:rsidR="00652A95">
        <w:rPr>
          <w:rFonts w:ascii="Arial" w:hAnsi="Arial" w:cs="Arial"/>
          <w:color w:val="000000" w:themeColor="text1"/>
          <w:sz w:val="22"/>
          <w:szCs w:val="22"/>
        </w:rPr>
        <w:tab/>
        <w:t xml:space="preserve">      Fig.2.</w:t>
      </w:r>
    </w:p>
    <w:p w14:paraId="5B315212" w14:textId="77777777" w:rsidR="002A6DEF" w:rsidRDefault="002A6DEF" w:rsidP="008122A2">
      <w:pPr>
        <w:spacing w:line="360" w:lineRule="auto"/>
        <w:rPr>
          <w:rFonts w:ascii="Arial" w:hAnsi="Arial" w:cs="Arial"/>
          <w:color w:val="000000" w:themeColor="text1"/>
          <w:sz w:val="22"/>
          <w:szCs w:val="22"/>
        </w:rPr>
      </w:pPr>
    </w:p>
    <w:p w14:paraId="7328123D" w14:textId="77777777" w:rsidR="002A6DEF" w:rsidRDefault="002A6DEF" w:rsidP="008122A2">
      <w:pPr>
        <w:spacing w:line="360" w:lineRule="auto"/>
        <w:rPr>
          <w:rFonts w:ascii="Arial" w:hAnsi="Arial" w:cs="Arial"/>
          <w:color w:val="000000" w:themeColor="text1"/>
          <w:sz w:val="22"/>
          <w:szCs w:val="22"/>
        </w:rPr>
      </w:pPr>
    </w:p>
    <w:p w14:paraId="6AD77047" w14:textId="659BA2EE" w:rsidR="00B848F1" w:rsidRPr="00B80D83" w:rsidRDefault="002A6DEF" w:rsidP="00B80D83">
      <w:pPr>
        <w:pStyle w:val="Heading2"/>
        <w:rPr>
          <w:b/>
          <w:bCs/>
          <w:i/>
          <w:iCs/>
          <w:color w:val="000000" w:themeColor="text1"/>
          <w:sz w:val="28"/>
          <w:szCs w:val="28"/>
        </w:rPr>
      </w:pPr>
      <w:bookmarkStart w:id="7" w:name="_Toc211877792"/>
      <w:r w:rsidRPr="002A6DEF">
        <w:rPr>
          <w:b/>
          <w:bCs/>
          <w:i/>
          <w:iCs/>
          <w:color w:val="000000" w:themeColor="text1"/>
          <w:sz w:val="28"/>
          <w:szCs w:val="28"/>
        </w:rPr>
        <w:lastRenderedPageBreak/>
        <w:t>2.6.</w:t>
      </w:r>
      <w:r w:rsidRPr="002A6DEF">
        <w:rPr>
          <w:rFonts w:asciiTheme="minorHAnsi" w:eastAsiaTheme="minorHAnsi" w:hAnsiTheme="minorHAnsi" w:cstheme="minorBidi"/>
          <w:b/>
          <w:bCs/>
          <w:i/>
          <w:iCs/>
          <w:color w:val="000000" w:themeColor="text1"/>
          <w:sz w:val="22"/>
          <w:szCs w:val="22"/>
        </w:rPr>
        <w:t xml:space="preserve"> </w:t>
      </w:r>
      <w:r w:rsidRPr="002A6DEF">
        <w:rPr>
          <w:b/>
          <w:bCs/>
          <w:i/>
          <w:iCs/>
          <w:color w:val="000000" w:themeColor="text1"/>
          <w:sz w:val="28"/>
          <w:szCs w:val="28"/>
        </w:rPr>
        <w:t>Legal Factors:</w:t>
      </w:r>
      <w:bookmarkEnd w:id="7"/>
    </w:p>
    <w:p w14:paraId="6DF7477F" w14:textId="5ED99CF4" w:rsidR="002B510B" w:rsidRDefault="00197414" w:rsidP="00197414">
      <w:pPr>
        <w:spacing w:line="360" w:lineRule="auto"/>
        <w:rPr>
          <w:rFonts w:ascii="Arial" w:hAnsi="Arial" w:cs="Arial"/>
          <w:sz w:val="22"/>
          <w:szCs w:val="22"/>
        </w:rPr>
      </w:pPr>
      <w:r w:rsidRPr="00197414">
        <w:rPr>
          <w:rFonts w:ascii="Arial" w:hAnsi="Arial" w:cs="Arial"/>
          <w:sz w:val="22"/>
          <w:szCs w:val="22"/>
        </w:rPr>
        <w:t>Compliance with international emissions standards (EU, US and China) and data protection regulations affects production design, connected vehicle technology and overall operational processes. Failure to meet CO</w:t>
      </w:r>
      <w:r w:rsidRPr="00197414">
        <w:rPr>
          <w:rFonts w:ascii="Cambria Math" w:hAnsi="Cambria Math" w:cs="Cambria Math"/>
          <w:sz w:val="22"/>
          <w:szCs w:val="22"/>
        </w:rPr>
        <w:t>₂</w:t>
      </w:r>
      <w:r w:rsidRPr="00197414">
        <w:rPr>
          <w:rFonts w:ascii="Arial" w:hAnsi="Arial" w:cs="Arial"/>
          <w:sz w:val="22"/>
          <w:szCs w:val="22"/>
        </w:rPr>
        <w:t xml:space="preserve"> targets could lead not only to financial penalties but also to significant reputational damage, impacting consumer trust and brand value. Additionally, evolving safety standards, intellectual property laws, and cybersecurity regulations require ongoing monitoring and adaptation. JLR’s proactive approach to legal compliance</w:t>
      </w:r>
      <w:r w:rsidR="00B278E0">
        <w:rPr>
          <w:rFonts w:ascii="Arial" w:hAnsi="Arial" w:cs="Arial"/>
          <w:sz w:val="22"/>
          <w:szCs w:val="22"/>
        </w:rPr>
        <w:t xml:space="preserve"> </w:t>
      </w:r>
      <w:r w:rsidRPr="00197414">
        <w:rPr>
          <w:rFonts w:ascii="Arial" w:hAnsi="Arial" w:cs="Arial"/>
          <w:sz w:val="22"/>
          <w:szCs w:val="22"/>
        </w:rPr>
        <w:t>including rigorous testing, adherence to global standards, and robust data security measures</w:t>
      </w:r>
      <w:r w:rsidR="00B278E0">
        <w:rPr>
          <w:rFonts w:ascii="Arial" w:hAnsi="Arial" w:cs="Arial"/>
          <w:sz w:val="22"/>
          <w:szCs w:val="22"/>
        </w:rPr>
        <w:t xml:space="preserve"> </w:t>
      </w:r>
      <w:r w:rsidRPr="00197414">
        <w:rPr>
          <w:rFonts w:ascii="Arial" w:hAnsi="Arial" w:cs="Arial"/>
          <w:sz w:val="22"/>
          <w:szCs w:val="22"/>
        </w:rPr>
        <w:t xml:space="preserve">is essential for sustaining international operations, avoiding </w:t>
      </w:r>
      <w:r w:rsidR="00B278E0" w:rsidRPr="00197414">
        <w:rPr>
          <w:rFonts w:ascii="Arial" w:hAnsi="Arial" w:cs="Arial"/>
          <w:sz w:val="22"/>
          <w:szCs w:val="22"/>
        </w:rPr>
        <w:t>lawsuit</w:t>
      </w:r>
      <w:r w:rsidRPr="00197414">
        <w:rPr>
          <w:rFonts w:ascii="Arial" w:hAnsi="Arial" w:cs="Arial"/>
          <w:sz w:val="22"/>
          <w:szCs w:val="22"/>
        </w:rPr>
        <w:t xml:space="preserve"> and maintaining a competitive edge in increasingly regulated global markets.</w:t>
      </w:r>
    </w:p>
    <w:p w14:paraId="11FDD64A" w14:textId="152055F2" w:rsidR="002B510B" w:rsidRDefault="00361AB5" w:rsidP="00361AB5">
      <w:pPr>
        <w:pStyle w:val="Heading1"/>
        <w:rPr>
          <w:rFonts w:ascii="Arial" w:hAnsi="Arial" w:cs="Arial"/>
          <w:b/>
          <w:bCs/>
          <w:color w:val="000000" w:themeColor="text1"/>
          <w:sz w:val="28"/>
          <w:szCs w:val="28"/>
        </w:rPr>
      </w:pPr>
      <w:bookmarkStart w:id="8" w:name="_Toc211877793"/>
      <w:r w:rsidRPr="00B80D83">
        <w:rPr>
          <w:rFonts w:ascii="Arial" w:hAnsi="Arial" w:cs="Arial"/>
          <w:b/>
          <w:bCs/>
          <w:color w:val="000000" w:themeColor="text1"/>
          <w:sz w:val="28"/>
          <w:szCs w:val="28"/>
        </w:rPr>
        <w:t>3.</w:t>
      </w:r>
      <w:r w:rsidRPr="00B80D83">
        <w:rPr>
          <w:rFonts w:ascii="Arial" w:eastAsiaTheme="minorHAnsi" w:hAnsi="Arial" w:cs="Arial"/>
          <w:b/>
          <w:bCs/>
          <w:color w:val="000000" w:themeColor="text1"/>
          <w:sz w:val="18"/>
          <w:szCs w:val="18"/>
        </w:rPr>
        <w:t xml:space="preserve"> </w:t>
      </w:r>
      <w:r w:rsidRPr="00B80D83">
        <w:rPr>
          <w:rFonts w:ascii="Arial" w:hAnsi="Arial" w:cs="Arial"/>
          <w:b/>
          <w:bCs/>
          <w:color w:val="000000" w:themeColor="text1"/>
          <w:sz w:val="28"/>
          <w:szCs w:val="28"/>
        </w:rPr>
        <w:t>In</w:t>
      </w:r>
      <w:r w:rsidR="00701556">
        <w:rPr>
          <w:rFonts w:ascii="Arial" w:hAnsi="Arial" w:cs="Arial"/>
          <w:b/>
          <w:bCs/>
          <w:color w:val="000000" w:themeColor="text1"/>
          <w:sz w:val="28"/>
          <w:szCs w:val="28"/>
        </w:rPr>
        <w:t>dustry</w:t>
      </w:r>
      <w:r w:rsidRPr="00B80D83">
        <w:rPr>
          <w:rFonts w:ascii="Arial" w:hAnsi="Arial" w:cs="Arial"/>
          <w:b/>
          <w:bCs/>
          <w:color w:val="000000" w:themeColor="text1"/>
          <w:sz w:val="28"/>
          <w:szCs w:val="28"/>
        </w:rPr>
        <w:t xml:space="preserve"> Environment Analysis (Porter’s Five Forces).</w:t>
      </w:r>
      <w:bookmarkEnd w:id="8"/>
    </w:p>
    <w:p w14:paraId="3CB3A5D0" w14:textId="77777777" w:rsidR="001A3288" w:rsidRPr="001A3288" w:rsidRDefault="001A3288" w:rsidP="001A3288"/>
    <w:tbl>
      <w:tblPr>
        <w:tblStyle w:val="TableGrid"/>
        <w:tblW w:w="0" w:type="auto"/>
        <w:jc w:val="center"/>
        <w:tblLook w:val="04A0" w:firstRow="1" w:lastRow="0" w:firstColumn="1" w:lastColumn="0" w:noHBand="0" w:noVBand="1"/>
      </w:tblPr>
      <w:tblGrid>
        <w:gridCol w:w="4508"/>
        <w:gridCol w:w="4217"/>
        <w:gridCol w:w="291"/>
      </w:tblGrid>
      <w:tr w:rsidR="000E6FB8" w14:paraId="67470832" w14:textId="77777777" w:rsidTr="00885D66">
        <w:trPr>
          <w:trHeight w:val="773"/>
          <w:jc w:val="center"/>
        </w:trPr>
        <w:tc>
          <w:tcPr>
            <w:tcW w:w="8725" w:type="dxa"/>
            <w:gridSpan w:val="2"/>
            <w:tcBorders>
              <w:right w:val="nil"/>
            </w:tcBorders>
          </w:tcPr>
          <w:p w14:paraId="022DA346" w14:textId="0021B8CA" w:rsidR="000E6FB8" w:rsidRPr="00885D66" w:rsidRDefault="00D1049C" w:rsidP="00D1049C">
            <w:pPr>
              <w:jc w:val="center"/>
              <w:rPr>
                <w:rFonts w:ascii="Arial" w:hAnsi="Arial" w:cs="Arial"/>
                <w:b/>
                <w:bCs/>
                <w:i/>
                <w:iCs/>
                <w:sz w:val="22"/>
                <w:szCs w:val="22"/>
                <w:u w:val="single"/>
              </w:rPr>
            </w:pPr>
            <w:r w:rsidRPr="00885D66">
              <w:rPr>
                <w:rFonts w:ascii="Arial" w:hAnsi="Arial" w:cs="Arial"/>
                <w:b/>
                <w:bCs/>
                <w:i/>
                <w:iCs/>
                <w:sz w:val="22"/>
                <w:szCs w:val="22"/>
                <w:u w:val="single"/>
              </w:rPr>
              <w:t>Michael Porter’s framework highlights competitive pressures influencing JLR’s strategic positioning.</w:t>
            </w:r>
          </w:p>
        </w:tc>
        <w:tc>
          <w:tcPr>
            <w:tcW w:w="291" w:type="dxa"/>
            <w:tcBorders>
              <w:left w:val="nil"/>
            </w:tcBorders>
          </w:tcPr>
          <w:p w14:paraId="2BDD63B6" w14:textId="77777777" w:rsidR="000E6FB8" w:rsidRPr="00396454" w:rsidRDefault="000E6FB8" w:rsidP="00D1049C">
            <w:pPr>
              <w:jc w:val="center"/>
              <w:rPr>
                <w:rFonts w:ascii="Arial" w:hAnsi="Arial" w:cs="Arial"/>
              </w:rPr>
            </w:pPr>
          </w:p>
        </w:tc>
      </w:tr>
      <w:tr w:rsidR="000E6FB8" w14:paraId="01265AE1" w14:textId="77777777" w:rsidTr="00D1049C">
        <w:trPr>
          <w:jc w:val="center"/>
        </w:trPr>
        <w:tc>
          <w:tcPr>
            <w:tcW w:w="4508" w:type="dxa"/>
          </w:tcPr>
          <w:p w14:paraId="2B125728" w14:textId="12A13D54" w:rsidR="000E6FB8" w:rsidRPr="00C71EDD" w:rsidRDefault="00885D66" w:rsidP="00C71EDD">
            <w:pPr>
              <w:jc w:val="center"/>
              <w:rPr>
                <w:rFonts w:ascii="Arial" w:hAnsi="Arial" w:cs="Arial"/>
                <w:b/>
                <w:bCs/>
                <w:i/>
                <w:iCs/>
                <w:sz w:val="22"/>
                <w:szCs w:val="22"/>
                <w:u w:val="single"/>
              </w:rPr>
            </w:pPr>
            <w:r w:rsidRPr="00C71EDD">
              <w:rPr>
                <w:rFonts w:ascii="Arial" w:hAnsi="Arial" w:cs="Arial"/>
                <w:b/>
                <w:bCs/>
                <w:i/>
                <w:iCs/>
                <w:sz w:val="22"/>
                <w:szCs w:val="22"/>
                <w:u w:val="single"/>
              </w:rPr>
              <w:t>Hight</w:t>
            </w:r>
            <w:r w:rsidR="00C71EDD">
              <w:rPr>
                <w:rFonts w:ascii="Arial" w:hAnsi="Arial" w:cs="Arial"/>
                <w:b/>
                <w:bCs/>
                <w:i/>
                <w:iCs/>
                <w:sz w:val="22"/>
                <w:szCs w:val="22"/>
                <w:u w:val="single"/>
              </w:rPr>
              <w:t>:</w:t>
            </w:r>
          </w:p>
        </w:tc>
        <w:tc>
          <w:tcPr>
            <w:tcW w:w="4508" w:type="dxa"/>
            <w:gridSpan w:val="2"/>
          </w:tcPr>
          <w:p w14:paraId="79A67012" w14:textId="4EBA686D" w:rsidR="000E6FB8" w:rsidRPr="00C71EDD" w:rsidRDefault="00885D66" w:rsidP="00C71EDD">
            <w:pPr>
              <w:jc w:val="center"/>
              <w:rPr>
                <w:rFonts w:ascii="Arial" w:hAnsi="Arial" w:cs="Arial"/>
                <w:b/>
                <w:bCs/>
                <w:i/>
                <w:iCs/>
                <w:sz w:val="22"/>
                <w:szCs w:val="22"/>
                <w:u w:val="single"/>
              </w:rPr>
            </w:pPr>
            <w:r w:rsidRPr="00C71EDD">
              <w:rPr>
                <w:rFonts w:ascii="Arial" w:hAnsi="Arial" w:cs="Arial"/>
                <w:b/>
                <w:bCs/>
                <w:i/>
                <w:iCs/>
                <w:sz w:val="22"/>
                <w:szCs w:val="22"/>
                <w:u w:val="single"/>
              </w:rPr>
              <w:t>Moderate</w:t>
            </w:r>
            <w:r w:rsidR="00C71EDD">
              <w:rPr>
                <w:rFonts w:ascii="Arial" w:hAnsi="Arial" w:cs="Arial"/>
                <w:b/>
                <w:bCs/>
                <w:i/>
                <w:iCs/>
                <w:sz w:val="22"/>
                <w:szCs w:val="22"/>
                <w:u w:val="single"/>
              </w:rPr>
              <w:t>:</w:t>
            </w:r>
          </w:p>
        </w:tc>
      </w:tr>
      <w:tr w:rsidR="000E6FB8" w14:paraId="25EB9345" w14:textId="77777777" w:rsidTr="0015674B">
        <w:trPr>
          <w:jc w:val="center"/>
        </w:trPr>
        <w:tc>
          <w:tcPr>
            <w:tcW w:w="4508" w:type="dxa"/>
          </w:tcPr>
          <w:p w14:paraId="4DBD0710" w14:textId="50B13309" w:rsidR="00DE5DD3" w:rsidRPr="000B6D21" w:rsidRDefault="00DE5DD3" w:rsidP="000B6D21">
            <w:pPr>
              <w:pStyle w:val="ListParagraph"/>
              <w:numPr>
                <w:ilvl w:val="0"/>
                <w:numId w:val="1"/>
              </w:numPr>
              <w:spacing w:line="360" w:lineRule="auto"/>
              <w:rPr>
                <w:rFonts w:ascii="Arial" w:hAnsi="Arial" w:cs="Arial"/>
                <w:b/>
                <w:bCs/>
                <w:i/>
                <w:iCs/>
                <w:sz w:val="22"/>
                <w:szCs w:val="22"/>
              </w:rPr>
            </w:pPr>
            <w:r w:rsidRPr="000B6D21">
              <w:rPr>
                <w:rFonts w:ascii="Arial" w:hAnsi="Arial" w:cs="Arial"/>
                <w:b/>
                <w:bCs/>
                <w:i/>
                <w:iCs/>
                <w:sz w:val="22"/>
                <w:szCs w:val="22"/>
              </w:rPr>
              <w:t>Rivalry among Existing Competitors –</w:t>
            </w:r>
          </w:p>
          <w:p w14:paraId="3779126D" w14:textId="42566899" w:rsidR="000E6FB8" w:rsidRPr="00C262A0" w:rsidRDefault="00DE5DD3" w:rsidP="00C262A0">
            <w:pPr>
              <w:spacing w:line="360" w:lineRule="auto"/>
              <w:rPr>
                <w:rFonts w:ascii="Arial" w:hAnsi="Arial" w:cs="Arial"/>
                <w:sz w:val="22"/>
                <w:szCs w:val="22"/>
              </w:rPr>
            </w:pPr>
            <w:r w:rsidRPr="00C262A0">
              <w:rPr>
                <w:rFonts w:ascii="Arial" w:hAnsi="Arial" w:cs="Arial"/>
                <w:sz w:val="22"/>
                <w:szCs w:val="22"/>
              </w:rPr>
              <w:t>JLR faces intense competition from premium automakers such as BMW, Mercedes-Benz, Audi, and Tesla. Innovation speed, brand perception and sustainability are key competitive differentiators.</w:t>
            </w:r>
          </w:p>
        </w:tc>
        <w:tc>
          <w:tcPr>
            <w:tcW w:w="4508" w:type="dxa"/>
            <w:gridSpan w:val="2"/>
            <w:tcBorders>
              <w:bottom w:val="single" w:sz="4" w:space="0" w:color="auto"/>
            </w:tcBorders>
          </w:tcPr>
          <w:p w14:paraId="2D5C71AD" w14:textId="6AAB8E31" w:rsidR="00C16189" w:rsidRPr="00A84796" w:rsidRDefault="00C16189" w:rsidP="00A84796">
            <w:pPr>
              <w:pStyle w:val="ListParagraph"/>
              <w:numPr>
                <w:ilvl w:val="0"/>
                <w:numId w:val="1"/>
              </w:numPr>
              <w:spacing w:line="360" w:lineRule="auto"/>
              <w:rPr>
                <w:rFonts w:ascii="Arial" w:hAnsi="Arial" w:cs="Arial"/>
                <w:sz w:val="22"/>
                <w:szCs w:val="22"/>
              </w:rPr>
            </w:pPr>
            <w:r w:rsidRPr="00A84796">
              <w:rPr>
                <w:rFonts w:ascii="Arial" w:hAnsi="Arial" w:cs="Arial"/>
                <w:b/>
                <w:bCs/>
                <w:i/>
                <w:iCs/>
                <w:sz w:val="22"/>
                <w:szCs w:val="22"/>
              </w:rPr>
              <w:t>Threat of New Entrants –</w:t>
            </w:r>
            <w:r w:rsidRPr="00A84796">
              <w:rPr>
                <w:rFonts w:ascii="Arial" w:hAnsi="Arial" w:cs="Arial"/>
                <w:sz w:val="22"/>
                <w:szCs w:val="22"/>
              </w:rPr>
              <w:t xml:space="preserve"> </w:t>
            </w:r>
          </w:p>
          <w:p w14:paraId="3AC4AB47" w14:textId="3CFFBDA7" w:rsidR="000E6FB8" w:rsidRPr="00C262A0" w:rsidRDefault="00C16189" w:rsidP="00C262A0">
            <w:pPr>
              <w:spacing w:line="360" w:lineRule="auto"/>
              <w:rPr>
                <w:rFonts w:ascii="Arial" w:hAnsi="Arial" w:cs="Arial"/>
                <w:sz w:val="22"/>
                <w:szCs w:val="22"/>
              </w:rPr>
            </w:pPr>
            <w:r w:rsidRPr="00C262A0">
              <w:rPr>
                <w:rFonts w:ascii="Arial" w:hAnsi="Arial" w:cs="Arial"/>
                <w:sz w:val="22"/>
                <w:szCs w:val="22"/>
              </w:rPr>
              <w:t>High capital investment, brand loyalty</w:t>
            </w:r>
            <w:r w:rsidR="000B6D21">
              <w:rPr>
                <w:rFonts w:ascii="Arial" w:hAnsi="Arial" w:cs="Arial"/>
                <w:sz w:val="22"/>
                <w:szCs w:val="22"/>
              </w:rPr>
              <w:t xml:space="preserve"> </w:t>
            </w:r>
            <w:r w:rsidRPr="00C262A0">
              <w:rPr>
                <w:rFonts w:ascii="Arial" w:hAnsi="Arial" w:cs="Arial"/>
                <w:sz w:val="22"/>
                <w:szCs w:val="22"/>
              </w:rPr>
              <w:t>and technological barriers deter most new entrants. However, EV startups like Rivian and Lucid demonstrate that disruption remains possible through innovation and niche targeting.</w:t>
            </w:r>
          </w:p>
        </w:tc>
      </w:tr>
      <w:tr w:rsidR="000E6FB8" w14:paraId="3B68B16B" w14:textId="77777777" w:rsidTr="0015674B">
        <w:trPr>
          <w:trHeight w:val="2250"/>
          <w:jc w:val="center"/>
        </w:trPr>
        <w:tc>
          <w:tcPr>
            <w:tcW w:w="4508" w:type="dxa"/>
          </w:tcPr>
          <w:p w14:paraId="0CA440E8" w14:textId="13918ED0" w:rsidR="00A85F32" w:rsidRPr="000B6D21" w:rsidRDefault="00A85F32" w:rsidP="000B6D21">
            <w:pPr>
              <w:pStyle w:val="ListParagraph"/>
              <w:numPr>
                <w:ilvl w:val="0"/>
                <w:numId w:val="1"/>
              </w:numPr>
              <w:spacing w:line="360" w:lineRule="auto"/>
              <w:rPr>
                <w:rFonts w:ascii="Arial" w:hAnsi="Arial" w:cs="Arial"/>
                <w:sz w:val="22"/>
                <w:szCs w:val="22"/>
              </w:rPr>
            </w:pPr>
            <w:r w:rsidRPr="000B6D21">
              <w:rPr>
                <w:rFonts w:ascii="Arial" w:hAnsi="Arial" w:cs="Arial"/>
                <w:b/>
                <w:bCs/>
                <w:i/>
                <w:iCs/>
                <w:sz w:val="22"/>
                <w:szCs w:val="22"/>
              </w:rPr>
              <w:t>Bargaining Power of Suppliers –</w:t>
            </w:r>
            <w:r w:rsidRPr="000B6D21">
              <w:rPr>
                <w:rFonts w:ascii="Arial" w:hAnsi="Arial" w:cs="Arial"/>
                <w:sz w:val="22"/>
                <w:szCs w:val="22"/>
              </w:rPr>
              <w:t xml:space="preserve"> </w:t>
            </w:r>
          </w:p>
          <w:p w14:paraId="597D74B0" w14:textId="145ABBE2" w:rsidR="000E6FB8" w:rsidRPr="00C262A0" w:rsidRDefault="00A85F32" w:rsidP="00C262A0">
            <w:pPr>
              <w:spacing w:line="360" w:lineRule="auto"/>
              <w:rPr>
                <w:rFonts w:ascii="Arial" w:hAnsi="Arial" w:cs="Arial"/>
                <w:sz w:val="22"/>
                <w:szCs w:val="22"/>
              </w:rPr>
            </w:pPr>
            <w:r w:rsidRPr="00C262A0">
              <w:rPr>
                <w:rFonts w:ascii="Arial" w:hAnsi="Arial" w:cs="Arial"/>
                <w:sz w:val="22"/>
                <w:szCs w:val="22"/>
              </w:rPr>
              <w:t>Dependence on battery and semiconductor suppliers increases supply chain vulnerability. JLR’s partnership with Tata Group’s battery manufacturing division aims to reduce supplier dependence.</w:t>
            </w:r>
          </w:p>
        </w:tc>
        <w:tc>
          <w:tcPr>
            <w:tcW w:w="4508" w:type="dxa"/>
            <w:gridSpan w:val="2"/>
            <w:tcBorders>
              <w:bottom w:val="nil"/>
            </w:tcBorders>
          </w:tcPr>
          <w:p w14:paraId="16D5AC00" w14:textId="3A1B82B0" w:rsidR="007C3D75" w:rsidRPr="00A84796" w:rsidRDefault="007C3D75" w:rsidP="00A84796">
            <w:pPr>
              <w:pStyle w:val="ListParagraph"/>
              <w:numPr>
                <w:ilvl w:val="0"/>
                <w:numId w:val="1"/>
              </w:numPr>
              <w:spacing w:line="360" w:lineRule="auto"/>
              <w:rPr>
                <w:rFonts w:ascii="Arial" w:hAnsi="Arial" w:cs="Arial"/>
                <w:sz w:val="22"/>
                <w:szCs w:val="22"/>
              </w:rPr>
            </w:pPr>
            <w:r w:rsidRPr="00A84796">
              <w:rPr>
                <w:rFonts w:ascii="Arial" w:hAnsi="Arial" w:cs="Arial"/>
                <w:b/>
                <w:bCs/>
                <w:i/>
                <w:iCs/>
                <w:sz w:val="22"/>
                <w:szCs w:val="22"/>
              </w:rPr>
              <w:t>Threat of Substitutes –</w:t>
            </w:r>
            <w:r w:rsidRPr="00A84796">
              <w:rPr>
                <w:rFonts w:ascii="Arial" w:hAnsi="Arial" w:cs="Arial"/>
                <w:sz w:val="22"/>
                <w:szCs w:val="22"/>
              </w:rPr>
              <w:t xml:space="preserve"> </w:t>
            </w:r>
          </w:p>
          <w:p w14:paraId="68B51BEE" w14:textId="77777777" w:rsidR="000B6D21" w:rsidRDefault="007C3D75" w:rsidP="00C262A0">
            <w:pPr>
              <w:spacing w:line="360" w:lineRule="auto"/>
              <w:rPr>
                <w:rFonts w:ascii="Arial" w:hAnsi="Arial" w:cs="Arial"/>
                <w:sz w:val="22"/>
                <w:szCs w:val="22"/>
              </w:rPr>
            </w:pPr>
            <w:r w:rsidRPr="00C262A0">
              <w:rPr>
                <w:rFonts w:ascii="Arial" w:hAnsi="Arial" w:cs="Arial"/>
                <w:sz w:val="22"/>
                <w:szCs w:val="22"/>
              </w:rPr>
              <w:t xml:space="preserve">Growing urbanisation and digital mobility solutions (e.g., Uber) can reduce private vehicle ownership. </w:t>
            </w:r>
          </w:p>
          <w:p w14:paraId="672E4FD0" w14:textId="4FB187D7" w:rsidR="000E6FB8" w:rsidRPr="00C262A0" w:rsidRDefault="007C3D75" w:rsidP="00C262A0">
            <w:pPr>
              <w:spacing w:line="360" w:lineRule="auto"/>
              <w:rPr>
                <w:rFonts w:ascii="Arial" w:hAnsi="Arial" w:cs="Arial"/>
                <w:sz w:val="22"/>
                <w:szCs w:val="22"/>
              </w:rPr>
            </w:pPr>
            <w:r w:rsidRPr="00C262A0">
              <w:rPr>
                <w:rFonts w:ascii="Arial" w:hAnsi="Arial" w:cs="Arial"/>
                <w:sz w:val="22"/>
                <w:szCs w:val="22"/>
              </w:rPr>
              <w:t>JLR’s response through connected vehicle services can mitigate this risk.</w:t>
            </w:r>
          </w:p>
          <w:p w14:paraId="3CF26DBD" w14:textId="1E342A29" w:rsidR="00540E48" w:rsidRPr="00C262A0" w:rsidRDefault="00540E48" w:rsidP="00C262A0">
            <w:pPr>
              <w:spacing w:line="360" w:lineRule="auto"/>
              <w:rPr>
                <w:rFonts w:ascii="Arial" w:hAnsi="Arial" w:cs="Arial"/>
                <w:sz w:val="22"/>
                <w:szCs w:val="22"/>
              </w:rPr>
            </w:pPr>
          </w:p>
        </w:tc>
      </w:tr>
      <w:tr w:rsidR="00A85F32" w14:paraId="750CD7D2" w14:textId="77777777" w:rsidTr="0015674B">
        <w:trPr>
          <w:trHeight w:val="350"/>
          <w:jc w:val="center"/>
        </w:trPr>
        <w:tc>
          <w:tcPr>
            <w:tcW w:w="4508" w:type="dxa"/>
          </w:tcPr>
          <w:p w14:paraId="7E347B63" w14:textId="617A3616" w:rsidR="00C16189" w:rsidRPr="000B6D21" w:rsidRDefault="00C16189" w:rsidP="000B6D21">
            <w:pPr>
              <w:pStyle w:val="ListParagraph"/>
              <w:numPr>
                <w:ilvl w:val="0"/>
                <w:numId w:val="1"/>
              </w:numPr>
              <w:spacing w:line="360" w:lineRule="auto"/>
              <w:rPr>
                <w:rFonts w:ascii="Arial" w:hAnsi="Arial" w:cs="Arial"/>
                <w:sz w:val="22"/>
                <w:szCs w:val="22"/>
              </w:rPr>
            </w:pPr>
            <w:r w:rsidRPr="000B6D21">
              <w:rPr>
                <w:rFonts w:ascii="Arial" w:hAnsi="Arial" w:cs="Arial"/>
                <w:b/>
                <w:bCs/>
                <w:i/>
                <w:iCs/>
                <w:sz w:val="22"/>
                <w:szCs w:val="22"/>
              </w:rPr>
              <w:t>Bargaining Power of Buyers –</w:t>
            </w:r>
            <w:r w:rsidRPr="000B6D21">
              <w:rPr>
                <w:rFonts w:ascii="Arial" w:hAnsi="Arial" w:cs="Arial"/>
                <w:sz w:val="22"/>
                <w:szCs w:val="22"/>
              </w:rPr>
              <w:t xml:space="preserve"> </w:t>
            </w:r>
          </w:p>
          <w:p w14:paraId="1CC4C793" w14:textId="2879C6AE" w:rsidR="00A85F32" w:rsidRPr="00C262A0" w:rsidRDefault="00C16189" w:rsidP="00C262A0">
            <w:pPr>
              <w:spacing w:line="360" w:lineRule="auto"/>
              <w:rPr>
                <w:rFonts w:ascii="Arial" w:hAnsi="Arial" w:cs="Arial"/>
                <w:sz w:val="22"/>
                <w:szCs w:val="22"/>
              </w:rPr>
            </w:pPr>
            <w:r w:rsidRPr="00C262A0">
              <w:rPr>
                <w:rFonts w:ascii="Arial" w:hAnsi="Arial" w:cs="Arial"/>
                <w:sz w:val="22"/>
                <w:szCs w:val="22"/>
              </w:rPr>
              <w:t>Luxury consumers demand quality, innovation and sustainability. Negative publicity related to product recalls or emission concerns can quickly impact reputation.</w:t>
            </w:r>
          </w:p>
        </w:tc>
        <w:tc>
          <w:tcPr>
            <w:tcW w:w="4508" w:type="dxa"/>
            <w:gridSpan w:val="2"/>
            <w:tcBorders>
              <w:top w:val="nil"/>
            </w:tcBorders>
          </w:tcPr>
          <w:p w14:paraId="44290760" w14:textId="50FEE8D3" w:rsidR="00A85F32" w:rsidRPr="00C262A0" w:rsidRDefault="006D342E" w:rsidP="00C262A0">
            <w:pPr>
              <w:spacing w:line="360" w:lineRule="auto"/>
              <w:rPr>
                <w:rFonts w:ascii="Arial" w:hAnsi="Arial" w:cs="Arial"/>
                <w:sz w:val="22"/>
                <w:szCs w:val="22"/>
              </w:rPr>
            </w:pPr>
            <w:r>
              <w:rPr>
                <w:rFonts w:ascii="Arial" w:hAnsi="Arial" w:cs="Arial"/>
                <w:sz w:val="22"/>
                <w:szCs w:val="22"/>
              </w:rPr>
              <w:t>T</w:t>
            </w:r>
            <w:r w:rsidR="000E6A27" w:rsidRPr="000E6A27">
              <w:rPr>
                <w:rFonts w:ascii="Arial" w:hAnsi="Arial" w:cs="Arial"/>
                <w:sz w:val="22"/>
                <w:szCs w:val="22"/>
              </w:rPr>
              <w:t>he competitive environment compels JLR to focus on differentiation through technology, sustainability and brand experience</w:t>
            </w:r>
            <w:sdt>
              <w:sdtPr>
                <w:rPr>
                  <w:rFonts w:ascii="Arial" w:hAnsi="Arial" w:cs="Arial"/>
                  <w:sz w:val="22"/>
                  <w:szCs w:val="22"/>
                </w:rPr>
                <w:id w:val="-123383510"/>
                <w:citation/>
              </w:sdtPr>
              <w:sdtContent>
                <w:r w:rsidR="007C4E57">
                  <w:rPr>
                    <w:rFonts w:ascii="Arial" w:hAnsi="Arial" w:cs="Arial"/>
                    <w:sz w:val="22"/>
                    <w:szCs w:val="22"/>
                  </w:rPr>
                  <w:fldChar w:fldCharType="begin"/>
                </w:r>
                <w:r w:rsidR="007C4E57">
                  <w:rPr>
                    <w:rFonts w:ascii="Arial" w:hAnsi="Arial" w:cs="Arial"/>
                    <w:sz w:val="22"/>
                    <w:szCs w:val="22"/>
                    <w:lang w:val="en-US"/>
                  </w:rPr>
                  <w:instrText xml:space="preserve"> CITATION AnA16 \l 1033 </w:instrText>
                </w:r>
                <w:r w:rsidR="007C4E57">
                  <w:rPr>
                    <w:rFonts w:ascii="Arial" w:hAnsi="Arial" w:cs="Arial"/>
                    <w:sz w:val="22"/>
                    <w:szCs w:val="22"/>
                  </w:rPr>
                  <w:fldChar w:fldCharType="separate"/>
                </w:r>
                <w:r w:rsidR="00161368">
                  <w:rPr>
                    <w:rFonts w:ascii="Arial" w:hAnsi="Arial" w:cs="Arial"/>
                    <w:noProof/>
                    <w:sz w:val="22"/>
                    <w:szCs w:val="22"/>
                    <w:lang w:val="en-US"/>
                  </w:rPr>
                  <w:t xml:space="preserve"> </w:t>
                </w:r>
                <w:r w:rsidR="00161368" w:rsidRPr="00161368">
                  <w:rPr>
                    <w:rFonts w:ascii="Arial" w:hAnsi="Arial" w:cs="Arial"/>
                    <w:noProof/>
                    <w:sz w:val="22"/>
                    <w:szCs w:val="22"/>
                    <w:lang w:val="en-US"/>
                  </w:rPr>
                  <w:t>(An Analysis of Operating Environment &amp; Strategy: A Case Study of Tata Motor, May 2016)</w:t>
                </w:r>
                <w:r w:rsidR="007C4E57">
                  <w:rPr>
                    <w:rFonts w:ascii="Arial" w:hAnsi="Arial" w:cs="Arial"/>
                    <w:sz w:val="22"/>
                    <w:szCs w:val="22"/>
                  </w:rPr>
                  <w:fldChar w:fldCharType="end"/>
                </w:r>
              </w:sdtContent>
            </w:sdt>
            <w:r w:rsidR="000E6A27" w:rsidRPr="000E6A27">
              <w:rPr>
                <w:rFonts w:ascii="Arial" w:hAnsi="Arial" w:cs="Arial"/>
                <w:sz w:val="22"/>
                <w:szCs w:val="22"/>
              </w:rPr>
              <w:t>.</w:t>
            </w:r>
          </w:p>
        </w:tc>
      </w:tr>
    </w:tbl>
    <w:p w14:paraId="682E4AB4" w14:textId="7DBB52DB" w:rsidR="008152B9" w:rsidRPr="00611DC6" w:rsidRDefault="00567966" w:rsidP="00567966">
      <w:pPr>
        <w:pStyle w:val="Heading1"/>
        <w:rPr>
          <w:rFonts w:ascii="Arial" w:hAnsi="Arial" w:cs="Arial"/>
          <w:b/>
          <w:bCs/>
          <w:color w:val="000000" w:themeColor="text1"/>
          <w:sz w:val="28"/>
          <w:szCs w:val="28"/>
          <w:lang w:val="fr-FR"/>
        </w:rPr>
      </w:pPr>
      <w:bookmarkStart w:id="9" w:name="_Toc211877794"/>
      <w:r w:rsidRPr="00611DC6">
        <w:rPr>
          <w:rFonts w:ascii="Arial" w:hAnsi="Arial" w:cs="Arial"/>
          <w:b/>
          <w:bCs/>
          <w:color w:val="000000" w:themeColor="text1"/>
          <w:sz w:val="28"/>
          <w:szCs w:val="28"/>
          <w:lang w:val="fr-FR"/>
        </w:rPr>
        <w:lastRenderedPageBreak/>
        <w:t>4.</w:t>
      </w:r>
      <w:r w:rsidRPr="00611DC6">
        <w:rPr>
          <w:b/>
          <w:bCs/>
          <w:color w:val="000000" w:themeColor="text1"/>
          <w:lang w:val="fr-FR"/>
        </w:rPr>
        <w:t xml:space="preserve"> </w:t>
      </w:r>
      <w:proofErr w:type="spellStart"/>
      <w:r w:rsidRPr="00611DC6">
        <w:rPr>
          <w:rFonts w:ascii="Arial" w:hAnsi="Arial" w:cs="Arial"/>
          <w:b/>
          <w:bCs/>
          <w:color w:val="000000" w:themeColor="text1"/>
          <w:sz w:val="28"/>
          <w:szCs w:val="28"/>
          <w:lang w:val="fr-FR"/>
        </w:rPr>
        <w:t>Internal</w:t>
      </w:r>
      <w:proofErr w:type="spellEnd"/>
      <w:r w:rsidRPr="00611DC6">
        <w:rPr>
          <w:rFonts w:ascii="Arial" w:hAnsi="Arial" w:cs="Arial"/>
          <w:b/>
          <w:bCs/>
          <w:color w:val="000000" w:themeColor="text1"/>
          <w:sz w:val="28"/>
          <w:szCs w:val="28"/>
          <w:lang w:val="fr-FR"/>
        </w:rPr>
        <w:t xml:space="preserve"> </w:t>
      </w:r>
      <w:proofErr w:type="spellStart"/>
      <w:r w:rsidRPr="00611DC6">
        <w:rPr>
          <w:rFonts w:ascii="Arial" w:hAnsi="Arial" w:cs="Arial"/>
          <w:b/>
          <w:bCs/>
          <w:color w:val="000000" w:themeColor="text1"/>
          <w:sz w:val="28"/>
          <w:szCs w:val="28"/>
          <w:lang w:val="fr-FR"/>
        </w:rPr>
        <w:t>Environment</w:t>
      </w:r>
      <w:proofErr w:type="spellEnd"/>
      <w:r w:rsidRPr="00611DC6">
        <w:rPr>
          <w:rFonts w:ascii="Arial" w:hAnsi="Arial" w:cs="Arial"/>
          <w:b/>
          <w:bCs/>
          <w:color w:val="000000" w:themeColor="text1"/>
          <w:sz w:val="28"/>
          <w:szCs w:val="28"/>
          <w:lang w:val="fr-FR"/>
        </w:rPr>
        <w:t xml:space="preserve"> Audit: Value Chain </w:t>
      </w:r>
      <w:proofErr w:type="spellStart"/>
      <w:r w:rsidRPr="00611DC6">
        <w:rPr>
          <w:rFonts w:ascii="Arial" w:hAnsi="Arial" w:cs="Arial"/>
          <w:b/>
          <w:bCs/>
          <w:color w:val="000000" w:themeColor="text1"/>
          <w:sz w:val="28"/>
          <w:szCs w:val="28"/>
          <w:lang w:val="fr-FR"/>
        </w:rPr>
        <w:t>Analysis</w:t>
      </w:r>
      <w:proofErr w:type="spellEnd"/>
      <w:r w:rsidRPr="00611DC6">
        <w:rPr>
          <w:rFonts w:ascii="Arial" w:hAnsi="Arial" w:cs="Arial"/>
          <w:b/>
          <w:bCs/>
          <w:color w:val="000000" w:themeColor="text1"/>
          <w:sz w:val="28"/>
          <w:szCs w:val="28"/>
          <w:lang w:val="fr-FR"/>
        </w:rPr>
        <w:t>.</w:t>
      </w:r>
      <w:bookmarkEnd w:id="9"/>
    </w:p>
    <w:p w14:paraId="521319A0" w14:textId="77777777" w:rsidR="0052719E" w:rsidRPr="00611DC6" w:rsidRDefault="0052719E" w:rsidP="0052719E">
      <w:pPr>
        <w:rPr>
          <w:lang w:val="fr-FR"/>
        </w:rPr>
      </w:pPr>
    </w:p>
    <w:p w14:paraId="0AA921D6" w14:textId="71066431" w:rsidR="00966C56" w:rsidRPr="00966C56" w:rsidRDefault="00966C56" w:rsidP="00966C56">
      <w:pPr>
        <w:spacing w:line="360" w:lineRule="auto"/>
        <w:rPr>
          <w:rFonts w:ascii="Arial" w:hAnsi="Arial" w:cs="Arial"/>
          <w:sz w:val="22"/>
          <w:szCs w:val="22"/>
        </w:rPr>
      </w:pPr>
      <w:r w:rsidRPr="00966C56">
        <w:rPr>
          <w:rFonts w:ascii="Arial" w:hAnsi="Arial" w:cs="Arial"/>
          <w:sz w:val="22"/>
          <w:szCs w:val="22"/>
        </w:rPr>
        <w:t>The Value Chain Analysis developed by Michael Porter (1985) provides a systematic way to evaluate a company’s internal activities and identify sources of competitive advantage. The model divides organisational processes into primary and support activities, each contributing to the overall value delivered to customers</w:t>
      </w:r>
      <w:sdt>
        <w:sdtPr>
          <w:rPr>
            <w:rFonts w:ascii="Arial" w:hAnsi="Arial" w:cs="Arial"/>
            <w:sz w:val="22"/>
            <w:szCs w:val="22"/>
          </w:rPr>
          <w:id w:val="302201512"/>
          <w:citation/>
        </w:sdtPr>
        <w:sdtContent>
          <w:r w:rsidR="00BA5CD0">
            <w:rPr>
              <w:rFonts w:ascii="Arial" w:hAnsi="Arial" w:cs="Arial"/>
              <w:sz w:val="22"/>
              <w:szCs w:val="22"/>
            </w:rPr>
            <w:fldChar w:fldCharType="begin"/>
          </w:r>
          <w:r w:rsidR="00BA5CD0">
            <w:rPr>
              <w:rFonts w:ascii="Arial" w:hAnsi="Arial" w:cs="Arial"/>
              <w:sz w:val="22"/>
              <w:szCs w:val="22"/>
              <w:lang w:val="en-US"/>
            </w:rPr>
            <w:instrText xml:space="preserve"> CITATION Ens01 \l 1033 </w:instrText>
          </w:r>
          <w:r w:rsidR="00BA5CD0">
            <w:rPr>
              <w:rFonts w:ascii="Arial" w:hAnsi="Arial" w:cs="Arial"/>
              <w:sz w:val="22"/>
              <w:szCs w:val="22"/>
            </w:rPr>
            <w:fldChar w:fldCharType="separate"/>
          </w:r>
          <w:r w:rsidR="00161368">
            <w:rPr>
              <w:rFonts w:ascii="Arial" w:hAnsi="Arial" w:cs="Arial"/>
              <w:noProof/>
              <w:sz w:val="22"/>
              <w:szCs w:val="22"/>
              <w:lang w:val="en-US"/>
            </w:rPr>
            <w:t xml:space="preserve"> </w:t>
          </w:r>
          <w:r w:rsidR="00161368" w:rsidRPr="00161368">
            <w:rPr>
              <w:rFonts w:ascii="Arial" w:hAnsi="Arial" w:cs="Arial"/>
              <w:noProof/>
              <w:sz w:val="22"/>
              <w:szCs w:val="22"/>
              <w:lang w:val="en-US"/>
            </w:rPr>
            <w:t>(Ensign, 2001)</w:t>
          </w:r>
          <w:r w:rsidR="00BA5CD0">
            <w:rPr>
              <w:rFonts w:ascii="Arial" w:hAnsi="Arial" w:cs="Arial"/>
              <w:sz w:val="22"/>
              <w:szCs w:val="22"/>
            </w:rPr>
            <w:fldChar w:fldCharType="end"/>
          </w:r>
        </w:sdtContent>
      </w:sdt>
      <w:r w:rsidRPr="00966C56">
        <w:rPr>
          <w:rFonts w:ascii="Arial" w:hAnsi="Arial" w:cs="Arial"/>
          <w:sz w:val="22"/>
          <w:szCs w:val="22"/>
        </w:rPr>
        <w:t>.</w:t>
      </w:r>
    </w:p>
    <w:p w14:paraId="1F020CCB" w14:textId="514894DD" w:rsidR="0052719E" w:rsidRPr="00966C56" w:rsidRDefault="00966C56" w:rsidP="00966C56">
      <w:pPr>
        <w:spacing w:line="360" w:lineRule="auto"/>
        <w:rPr>
          <w:rFonts w:ascii="Arial" w:hAnsi="Arial" w:cs="Arial"/>
          <w:sz w:val="22"/>
          <w:szCs w:val="22"/>
        </w:rPr>
      </w:pPr>
      <w:r w:rsidRPr="00966C56">
        <w:rPr>
          <w:rFonts w:ascii="Arial" w:hAnsi="Arial" w:cs="Arial"/>
          <w:sz w:val="22"/>
          <w:szCs w:val="22"/>
        </w:rPr>
        <w:t>For Jaguar Land Rover (JLR), value creation is primarily based on its ability to design, manufacture and deliver premium vehicles that combine luxury, performance and sustainability. The analysis below highlights how each element of the value chain contributes to JLR’s competitiveness.</w:t>
      </w:r>
    </w:p>
    <w:p w14:paraId="5007E84C" w14:textId="3E0EB9EB" w:rsidR="008152B9" w:rsidRPr="008337D0" w:rsidRDefault="00F83E34" w:rsidP="00F83E34">
      <w:pPr>
        <w:pStyle w:val="Heading2"/>
        <w:rPr>
          <w:b/>
          <w:bCs/>
          <w:i/>
          <w:iCs/>
          <w:color w:val="000000" w:themeColor="text1"/>
          <w:sz w:val="28"/>
          <w:szCs w:val="28"/>
        </w:rPr>
      </w:pPr>
      <w:bookmarkStart w:id="10" w:name="_Toc211877795"/>
      <w:r w:rsidRPr="008337D0">
        <w:rPr>
          <w:b/>
          <w:bCs/>
          <w:i/>
          <w:iCs/>
          <w:color w:val="000000" w:themeColor="text1"/>
          <w:sz w:val="28"/>
          <w:szCs w:val="28"/>
        </w:rPr>
        <w:t>4.1.</w:t>
      </w:r>
      <w:r w:rsidR="008337D0" w:rsidRPr="008337D0">
        <w:rPr>
          <w:rFonts w:asciiTheme="minorHAnsi" w:eastAsiaTheme="minorHAnsi" w:hAnsiTheme="minorHAnsi" w:cstheme="minorBidi"/>
          <w:b/>
          <w:bCs/>
          <w:i/>
          <w:iCs/>
          <w:color w:val="000000" w:themeColor="text1"/>
          <w:sz w:val="22"/>
          <w:szCs w:val="22"/>
        </w:rPr>
        <w:t xml:space="preserve"> </w:t>
      </w:r>
      <w:r w:rsidR="008337D0" w:rsidRPr="008337D0">
        <w:rPr>
          <w:b/>
          <w:bCs/>
          <w:i/>
          <w:iCs/>
          <w:color w:val="000000" w:themeColor="text1"/>
          <w:sz w:val="28"/>
          <w:szCs w:val="28"/>
        </w:rPr>
        <w:t>Primary</w:t>
      </w:r>
      <w:r w:rsidR="005819BC">
        <w:rPr>
          <w:b/>
          <w:bCs/>
          <w:i/>
          <w:iCs/>
          <w:color w:val="000000" w:themeColor="text1"/>
          <w:sz w:val="28"/>
          <w:szCs w:val="28"/>
        </w:rPr>
        <w:t xml:space="preserve"> and support</w:t>
      </w:r>
      <w:r w:rsidR="008337D0" w:rsidRPr="008337D0">
        <w:rPr>
          <w:b/>
          <w:bCs/>
          <w:i/>
          <w:iCs/>
          <w:color w:val="000000" w:themeColor="text1"/>
          <w:sz w:val="28"/>
          <w:szCs w:val="28"/>
        </w:rPr>
        <w:t xml:space="preserve"> </w:t>
      </w:r>
      <w:r w:rsidR="005819BC">
        <w:rPr>
          <w:b/>
          <w:bCs/>
          <w:i/>
          <w:iCs/>
          <w:color w:val="000000" w:themeColor="text1"/>
          <w:sz w:val="28"/>
          <w:szCs w:val="28"/>
        </w:rPr>
        <w:t>a</w:t>
      </w:r>
      <w:r w:rsidR="008337D0" w:rsidRPr="008337D0">
        <w:rPr>
          <w:b/>
          <w:bCs/>
          <w:i/>
          <w:iCs/>
          <w:color w:val="000000" w:themeColor="text1"/>
          <w:sz w:val="28"/>
          <w:szCs w:val="28"/>
        </w:rPr>
        <w:t>ctivities:</w:t>
      </w:r>
      <w:bookmarkEnd w:id="10"/>
    </w:p>
    <w:p w14:paraId="5085BDCD" w14:textId="77777777" w:rsidR="008152B9" w:rsidRDefault="008152B9" w:rsidP="008152B9"/>
    <w:p w14:paraId="1B4F43E6" w14:textId="56EAB442" w:rsidR="00630F8D" w:rsidRPr="00630F8D" w:rsidRDefault="00630F8D" w:rsidP="00630F8D">
      <w:pPr>
        <w:pStyle w:val="ListParagraph"/>
        <w:numPr>
          <w:ilvl w:val="0"/>
          <w:numId w:val="6"/>
        </w:numPr>
        <w:spacing w:line="360" w:lineRule="auto"/>
        <w:rPr>
          <w:rFonts w:ascii="Arial" w:hAnsi="Arial" w:cs="Arial"/>
          <w:b/>
          <w:bCs/>
          <w:sz w:val="22"/>
          <w:szCs w:val="22"/>
        </w:rPr>
      </w:pPr>
      <w:r w:rsidRPr="00630F8D">
        <w:rPr>
          <w:rFonts w:ascii="Arial" w:hAnsi="Arial" w:cs="Arial"/>
          <w:b/>
          <w:bCs/>
          <w:sz w:val="22"/>
          <w:szCs w:val="22"/>
        </w:rPr>
        <w:t>Inbound Logistics</w:t>
      </w:r>
      <w:r>
        <w:rPr>
          <w:rFonts w:ascii="Arial" w:hAnsi="Arial" w:cs="Arial"/>
          <w:b/>
          <w:bCs/>
          <w:sz w:val="22"/>
          <w:szCs w:val="22"/>
        </w:rPr>
        <w:t>:</w:t>
      </w:r>
    </w:p>
    <w:p w14:paraId="6CBB3FDC" w14:textId="2112740B" w:rsidR="008152B9" w:rsidRDefault="00630F8D" w:rsidP="00630F8D">
      <w:pPr>
        <w:spacing w:line="360" w:lineRule="auto"/>
        <w:rPr>
          <w:rFonts w:ascii="Arial" w:hAnsi="Arial" w:cs="Arial"/>
          <w:sz w:val="22"/>
          <w:szCs w:val="22"/>
        </w:rPr>
      </w:pPr>
      <w:r w:rsidRPr="00630F8D">
        <w:rPr>
          <w:rFonts w:ascii="Arial" w:hAnsi="Arial" w:cs="Arial"/>
          <w:sz w:val="22"/>
          <w:szCs w:val="22"/>
        </w:rPr>
        <w:t>JLR sources components and raw materials from a global supply network. The company benefits from its integration within the Tata Group, which provides access to steel, batteries, and logistics services. However, reliance on imported parts</w:t>
      </w:r>
      <w:r>
        <w:rPr>
          <w:rFonts w:ascii="Arial" w:hAnsi="Arial" w:cs="Arial"/>
          <w:sz w:val="22"/>
          <w:szCs w:val="22"/>
        </w:rPr>
        <w:t xml:space="preserve">, </w:t>
      </w:r>
      <w:r w:rsidRPr="00630F8D">
        <w:rPr>
          <w:rFonts w:ascii="Arial" w:hAnsi="Arial" w:cs="Arial"/>
          <w:sz w:val="22"/>
          <w:szCs w:val="22"/>
        </w:rPr>
        <w:t>particularly semiconductors and battery materials</w:t>
      </w:r>
      <w:r>
        <w:rPr>
          <w:rFonts w:ascii="Arial" w:hAnsi="Arial" w:cs="Arial"/>
          <w:sz w:val="22"/>
          <w:szCs w:val="22"/>
        </w:rPr>
        <w:t xml:space="preserve">, </w:t>
      </w:r>
      <w:r w:rsidRPr="00630F8D">
        <w:rPr>
          <w:rFonts w:ascii="Arial" w:hAnsi="Arial" w:cs="Arial"/>
          <w:sz w:val="22"/>
          <w:szCs w:val="22"/>
        </w:rPr>
        <w:t>poses supply chain risks. To mitigate this, JLR is localising supply chains through Tata’s planned gigafactory in Somerset, securing a sustainable and stable battery supply for future EV models.</w:t>
      </w:r>
    </w:p>
    <w:p w14:paraId="298A0708" w14:textId="7B00883D" w:rsidR="008859DB" w:rsidRPr="008859DB" w:rsidRDefault="008859DB" w:rsidP="008859DB">
      <w:pPr>
        <w:pStyle w:val="ListParagraph"/>
        <w:numPr>
          <w:ilvl w:val="0"/>
          <w:numId w:val="6"/>
        </w:numPr>
        <w:spacing w:line="360" w:lineRule="auto"/>
        <w:rPr>
          <w:rFonts w:ascii="Arial" w:hAnsi="Arial" w:cs="Arial"/>
          <w:b/>
          <w:bCs/>
          <w:sz w:val="22"/>
          <w:szCs w:val="22"/>
        </w:rPr>
      </w:pPr>
      <w:r w:rsidRPr="008859DB">
        <w:rPr>
          <w:rFonts w:ascii="Arial" w:hAnsi="Arial" w:cs="Arial"/>
          <w:b/>
          <w:bCs/>
          <w:sz w:val="22"/>
          <w:szCs w:val="22"/>
        </w:rPr>
        <w:t>Outbound Logistics</w:t>
      </w:r>
      <w:r>
        <w:rPr>
          <w:rFonts w:ascii="Arial" w:hAnsi="Arial" w:cs="Arial"/>
          <w:b/>
          <w:bCs/>
          <w:sz w:val="22"/>
          <w:szCs w:val="22"/>
        </w:rPr>
        <w:t>:</w:t>
      </w:r>
    </w:p>
    <w:p w14:paraId="381329EF" w14:textId="6DBBDFF5" w:rsidR="00630F8D" w:rsidRDefault="008859DB" w:rsidP="008859DB">
      <w:pPr>
        <w:spacing w:line="360" w:lineRule="auto"/>
        <w:rPr>
          <w:rFonts w:ascii="Arial" w:hAnsi="Arial" w:cs="Arial"/>
          <w:sz w:val="22"/>
          <w:szCs w:val="22"/>
        </w:rPr>
      </w:pPr>
      <w:r w:rsidRPr="008859DB">
        <w:rPr>
          <w:rFonts w:ascii="Arial" w:hAnsi="Arial" w:cs="Arial"/>
          <w:sz w:val="22"/>
          <w:szCs w:val="22"/>
        </w:rPr>
        <w:t>Vehicles are distributed globally through a network of dealerships and logistic partners. The company uses an advanced logistics management system to ensure timely delivery and optimise transportation efficiency.</w:t>
      </w:r>
      <w:r w:rsidR="001842EC">
        <w:rPr>
          <w:rFonts w:ascii="Arial" w:hAnsi="Arial" w:cs="Arial"/>
          <w:sz w:val="22"/>
          <w:szCs w:val="22"/>
        </w:rPr>
        <w:t xml:space="preserve"> </w:t>
      </w:r>
      <w:r w:rsidRPr="008859DB">
        <w:rPr>
          <w:rFonts w:ascii="Arial" w:hAnsi="Arial" w:cs="Arial"/>
          <w:sz w:val="22"/>
          <w:szCs w:val="22"/>
        </w:rPr>
        <w:t>Brexit adjustments have slightly increased export complexities</w:t>
      </w:r>
      <w:r w:rsidR="006648A6">
        <w:rPr>
          <w:rFonts w:ascii="Arial" w:hAnsi="Arial" w:cs="Arial"/>
          <w:sz w:val="22"/>
          <w:szCs w:val="22"/>
        </w:rPr>
        <w:t>,</w:t>
      </w:r>
      <w:r w:rsidRPr="008859DB">
        <w:rPr>
          <w:rFonts w:ascii="Arial" w:hAnsi="Arial" w:cs="Arial"/>
          <w:sz w:val="22"/>
          <w:szCs w:val="22"/>
        </w:rPr>
        <w:t xml:space="preserve"> however, JLR’s diversified manufacturing footprint in Europe helps minimise disruption</w:t>
      </w:r>
      <w:sdt>
        <w:sdtPr>
          <w:rPr>
            <w:rFonts w:ascii="Arial" w:hAnsi="Arial" w:cs="Arial"/>
            <w:sz w:val="22"/>
            <w:szCs w:val="22"/>
          </w:rPr>
          <w:id w:val="-1182889952"/>
          <w:citation/>
        </w:sdtPr>
        <w:sdtContent>
          <w:r w:rsidR="00A71502">
            <w:rPr>
              <w:rFonts w:ascii="Arial" w:hAnsi="Arial" w:cs="Arial"/>
              <w:sz w:val="22"/>
              <w:szCs w:val="22"/>
            </w:rPr>
            <w:fldChar w:fldCharType="begin"/>
          </w:r>
          <w:r w:rsidR="00A71502">
            <w:rPr>
              <w:rFonts w:ascii="Arial" w:hAnsi="Arial" w:cs="Arial"/>
              <w:sz w:val="22"/>
              <w:szCs w:val="22"/>
              <w:lang w:val="en-US"/>
            </w:rPr>
            <w:instrText xml:space="preserve"> CITATION Ens01 \l 1033 </w:instrText>
          </w:r>
          <w:r w:rsidR="00A71502">
            <w:rPr>
              <w:rFonts w:ascii="Arial" w:hAnsi="Arial" w:cs="Arial"/>
              <w:sz w:val="22"/>
              <w:szCs w:val="22"/>
            </w:rPr>
            <w:fldChar w:fldCharType="separate"/>
          </w:r>
          <w:r w:rsidR="00161368">
            <w:rPr>
              <w:rFonts w:ascii="Arial" w:hAnsi="Arial" w:cs="Arial"/>
              <w:noProof/>
              <w:sz w:val="22"/>
              <w:szCs w:val="22"/>
              <w:lang w:val="en-US"/>
            </w:rPr>
            <w:t xml:space="preserve"> </w:t>
          </w:r>
          <w:r w:rsidR="00161368" w:rsidRPr="00161368">
            <w:rPr>
              <w:rFonts w:ascii="Arial" w:hAnsi="Arial" w:cs="Arial"/>
              <w:noProof/>
              <w:sz w:val="22"/>
              <w:szCs w:val="22"/>
              <w:lang w:val="en-US"/>
            </w:rPr>
            <w:t>(Ensign, 2001)</w:t>
          </w:r>
          <w:r w:rsidR="00A71502">
            <w:rPr>
              <w:rFonts w:ascii="Arial" w:hAnsi="Arial" w:cs="Arial"/>
              <w:sz w:val="22"/>
              <w:szCs w:val="22"/>
            </w:rPr>
            <w:fldChar w:fldCharType="end"/>
          </w:r>
        </w:sdtContent>
      </w:sdt>
      <w:r w:rsidRPr="008859DB">
        <w:rPr>
          <w:rFonts w:ascii="Arial" w:hAnsi="Arial" w:cs="Arial"/>
          <w:sz w:val="22"/>
          <w:szCs w:val="22"/>
        </w:rPr>
        <w:t>.</w:t>
      </w:r>
    </w:p>
    <w:p w14:paraId="243F28F6" w14:textId="0115DE1B" w:rsidR="006648A6" w:rsidRPr="006648A6" w:rsidRDefault="006648A6" w:rsidP="006648A6">
      <w:pPr>
        <w:pStyle w:val="ListParagraph"/>
        <w:numPr>
          <w:ilvl w:val="0"/>
          <w:numId w:val="6"/>
        </w:numPr>
        <w:spacing w:line="360" w:lineRule="auto"/>
        <w:rPr>
          <w:rFonts w:ascii="Arial" w:hAnsi="Arial" w:cs="Arial"/>
          <w:b/>
          <w:bCs/>
          <w:sz w:val="22"/>
          <w:szCs w:val="22"/>
        </w:rPr>
      </w:pPr>
      <w:r w:rsidRPr="006648A6">
        <w:rPr>
          <w:rFonts w:ascii="Arial" w:hAnsi="Arial" w:cs="Arial"/>
          <w:b/>
          <w:bCs/>
          <w:sz w:val="22"/>
          <w:szCs w:val="22"/>
        </w:rPr>
        <w:t>Operations</w:t>
      </w:r>
      <w:r>
        <w:rPr>
          <w:rFonts w:ascii="Arial" w:hAnsi="Arial" w:cs="Arial"/>
          <w:b/>
          <w:bCs/>
          <w:sz w:val="22"/>
          <w:szCs w:val="22"/>
        </w:rPr>
        <w:t>:</w:t>
      </w:r>
    </w:p>
    <w:p w14:paraId="539BC93C" w14:textId="3EF67565" w:rsidR="006648A6" w:rsidRDefault="006648A6" w:rsidP="006648A6">
      <w:pPr>
        <w:spacing w:line="360" w:lineRule="auto"/>
        <w:rPr>
          <w:rFonts w:ascii="Arial" w:hAnsi="Arial" w:cs="Arial"/>
          <w:sz w:val="22"/>
          <w:szCs w:val="22"/>
        </w:rPr>
      </w:pPr>
      <w:r w:rsidRPr="006648A6">
        <w:rPr>
          <w:rFonts w:ascii="Arial" w:hAnsi="Arial" w:cs="Arial"/>
          <w:sz w:val="22"/>
          <w:szCs w:val="22"/>
        </w:rPr>
        <w:t>JLR’s manufacturing plants in Solihull, Halewood and Nitra (Slovakia) represent a blend of advanced automation and skilled craftsmanship. The company employs lean manufacturing and digital twin technologies to enhance productivity and quality control. The shift toward modular electric platforms under the “Reimagine Strategy” demonstrates JLR’s operational capability to adapt production processes for electrification while maintaining high standards of luxury and design.</w:t>
      </w:r>
    </w:p>
    <w:p w14:paraId="381CA3A1" w14:textId="14A79706" w:rsidR="00F36323" w:rsidRPr="00F36323" w:rsidRDefault="00F36323" w:rsidP="00F36323">
      <w:pPr>
        <w:pStyle w:val="ListParagraph"/>
        <w:numPr>
          <w:ilvl w:val="0"/>
          <w:numId w:val="6"/>
        </w:numPr>
        <w:spacing w:line="360" w:lineRule="auto"/>
        <w:rPr>
          <w:rFonts w:ascii="Arial" w:hAnsi="Arial" w:cs="Arial"/>
          <w:b/>
          <w:bCs/>
          <w:sz w:val="22"/>
          <w:szCs w:val="22"/>
        </w:rPr>
      </w:pPr>
      <w:r w:rsidRPr="00F36323">
        <w:rPr>
          <w:rFonts w:ascii="Arial" w:hAnsi="Arial" w:cs="Arial"/>
          <w:b/>
          <w:bCs/>
          <w:sz w:val="22"/>
          <w:szCs w:val="22"/>
        </w:rPr>
        <w:lastRenderedPageBreak/>
        <w:t>Marketing and Sales</w:t>
      </w:r>
      <w:r>
        <w:rPr>
          <w:rFonts w:ascii="Arial" w:hAnsi="Arial" w:cs="Arial"/>
          <w:b/>
          <w:bCs/>
          <w:sz w:val="22"/>
          <w:szCs w:val="22"/>
        </w:rPr>
        <w:t>:</w:t>
      </w:r>
    </w:p>
    <w:p w14:paraId="665C4300" w14:textId="7350C2BE" w:rsidR="008152B9" w:rsidRDefault="00F36323" w:rsidP="00056DF1">
      <w:pPr>
        <w:spacing w:line="360" w:lineRule="auto"/>
        <w:rPr>
          <w:rFonts w:ascii="Arial" w:hAnsi="Arial" w:cs="Arial"/>
          <w:sz w:val="22"/>
          <w:szCs w:val="22"/>
        </w:rPr>
      </w:pPr>
      <w:r w:rsidRPr="00F36323">
        <w:rPr>
          <w:rFonts w:ascii="Arial" w:hAnsi="Arial" w:cs="Arial"/>
          <w:sz w:val="22"/>
          <w:szCs w:val="22"/>
        </w:rPr>
        <w:t>Brand positioning and emotional appeal are central to JLR’s value creation. The company markets Land Rover as a symbol of adventure and capability, while Jaguar represents performance and elegance. Recent marketing efforts have shifted toward sustainability and innovation, aligning with changing consumer values. Digital channels and personalised online configurators enhance customer engagement and reinforce brand differentiation</w:t>
      </w:r>
      <w:sdt>
        <w:sdtPr>
          <w:rPr>
            <w:rFonts w:ascii="Arial" w:hAnsi="Arial" w:cs="Arial"/>
            <w:sz w:val="22"/>
            <w:szCs w:val="22"/>
          </w:rPr>
          <w:id w:val="826414278"/>
          <w:citation/>
        </w:sdtPr>
        <w:sdtContent>
          <w:r w:rsidR="00C21342">
            <w:rPr>
              <w:rFonts w:ascii="Arial" w:hAnsi="Arial" w:cs="Arial"/>
              <w:sz w:val="22"/>
              <w:szCs w:val="22"/>
            </w:rPr>
            <w:fldChar w:fldCharType="begin"/>
          </w:r>
          <w:r w:rsidR="00C21342">
            <w:rPr>
              <w:rFonts w:ascii="Arial" w:hAnsi="Arial" w:cs="Arial"/>
              <w:sz w:val="22"/>
              <w:szCs w:val="22"/>
              <w:lang w:val="en-US"/>
            </w:rPr>
            <w:instrText xml:space="preserve"> CITATION Llo21 \l 1033 </w:instrText>
          </w:r>
          <w:r w:rsidR="00C21342">
            <w:rPr>
              <w:rFonts w:ascii="Arial" w:hAnsi="Arial" w:cs="Arial"/>
              <w:sz w:val="22"/>
              <w:szCs w:val="22"/>
            </w:rPr>
            <w:fldChar w:fldCharType="separate"/>
          </w:r>
          <w:r w:rsidR="00161368">
            <w:rPr>
              <w:rFonts w:ascii="Arial" w:hAnsi="Arial" w:cs="Arial"/>
              <w:noProof/>
              <w:sz w:val="22"/>
              <w:szCs w:val="22"/>
              <w:lang w:val="en-US"/>
            </w:rPr>
            <w:t xml:space="preserve"> </w:t>
          </w:r>
          <w:r w:rsidR="00161368" w:rsidRPr="00161368">
            <w:rPr>
              <w:rFonts w:ascii="Arial" w:hAnsi="Arial" w:cs="Arial"/>
              <w:noProof/>
              <w:sz w:val="22"/>
              <w:szCs w:val="22"/>
              <w:lang w:val="en-US"/>
            </w:rPr>
            <w:t>(Lloyd, 2021)</w:t>
          </w:r>
          <w:r w:rsidR="00C21342">
            <w:rPr>
              <w:rFonts w:ascii="Arial" w:hAnsi="Arial" w:cs="Arial"/>
              <w:sz w:val="22"/>
              <w:szCs w:val="22"/>
            </w:rPr>
            <w:fldChar w:fldCharType="end"/>
          </w:r>
        </w:sdtContent>
      </w:sdt>
      <w:r w:rsidRPr="00F36323">
        <w:rPr>
          <w:rFonts w:ascii="Arial" w:hAnsi="Arial" w:cs="Arial"/>
          <w:sz w:val="22"/>
          <w:szCs w:val="22"/>
        </w:rPr>
        <w:t>.</w:t>
      </w:r>
    </w:p>
    <w:p w14:paraId="7B8DCDFD" w14:textId="77777777" w:rsidR="00056DF1" w:rsidRPr="00056DF1" w:rsidRDefault="00056DF1" w:rsidP="00056DF1">
      <w:pPr>
        <w:spacing w:line="360" w:lineRule="auto"/>
        <w:rPr>
          <w:rFonts w:ascii="Arial" w:hAnsi="Arial" w:cs="Arial"/>
          <w:sz w:val="22"/>
          <w:szCs w:val="22"/>
        </w:rPr>
      </w:pPr>
    </w:p>
    <w:p w14:paraId="096E89D0" w14:textId="30822411" w:rsidR="00056DF1" w:rsidRPr="00056DF1" w:rsidRDefault="00056DF1" w:rsidP="00056DF1">
      <w:pPr>
        <w:pStyle w:val="ListParagraph"/>
        <w:numPr>
          <w:ilvl w:val="0"/>
          <w:numId w:val="6"/>
        </w:numPr>
        <w:spacing w:line="360" w:lineRule="auto"/>
        <w:rPr>
          <w:rFonts w:ascii="Arial" w:hAnsi="Arial" w:cs="Arial"/>
          <w:b/>
          <w:bCs/>
          <w:sz w:val="22"/>
          <w:szCs w:val="22"/>
        </w:rPr>
      </w:pPr>
      <w:r w:rsidRPr="00056DF1">
        <w:rPr>
          <w:rFonts w:ascii="Arial" w:hAnsi="Arial" w:cs="Arial"/>
          <w:b/>
          <w:bCs/>
          <w:sz w:val="22"/>
          <w:szCs w:val="22"/>
        </w:rPr>
        <w:t>Firm Infrastructure</w:t>
      </w:r>
      <w:r>
        <w:rPr>
          <w:rFonts w:ascii="Arial" w:hAnsi="Arial" w:cs="Arial"/>
          <w:b/>
          <w:bCs/>
          <w:sz w:val="22"/>
          <w:szCs w:val="22"/>
        </w:rPr>
        <w:t>:</w:t>
      </w:r>
    </w:p>
    <w:p w14:paraId="526AFD74" w14:textId="70A9B51F" w:rsidR="008152B9" w:rsidRPr="00056DF1" w:rsidRDefault="00056DF1" w:rsidP="00056DF1">
      <w:pPr>
        <w:spacing w:line="360" w:lineRule="auto"/>
        <w:rPr>
          <w:rFonts w:ascii="Arial" w:hAnsi="Arial" w:cs="Arial"/>
          <w:sz w:val="22"/>
          <w:szCs w:val="22"/>
        </w:rPr>
      </w:pPr>
      <w:r w:rsidRPr="00056DF1">
        <w:rPr>
          <w:rFonts w:ascii="Arial" w:hAnsi="Arial" w:cs="Arial"/>
          <w:sz w:val="22"/>
          <w:szCs w:val="22"/>
        </w:rPr>
        <w:t>JLR benefits from a robust organisational structure and strategic backing from Tata Motors. Its corporate governance framework supports long-term innovation and sustainability initiatives. Financial resources from Tata Group allow flexibility in R&amp;D investment and global expansion, giving JLR resilience during economic fluctuations.</w:t>
      </w:r>
    </w:p>
    <w:p w14:paraId="6A65A413" w14:textId="77777777" w:rsidR="008152B9" w:rsidRDefault="008152B9" w:rsidP="008152B9"/>
    <w:p w14:paraId="1EF81F7B" w14:textId="07979C68" w:rsidR="00C22FCC" w:rsidRPr="00A975D1" w:rsidRDefault="00C22FCC" w:rsidP="00A975D1">
      <w:pPr>
        <w:pStyle w:val="ListParagraph"/>
        <w:numPr>
          <w:ilvl w:val="0"/>
          <w:numId w:val="6"/>
        </w:numPr>
        <w:rPr>
          <w:rFonts w:ascii="Arial" w:hAnsi="Arial" w:cs="Arial"/>
          <w:b/>
          <w:bCs/>
          <w:color w:val="000000" w:themeColor="text1"/>
          <w:sz w:val="22"/>
          <w:szCs w:val="22"/>
        </w:rPr>
      </w:pPr>
      <w:r w:rsidRPr="00A975D1">
        <w:rPr>
          <w:rFonts w:ascii="Arial" w:hAnsi="Arial" w:cs="Arial"/>
          <w:b/>
          <w:bCs/>
          <w:color w:val="000000" w:themeColor="text1"/>
          <w:sz w:val="22"/>
          <w:szCs w:val="22"/>
        </w:rPr>
        <w:t>Human Resource Management</w:t>
      </w:r>
      <w:r w:rsidR="00A975D1" w:rsidRPr="00A975D1">
        <w:rPr>
          <w:rFonts w:ascii="Arial" w:hAnsi="Arial" w:cs="Arial"/>
          <w:b/>
          <w:bCs/>
          <w:color w:val="000000" w:themeColor="text1"/>
          <w:sz w:val="22"/>
          <w:szCs w:val="22"/>
        </w:rPr>
        <w:t>:</w:t>
      </w:r>
    </w:p>
    <w:p w14:paraId="2FDC7DAA" w14:textId="3BA3F6BE" w:rsidR="00C22FCC" w:rsidRPr="00A975D1" w:rsidRDefault="00C22FCC" w:rsidP="00A975D1">
      <w:pPr>
        <w:spacing w:line="360" w:lineRule="auto"/>
        <w:rPr>
          <w:rFonts w:ascii="Arial" w:hAnsi="Arial" w:cs="Arial"/>
          <w:sz w:val="22"/>
          <w:szCs w:val="22"/>
        </w:rPr>
      </w:pPr>
      <w:r w:rsidRPr="00A975D1">
        <w:rPr>
          <w:rFonts w:ascii="Arial" w:hAnsi="Arial" w:cs="Arial"/>
          <w:sz w:val="22"/>
          <w:szCs w:val="22"/>
        </w:rPr>
        <w:t>The company’s success relies heavily on skilled engineers, designers, and technicians. JLR invests in employee training through its Jaguar Land Rover Academy, offering programs in leadership, sustainability, and digital engineering. The firm also promotes diversity and inclusion, aligning with corporate social responsibility objectives</w:t>
      </w:r>
      <w:sdt>
        <w:sdtPr>
          <w:rPr>
            <w:rFonts w:ascii="Arial" w:hAnsi="Arial" w:cs="Arial"/>
            <w:sz w:val="22"/>
            <w:szCs w:val="22"/>
          </w:rPr>
          <w:id w:val="-2132845920"/>
          <w:citation/>
        </w:sdtPr>
        <w:sdtContent>
          <w:r w:rsidR="00EF6A3C">
            <w:rPr>
              <w:rFonts w:ascii="Arial" w:hAnsi="Arial" w:cs="Arial"/>
              <w:sz w:val="22"/>
              <w:szCs w:val="22"/>
            </w:rPr>
            <w:fldChar w:fldCharType="begin"/>
          </w:r>
          <w:r w:rsidR="00EF6A3C">
            <w:rPr>
              <w:rFonts w:ascii="Arial" w:hAnsi="Arial" w:cs="Arial"/>
              <w:sz w:val="22"/>
              <w:szCs w:val="22"/>
              <w:lang w:val="en-US"/>
            </w:rPr>
            <w:instrText xml:space="preserve"> CITATION Sto15 \l 1033 </w:instrText>
          </w:r>
          <w:r w:rsidR="00EF6A3C">
            <w:rPr>
              <w:rFonts w:ascii="Arial" w:hAnsi="Arial" w:cs="Arial"/>
              <w:sz w:val="22"/>
              <w:szCs w:val="22"/>
            </w:rPr>
            <w:fldChar w:fldCharType="separate"/>
          </w:r>
          <w:r w:rsidR="00161368">
            <w:rPr>
              <w:rFonts w:ascii="Arial" w:hAnsi="Arial" w:cs="Arial"/>
              <w:noProof/>
              <w:sz w:val="22"/>
              <w:szCs w:val="22"/>
              <w:lang w:val="en-US"/>
            </w:rPr>
            <w:t xml:space="preserve"> </w:t>
          </w:r>
          <w:r w:rsidR="00161368" w:rsidRPr="00161368">
            <w:rPr>
              <w:rFonts w:ascii="Arial" w:hAnsi="Arial" w:cs="Arial"/>
              <w:noProof/>
              <w:sz w:val="22"/>
              <w:szCs w:val="22"/>
              <w:lang w:val="en-US"/>
            </w:rPr>
            <w:t>(Stone, 2015)</w:t>
          </w:r>
          <w:r w:rsidR="00EF6A3C">
            <w:rPr>
              <w:rFonts w:ascii="Arial" w:hAnsi="Arial" w:cs="Arial"/>
              <w:sz w:val="22"/>
              <w:szCs w:val="22"/>
            </w:rPr>
            <w:fldChar w:fldCharType="end"/>
          </w:r>
        </w:sdtContent>
      </w:sdt>
      <w:r w:rsidRPr="00A975D1">
        <w:rPr>
          <w:rFonts w:ascii="Arial" w:hAnsi="Arial" w:cs="Arial"/>
          <w:sz w:val="22"/>
          <w:szCs w:val="22"/>
        </w:rPr>
        <w:t>.</w:t>
      </w:r>
    </w:p>
    <w:p w14:paraId="38CD9D47" w14:textId="77777777" w:rsidR="00C22FCC" w:rsidRDefault="00C22FCC" w:rsidP="00C22FCC"/>
    <w:p w14:paraId="43178150" w14:textId="21142F1F" w:rsidR="00C22FCC" w:rsidRPr="00A975D1" w:rsidRDefault="00C22FCC" w:rsidP="00A975D1">
      <w:pPr>
        <w:pStyle w:val="ListParagraph"/>
        <w:numPr>
          <w:ilvl w:val="0"/>
          <w:numId w:val="6"/>
        </w:numPr>
        <w:spacing w:line="360" w:lineRule="auto"/>
        <w:rPr>
          <w:rFonts w:ascii="Arial" w:hAnsi="Arial" w:cs="Arial"/>
          <w:b/>
          <w:bCs/>
          <w:sz w:val="22"/>
          <w:szCs w:val="22"/>
        </w:rPr>
      </w:pPr>
      <w:r w:rsidRPr="00A975D1">
        <w:rPr>
          <w:rFonts w:ascii="Arial" w:hAnsi="Arial" w:cs="Arial"/>
          <w:b/>
          <w:bCs/>
          <w:sz w:val="22"/>
          <w:szCs w:val="22"/>
        </w:rPr>
        <w:t>Technology Development</w:t>
      </w:r>
      <w:r w:rsidR="00A975D1" w:rsidRPr="00A975D1">
        <w:rPr>
          <w:rFonts w:ascii="Arial" w:hAnsi="Arial" w:cs="Arial"/>
          <w:b/>
          <w:bCs/>
          <w:sz w:val="22"/>
          <w:szCs w:val="22"/>
        </w:rPr>
        <w:t>:</w:t>
      </w:r>
    </w:p>
    <w:p w14:paraId="36979CC3" w14:textId="69097DD4" w:rsidR="008152B9" w:rsidRPr="00A975D1" w:rsidRDefault="00C22FCC" w:rsidP="00A975D1">
      <w:pPr>
        <w:spacing w:line="360" w:lineRule="auto"/>
        <w:rPr>
          <w:rFonts w:ascii="Arial" w:hAnsi="Arial" w:cs="Arial"/>
          <w:sz w:val="22"/>
          <w:szCs w:val="22"/>
        </w:rPr>
      </w:pPr>
      <w:r w:rsidRPr="00A975D1">
        <w:rPr>
          <w:rFonts w:ascii="Arial" w:hAnsi="Arial" w:cs="Arial"/>
          <w:sz w:val="22"/>
          <w:szCs w:val="22"/>
        </w:rPr>
        <w:t>Technological capability is one of JLR’s core competitive strengths. The company invests heavily in R&amp;D, focusing on electric powertrains, battery technology, AI integration, and autonomous driving systems. Partnerships with Nvidia for autonomous driving software and BlackBerry QNX for cybersecurity demonstrate a commitment to technological excellence.</w:t>
      </w:r>
    </w:p>
    <w:p w14:paraId="6614B91B" w14:textId="03808DAD" w:rsidR="008152B9" w:rsidRPr="005A39F9" w:rsidRDefault="002C356D" w:rsidP="002C356D">
      <w:pPr>
        <w:pStyle w:val="Heading2"/>
        <w:rPr>
          <w:b/>
          <w:bCs/>
          <w:i/>
          <w:iCs/>
          <w:color w:val="000000" w:themeColor="text1"/>
          <w:sz w:val="28"/>
          <w:szCs w:val="28"/>
        </w:rPr>
      </w:pPr>
      <w:bookmarkStart w:id="11" w:name="_Toc211877796"/>
      <w:r w:rsidRPr="005A39F9">
        <w:rPr>
          <w:b/>
          <w:bCs/>
          <w:i/>
          <w:iCs/>
          <w:color w:val="000000" w:themeColor="text1"/>
          <w:sz w:val="28"/>
          <w:szCs w:val="28"/>
        </w:rPr>
        <w:t>4.2.</w:t>
      </w:r>
      <w:r w:rsidR="005A39F9" w:rsidRPr="005A39F9">
        <w:rPr>
          <w:b/>
          <w:bCs/>
          <w:i/>
          <w:iCs/>
          <w:color w:val="000000" w:themeColor="text1"/>
          <w:sz w:val="28"/>
          <w:szCs w:val="28"/>
        </w:rPr>
        <w:t xml:space="preserve"> Summary of Value Chain Insights:</w:t>
      </w:r>
      <w:bookmarkEnd w:id="11"/>
    </w:p>
    <w:p w14:paraId="3374F94F" w14:textId="0C4C8EFE" w:rsidR="00306EEA" w:rsidRPr="00306EEA" w:rsidRDefault="00306EEA" w:rsidP="00306EEA">
      <w:pPr>
        <w:spacing w:line="360" w:lineRule="auto"/>
        <w:rPr>
          <w:rFonts w:ascii="Arial" w:hAnsi="Arial" w:cs="Arial"/>
          <w:sz w:val="22"/>
          <w:szCs w:val="22"/>
        </w:rPr>
      </w:pPr>
      <w:r w:rsidRPr="00306EEA">
        <w:rPr>
          <w:rFonts w:ascii="Arial" w:hAnsi="Arial" w:cs="Arial"/>
          <w:sz w:val="22"/>
          <w:szCs w:val="22"/>
        </w:rPr>
        <w:t>JLR’s value creation stems from:</w:t>
      </w:r>
    </w:p>
    <w:p w14:paraId="3A181B27" w14:textId="77777777" w:rsidR="00306EEA" w:rsidRDefault="00306EEA" w:rsidP="00306EEA">
      <w:pPr>
        <w:pStyle w:val="ListParagraph"/>
        <w:numPr>
          <w:ilvl w:val="0"/>
          <w:numId w:val="7"/>
        </w:numPr>
        <w:spacing w:line="360" w:lineRule="auto"/>
        <w:rPr>
          <w:rFonts w:ascii="Arial" w:hAnsi="Arial" w:cs="Arial"/>
          <w:sz w:val="22"/>
          <w:szCs w:val="22"/>
        </w:rPr>
      </w:pPr>
      <w:r w:rsidRPr="00306EEA">
        <w:rPr>
          <w:rFonts w:ascii="Arial" w:hAnsi="Arial" w:cs="Arial"/>
          <w:sz w:val="22"/>
          <w:szCs w:val="22"/>
        </w:rPr>
        <w:t>Strong technological innovation and manufacturing excellence</w:t>
      </w:r>
      <w:r>
        <w:rPr>
          <w:rFonts w:ascii="Arial" w:hAnsi="Arial" w:cs="Arial"/>
          <w:sz w:val="22"/>
          <w:szCs w:val="22"/>
        </w:rPr>
        <w:t>;</w:t>
      </w:r>
    </w:p>
    <w:p w14:paraId="0193F705" w14:textId="77777777" w:rsidR="00306EEA" w:rsidRDefault="00306EEA" w:rsidP="00306EEA">
      <w:pPr>
        <w:pStyle w:val="ListParagraph"/>
        <w:numPr>
          <w:ilvl w:val="0"/>
          <w:numId w:val="7"/>
        </w:numPr>
        <w:spacing w:line="360" w:lineRule="auto"/>
        <w:rPr>
          <w:rFonts w:ascii="Arial" w:hAnsi="Arial" w:cs="Arial"/>
          <w:sz w:val="22"/>
          <w:szCs w:val="22"/>
        </w:rPr>
      </w:pPr>
      <w:r w:rsidRPr="00306EEA">
        <w:rPr>
          <w:rFonts w:ascii="Arial" w:hAnsi="Arial" w:cs="Arial"/>
          <w:sz w:val="22"/>
          <w:szCs w:val="22"/>
        </w:rPr>
        <w:t>Effective brand differentiation through marketing and customer service</w:t>
      </w:r>
      <w:r>
        <w:rPr>
          <w:rFonts w:ascii="Arial" w:hAnsi="Arial" w:cs="Arial"/>
          <w:sz w:val="22"/>
          <w:szCs w:val="22"/>
        </w:rPr>
        <w:t>;</w:t>
      </w:r>
    </w:p>
    <w:p w14:paraId="7CFEEB0A" w14:textId="1B28A6CE" w:rsidR="00306EEA" w:rsidRPr="00306EEA" w:rsidRDefault="00306EEA" w:rsidP="00306EEA">
      <w:pPr>
        <w:pStyle w:val="ListParagraph"/>
        <w:numPr>
          <w:ilvl w:val="0"/>
          <w:numId w:val="7"/>
        </w:numPr>
        <w:spacing w:line="360" w:lineRule="auto"/>
        <w:rPr>
          <w:rFonts w:ascii="Arial" w:hAnsi="Arial" w:cs="Arial"/>
          <w:sz w:val="22"/>
          <w:szCs w:val="22"/>
        </w:rPr>
      </w:pPr>
      <w:r w:rsidRPr="00306EEA">
        <w:rPr>
          <w:rFonts w:ascii="Arial" w:hAnsi="Arial" w:cs="Arial"/>
          <w:sz w:val="22"/>
          <w:szCs w:val="22"/>
        </w:rPr>
        <w:t>Strategic integration with Tata Group, enhancing financial stability and supply chain efficiency.</w:t>
      </w:r>
    </w:p>
    <w:p w14:paraId="5A8BDFF5" w14:textId="77777777" w:rsidR="00306EEA" w:rsidRPr="00306EEA" w:rsidRDefault="00306EEA" w:rsidP="00306EEA">
      <w:pPr>
        <w:spacing w:line="360" w:lineRule="auto"/>
        <w:rPr>
          <w:rFonts w:ascii="Arial" w:hAnsi="Arial" w:cs="Arial"/>
          <w:sz w:val="22"/>
          <w:szCs w:val="22"/>
        </w:rPr>
      </w:pPr>
    </w:p>
    <w:p w14:paraId="0B6E7E16" w14:textId="69FD5AD5" w:rsidR="001B2F3A" w:rsidRDefault="001B2F3A" w:rsidP="00306EEA">
      <w:pPr>
        <w:spacing w:line="360" w:lineRule="auto"/>
        <w:rPr>
          <w:rFonts w:ascii="Arial" w:hAnsi="Arial" w:cs="Arial"/>
          <w:sz w:val="22"/>
          <w:szCs w:val="22"/>
        </w:rPr>
      </w:pPr>
      <w:r w:rsidRPr="001B2F3A">
        <w:rPr>
          <w:rFonts w:ascii="Arial" w:hAnsi="Arial" w:cs="Arial"/>
          <w:sz w:val="22"/>
          <w:szCs w:val="22"/>
        </w:rPr>
        <w:t>JLR demonstrates substantial internal capabilities in technology development, operations, and brand management. These capabilities underpin its ability to deliver premium, sustainable vehicles and maintain a competitive advantage in the luxury automotive sector. To sustain long-term success, JLR must continue to enhance efficiency, invest in innovation, and integrate sustainability into every stage of its value chain.</w:t>
      </w:r>
    </w:p>
    <w:p w14:paraId="31E72BA0" w14:textId="6B6A5679" w:rsidR="008152B9" w:rsidRDefault="00306EEA" w:rsidP="003B75D4">
      <w:pPr>
        <w:spacing w:line="360" w:lineRule="auto"/>
        <w:rPr>
          <w:rFonts w:ascii="Arial" w:hAnsi="Arial" w:cs="Arial"/>
          <w:sz w:val="22"/>
          <w:szCs w:val="22"/>
        </w:rPr>
      </w:pPr>
      <w:r w:rsidRPr="00306EEA">
        <w:rPr>
          <w:rFonts w:ascii="Arial" w:hAnsi="Arial" w:cs="Arial"/>
          <w:sz w:val="22"/>
          <w:szCs w:val="22"/>
        </w:rPr>
        <w:t>However, continued success depends on addressing weaknesses such as high production costs, supply chain vulnerabilities and the need to accelerate EV transformation across the value chain</w:t>
      </w:r>
      <w:sdt>
        <w:sdtPr>
          <w:rPr>
            <w:rFonts w:ascii="Arial" w:hAnsi="Arial" w:cs="Arial"/>
            <w:sz w:val="22"/>
            <w:szCs w:val="22"/>
          </w:rPr>
          <w:id w:val="-81840743"/>
          <w:citation/>
        </w:sdtPr>
        <w:sdtContent>
          <w:r w:rsidR="009A31C9">
            <w:rPr>
              <w:rFonts w:ascii="Arial" w:hAnsi="Arial" w:cs="Arial"/>
              <w:sz w:val="22"/>
              <w:szCs w:val="22"/>
            </w:rPr>
            <w:fldChar w:fldCharType="begin"/>
          </w:r>
          <w:r w:rsidR="009A31C9">
            <w:rPr>
              <w:rFonts w:ascii="Arial" w:hAnsi="Arial" w:cs="Arial"/>
              <w:sz w:val="22"/>
              <w:szCs w:val="22"/>
              <w:lang w:val="en-US"/>
            </w:rPr>
            <w:instrText xml:space="preserve"> CITATION Sch19 \l 1033 </w:instrText>
          </w:r>
          <w:r w:rsidR="009A31C9">
            <w:rPr>
              <w:rFonts w:ascii="Arial" w:hAnsi="Arial" w:cs="Arial"/>
              <w:sz w:val="22"/>
              <w:szCs w:val="22"/>
            </w:rPr>
            <w:fldChar w:fldCharType="separate"/>
          </w:r>
          <w:r w:rsidR="00161368">
            <w:rPr>
              <w:rFonts w:ascii="Arial" w:hAnsi="Arial" w:cs="Arial"/>
              <w:noProof/>
              <w:sz w:val="22"/>
              <w:szCs w:val="22"/>
              <w:lang w:val="en-US"/>
            </w:rPr>
            <w:t xml:space="preserve"> </w:t>
          </w:r>
          <w:r w:rsidR="00161368" w:rsidRPr="00161368">
            <w:rPr>
              <w:rFonts w:ascii="Arial" w:hAnsi="Arial" w:cs="Arial"/>
              <w:noProof/>
              <w:sz w:val="22"/>
              <w:szCs w:val="22"/>
              <w:lang w:val="en-US"/>
            </w:rPr>
            <w:t>(Schlüter &amp; Weyer, 2019)</w:t>
          </w:r>
          <w:r w:rsidR="009A31C9">
            <w:rPr>
              <w:rFonts w:ascii="Arial" w:hAnsi="Arial" w:cs="Arial"/>
              <w:sz w:val="22"/>
              <w:szCs w:val="22"/>
            </w:rPr>
            <w:fldChar w:fldCharType="end"/>
          </w:r>
        </w:sdtContent>
      </w:sdt>
      <w:r w:rsidRPr="00306EEA">
        <w:rPr>
          <w:rFonts w:ascii="Arial" w:hAnsi="Arial" w:cs="Arial"/>
          <w:sz w:val="22"/>
          <w:szCs w:val="22"/>
        </w:rPr>
        <w:t>.</w:t>
      </w:r>
    </w:p>
    <w:p w14:paraId="2D4AD9FB" w14:textId="77777777" w:rsidR="003B75D4" w:rsidRPr="003B75D4" w:rsidRDefault="003B75D4" w:rsidP="003B75D4">
      <w:pPr>
        <w:spacing w:line="360" w:lineRule="auto"/>
        <w:rPr>
          <w:rFonts w:ascii="Arial" w:hAnsi="Arial" w:cs="Arial"/>
          <w:sz w:val="22"/>
          <w:szCs w:val="22"/>
        </w:rPr>
      </w:pPr>
    </w:p>
    <w:p w14:paraId="7633D1E3" w14:textId="5B135732" w:rsidR="00B80D83" w:rsidRDefault="008152B9" w:rsidP="00273D16">
      <w:pPr>
        <w:pStyle w:val="Heading1"/>
        <w:rPr>
          <w:rFonts w:ascii="Arial" w:hAnsi="Arial" w:cs="Arial"/>
          <w:b/>
          <w:bCs/>
          <w:color w:val="000000" w:themeColor="text1"/>
          <w:sz w:val="28"/>
          <w:szCs w:val="28"/>
        </w:rPr>
      </w:pPr>
      <w:bookmarkStart w:id="12" w:name="_Toc211877797"/>
      <w:r>
        <w:rPr>
          <w:rFonts w:ascii="Arial" w:hAnsi="Arial" w:cs="Arial"/>
          <w:b/>
          <w:bCs/>
          <w:color w:val="000000" w:themeColor="text1"/>
          <w:sz w:val="28"/>
          <w:szCs w:val="28"/>
        </w:rPr>
        <w:t>5</w:t>
      </w:r>
      <w:r w:rsidR="00273D16" w:rsidRPr="00273D16">
        <w:rPr>
          <w:rFonts w:ascii="Arial" w:hAnsi="Arial" w:cs="Arial"/>
          <w:b/>
          <w:bCs/>
          <w:color w:val="000000" w:themeColor="text1"/>
          <w:sz w:val="28"/>
          <w:szCs w:val="28"/>
        </w:rPr>
        <w:t>. Internal Analysis (SWOT Framework).</w:t>
      </w:r>
      <w:bookmarkEnd w:id="12"/>
    </w:p>
    <w:p w14:paraId="72C10AD8" w14:textId="0C93F3F4" w:rsidR="00B60609" w:rsidRPr="00B60609" w:rsidRDefault="00B60609" w:rsidP="00B60609">
      <w:r w:rsidRPr="00B60609">
        <w:rPr>
          <w:rFonts w:ascii="Arial" w:hAnsi="Arial" w:cs="Arial"/>
          <w:noProof/>
          <w:sz w:val="22"/>
          <w:szCs w:val="22"/>
        </w:rPr>
        <w:drawing>
          <wp:anchor distT="0" distB="0" distL="114300" distR="114300" simplePos="0" relativeHeight="251660288" behindDoc="0" locked="0" layoutInCell="1" allowOverlap="1" wp14:anchorId="6E322622" wp14:editId="62320072">
            <wp:simplePos x="0" y="0"/>
            <wp:positionH relativeFrom="margin">
              <wp:align>right</wp:align>
            </wp:positionH>
            <wp:positionV relativeFrom="paragraph">
              <wp:posOffset>315595</wp:posOffset>
            </wp:positionV>
            <wp:extent cx="2419350" cy="2419350"/>
            <wp:effectExtent l="0" t="0" r="0" b="0"/>
            <wp:wrapSquare wrapText="bothSides"/>
            <wp:docPr id="1206741537" name="Picture 1" descr="A diagram of swot analysi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06741537" name="Picture 1" descr="A diagram of swot analysis&#10;&#10;AI-generated content may be incorrect."/>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419350" cy="2419350"/>
                    </a:xfrm>
                    <a:prstGeom prst="rect">
                      <a:avLst/>
                    </a:prstGeom>
                  </pic:spPr>
                </pic:pic>
              </a:graphicData>
            </a:graphic>
            <wp14:sizeRelH relativeFrom="margin">
              <wp14:pctWidth>0</wp14:pctWidth>
            </wp14:sizeRelH>
            <wp14:sizeRelV relativeFrom="margin">
              <wp14:pctHeight>0</wp14:pctHeight>
            </wp14:sizeRelV>
          </wp:anchor>
        </w:drawing>
      </w:r>
    </w:p>
    <w:p w14:paraId="44626B8A" w14:textId="62C8C506" w:rsidR="00FC1816" w:rsidRDefault="00B60609" w:rsidP="009029A0">
      <w:pPr>
        <w:tabs>
          <w:tab w:val="left" w:pos="1320"/>
        </w:tabs>
        <w:spacing w:line="360" w:lineRule="auto"/>
        <w:ind w:firstLine="720"/>
        <w:rPr>
          <w:rFonts w:ascii="Arial" w:hAnsi="Arial" w:cs="Arial"/>
          <w:sz w:val="22"/>
          <w:szCs w:val="22"/>
        </w:rPr>
      </w:pPr>
      <w:r w:rsidRPr="00B60609">
        <w:rPr>
          <w:rFonts w:ascii="Arial" w:hAnsi="Arial" w:cs="Arial"/>
          <w:sz w:val="22"/>
          <w:szCs w:val="22"/>
        </w:rPr>
        <w:t>The SWOT framework is used to assess Jaguar Land Rover’s (JLR) internal environment by identifying its key Strengths, Weaknesses, Opportunities, and Threats. This analysis provides a clear understanding of JLR’s current strategic position, helping to evaluate how internal capabilities align with external market conditions. By analysing these factors, the company can leverage its core strengths, address operational weaknesses, capitalise on emerging opportunities such as electric mobility, and mitigate potential risks in an increasingly competitive</w:t>
      </w:r>
      <w:r w:rsidR="00FC1816">
        <w:rPr>
          <w:rFonts w:ascii="Arial" w:hAnsi="Arial" w:cs="Arial"/>
          <w:sz w:val="22"/>
          <w:szCs w:val="22"/>
        </w:rPr>
        <w:t xml:space="preserve">                                                                 Fig.3.</w:t>
      </w:r>
    </w:p>
    <w:p w14:paraId="4D63A4E0" w14:textId="30799C00" w:rsidR="009029A0" w:rsidRDefault="00B60609" w:rsidP="00FC1816">
      <w:pPr>
        <w:tabs>
          <w:tab w:val="left" w:pos="1320"/>
        </w:tabs>
        <w:spacing w:line="360" w:lineRule="auto"/>
      </w:pPr>
      <w:r w:rsidRPr="00B60609">
        <w:rPr>
          <w:rFonts w:ascii="Arial" w:hAnsi="Arial" w:cs="Arial"/>
          <w:sz w:val="22"/>
          <w:szCs w:val="22"/>
        </w:rPr>
        <w:t xml:space="preserve"> global automotive industry</w:t>
      </w:r>
      <w:sdt>
        <w:sdtPr>
          <w:rPr>
            <w:rFonts w:ascii="Arial" w:hAnsi="Arial" w:cs="Arial"/>
            <w:sz w:val="22"/>
            <w:szCs w:val="22"/>
          </w:rPr>
          <w:id w:val="-15008771"/>
          <w:citation/>
        </w:sdtPr>
        <w:sdtContent>
          <w:r w:rsidR="00C747A5">
            <w:rPr>
              <w:rFonts w:ascii="Arial" w:hAnsi="Arial" w:cs="Arial"/>
              <w:sz w:val="22"/>
              <w:szCs w:val="22"/>
            </w:rPr>
            <w:fldChar w:fldCharType="begin"/>
          </w:r>
          <w:r w:rsidR="00C747A5">
            <w:rPr>
              <w:rFonts w:ascii="Arial" w:hAnsi="Arial" w:cs="Arial"/>
              <w:sz w:val="22"/>
              <w:szCs w:val="22"/>
              <w:lang w:val="en-US"/>
            </w:rPr>
            <w:instrText xml:space="preserve"> CITATION Pic98 \l 1033 </w:instrText>
          </w:r>
          <w:r w:rsidR="00C747A5">
            <w:rPr>
              <w:rFonts w:ascii="Arial" w:hAnsi="Arial" w:cs="Arial"/>
              <w:sz w:val="22"/>
              <w:szCs w:val="22"/>
            </w:rPr>
            <w:fldChar w:fldCharType="separate"/>
          </w:r>
          <w:r w:rsidR="00161368">
            <w:rPr>
              <w:rFonts w:ascii="Arial" w:hAnsi="Arial" w:cs="Arial"/>
              <w:noProof/>
              <w:sz w:val="22"/>
              <w:szCs w:val="22"/>
              <w:lang w:val="en-US"/>
            </w:rPr>
            <w:t xml:space="preserve"> </w:t>
          </w:r>
          <w:r w:rsidR="00161368" w:rsidRPr="00161368">
            <w:rPr>
              <w:rFonts w:ascii="Arial" w:hAnsi="Arial" w:cs="Arial"/>
              <w:noProof/>
              <w:sz w:val="22"/>
              <w:szCs w:val="22"/>
              <w:lang w:val="en-US"/>
            </w:rPr>
            <w:t>(Pickton &amp; Wright, 1998)</w:t>
          </w:r>
          <w:r w:rsidR="00C747A5">
            <w:rPr>
              <w:rFonts w:ascii="Arial" w:hAnsi="Arial" w:cs="Arial"/>
              <w:sz w:val="22"/>
              <w:szCs w:val="22"/>
            </w:rPr>
            <w:fldChar w:fldCharType="end"/>
          </w:r>
        </w:sdtContent>
      </w:sdt>
      <w:r w:rsidRPr="00B60609">
        <w:t>.</w:t>
      </w:r>
      <w:r w:rsidR="004A31E9">
        <w:br w:type="textWrapping" w:clear="all"/>
      </w:r>
    </w:p>
    <w:tbl>
      <w:tblPr>
        <w:tblStyle w:val="TableGrid"/>
        <w:tblW w:w="0" w:type="auto"/>
        <w:tblLook w:val="04A0" w:firstRow="1" w:lastRow="0" w:firstColumn="1" w:lastColumn="0" w:noHBand="0" w:noVBand="1"/>
      </w:tblPr>
      <w:tblGrid>
        <w:gridCol w:w="4508"/>
        <w:gridCol w:w="4508"/>
      </w:tblGrid>
      <w:tr w:rsidR="009029A0" w14:paraId="30576909" w14:textId="77777777" w:rsidTr="009029A0">
        <w:tc>
          <w:tcPr>
            <w:tcW w:w="4508" w:type="dxa"/>
          </w:tcPr>
          <w:p w14:paraId="12251A52" w14:textId="4EFAF9DA" w:rsidR="009029A0" w:rsidRPr="00356E5C" w:rsidRDefault="00AF24C0" w:rsidP="00356E5C">
            <w:pPr>
              <w:spacing w:line="360" w:lineRule="auto"/>
              <w:jc w:val="center"/>
              <w:rPr>
                <w:rFonts w:ascii="Arial" w:hAnsi="Arial" w:cs="Arial"/>
                <w:b/>
                <w:bCs/>
                <w:i/>
                <w:iCs/>
                <w:sz w:val="22"/>
                <w:szCs w:val="22"/>
              </w:rPr>
            </w:pPr>
            <w:r w:rsidRPr="00356E5C">
              <w:rPr>
                <w:rFonts w:ascii="Arial" w:hAnsi="Arial" w:cs="Arial"/>
                <w:b/>
                <w:bCs/>
                <w:i/>
                <w:iCs/>
                <w:sz w:val="22"/>
                <w:szCs w:val="22"/>
              </w:rPr>
              <w:t>Strengths:</w:t>
            </w:r>
          </w:p>
        </w:tc>
        <w:tc>
          <w:tcPr>
            <w:tcW w:w="4508" w:type="dxa"/>
          </w:tcPr>
          <w:p w14:paraId="346F63E0" w14:textId="254B9D32" w:rsidR="009029A0" w:rsidRPr="00356E5C" w:rsidRDefault="00702E90" w:rsidP="00356E5C">
            <w:pPr>
              <w:spacing w:line="360" w:lineRule="auto"/>
              <w:jc w:val="center"/>
              <w:rPr>
                <w:rFonts w:ascii="Arial" w:hAnsi="Arial" w:cs="Arial"/>
                <w:b/>
                <w:bCs/>
                <w:i/>
                <w:iCs/>
                <w:sz w:val="22"/>
                <w:szCs w:val="22"/>
              </w:rPr>
            </w:pPr>
            <w:r w:rsidRPr="00356E5C">
              <w:rPr>
                <w:rFonts w:ascii="Arial" w:hAnsi="Arial" w:cs="Arial"/>
                <w:b/>
                <w:bCs/>
                <w:i/>
                <w:iCs/>
                <w:sz w:val="22"/>
                <w:szCs w:val="22"/>
              </w:rPr>
              <w:t>Weaknesses:</w:t>
            </w:r>
          </w:p>
        </w:tc>
      </w:tr>
      <w:tr w:rsidR="009029A0" w14:paraId="4012A120" w14:textId="77777777" w:rsidTr="009029A0">
        <w:tc>
          <w:tcPr>
            <w:tcW w:w="4508" w:type="dxa"/>
          </w:tcPr>
          <w:p w14:paraId="73690A9E" w14:textId="08B4DC0F" w:rsidR="00356E5C" w:rsidRDefault="000E21A2" w:rsidP="00F41FDB">
            <w:pPr>
              <w:pStyle w:val="ListParagraph"/>
              <w:numPr>
                <w:ilvl w:val="0"/>
                <w:numId w:val="2"/>
              </w:numPr>
              <w:spacing w:line="360" w:lineRule="auto"/>
              <w:rPr>
                <w:rFonts w:ascii="Arial" w:hAnsi="Arial" w:cs="Arial"/>
                <w:sz w:val="22"/>
                <w:szCs w:val="22"/>
              </w:rPr>
            </w:pPr>
            <w:r w:rsidRPr="00356E5C">
              <w:rPr>
                <w:rFonts w:ascii="Arial" w:hAnsi="Arial" w:cs="Arial"/>
                <w:sz w:val="22"/>
                <w:szCs w:val="22"/>
              </w:rPr>
              <w:t>Strong heritage and global brand recognition</w:t>
            </w:r>
            <w:r w:rsidR="00356E5C">
              <w:rPr>
                <w:rFonts w:ascii="Arial" w:hAnsi="Arial" w:cs="Arial"/>
                <w:sz w:val="22"/>
                <w:szCs w:val="22"/>
              </w:rPr>
              <w:t>;</w:t>
            </w:r>
          </w:p>
          <w:p w14:paraId="7435ACFB" w14:textId="77777777" w:rsidR="00356E5C" w:rsidRDefault="007D40DA" w:rsidP="00F41FDB">
            <w:pPr>
              <w:pStyle w:val="ListParagraph"/>
              <w:numPr>
                <w:ilvl w:val="0"/>
                <w:numId w:val="2"/>
              </w:numPr>
              <w:spacing w:line="360" w:lineRule="auto"/>
              <w:rPr>
                <w:rFonts w:ascii="Arial" w:hAnsi="Arial" w:cs="Arial"/>
                <w:sz w:val="22"/>
                <w:szCs w:val="22"/>
              </w:rPr>
            </w:pPr>
            <w:r w:rsidRPr="00356E5C">
              <w:rPr>
                <w:rFonts w:ascii="Arial" w:hAnsi="Arial" w:cs="Arial"/>
                <w:sz w:val="22"/>
                <w:szCs w:val="22"/>
              </w:rPr>
              <w:t>Diverse luxury portfolio (Jaguar and Land Rover)</w:t>
            </w:r>
            <w:r w:rsidR="00356E5C">
              <w:rPr>
                <w:rFonts w:ascii="Arial" w:hAnsi="Arial" w:cs="Arial"/>
                <w:sz w:val="22"/>
                <w:szCs w:val="22"/>
              </w:rPr>
              <w:t>;</w:t>
            </w:r>
          </w:p>
          <w:p w14:paraId="28FFAF8D" w14:textId="77777777" w:rsidR="00356E5C" w:rsidRDefault="007D40DA" w:rsidP="00F41FDB">
            <w:pPr>
              <w:pStyle w:val="ListParagraph"/>
              <w:numPr>
                <w:ilvl w:val="0"/>
                <w:numId w:val="2"/>
              </w:numPr>
              <w:spacing w:line="360" w:lineRule="auto"/>
              <w:rPr>
                <w:rFonts w:ascii="Arial" w:hAnsi="Arial" w:cs="Arial"/>
                <w:sz w:val="22"/>
                <w:szCs w:val="22"/>
              </w:rPr>
            </w:pPr>
            <w:r w:rsidRPr="00356E5C">
              <w:rPr>
                <w:rFonts w:ascii="Arial" w:hAnsi="Arial" w:cs="Arial"/>
                <w:sz w:val="22"/>
                <w:szCs w:val="22"/>
              </w:rPr>
              <w:lastRenderedPageBreak/>
              <w:t>Backing from Tata Motors provides financial stability and strategic autonomy</w:t>
            </w:r>
            <w:r w:rsidR="00356E5C">
              <w:rPr>
                <w:rFonts w:ascii="Arial" w:hAnsi="Arial" w:cs="Arial"/>
                <w:sz w:val="22"/>
                <w:szCs w:val="22"/>
              </w:rPr>
              <w:t>;</w:t>
            </w:r>
          </w:p>
          <w:p w14:paraId="24653DE3" w14:textId="0CCCD478" w:rsidR="007D40DA" w:rsidRPr="00356E5C" w:rsidRDefault="007D40DA" w:rsidP="00F41FDB">
            <w:pPr>
              <w:pStyle w:val="ListParagraph"/>
              <w:numPr>
                <w:ilvl w:val="0"/>
                <w:numId w:val="2"/>
              </w:numPr>
              <w:spacing w:line="360" w:lineRule="auto"/>
              <w:rPr>
                <w:rFonts w:ascii="Arial" w:hAnsi="Arial" w:cs="Arial"/>
                <w:sz w:val="22"/>
                <w:szCs w:val="22"/>
              </w:rPr>
            </w:pPr>
            <w:r w:rsidRPr="00356E5C">
              <w:rPr>
                <w:rFonts w:ascii="Arial" w:hAnsi="Arial" w:cs="Arial"/>
                <w:sz w:val="22"/>
                <w:szCs w:val="22"/>
              </w:rPr>
              <w:t>Advanced R&amp;D and design capabilities in the UK.</w:t>
            </w:r>
          </w:p>
        </w:tc>
        <w:tc>
          <w:tcPr>
            <w:tcW w:w="4508" w:type="dxa"/>
          </w:tcPr>
          <w:p w14:paraId="458288B4" w14:textId="77777777" w:rsidR="00356E5C" w:rsidRDefault="007D40DA" w:rsidP="00F41FDB">
            <w:pPr>
              <w:pStyle w:val="ListParagraph"/>
              <w:numPr>
                <w:ilvl w:val="0"/>
                <w:numId w:val="3"/>
              </w:numPr>
              <w:spacing w:line="360" w:lineRule="auto"/>
              <w:rPr>
                <w:rFonts w:ascii="Arial" w:hAnsi="Arial" w:cs="Arial"/>
                <w:sz w:val="22"/>
                <w:szCs w:val="22"/>
              </w:rPr>
            </w:pPr>
            <w:r w:rsidRPr="00356E5C">
              <w:rPr>
                <w:rFonts w:ascii="Arial" w:hAnsi="Arial" w:cs="Arial"/>
                <w:sz w:val="22"/>
                <w:szCs w:val="22"/>
              </w:rPr>
              <w:lastRenderedPageBreak/>
              <w:t>High production costs compared to competitors</w:t>
            </w:r>
            <w:r w:rsidR="00356E5C">
              <w:rPr>
                <w:rFonts w:ascii="Arial" w:hAnsi="Arial" w:cs="Arial"/>
                <w:sz w:val="22"/>
                <w:szCs w:val="22"/>
              </w:rPr>
              <w:t>;</w:t>
            </w:r>
          </w:p>
          <w:p w14:paraId="62E64A7F" w14:textId="77777777" w:rsidR="00356E5C" w:rsidRDefault="003F2799" w:rsidP="00F41FDB">
            <w:pPr>
              <w:pStyle w:val="ListParagraph"/>
              <w:numPr>
                <w:ilvl w:val="0"/>
                <w:numId w:val="3"/>
              </w:numPr>
              <w:spacing w:line="360" w:lineRule="auto"/>
              <w:rPr>
                <w:rFonts w:ascii="Arial" w:hAnsi="Arial" w:cs="Arial"/>
                <w:sz w:val="22"/>
                <w:szCs w:val="22"/>
              </w:rPr>
            </w:pPr>
            <w:r w:rsidRPr="00356E5C">
              <w:rPr>
                <w:rFonts w:ascii="Arial" w:hAnsi="Arial" w:cs="Arial"/>
                <w:sz w:val="22"/>
                <w:szCs w:val="22"/>
              </w:rPr>
              <w:t>Past issues with product reliability and delays</w:t>
            </w:r>
            <w:r w:rsidR="00356E5C">
              <w:rPr>
                <w:rFonts w:ascii="Arial" w:hAnsi="Arial" w:cs="Arial"/>
                <w:sz w:val="22"/>
                <w:szCs w:val="22"/>
              </w:rPr>
              <w:t>;</w:t>
            </w:r>
          </w:p>
          <w:p w14:paraId="1B260788" w14:textId="7C4871BC" w:rsidR="00356E5C" w:rsidRDefault="003F2799" w:rsidP="00F41FDB">
            <w:pPr>
              <w:pStyle w:val="ListParagraph"/>
              <w:numPr>
                <w:ilvl w:val="0"/>
                <w:numId w:val="3"/>
              </w:numPr>
              <w:spacing w:line="360" w:lineRule="auto"/>
              <w:rPr>
                <w:rFonts w:ascii="Arial" w:hAnsi="Arial" w:cs="Arial"/>
                <w:sz w:val="22"/>
                <w:szCs w:val="22"/>
              </w:rPr>
            </w:pPr>
            <w:r w:rsidRPr="00356E5C">
              <w:rPr>
                <w:rFonts w:ascii="Arial" w:hAnsi="Arial" w:cs="Arial"/>
                <w:sz w:val="22"/>
                <w:szCs w:val="22"/>
              </w:rPr>
              <w:lastRenderedPageBreak/>
              <w:t>Limited EV product range compared to rivals like Tesla or Mercedes</w:t>
            </w:r>
            <w:r w:rsidR="00356E5C">
              <w:rPr>
                <w:rFonts w:ascii="Arial" w:hAnsi="Arial" w:cs="Arial"/>
                <w:sz w:val="22"/>
                <w:szCs w:val="22"/>
              </w:rPr>
              <w:t>;</w:t>
            </w:r>
          </w:p>
          <w:p w14:paraId="5B03E91B" w14:textId="7B3AD5B9" w:rsidR="003F2799" w:rsidRPr="00356E5C" w:rsidRDefault="003F2799" w:rsidP="00F41FDB">
            <w:pPr>
              <w:pStyle w:val="ListParagraph"/>
              <w:numPr>
                <w:ilvl w:val="0"/>
                <w:numId w:val="3"/>
              </w:numPr>
              <w:spacing w:line="360" w:lineRule="auto"/>
              <w:rPr>
                <w:rFonts w:ascii="Arial" w:hAnsi="Arial" w:cs="Arial"/>
                <w:sz w:val="22"/>
                <w:szCs w:val="22"/>
              </w:rPr>
            </w:pPr>
            <w:r w:rsidRPr="00356E5C">
              <w:rPr>
                <w:rFonts w:ascii="Arial" w:hAnsi="Arial" w:cs="Arial"/>
                <w:sz w:val="22"/>
                <w:szCs w:val="22"/>
              </w:rPr>
              <w:t>Dependence on imported components and global markets.</w:t>
            </w:r>
          </w:p>
        </w:tc>
      </w:tr>
      <w:tr w:rsidR="009029A0" w14:paraId="7F1B9DAB" w14:textId="77777777" w:rsidTr="009029A0">
        <w:tc>
          <w:tcPr>
            <w:tcW w:w="4508" w:type="dxa"/>
          </w:tcPr>
          <w:p w14:paraId="25BC2D2E" w14:textId="2F6A838A" w:rsidR="009029A0" w:rsidRPr="00356E5C" w:rsidRDefault="00C74882" w:rsidP="00356E5C">
            <w:pPr>
              <w:spacing w:line="360" w:lineRule="auto"/>
              <w:jc w:val="center"/>
              <w:rPr>
                <w:rFonts w:ascii="Arial" w:hAnsi="Arial" w:cs="Arial"/>
                <w:b/>
                <w:bCs/>
                <w:i/>
                <w:iCs/>
                <w:sz w:val="22"/>
                <w:szCs w:val="22"/>
              </w:rPr>
            </w:pPr>
            <w:r w:rsidRPr="00356E5C">
              <w:rPr>
                <w:rFonts w:ascii="Arial" w:hAnsi="Arial" w:cs="Arial"/>
                <w:b/>
                <w:bCs/>
                <w:i/>
                <w:iCs/>
                <w:sz w:val="22"/>
                <w:szCs w:val="22"/>
              </w:rPr>
              <w:lastRenderedPageBreak/>
              <w:t>Opportunities:</w:t>
            </w:r>
          </w:p>
        </w:tc>
        <w:tc>
          <w:tcPr>
            <w:tcW w:w="4508" w:type="dxa"/>
          </w:tcPr>
          <w:p w14:paraId="3F1E0E69" w14:textId="29A05376" w:rsidR="009029A0" w:rsidRPr="00356E5C" w:rsidRDefault="00F41FDB" w:rsidP="00356E5C">
            <w:pPr>
              <w:spacing w:line="360" w:lineRule="auto"/>
              <w:jc w:val="center"/>
              <w:rPr>
                <w:rFonts w:ascii="Arial" w:hAnsi="Arial" w:cs="Arial"/>
                <w:b/>
                <w:bCs/>
                <w:i/>
                <w:iCs/>
                <w:sz w:val="22"/>
                <w:szCs w:val="22"/>
              </w:rPr>
            </w:pPr>
            <w:r w:rsidRPr="00356E5C">
              <w:rPr>
                <w:rFonts w:ascii="Arial" w:hAnsi="Arial" w:cs="Arial"/>
                <w:b/>
                <w:bCs/>
                <w:i/>
                <w:iCs/>
                <w:sz w:val="22"/>
                <w:szCs w:val="22"/>
              </w:rPr>
              <w:t>Threats:</w:t>
            </w:r>
          </w:p>
        </w:tc>
      </w:tr>
      <w:tr w:rsidR="009029A0" w14:paraId="0ADB80AB" w14:textId="77777777" w:rsidTr="009029A0">
        <w:tc>
          <w:tcPr>
            <w:tcW w:w="4508" w:type="dxa"/>
          </w:tcPr>
          <w:p w14:paraId="05D6A31E" w14:textId="77777777" w:rsidR="00356E5C" w:rsidRDefault="000E21A2" w:rsidP="000E21A2">
            <w:pPr>
              <w:pStyle w:val="ListParagraph"/>
              <w:numPr>
                <w:ilvl w:val="0"/>
                <w:numId w:val="4"/>
              </w:numPr>
              <w:spacing w:line="360" w:lineRule="auto"/>
              <w:rPr>
                <w:rFonts w:ascii="Arial" w:hAnsi="Arial" w:cs="Arial"/>
                <w:sz w:val="22"/>
                <w:szCs w:val="22"/>
              </w:rPr>
            </w:pPr>
            <w:r w:rsidRPr="00356E5C">
              <w:rPr>
                <w:rFonts w:ascii="Arial" w:hAnsi="Arial" w:cs="Arial"/>
                <w:sz w:val="22"/>
                <w:szCs w:val="22"/>
              </w:rPr>
              <w:t>Expansion into the fast-growing EV and hybrid markets</w:t>
            </w:r>
            <w:r w:rsidR="00356E5C">
              <w:rPr>
                <w:rFonts w:ascii="Arial" w:hAnsi="Arial" w:cs="Arial"/>
                <w:sz w:val="22"/>
                <w:szCs w:val="22"/>
              </w:rPr>
              <w:t>;</w:t>
            </w:r>
          </w:p>
          <w:p w14:paraId="7DABC9E9" w14:textId="77777777" w:rsidR="00356E5C" w:rsidRDefault="000E21A2" w:rsidP="000E21A2">
            <w:pPr>
              <w:pStyle w:val="ListParagraph"/>
              <w:numPr>
                <w:ilvl w:val="0"/>
                <w:numId w:val="4"/>
              </w:numPr>
              <w:spacing w:line="360" w:lineRule="auto"/>
              <w:rPr>
                <w:rFonts w:ascii="Arial" w:hAnsi="Arial" w:cs="Arial"/>
                <w:sz w:val="22"/>
                <w:szCs w:val="22"/>
              </w:rPr>
            </w:pPr>
            <w:r w:rsidRPr="00356E5C">
              <w:rPr>
                <w:rFonts w:ascii="Arial" w:hAnsi="Arial" w:cs="Arial"/>
                <w:sz w:val="22"/>
                <w:szCs w:val="22"/>
              </w:rPr>
              <w:t>Partnerships for battery and AI technologies</w:t>
            </w:r>
            <w:r w:rsidR="00356E5C">
              <w:rPr>
                <w:rFonts w:ascii="Arial" w:hAnsi="Arial" w:cs="Arial"/>
                <w:sz w:val="22"/>
                <w:szCs w:val="22"/>
              </w:rPr>
              <w:t>;</w:t>
            </w:r>
          </w:p>
          <w:p w14:paraId="617CACEB" w14:textId="35C2650F" w:rsidR="009029A0" w:rsidRPr="00356E5C" w:rsidRDefault="000E21A2" w:rsidP="000E21A2">
            <w:pPr>
              <w:pStyle w:val="ListParagraph"/>
              <w:numPr>
                <w:ilvl w:val="0"/>
                <w:numId w:val="4"/>
              </w:numPr>
              <w:spacing w:line="360" w:lineRule="auto"/>
              <w:rPr>
                <w:rFonts w:ascii="Arial" w:hAnsi="Arial" w:cs="Arial"/>
                <w:sz w:val="22"/>
                <w:szCs w:val="22"/>
              </w:rPr>
            </w:pPr>
            <w:r w:rsidRPr="00356E5C">
              <w:rPr>
                <w:rFonts w:ascii="Arial" w:hAnsi="Arial" w:cs="Arial"/>
                <w:sz w:val="22"/>
                <w:szCs w:val="22"/>
              </w:rPr>
              <w:t>Growing demand for sustainable luxury vehicles.</w:t>
            </w:r>
          </w:p>
        </w:tc>
        <w:tc>
          <w:tcPr>
            <w:tcW w:w="4508" w:type="dxa"/>
          </w:tcPr>
          <w:p w14:paraId="6ED1B6E7" w14:textId="77777777" w:rsidR="00356E5C" w:rsidRDefault="003F2799" w:rsidP="00F41FDB">
            <w:pPr>
              <w:pStyle w:val="ListParagraph"/>
              <w:numPr>
                <w:ilvl w:val="0"/>
                <w:numId w:val="5"/>
              </w:numPr>
              <w:spacing w:line="360" w:lineRule="auto"/>
              <w:rPr>
                <w:rFonts w:ascii="Arial" w:hAnsi="Arial" w:cs="Arial"/>
                <w:sz w:val="22"/>
                <w:szCs w:val="22"/>
              </w:rPr>
            </w:pPr>
            <w:r w:rsidRPr="00356E5C">
              <w:rPr>
                <w:rFonts w:ascii="Arial" w:hAnsi="Arial" w:cs="Arial"/>
                <w:sz w:val="22"/>
                <w:szCs w:val="22"/>
              </w:rPr>
              <w:t>Intense competition in luxury EV segment</w:t>
            </w:r>
            <w:r w:rsidR="00356E5C">
              <w:rPr>
                <w:rFonts w:ascii="Arial" w:hAnsi="Arial" w:cs="Arial"/>
                <w:sz w:val="22"/>
                <w:szCs w:val="22"/>
              </w:rPr>
              <w:t>;</w:t>
            </w:r>
          </w:p>
          <w:p w14:paraId="471CD64E" w14:textId="77777777" w:rsidR="00356E5C" w:rsidRDefault="00356E5C" w:rsidP="00F41FDB">
            <w:pPr>
              <w:pStyle w:val="ListParagraph"/>
              <w:numPr>
                <w:ilvl w:val="0"/>
                <w:numId w:val="5"/>
              </w:numPr>
              <w:spacing w:line="360" w:lineRule="auto"/>
              <w:rPr>
                <w:rFonts w:ascii="Arial" w:hAnsi="Arial" w:cs="Arial"/>
                <w:sz w:val="22"/>
                <w:szCs w:val="22"/>
              </w:rPr>
            </w:pPr>
            <w:r w:rsidRPr="00356E5C">
              <w:rPr>
                <w:rFonts w:ascii="Arial" w:hAnsi="Arial" w:cs="Arial"/>
                <w:sz w:val="22"/>
                <w:szCs w:val="22"/>
              </w:rPr>
              <w:t>Economic downturns and reduced global demand</w:t>
            </w:r>
            <w:r>
              <w:rPr>
                <w:rFonts w:ascii="Arial" w:hAnsi="Arial" w:cs="Arial"/>
                <w:sz w:val="22"/>
                <w:szCs w:val="22"/>
              </w:rPr>
              <w:t>;</w:t>
            </w:r>
          </w:p>
          <w:p w14:paraId="0702A0B2" w14:textId="2E38763D" w:rsidR="00356E5C" w:rsidRPr="00356E5C" w:rsidRDefault="00356E5C" w:rsidP="00F41FDB">
            <w:pPr>
              <w:pStyle w:val="ListParagraph"/>
              <w:numPr>
                <w:ilvl w:val="0"/>
                <w:numId w:val="5"/>
              </w:numPr>
              <w:spacing w:line="360" w:lineRule="auto"/>
              <w:rPr>
                <w:rFonts w:ascii="Arial" w:hAnsi="Arial" w:cs="Arial"/>
                <w:sz w:val="22"/>
                <w:szCs w:val="22"/>
              </w:rPr>
            </w:pPr>
            <w:r w:rsidRPr="00356E5C">
              <w:rPr>
                <w:rFonts w:ascii="Arial" w:hAnsi="Arial" w:cs="Arial"/>
                <w:sz w:val="22"/>
                <w:szCs w:val="22"/>
              </w:rPr>
              <w:t>Regulatory changes and environmental penalties.</w:t>
            </w:r>
          </w:p>
        </w:tc>
      </w:tr>
    </w:tbl>
    <w:p w14:paraId="0DD03D50" w14:textId="725F4EEC" w:rsidR="00273D16" w:rsidRDefault="00273D16" w:rsidP="004A31E9"/>
    <w:p w14:paraId="355519B8" w14:textId="2B69A20B" w:rsidR="00273D16" w:rsidRPr="0087585C" w:rsidRDefault="0087585C" w:rsidP="0087585C">
      <w:pPr>
        <w:spacing w:line="360" w:lineRule="auto"/>
        <w:rPr>
          <w:rFonts w:ascii="Arial" w:hAnsi="Arial" w:cs="Arial"/>
          <w:sz w:val="22"/>
          <w:szCs w:val="22"/>
        </w:rPr>
      </w:pPr>
      <w:r w:rsidRPr="0087585C">
        <w:rPr>
          <w:rFonts w:ascii="Arial" w:hAnsi="Arial" w:cs="Arial"/>
          <w:sz w:val="22"/>
          <w:szCs w:val="22"/>
        </w:rPr>
        <w:t>JLR’s strengths in brand heritage and design innovation position it well to transition toward a sustainable future, but execution speed and operational efficiency remain critical challenges</w:t>
      </w:r>
      <w:sdt>
        <w:sdtPr>
          <w:rPr>
            <w:rFonts w:ascii="Arial" w:hAnsi="Arial" w:cs="Arial"/>
            <w:sz w:val="22"/>
            <w:szCs w:val="22"/>
          </w:rPr>
          <w:id w:val="-1891099221"/>
          <w:citation/>
        </w:sdtPr>
        <w:sdtContent>
          <w:r w:rsidR="003F5CD3">
            <w:rPr>
              <w:rFonts w:ascii="Arial" w:hAnsi="Arial" w:cs="Arial"/>
              <w:sz w:val="22"/>
              <w:szCs w:val="22"/>
            </w:rPr>
            <w:fldChar w:fldCharType="begin"/>
          </w:r>
          <w:r w:rsidR="003F5CD3">
            <w:rPr>
              <w:rFonts w:ascii="Arial" w:hAnsi="Arial" w:cs="Arial"/>
              <w:sz w:val="22"/>
              <w:szCs w:val="22"/>
              <w:lang w:val="en-US"/>
            </w:rPr>
            <w:instrText xml:space="preserve"> CITATION Pic98 \l 1033 </w:instrText>
          </w:r>
          <w:r w:rsidR="003F5CD3">
            <w:rPr>
              <w:rFonts w:ascii="Arial" w:hAnsi="Arial" w:cs="Arial"/>
              <w:sz w:val="22"/>
              <w:szCs w:val="22"/>
            </w:rPr>
            <w:fldChar w:fldCharType="separate"/>
          </w:r>
          <w:r w:rsidR="00161368">
            <w:rPr>
              <w:rFonts w:ascii="Arial" w:hAnsi="Arial" w:cs="Arial"/>
              <w:noProof/>
              <w:sz w:val="22"/>
              <w:szCs w:val="22"/>
              <w:lang w:val="en-US"/>
            </w:rPr>
            <w:t xml:space="preserve"> </w:t>
          </w:r>
          <w:r w:rsidR="00161368" w:rsidRPr="00161368">
            <w:rPr>
              <w:rFonts w:ascii="Arial" w:hAnsi="Arial" w:cs="Arial"/>
              <w:noProof/>
              <w:sz w:val="22"/>
              <w:szCs w:val="22"/>
              <w:lang w:val="en-US"/>
            </w:rPr>
            <w:t>(Pickton &amp; Wright, 1998)</w:t>
          </w:r>
          <w:r w:rsidR="003F5CD3">
            <w:rPr>
              <w:rFonts w:ascii="Arial" w:hAnsi="Arial" w:cs="Arial"/>
              <w:sz w:val="22"/>
              <w:szCs w:val="22"/>
            </w:rPr>
            <w:fldChar w:fldCharType="end"/>
          </w:r>
        </w:sdtContent>
      </w:sdt>
      <w:r w:rsidRPr="0087585C">
        <w:rPr>
          <w:rFonts w:ascii="Arial" w:hAnsi="Arial" w:cs="Arial"/>
          <w:sz w:val="22"/>
          <w:szCs w:val="22"/>
        </w:rPr>
        <w:t>.</w:t>
      </w:r>
    </w:p>
    <w:p w14:paraId="4C590B2E" w14:textId="5A6A8F40" w:rsidR="00224B5D" w:rsidRDefault="00224B5D" w:rsidP="00E10203"/>
    <w:p w14:paraId="3009F65F" w14:textId="211E80CB" w:rsidR="00E60F1E" w:rsidRDefault="00E60F1E" w:rsidP="00E60F1E">
      <w:pPr>
        <w:pStyle w:val="Heading1"/>
        <w:rPr>
          <w:rFonts w:ascii="Arial" w:hAnsi="Arial" w:cs="Arial"/>
          <w:b/>
          <w:bCs/>
          <w:color w:val="000000" w:themeColor="text1"/>
          <w:sz w:val="28"/>
          <w:szCs w:val="28"/>
        </w:rPr>
      </w:pPr>
      <w:bookmarkStart w:id="13" w:name="_Toc211877798"/>
      <w:r w:rsidRPr="00481C80">
        <w:rPr>
          <w:rFonts w:ascii="Arial" w:hAnsi="Arial" w:cs="Arial"/>
          <w:b/>
          <w:bCs/>
          <w:color w:val="000000" w:themeColor="text1"/>
          <w:sz w:val="28"/>
          <w:szCs w:val="28"/>
        </w:rPr>
        <w:t>6.</w:t>
      </w:r>
      <w:r w:rsidR="009A34E8" w:rsidRPr="00481C80">
        <w:rPr>
          <w:rFonts w:ascii="Arial" w:eastAsiaTheme="minorHAnsi" w:hAnsi="Arial" w:cs="Arial"/>
          <w:b/>
          <w:bCs/>
          <w:color w:val="000000" w:themeColor="text1"/>
          <w:sz w:val="18"/>
          <w:szCs w:val="18"/>
        </w:rPr>
        <w:t xml:space="preserve"> </w:t>
      </w:r>
      <w:r w:rsidR="009A34E8" w:rsidRPr="00481C80">
        <w:rPr>
          <w:rFonts w:ascii="Arial" w:hAnsi="Arial" w:cs="Arial"/>
          <w:b/>
          <w:bCs/>
          <w:color w:val="000000" w:themeColor="text1"/>
          <w:sz w:val="28"/>
          <w:szCs w:val="28"/>
        </w:rPr>
        <w:t>Strategic Challenges and</w:t>
      </w:r>
      <w:r w:rsidR="00481C80" w:rsidRPr="00481C80">
        <w:rPr>
          <w:rFonts w:ascii="Arial" w:hAnsi="Arial" w:cs="Arial"/>
          <w:b/>
          <w:bCs/>
          <w:color w:val="000000" w:themeColor="text1"/>
          <w:sz w:val="28"/>
          <w:szCs w:val="28"/>
        </w:rPr>
        <w:t xml:space="preserve"> Strategic Recommendations (Forward-Looking Strategies).</w:t>
      </w:r>
      <w:bookmarkEnd w:id="13"/>
    </w:p>
    <w:p w14:paraId="117F1A86" w14:textId="77777777" w:rsidR="00E017C6" w:rsidRDefault="00E017C6" w:rsidP="00932E42"/>
    <w:p w14:paraId="255FC48E" w14:textId="18B78731" w:rsidR="002246BF" w:rsidRPr="002246BF" w:rsidRDefault="002246BF" w:rsidP="002246BF">
      <w:pPr>
        <w:spacing w:line="360" w:lineRule="auto"/>
        <w:rPr>
          <w:rFonts w:ascii="Arial" w:hAnsi="Arial" w:cs="Arial"/>
          <w:sz w:val="22"/>
          <w:szCs w:val="22"/>
        </w:rPr>
      </w:pPr>
      <w:r w:rsidRPr="002246BF">
        <w:rPr>
          <w:rFonts w:ascii="Arial" w:hAnsi="Arial" w:cs="Arial"/>
          <w:noProof/>
          <w:sz w:val="22"/>
          <w:szCs w:val="22"/>
        </w:rPr>
        <w:drawing>
          <wp:anchor distT="0" distB="0" distL="114300" distR="114300" simplePos="0" relativeHeight="251661312" behindDoc="0" locked="0" layoutInCell="1" allowOverlap="1" wp14:anchorId="6BF890C4" wp14:editId="18E9C303">
            <wp:simplePos x="0" y="0"/>
            <wp:positionH relativeFrom="margin">
              <wp:align>left</wp:align>
            </wp:positionH>
            <wp:positionV relativeFrom="paragraph">
              <wp:posOffset>24130</wp:posOffset>
            </wp:positionV>
            <wp:extent cx="2171700" cy="2040255"/>
            <wp:effectExtent l="0" t="0" r="0" b="0"/>
            <wp:wrapSquare wrapText="bothSides"/>
            <wp:docPr id="1150741311" name="Picture 1" descr="A close-up of a person running&#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50741311" name="Picture 1" descr="A close-up of a person running&#10;&#10;AI-generated content may be incorrect."/>
                    <pic:cNvPicPr/>
                  </pic:nvPicPr>
                  <pic:blipFill>
                    <a:blip r:embed="rId12">
                      <a:extLst>
                        <a:ext uri="{28A0092B-C50C-407E-A947-70E740481C1C}">
                          <a14:useLocalDpi xmlns:a14="http://schemas.microsoft.com/office/drawing/2010/main" val="0"/>
                        </a:ext>
                      </a:extLst>
                    </a:blip>
                    <a:stretch>
                      <a:fillRect/>
                    </a:stretch>
                  </pic:blipFill>
                  <pic:spPr>
                    <a:xfrm>
                      <a:off x="0" y="0"/>
                      <a:ext cx="2174476" cy="2043259"/>
                    </a:xfrm>
                    <a:prstGeom prst="rect">
                      <a:avLst/>
                    </a:prstGeom>
                  </pic:spPr>
                </pic:pic>
              </a:graphicData>
            </a:graphic>
            <wp14:sizeRelH relativeFrom="margin">
              <wp14:pctWidth>0</wp14:pctWidth>
            </wp14:sizeRelH>
            <wp14:sizeRelV relativeFrom="margin">
              <wp14:pctHeight>0</wp14:pctHeight>
            </wp14:sizeRelV>
          </wp:anchor>
        </w:drawing>
      </w:r>
      <w:r w:rsidRPr="002246BF">
        <w:rPr>
          <w:rFonts w:ascii="Arial" w:hAnsi="Arial" w:cs="Arial"/>
          <w:sz w:val="22"/>
          <w:szCs w:val="22"/>
        </w:rPr>
        <w:t xml:space="preserve">JLR faces a dual challenge: maintaining profitability in traditional internal combustion engine (ICE) models while investing heavily in electrification and digital transformation. The “Reimagine Strategy”, launched in 2021, aims to reposition Jaguar as an all-electric luxury brand by 2025 and Land Rover to introduce six new electric models by 2030 </w:t>
      </w:r>
      <w:sdt>
        <w:sdtPr>
          <w:rPr>
            <w:rFonts w:ascii="Arial" w:hAnsi="Arial" w:cs="Arial"/>
            <w:sz w:val="22"/>
            <w:szCs w:val="22"/>
          </w:rPr>
          <w:id w:val="-341701909"/>
          <w:citation/>
        </w:sdtPr>
        <w:sdtContent>
          <w:r w:rsidR="00FB0EC6">
            <w:rPr>
              <w:rFonts w:ascii="Arial" w:hAnsi="Arial" w:cs="Arial"/>
              <w:sz w:val="22"/>
              <w:szCs w:val="22"/>
            </w:rPr>
            <w:fldChar w:fldCharType="begin"/>
          </w:r>
          <w:r w:rsidR="00FB0EC6">
            <w:rPr>
              <w:rFonts w:ascii="Arial" w:hAnsi="Arial" w:cs="Arial"/>
              <w:sz w:val="22"/>
              <w:szCs w:val="22"/>
              <w:lang w:val="en-US"/>
            </w:rPr>
            <w:instrText xml:space="preserve"> CITATION Jag21 \l 1033 </w:instrText>
          </w:r>
          <w:r w:rsidR="00FB0EC6">
            <w:rPr>
              <w:rFonts w:ascii="Arial" w:hAnsi="Arial" w:cs="Arial"/>
              <w:sz w:val="22"/>
              <w:szCs w:val="22"/>
            </w:rPr>
            <w:fldChar w:fldCharType="separate"/>
          </w:r>
          <w:r w:rsidR="00161368" w:rsidRPr="00161368">
            <w:rPr>
              <w:rFonts w:ascii="Arial" w:hAnsi="Arial" w:cs="Arial"/>
              <w:noProof/>
              <w:sz w:val="22"/>
              <w:szCs w:val="22"/>
              <w:lang w:val="en-US"/>
            </w:rPr>
            <w:t>(Rover, 2021)</w:t>
          </w:r>
          <w:r w:rsidR="00FB0EC6">
            <w:rPr>
              <w:rFonts w:ascii="Arial" w:hAnsi="Arial" w:cs="Arial"/>
              <w:sz w:val="22"/>
              <w:szCs w:val="22"/>
            </w:rPr>
            <w:fldChar w:fldCharType="end"/>
          </w:r>
        </w:sdtContent>
      </w:sdt>
      <w:r w:rsidRPr="002246BF">
        <w:rPr>
          <w:rFonts w:ascii="Arial" w:hAnsi="Arial" w:cs="Arial"/>
          <w:sz w:val="22"/>
          <w:szCs w:val="22"/>
        </w:rPr>
        <w:t>.</w:t>
      </w:r>
    </w:p>
    <w:p w14:paraId="6604301C" w14:textId="7AE778D1" w:rsidR="002246BF" w:rsidRDefault="002246BF" w:rsidP="002246BF">
      <w:pPr>
        <w:spacing w:line="360" w:lineRule="auto"/>
        <w:rPr>
          <w:rFonts w:ascii="Arial" w:hAnsi="Arial" w:cs="Arial"/>
          <w:sz w:val="22"/>
          <w:szCs w:val="22"/>
        </w:rPr>
      </w:pPr>
    </w:p>
    <w:p w14:paraId="26B9B70A" w14:textId="69E90A2D" w:rsidR="002246BF" w:rsidRPr="002246BF" w:rsidRDefault="00FC1816" w:rsidP="002246BF">
      <w:pPr>
        <w:spacing w:line="360" w:lineRule="auto"/>
        <w:rPr>
          <w:rFonts w:ascii="Arial" w:hAnsi="Arial" w:cs="Arial"/>
          <w:sz w:val="22"/>
          <w:szCs w:val="22"/>
        </w:rPr>
      </w:pPr>
      <w:r>
        <w:rPr>
          <w:rFonts w:ascii="Arial" w:hAnsi="Arial" w:cs="Arial"/>
          <w:sz w:val="22"/>
          <w:szCs w:val="22"/>
        </w:rPr>
        <w:tab/>
      </w:r>
      <w:r>
        <w:rPr>
          <w:rFonts w:ascii="Arial" w:hAnsi="Arial" w:cs="Arial"/>
          <w:sz w:val="22"/>
          <w:szCs w:val="22"/>
        </w:rPr>
        <w:tab/>
        <w:t>Fig.4.</w:t>
      </w:r>
    </w:p>
    <w:p w14:paraId="453A03C0" w14:textId="2DC5D758" w:rsidR="007A51A6" w:rsidRPr="00FC1816" w:rsidRDefault="009433A8" w:rsidP="00FC1816">
      <w:pPr>
        <w:spacing w:line="360" w:lineRule="auto"/>
        <w:rPr>
          <w:rFonts w:ascii="Arial" w:hAnsi="Arial" w:cs="Arial"/>
          <w:sz w:val="22"/>
          <w:szCs w:val="22"/>
        </w:rPr>
      </w:pPr>
      <w:r w:rsidRPr="002246BF">
        <w:rPr>
          <w:rFonts w:ascii="Arial" w:hAnsi="Arial" w:cs="Arial"/>
          <w:sz w:val="22"/>
          <w:szCs w:val="22"/>
        </w:rPr>
        <w:t>But</w:t>
      </w:r>
      <w:r w:rsidR="002246BF" w:rsidRPr="002246BF">
        <w:rPr>
          <w:rFonts w:ascii="Arial" w:hAnsi="Arial" w:cs="Arial"/>
          <w:sz w:val="22"/>
          <w:szCs w:val="22"/>
        </w:rPr>
        <w:t xml:space="preserve">, the transition poses financial and technological risks. The development of EV infrastructure, battery costs and consumer uncertainty about range and charging remain barriers. </w:t>
      </w:r>
      <w:r w:rsidRPr="002246BF">
        <w:rPr>
          <w:rFonts w:ascii="Arial" w:hAnsi="Arial" w:cs="Arial"/>
          <w:sz w:val="22"/>
          <w:szCs w:val="22"/>
        </w:rPr>
        <w:t>In opposition</w:t>
      </w:r>
      <w:r w:rsidR="002246BF" w:rsidRPr="002246BF">
        <w:rPr>
          <w:rFonts w:ascii="Arial" w:hAnsi="Arial" w:cs="Arial"/>
          <w:sz w:val="22"/>
          <w:szCs w:val="22"/>
        </w:rPr>
        <w:t>, JLR’s early investment in local battery production and digital capabilities provides opportunities for long-term competitiveness.</w:t>
      </w:r>
      <w:r w:rsidR="002246BF" w:rsidRPr="002246BF">
        <w:rPr>
          <w:rFonts w:ascii="Arial" w:hAnsi="Arial" w:cs="Arial"/>
          <w:noProof/>
          <w:sz w:val="22"/>
          <w:szCs w:val="22"/>
        </w:rPr>
        <w:t xml:space="preserve"> </w:t>
      </w:r>
    </w:p>
    <w:p w14:paraId="37F23454" w14:textId="3AC6335F" w:rsidR="003E34C2" w:rsidRDefault="005F48E7" w:rsidP="003E34C2">
      <w:pPr>
        <w:pStyle w:val="Heading2"/>
        <w:rPr>
          <w:b/>
          <w:bCs/>
          <w:i/>
          <w:iCs/>
          <w:color w:val="000000" w:themeColor="text1"/>
          <w:sz w:val="28"/>
          <w:szCs w:val="28"/>
        </w:rPr>
      </w:pPr>
      <w:bookmarkStart w:id="14" w:name="_Toc211877799"/>
      <w:r w:rsidRPr="005F48E7">
        <w:rPr>
          <w:b/>
          <w:bCs/>
          <w:i/>
          <w:iCs/>
          <w:color w:val="000000" w:themeColor="text1"/>
          <w:sz w:val="28"/>
          <w:szCs w:val="28"/>
        </w:rPr>
        <w:lastRenderedPageBreak/>
        <w:t>6.1. Strategic Recommendations:</w:t>
      </w:r>
      <w:bookmarkEnd w:id="14"/>
    </w:p>
    <w:p w14:paraId="7FBC7464" w14:textId="77777777" w:rsidR="005F48E7" w:rsidRPr="005F48E7" w:rsidRDefault="005F48E7" w:rsidP="005F48E7"/>
    <w:tbl>
      <w:tblPr>
        <w:tblStyle w:val="TableGrid"/>
        <w:tblW w:w="0" w:type="auto"/>
        <w:tblLook w:val="04A0" w:firstRow="1" w:lastRow="0" w:firstColumn="1" w:lastColumn="0" w:noHBand="0" w:noVBand="1"/>
      </w:tblPr>
      <w:tblGrid>
        <w:gridCol w:w="2875"/>
        <w:gridCol w:w="6141"/>
      </w:tblGrid>
      <w:tr w:rsidR="003E34C2" w14:paraId="7E11C9EC" w14:textId="77777777" w:rsidTr="005F48E7">
        <w:tc>
          <w:tcPr>
            <w:tcW w:w="2875" w:type="dxa"/>
          </w:tcPr>
          <w:p w14:paraId="2AEEB2AF" w14:textId="7AE24B98" w:rsidR="003E34C2" w:rsidRPr="00574622" w:rsidRDefault="00DA56A3" w:rsidP="001C3549">
            <w:pPr>
              <w:pStyle w:val="ListParagraph"/>
              <w:numPr>
                <w:ilvl w:val="0"/>
                <w:numId w:val="8"/>
              </w:numPr>
              <w:spacing w:line="360" w:lineRule="auto"/>
              <w:rPr>
                <w:rFonts w:ascii="Arial" w:hAnsi="Arial" w:cs="Arial"/>
                <w:b/>
                <w:bCs/>
                <w:i/>
                <w:iCs/>
                <w:sz w:val="22"/>
                <w:szCs w:val="22"/>
                <w:u w:val="single"/>
              </w:rPr>
            </w:pPr>
            <w:r w:rsidRPr="00574622">
              <w:rPr>
                <w:rFonts w:ascii="Arial" w:hAnsi="Arial" w:cs="Arial"/>
                <w:b/>
                <w:bCs/>
                <w:i/>
                <w:iCs/>
                <w:sz w:val="22"/>
                <w:szCs w:val="22"/>
                <w:u w:val="single"/>
              </w:rPr>
              <w:t>Market Penetration – Strengthen the EV Brand Identity</w:t>
            </w:r>
            <w:r w:rsidR="006254D7">
              <w:rPr>
                <w:rFonts w:ascii="Arial" w:hAnsi="Arial" w:cs="Arial"/>
                <w:b/>
                <w:bCs/>
                <w:i/>
                <w:iCs/>
                <w:sz w:val="22"/>
                <w:szCs w:val="22"/>
                <w:u w:val="single"/>
              </w:rPr>
              <w:t>;</w:t>
            </w:r>
          </w:p>
        </w:tc>
        <w:tc>
          <w:tcPr>
            <w:tcW w:w="6141" w:type="dxa"/>
          </w:tcPr>
          <w:p w14:paraId="71DC1908" w14:textId="23B93DC5" w:rsidR="00574622" w:rsidRDefault="00DA56A3" w:rsidP="00574622">
            <w:pPr>
              <w:pStyle w:val="ListParagraph"/>
              <w:numPr>
                <w:ilvl w:val="0"/>
                <w:numId w:val="9"/>
              </w:numPr>
              <w:spacing w:line="360" w:lineRule="auto"/>
              <w:rPr>
                <w:rFonts w:ascii="Arial" w:hAnsi="Arial" w:cs="Arial"/>
                <w:sz w:val="22"/>
                <w:szCs w:val="22"/>
              </w:rPr>
            </w:pPr>
            <w:r w:rsidRPr="00574622">
              <w:rPr>
                <w:rFonts w:ascii="Arial" w:hAnsi="Arial" w:cs="Arial"/>
                <w:sz w:val="22"/>
                <w:szCs w:val="22"/>
              </w:rPr>
              <w:t>Reposition Jaguar as a fully electric performance brand emphasising British design and innovation</w:t>
            </w:r>
            <w:r w:rsidR="00574622">
              <w:rPr>
                <w:rFonts w:ascii="Arial" w:hAnsi="Arial" w:cs="Arial"/>
                <w:sz w:val="22"/>
                <w:szCs w:val="22"/>
              </w:rPr>
              <w:t>;</w:t>
            </w:r>
          </w:p>
          <w:p w14:paraId="357C7A18" w14:textId="77777777" w:rsidR="00574622" w:rsidRDefault="00DA56A3" w:rsidP="00574622">
            <w:pPr>
              <w:pStyle w:val="ListParagraph"/>
              <w:numPr>
                <w:ilvl w:val="0"/>
                <w:numId w:val="9"/>
              </w:numPr>
              <w:spacing w:line="360" w:lineRule="auto"/>
              <w:rPr>
                <w:rFonts w:ascii="Arial" w:hAnsi="Arial" w:cs="Arial"/>
                <w:sz w:val="22"/>
                <w:szCs w:val="22"/>
              </w:rPr>
            </w:pPr>
            <w:r w:rsidRPr="00574622">
              <w:rPr>
                <w:rFonts w:ascii="Arial" w:hAnsi="Arial" w:cs="Arial"/>
                <w:sz w:val="22"/>
                <w:szCs w:val="22"/>
              </w:rPr>
              <w:t>Expand marketing focused on sustainability, craftsmanship and digital luxury experiences</w:t>
            </w:r>
            <w:r w:rsidR="00574622">
              <w:rPr>
                <w:rFonts w:ascii="Arial" w:hAnsi="Arial" w:cs="Arial"/>
                <w:sz w:val="22"/>
                <w:szCs w:val="22"/>
              </w:rPr>
              <w:t>;</w:t>
            </w:r>
          </w:p>
          <w:p w14:paraId="2249A37D" w14:textId="3F5831D4" w:rsidR="003E34C2" w:rsidRPr="00574622" w:rsidRDefault="00DA56A3" w:rsidP="00574622">
            <w:pPr>
              <w:pStyle w:val="ListParagraph"/>
              <w:numPr>
                <w:ilvl w:val="0"/>
                <w:numId w:val="9"/>
              </w:numPr>
              <w:spacing w:line="360" w:lineRule="auto"/>
              <w:rPr>
                <w:rFonts w:ascii="Arial" w:hAnsi="Arial" w:cs="Arial"/>
                <w:sz w:val="22"/>
                <w:szCs w:val="22"/>
              </w:rPr>
            </w:pPr>
            <w:r w:rsidRPr="00574622">
              <w:rPr>
                <w:rFonts w:ascii="Arial" w:hAnsi="Arial" w:cs="Arial"/>
                <w:sz w:val="22"/>
                <w:szCs w:val="22"/>
              </w:rPr>
              <w:t>Leverage social media storytelling and partnerships with eco-conscious influencers to attract younger consumers.</w:t>
            </w:r>
          </w:p>
        </w:tc>
      </w:tr>
      <w:tr w:rsidR="003E34C2" w14:paraId="269D6270" w14:textId="77777777" w:rsidTr="005F48E7">
        <w:tc>
          <w:tcPr>
            <w:tcW w:w="2875" w:type="dxa"/>
          </w:tcPr>
          <w:p w14:paraId="0B7C68EF" w14:textId="567B066C" w:rsidR="003E34C2" w:rsidRPr="00574622" w:rsidRDefault="00DA56A3" w:rsidP="001C3549">
            <w:pPr>
              <w:pStyle w:val="ListParagraph"/>
              <w:numPr>
                <w:ilvl w:val="0"/>
                <w:numId w:val="8"/>
              </w:numPr>
              <w:spacing w:line="360" w:lineRule="auto"/>
              <w:rPr>
                <w:rFonts w:ascii="Arial" w:hAnsi="Arial" w:cs="Arial"/>
                <w:b/>
                <w:bCs/>
                <w:i/>
                <w:iCs/>
                <w:sz w:val="22"/>
                <w:szCs w:val="22"/>
                <w:u w:val="single"/>
              </w:rPr>
            </w:pPr>
            <w:r w:rsidRPr="00574622">
              <w:rPr>
                <w:rFonts w:ascii="Arial" w:hAnsi="Arial" w:cs="Arial"/>
                <w:b/>
                <w:bCs/>
                <w:i/>
                <w:iCs/>
                <w:sz w:val="22"/>
                <w:szCs w:val="22"/>
                <w:u w:val="single"/>
              </w:rPr>
              <w:t>Product Development – Accelerate Technological Innovation</w:t>
            </w:r>
            <w:r w:rsidR="006254D7">
              <w:rPr>
                <w:rFonts w:ascii="Arial" w:hAnsi="Arial" w:cs="Arial"/>
                <w:b/>
                <w:bCs/>
                <w:i/>
                <w:iCs/>
                <w:sz w:val="22"/>
                <w:szCs w:val="22"/>
                <w:u w:val="single"/>
              </w:rPr>
              <w:t>;</w:t>
            </w:r>
          </w:p>
        </w:tc>
        <w:tc>
          <w:tcPr>
            <w:tcW w:w="6141" w:type="dxa"/>
          </w:tcPr>
          <w:p w14:paraId="00209786" w14:textId="77777777" w:rsidR="00574622" w:rsidRDefault="00B67D4E" w:rsidP="00574622">
            <w:pPr>
              <w:pStyle w:val="ListParagraph"/>
              <w:numPr>
                <w:ilvl w:val="0"/>
                <w:numId w:val="8"/>
              </w:numPr>
              <w:spacing w:line="360" w:lineRule="auto"/>
              <w:rPr>
                <w:rFonts w:ascii="Arial" w:hAnsi="Arial" w:cs="Arial"/>
                <w:sz w:val="22"/>
                <w:szCs w:val="22"/>
              </w:rPr>
            </w:pPr>
            <w:r w:rsidRPr="00574622">
              <w:rPr>
                <w:rFonts w:ascii="Arial" w:hAnsi="Arial" w:cs="Arial"/>
                <w:sz w:val="22"/>
                <w:szCs w:val="22"/>
              </w:rPr>
              <w:t>Continue investing in R&amp;D for solid-state battery technology to improve range and efficiency</w:t>
            </w:r>
            <w:r w:rsidR="00574622">
              <w:rPr>
                <w:rFonts w:ascii="Arial" w:hAnsi="Arial" w:cs="Arial"/>
                <w:sz w:val="22"/>
                <w:szCs w:val="22"/>
              </w:rPr>
              <w:t>;</w:t>
            </w:r>
          </w:p>
          <w:p w14:paraId="4BF9D3DF" w14:textId="77777777" w:rsidR="00664F89" w:rsidRDefault="00B67D4E" w:rsidP="00574622">
            <w:pPr>
              <w:pStyle w:val="ListParagraph"/>
              <w:numPr>
                <w:ilvl w:val="0"/>
                <w:numId w:val="8"/>
              </w:numPr>
              <w:spacing w:line="360" w:lineRule="auto"/>
              <w:rPr>
                <w:rFonts w:ascii="Arial" w:hAnsi="Arial" w:cs="Arial"/>
                <w:sz w:val="22"/>
                <w:szCs w:val="22"/>
              </w:rPr>
            </w:pPr>
            <w:r w:rsidRPr="00574622">
              <w:rPr>
                <w:rFonts w:ascii="Arial" w:hAnsi="Arial" w:cs="Arial"/>
                <w:sz w:val="22"/>
                <w:szCs w:val="22"/>
              </w:rPr>
              <w:t>Strengthen partnerships with AI and autonomous driving technology firms such as Nvidia</w:t>
            </w:r>
            <w:r w:rsidR="00664F89">
              <w:rPr>
                <w:rFonts w:ascii="Arial" w:hAnsi="Arial" w:cs="Arial"/>
                <w:sz w:val="22"/>
                <w:szCs w:val="22"/>
              </w:rPr>
              <w:t>;</w:t>
            </w:r>
          </w:p>
          <w:p w14:paraId="3ED25897" w14:textId="36E6B6A6" w:rsidR="003E34C2" w:rsidRPr="00664F89" w:rsidRDefault="00B67D4E" w:rsidP="00574622">
            <w:pPr>
              <w:pStyle w:val="ListParagraph"/>
              <w:numPr>
                <w:ilvl w:val="0"/>
                <w:numId w:val="8"/>
              </w:numPr>
              <w:spacing w:line="360" w:lineRule="auto"/>
              <w:rPr>
                <w:rFonts w:ascii="Arial" w:hAnsi="Arial" w:cs="Arial"/>
                <w:sz w:val="22"/>
                <w:szCs w:val="22"/>
              </w:rPr>
            </w:pPr>
            <w:r w:rsidRPr="00664F89">
              <w:rPr>
                <w:rFonts w:ascii="Arial" w:hAnsi="Arial" w:cs="Arial"/>
                <w:sz w:val="22"/>
                <w:szCs w:val="22"/>
              </w:rPr>
              <w:t>Develop software-defined vehicles offering regular over-the-air updates to enhance customer value.</w:t>
            </w:r>
          </w:p>
        </w:tc>
      </w:tr>
      <w:tr w:rsidR="003E34C2" w14:paraId="2DE18D14" w14:textId="77777777" w:rsidTr="005F48E7">
        <w:tc>
          <w:tcPr>
            <w:tcW w:w="2875" w:type="dxa"/>
          </w:tcPr>
          <w:p w14:paraId="7ED62465" w14:textId="48B22EFB" w:rsidR="003E34C2" w:rsidRPr="00574622" w:rsidRDefault="00B67D4E" w:rsidP="001C3549">
            <w:pPr>
              <w:pStyle w:val="ListParagraph"/>
              <w:numPr>
                <w:ilvl w:val="0"/>
                <w:numId w:val="8"/>
              </w:numPr>
              <w:spacing w:line="360" w:lineRule="auto"/>
              <w:rPr>
                <w:rFonts w:ascii="Arial" w:hAnsi="Arial" w:cs="Arial"/>
                <w:b/>
                <w:bCs/>
                <w:i/>
                <w:iCs/>
                <w:sz w:val="22"/>
                <w:szCs w:val="22"/>
                <w:u w:val="single"/>
              </w:rPr>
            </w:pPr>
            <w:r w:rsidRPr="00574622">
              <w:rPr>
                <w:rFonts w:ascii="Arial" w:hAnsi="Arial" w:cs="Arial"/>
                <w:b/>
                <w:bCs/>
                <w:i/>
                <w:iCs/>
                <w:sz w:val="22"/>
                <w:szCs w:val="22"/>
                <w:u w:val="single"/>
              </w:rPr>
              <w:t>Market Development – Expand in Emerging Markets</w:t>
            </w:r>
            <w:r w:rsidR="006254D7">
              <w:rPr>
                <w:rFonts w:ascii="Arial" w:hAnsi="Arial" w:cs="Arial"/>
                <w:b/>
                <w:bCs/>
                <w:i/>
                <w:iCs/>
                <w:sz w:val="22"/>
                <w:szCs w:val="22"/>
                <w:u w:val="single"/>
              </w:rPr>
              <w:t>;</w:t>
            </w:r>
          </w:p>
        </w:tc>
        <w:tc>
          <w:tcPr>
            <w:tcW w:w="6141" w:type="dxa"/>
          </w:tcPr>
          <w:p w14:paraId="1CEABF55" w14:textId="77777777" w:rsidR="00664F89" w:rsidRDefault="00B67D4E" w:rsidP="00574622">
            <w:pPr>
              <w:pStyle w:val="ListParagraph"/>
              <w:numPr>
                <w:ilvl w:val="0"/>
                <w:numId w:val="8"/>
              </w:numPr>
              <w:spacing w:line="360" w:lineRule="auto"/>
              <w:rPr>
                <w:rFonts w:ascii="Arial" w:hAnsi="Arial" w:cs="Arial"/>
                <w:sz w:val="22"/>
                <w:szCs w:val="22"/>
              </w:rPr>
            </w:pPr>
            <w:r w:rsidRPr="00664F89">
              <w:rPr>
                <w:rFonts w:ascii="Arial" w:hAnsi="Arial" w:cs="Arial"/>
                <w:sz w:val="22"/>
                <w:szCs w:val="22"/>
              </w:rPr>
              <w:t>Increase production and sales presence in China and India, where luxury EV demand is rapidly growing</w:t>
            </w:r>
            <w:r w:rsidR="00664F89">
              <w:rPr>
                <w:rFonts w:ascii="Arial" w:hAnsi="Arial" w:cs="Arial"/>
                <w:sz w:val="22"/>
                <w:szCs w:val="22"/>
              </w:rPr>
              <w:t>;</w:t>
            </w:r>
          </w:p>
          <w:p w14:paraId="783F425B" w14:textId="39A8D471" w:rsidR="003E34C2" w:rsidRPr="00664F89" w:rsidRDefault="00B67D4E" w:rsidP="00574622">
            <w:pPr>
              <w:pStyle w:val="ListParagraph"/>
              <w:numPr>
                <w:ilvl w:val="0"/>
                <w:numId w:val="8"/>
              </w:numPr>
              <w:spacing w:line="360" w:lineRule="auto"/>
              <w:rPr>
                <w:rFonts w:ascii="Arial" w:hAnsi="Arial" w:cs="Arial"/>
                <w:sz w:val="22"/>
                <w:szCs w:val="22"/>
              </w:rPr>
            </w:pPr>
            <w:r w:rsidRPr="00664F89">
              <w:rPr>
                <w:rFonts w:ascii="Arial" w:hAnsi="Arial" w:cs="Arial"/>
                <w:sz w:val="22"/>
                <w:szCs w:val="22"/>
              </w:rPr>
              <w:t>Establish local assembly plants or joint ventures to reduce tariffs and distribution costs.</w:t>
            </w:r>
          </w:p>
        </w:tc>
      </w:tr>
      <w:tr w:rsidR="003E34C2" w14:paraId="668D6400" w14:textId="77777777" w:rsidTr="005F48E7">
        <w:tc>
          <w:tcPr>
            <w:tcW w:w="2875" w:type="dxa"/>
          </w:tcPr>
          <w:p w14:paraId="40EE0105" w14:textId="76C1338A" w:rsidR="003E34C2" w:rsidRPr="00574622" w:rsidRDefault="00B67D4E" w:rsidP="001C3549">
            <w:pPr>
              <w:pStyle w:val="ListParagraph"/>
              <w:numPr>
                <w:ilvl w:val="0"/>
                <w:numId w:val="8"/>
              </w:numPr>
              <w:spacing w:line="360" w:lineRule="auto"/>
              <w:rPr>
                <w:rFonts w:ascii="Arial" w:hAnsi="Arial" w:cs="Arial"/>
                <w:b/>
                <w:bCs/>
                <w:i/>
                <w:iCs/>
                <w:sz w:val="22"/>
                <w:szCs w:val="22"/>
                <w:u w:val="single"/>
              </w:rPr>
            </w:pPr>
            <w:r w:rsidRPr="00574622">
              <w:rPr>
                <w:rFonts w:ascii="Arial" w:hAnsi="Arial" w:cs="Arial"/>
                <w:b/>
                <w:bCs/>
                <w:i/>
                <w:iCs/>
                <w:sz w:val="22"/>
                <w:szCs w:val="22"/>
                <w:u w:val="single"/>
              </w:rPr>
              <w:t>Diversification – Invest in Sustainable Mobility Solutions</w:t>
            </w:r>
            <w:r w:rsidR="006254D7">
              <w:rPr>
                <w:rFonts w:ascii="Arial" w:hAnsi="Arial" w:cs="Arial"/>
                <w:b/>
                <w:bCs/>
                <w:i/>
                <w:iCs/>
                <w:sz w:val="22"/>
                <w:szCs w:val="22"/>
                <w:u w:val="single"/>
              </w:rPr>
              <w:t>;</w:t>
            </w:r>
          </w:p>
        </w:tc>
        <w:tc>
          <w:tcPr>
            <w:tcW w:w="6141" w:type="dxa"/>
          </w:tcPr>
          <w:p w14:paraId="6644E194" w14:textId="77777777" w:rsidR="00664F89" w:rsidRDefault="001C3549" w:rsidP="00574622">
            <w:pPr>
              <w:pStyle w:val="ListParagraph"/>
              <w:numPr>
                <w:ilvl w:val="0"/>
                <w:numId w:val="8"/>
              </w:numPr>
              <w:spacing w:line="360" w:lineRule="auto"/>
              <w:rPr>
                <w:rFonts w:ascii="Arial" w:hAnsi="Arial" w:cs="Arial"/>
                <w:sz w:val="22"/>
                <w:szCs w:val="22"/>
              </w:rPr>
            </w:pPr>
            <w:r w:rsidRPr="00664F89">
              <w:rPr>
                <w:rFonts w:ascii="Arial" w:hAnsi="Arial" w:cs="Arial"/>
                <w:sz w:val="22"/>
                <w:szCs w:val="22"/>
              </w:rPr>
              <w:t>Introduce luxury electric SUVs and hydrogen-powered prototypes to diversify product lines</w:t>
            </w:r>
            <w:r w:rsidR="00664F89">
              <w:rPr>
                <w:rFonts w:ascii="Arial" w:hAnsi="Arial" w:cs="Arial"/>
                <w:sz w:val="22"/>
                <w:szCs w:val="22"/>
              </w:rPr>
              <w:t>;</w:t>
            </w:r>
          </w:p>
          <w:p w14:paraId="05AA04F8" w14:textId="7B8EE9EA" w:rsidR="003E34C2" w:rsidRPr="00664F89" w:rsidRDefault="001C3549" w:rsidP="00574622">
            <w:pPr>
              <w:pStyle w:val="ListParagraph"/>
              <w:numPr>
                <w:ilvl w:val="0"/>
                <w:numId w:val="8"/>
              </w:numPr>
              <w:spacing w:line="360" w:lineRule="auto"/>
              <w:rPr>
                <w:rFonts w:ascii="Arial" w:hAnsi="Arial" w:cs="Arial"/>
                <w:sz w:val="22"/>
                <w:szCs w:val="22"/>
              </w:rPr>
            </w:pPr>
            <w:r w:rsidRPr="00664F89">
              <w:rPr>
                <w:rFonts w:ascii="Arial" w:hAnsi="Arial" w:cs="Arial"/>
                <w:sz w:val="22"/>
                <w:szCs w:val="22"/>
              </w:rPr>
              <w:t>Explore subscription-based vehicle ownership and mobility-as-a-service models targeting urban markets.</w:t>
            </w:r>
          </w:p>
        </w:tc>
      </w:tr>
      <w:tr w:rsidR="003E34C2" w14:paraId="7D54F554" w14:textId="77777777" w:rsidTr="005F48E7">
        <w:tc>
          <w:tcPr>
            <w:tcW w:w="2875" w:type="dxa"/>
          </w:tcPr>
          <w:p w14:paraId="59423FE5" w14:textId="6CE32599" w:rsidR="003E34C2" w:rsidRPr="00574622" w:rsidRDefault="001C3549" w:rsidP="001C3549">
            <w:pPr>
              <w:pStyle w:val="ListParagraph"/>
              <w:numPr>
                <w:ilvl w:val="0"/>
                <w:numId w:val="8"/>
              </w:numPr>
              <w:spacing w:line="360" w:lineRule="auto"/>
              <w:rPr>
                <w:rFonts w:ascii="Arial" w:hAnsi="Arial" w:cs="Arial"/>
                <w:b/>
                <w:bCs/>
                <w:i/>
                <w:iCs/>
                <w:sz w:val="22"/>
                <w:szCs w:val="22"/>
                <w:u w:val="single"/>
              </w:rPr>
            </w:pPr>
            <w:r w:rsidRPr="00574622">
              <w:rPr>
                <w:rFonts w:ascii="Arial" w:hAnsi="Arial" w:cs="Arial"/>
                <w:b/>
                <w:bCs/>
                <w:i/>
                <w:iCs/>
                <w:sz w:val="22"/>
                <w:szCs w:val="22"/>
                <w:u w:val="single"/>
              </w:rPr>
              <w:t>Operational and Environmental Sustainability</w:t>
            </w:r>
            <w:r w:rsidR="006254D7">
              <w:rPr>
                <w:rFonts w:ascii="Arial" w:hAnsi="Arial" w:cs="Arial"/>
                <w:b/>
                <w:bCs/>
                <w:i/>
                <w:iCs/>
                <w:sz w:val="22"/>
                <w:szCs w:val="22"/>
                <w:u w:val="single"/>
              </w:rPr>
              <w:t>;</w:t>
            </w:r>
          </w:p>
        </w:tc>
        <w:tc>
          <w:tcPr>
            <w:tcW w:w="6141" w:type="dxa"/>
          </w:tcPr>
          <w:p w14:paraId="52B65A74" w14:textId="77777777" w:rsidR="00664F89" w:rsidRDefault="001C3549" w:rsidP="00574622">
            <w:pPr>
              <w:pStyle w:val="ListParagraph"/>
              <w:numPr>
                <w:ilvl w:val="0"/>
                <w:numId w:val="8"/>
              </w:numPr>
              <w:spacing w:line="360" w:lineRule="auto"/>
              <w:rPr>
                <w:rFonts w:ascii="Arial" w:hAnsi="Arial" w:cs="Arial"/>
                <w:sz w:val="22"/>
                <w:szCs w:val="22"/>
              </w:rPr>
            </w:pPr>
            <w:r w:rsidRPr="00664F89">
              <w:rPr>
                <w:rFonts w:ascii="Arial" w:hAnsi="Arial" w:cs="Arial"/>
                <w:sz w:val="22"/>
                <w:szCs w:val="22"/>
              </w:rPr>
              <w:t>Implement closed-loop recycling systems for batteries and aluminium</w:t>
            </w:r>
            <w:r w:rsidR="00664F89">
              <w:rPr>
                <w:rFonts w:ascii="Arial" w:hAnsi="Arial" w:cs="Arial"/>
                <w:sz w:val="22"/>
                <w:szCs w:val="22"/>
              </w:rPr>
              <w:t>;</w:t>
            </w:r>
          </w:p>
          <w:p w14:paraId="73FEB5BA" w14:textId="77777777" w:rsidR="00664F89" w:rsidRDefault="001C3549" w:rsidP="00574622">
            <w:pPr>
              <w:pStyle w:val="ListParagraph"/>
              <w:numPr>
                <w:ilvl w:val="0"/>
                <w:numId w:val="8"/>
              </w:numPr>
              <w:spacing w:line="360" w:lineRule="auto"/>
              <w:rPr>
                <w:rFonts w:ascii="Arial" w:hAnsi="Arial" w:cs="Arial"/>
                <w:sz w:val="22"/>
                <w:szCs w:val="22"/>
              </w:rPr>
            </w:pPr>
            <w:r w:rsidRPr="00664F89">
              <w:rPr>
                <w:rFonts w:ascii="Arial" w:hAnsi="Arial" w:cs="Arial"/>
                <w:sz w:val="22"/>
                <w:szCs w:val="22"/>
              </w:rPr>
              <w:t>Transition all UK manufacturing sites to renewable energy by 2030</w:t>
            </w:r>
            <w:r w:rsidR="00664F89">
              <w:rPr>
                <w:rFonts w:ascii="Arial" w:hAnsi="Arial" w:cs="Arial"/>
                <w:sz w:val="22"/>
                <w:szCs w:val="22"/>
              </w:rPr>
              <w:t>;</w:t>
            </w:r>
          </w:p>
          <w:p w14:paraId="5D9A239C" w14:textId="69C6357C" w:rsidR="003E34C2" w:rsidRPr="00664F89" w:rsidRDefault="001C3549" w:rsidP="00574622">
            <w:pPr>
              <w:pStyle w:val="ListParagraph"/>
              <w:numPr>
                <w:ilvl w:val="0"/>
                <w:numId w:val="8"/>
              </w:numPr>
              <w:spacing w:line="360" w:lineRule="auto"/>
              <w:rPr>
                <w:rFonts w:ascii="Arial" w:hAnsi="Arial" w:cs="Arial"/>
                <w:sz w:val="22"/>
                <w:szCs w:val="22"/>
              </w:rPr>
            </w:pPr>
            <w:r w:rsidRPr="00664F89">
              <w:rPr>
                <w:rFonts w:ascii="Arial" w:hAnsi="Arial" w:cs="Arial"/>
                <w:sz w:val="22"/>
                <w:szCs w:val="22"/>
              </w:rPr>
              <w:t>Enhance supply chain resilience through local sourcing and strategic partnerships within the Tata Group ecosystem.</w:t>
            </w:r>
          </w:p>
        </w:tc>
      </w:tr>
    </w:tbl>
    <w:p w14:paraId="11F5F829" w14:textId="77777777" w:rsidR="007A51A6" w:rsidRDefault="007A51A6" w:rsidP="00932E42"/>
    <w:p w14:paraId="6A9E7C17" w14:textId="77777777" w:rsidR="00A85CC5" w:rsidRDefault="00A85CC5" w:rsidP="00932E42"/>
    <w:p w14:paraId="1C92EAAB" w14:textId="77777777" w:rsidR="00A85CC5" w:rsidRDefault="00A85CC5" w:rsidP="00932E42"/>
    <w:p w14:paraId="2583347D" w14:textId="0072B79E" w:rsidR="00A85CC5" w:rsidRDefault="00A004C7" w:rsidP="00A004C7">
      <w:pPr>
        <w:pStyle w:val="Heading1"/>
        <w:rPr>
          <w:rFonts w:ascii="Arial" w:hAnsi="Arial" w:cs="Arial"/>
          <w:b/>
          <w:bCs/>
          <w:color w:val="000000" w:themeColor="text1"/>
          <w:sz w:val="28"/>
          <w:szCs w:val="28"/>
        </w:rPr>
      </w:pPr>
      <w:bookmarkStart w:id="15" w:name="_Toc211877800"/>
      <w:r w:rsidRPr="00AD6F58">
        <w:rPr>
          <w:rFonts w:ascii="Arial" w:hAnsi="Arial" w:cs="Arial"/>
          <w:b/>
          <w:bCs/>
          <w:color w:val="000000" w:themeColor="text1"/>
          <w:sz w:val="28"/>
          <w:szCs w:val="28"/>
        </w:rPr>
        <w:lastRenderedPageBreak/>
        <w:t>7.</w:t>
      </w:r>
      <w:r w:rsidR="00AD6F58" w:rsidRPr="00AD6F58">
        <w:rPr>
          <w:rFonts w:ascii="Arial" w:hAnsi="Arial" w:cs="Arial"/>
          <w:b/>
          <w:bCs/>
          <w:color w:val="000000" w:themeColor="text1"/>
          <w:sz w:val="28"/>
          <w:szCs w:val="28"/>
        </w:rPr>
        <w:t xml:space="preserve"> Conclusion:</w:t>
      </w:r>
      <w:bookmarkEnd w:id="15"/>
    </w:p>
    <w:p w14:paraId="4DB747D9" w14:textId="77777777" w:rsidR="00AD6F58" w:rsidRDefault="00AD6F58" w:rsidP="00AD6F58"/>
    <w:p w14:paraId="3D1E3558" w14:textId="335F42C4" w:rsidR="00106C61" w:rsidRDefault="004D65D0" w:rsidP="004D65D0">
      <w:pPr>
        <w:spacing w:line="360" w:lineRule="auto"/>
        <w:ind w:firstLine="720"/>
        <w:rPr>
          <w:rFonts w:ascii="Arial" w:hAnsi="Arial" w:cs="Arial"/>
          <w:sz w:val="22"/>
          <w:szCs w:val="22"/>
        </w:rPr>
      </w:pPr>
      <w:r w:rsidRPr="004D65D0">
        <w:rPr>
          <w:rFonts w:ascii="Arial" w:hAnsi="Arial" w:cs="Arial"/>
          <w:sz w:val="22"/>
          <w:szCs w:val="22"/>
        </w:rPr>
        <w:t>The current report is about Jaguar Land Rover (JLR) and its strategic positioning as the automotive industry transitions toward electrification and sustainable mobility. External pressures</w:t>
      </w:r>
      <w:r w:rsidR="00A56A71">
        <w:rPr>
          <w:rFonts w:ascii="Arial" w:hAnsi="Arial" w:cs="Arial"/>
          <w:sz w:val="22"/>
          <w:szCs w:val="22"/>
        </w:rPr>
        <w:t xml:space="preserve"> </w:t>
      </w:r>
      <w:r w:rsidRPr="004D65D0">
        <w:rPr>
          <w:rFonts w:ascii="Arial" w:hAnsi="Arial" w:cs="Arial"/>
          <w:sz w:val="22"/>
          <w:szCs w:val="22"/>
        </w:rPr>
        <w:t>regulatory, technological and environmental</w:t>
      </w:r>
      <w:r w:rsidR="00A56A71">
        <w:rPr>
          <w:rFonts w:ascii="Arial" w:hAnsi="Arial" w:cs="Arial"/>
          <w:sz w:val="22"/>
          <w:szCs w:val="22"/>
        </w:rPr>
        <w:t xml:space="preserve"> </w:t>
      </w:r>
      <w:r w:rsidRPr="004D65D0">
        <w:rPr>
          <w:rFonts w:ascii="Arial" w:hAnsi="Arial" w:cs="Arial"/>
          <w:sz w:val="22"/>
          <w:szCs w:val="22"/>
        </w:rPr>
        <w:t xml:space="preserve">are transforming industry dynamics, while consumer expectations evolve toward greener and more digitally integrated experiences. By executing its </w:t>
      </w:r>
      <w:r w:rsidRPr="00A56A71">
        <w:rPr>
          <w:rFonts w:ascii="Arial" w:hAnsi="Arial" w:cs="Arial"/>
          <w:i/>
          <w:iCs/>
          <w:sz w:val="22"/>
          <w:szCs w:val="22"/>
        </w:rPr>
        <w:t>“Reimagine Strategy”</w:t>
      </w:r>
      <w:r w:rsidRPr="004D65D0">
        <w:rPr>
          <w:rFonts w:ascii="Arial" w:hAnsi="Arial" w:cs="Arial"/>
          <w:sz w:val="22"/>
          <w:szCs w:val="22"/>
        </w:rPr>
        <w:t xml:space="preserve"> and implementing forward-looking actions such as enhanced R&amp;D investment, sustainable manufacturing</w:t>
      </w:r>
      <w:r w:rsidR="00A56A71">
        <w:rPr>
          <w:rFonts w:ascii="Arial" w:hAnsi="Arial" w:cs="Arial"/>
          <w:sz w:val="22"/>
          <w:szCs w:val="22"/>
        </w:rPr>
        <w:t xml:space="preserve"> </w:t>
      </w:r>
      <w:r w:rsidRPr="004D65D0">
        <w:rPr>
          <w:rFonts w:ascii="Arial" w:hAnsi="Arial" w:cs="Arial"/>
          <w:sz w:val="22"/>
          <w:szCs w:val="22"/>
        </w:rPr>
        <w:t xml:space="preserve">and brand repositioning, JLR can strengthen its competitive advantage. </w:t>
      </w:r>
      <w:r w:rsidR="00A56A71" w:rsidRPr="004D65D0">
        <w:rPr>
          <w:rFonts w:ascii="Arial" w:hAnsi="Arial" w:cs="Arial"/>
          <w:sz w:val="22"/>
          <w:szCs w:val="22"/>
        </w:rPr>
        <w:t>Also</w:t>
      </w:r>
      <w:r w:rsidRPr="004D65D0">
        <w:rPr>
          <w:rFonts w:ascii="Arial" w:hAnsi="Arial" w:cs="Arial"/>
          <w:sz w:val="22"/>
          <w:szCs w:val="22"/>
        </w:rPr>
        <w:t>, JLR must continue leveraging strategic partnerships and global collaborations to accelerate innovation and access emerging technologies. Building stronger alliances with battery suppliers, software developers and mobility service providers will enhance its capability to compete with both traditional automakers and new electric vehicle entrants. Expanding into key international markets, particularly in regions with growing demand for electric vehicles, will also be crucial for long-term growth</w:t>
      </w:r>
      <w:sdt>
        <w:sdtPr>
          <w:rPr>
            <w:rFonts w:ascii="Arial" w:hAnsi="Arial" w:cs="Arial"/>
            <w:sz w:val="22"/>
            <w:szCs w:val="22"/>
          </w:rPr>
          <w:id w:val="1443502280"/>
          <w:citation/>
        </w:sdtPr>
        <w:sdtContent>
          <w:r w:rsidR="00546FE1">
            <w:rPr>
              <w:rFonts w:ascii="Arial" w:hAnsi="Arial" w:cs="Arial"/>
              <w:sz w:val="22"/>
              <w:szCs w:val="22"/>
            </w:rPr>
            <w:fldChar w:fldCharType="begin"/>
          </w:r>
          <w:r w:rsidR="00546FE1">
            <w:rPr>
              <w:rFonts w:ascii="Arial" w:hAnsi="Arial" w:cs="Arial"/>
              <w:sz w:val="22"/>
              <w:szCs w:val="22"/>
              <w:lang w:val="en-US"/>
            </w:rPr>
            <w:instrText xml:space="preserve"> CITATION Wil00 \l 1033 </w:instrText>
          </w:r>
          <w:r w:rsidR="00546FE1">
            <w:rPr>
              <w:rFonts w:ascii="Arial" w:hAnsi="Arial" w:cs="Arial"/>
              <w:sz w:val="22"/>
              <w:szCs w:val="22"/>
            </w:rPr>
            <w:fldChar w:fldCharType="separate"/>
          </w:r>
          <w:r w:rsidR="00161368">
            <w:rPr>
              <w:rFonts w:ascii="Arial" w:hAnsi="Arial" w:cs="Arial"/>
              <w:noProof/>
              <w:sz w:val="22"/>
              <w:szCs w:val="22"/>
              <w:lang w:val="en-US"/>
            </w:rPr>
            <w:t xml:space="preserve"> </w:t>
          </w:r>
          <w:r w:rsidR="00161368" w:rsidRPr="00161368">
            <w:rPr>
              <w:rFonts w:ascii="Arial" w:hAnsi="Arial" w:cs="Arial"/>
              <w:noProof/>
              <w:sz w:val="22"/>
              <w:szCs w:val="22"/>
              <w:lang w:val="en-US"/>
            </w:rPr>
            <w:t>(William &amp; Andrew, 2000)</w:t>
          </w:r>
          <w:r w:rsidR="00546FE1">
            <w:rPr>
              <w:rFonts w:ascii="Arial" w:hAnsi="Arial" w:cs="Arial"/>
              <w:sz w:val="22"/>
              <w:szCs w:val="22"/>
            </w:rPr>
            <w:fldChar w:fldCharType="end"/>
          </w:r>
        </w:sdtContent>
      </w:sdt>
      <w:r w:rsidRPr="004D65D0">
        <w:rPr>
          <w:rFonts w:ascii="Arial" w:hAnsi="Arial" w:cs="Arial"/>
          <w:sz w:val="22"/>
          <w:szCs w:val="22"/>
        </w:rPr>
        <w:t>. Moreover, prioritising employee development and fostering a culture of creativity and sustainability will empower the organisation to adapt swiftly to future challenges. Through these integrated efforts, JLR can achieve a sustainable transformation and secure enduring success in the evolving automotive landscape.</w:t>
      </w:r>
    </w:p>
    <w:p w14:paraId="32DD9CCF" w14:textId="77777777" w:rsidR="0085038F" w:rsidRDefault="0085038F" w:rsidP="004D65D0">
      <w:pPr>
        <w:spacing w:line="360" w:lineRule="auto"/>
        <w:ind w:firstLine="720"/>
        <w:rPr>
          <w:rFonts w:ascii="Arial" w:hAnsi="Arial" w:cs="Arial"/>
          <w:sz w:val="22"/>
          <w:szCs w:val="22"/>
        </w:rPr>
      </w:pPr>
    </w:p>
    <w:p w14:paraId="6A6F70E4" w14:textId="77777777" w:rsidR="0085038F" w:rsidRDefault="0085038F" w:rsidP="004D65D0">
      <w:pPr>
        <w:spacing w:line="360" w:lineRule="auto"/>
        <w:ind w:firstLine="720"/>
        <w:rPr>
          <w:rFonts w:ascii="Arial" w:hAnsi="Arial" w:cs="Arial"/>
          <w:sz w:val="22"/>
          <w:szCs w:val="22"/>
        </w:rPr>
      </w:pPr>
    </w:p>
    <w:p w14:paraId="631D8F70" w14:textId="77777777" w:rsidR="0085038F" w:rsidRDefault="0085038F" w:rsidP="004D65D0">
      <w:pPr>
        <w:spacing w:line="360" w:lineRule="auto"/>
        <w:ind w:firstLine="720"/>
        <w:rPr>
          <w:rFonts w:ascii="Arial" w:hAnsi="Arial" w:cs="Arial"/>
          <w:sz w:val="22"/>
          <w:szCs w:val="22"/>
        </w:rPr>
      </w:pPr>
    </w:p>
    <w:p w14:paraId="33E3C93F" w14:textId="77777777" w:rsidR="0085038F" w:rsidRDefault="0085038F" w:rsidP="004D65D0">
      <w:pPr>
        <w:spacing w:line="360" w:lineRule="auto"/>
        <w:ind w:firstLine="720"/>
        <w:rPr>
          <w:rFonts w:ascii="Arial" w:hAnsi="Arial" w:cs="Arial"/>
          <w:sz w:val="22"/>
          <w:szCs w:val="22"/>
        </w:rPr>
      </w:pPr>
    </w:p>
    <w:p w14:paraId="1FBB060E" w14:textId="77777777" w:rsidR="0085038F" w:rsidRDefault="0085038F" w:rsidP="004D65D0">
      <w:pPr>
        <w:spacing w:line="360" w:lineRule="auto"/>
        <w:ind w:firstLine="720"/>
        <w:rPr>
          <w:rFonts w:ascii="Arial" w:hAnsi="Arial" w:cs="Arial"/>
          <w:sz w:val="22"/>
          <w:szCs w:val="22"/>
        </w:rPr>
      </w:pPr>
    </w:p>
    <w:p w14:paraId="1DB082B4" w14:textId="77777777" w:rsidR="0085038F" w:rsidRDefault="0085038F" w:rsidP="004D65D0">
      <w:pPr>
        <w:spacing w:line="360" w:lineRule="auto"/>
        <w:ind w:firstLine="720"/>
        <w:rPr>
          <w:rFonts w:ascii="Arial" w:hAnsi="Arial" w:cs="Arial"/>
          <w:sz w:val="22"/>
          <w:szCs w:val="22"/>
        </w:rPr>
      </w:pPr>
    </w:p>
    <w:p w14:paraId="7DE2B3F3" w14:textId="77777777" w:rsidR="0085038F" w:rsidRDefault="0085038F" w:rsidP="004D65D0">
      <w:pPr>
        <w:spacing w:line="360" w:lineRule="auto"/>
        <w:ind w:firstLine="720"/>
        <w:rPr>
          <w:rFonts w:ascii="Arial" w:hAnsi="Arial" w:cs="Arial"/>
          <w:sz w:val="22"/>
          <w:szCs w:val="22"/>
        </w:rPr>
      </w:pPr>
    </w:p>
    <w:p w14:paraId="12E059D9" w14:textId="77777777" w:rsidR="0085038F" w:rsidRDefault="0085038F" w:rsidP="004D65D0">
      <w:pPr>
        <w:spacing w:line="360" w:lineRule="auto"/>
        <w:ind w:firstLine="720"/>
        <w:rPr>
          <w:rFonts w:ascii="Arial" w:hAnsi="Arial" w:cs="Arial"/>
          <w:sz w:val="22"/>
          <w:szCs w:val="22"/>
        </w:rPr>
      </w:pPr>
    </w:p>
    <w:p w14:paraId="0E79C14D" w14:textId="77777777" w:rsidR="0085038F" w:rsidRDefault="0085038F" w:rsidP="004D65D0">
      <w:pPr>
        <w:spacing w:line="360" w:lineRule="auto"/>
        <w:ind w:firstLine="720"/>
        <w:rPr>
          <w:rFonts w:ascii="Arial" w:hAnsi="Arial" w:cs="Arial"/>
          <w:sz w:val="22"/>
          <w:szCs w:val="22"/>
        </w:rPr>
      </w:pPr>
    </w:p>
    <w:p w14:paraId="4E0F686E" w14:textId="77777777" w:rsidR="0085038F" w:rsidRDefault="0085038F" w:rsidP="004D65D0">
      <w:pPr>
        <w:spacing w:line="360" w:lineRule="auto"/>
        <w:ind w:firstLine="720"/>
        <w:rPr>
          <w:rFonts w:ascii="Arial" w:hAnsi="Arial" w:cs="Arial"/>
          <w:sz w:val="22"/>
          <w:szCs w:val="22"/>
        </w:rPr>
      </w:pPr>
    </w:p>
    <w:p w14:paraId="108E9BF1" w14:textId="77777777" w:rsidR="0085038F" w:rsidRDefault="0085038F" w:rsidP="004D65D0">
      <w:pPr>
        <w:spacing w:line="360" w:lineRule="auto"/>
        <w:ind w:firstLine="720"/>
        <w:rPr>
          <w:rFonts w:ascii="Arial" w:hAnsi="Arial" w:cs="Arial"/>
          <w:sz w:val="22"/>
          <w:szCs w:val="22"/>
        </w:rPr>
      </w:pPr>
    </w:p>
    <w:p w14:paraId="29E5AAD1" w14:textId="77777777" w:rsidR="0085038F" w:rsidRDefault="0085038F" w:rsidP="004D65D0">
      <w:pPr>
        <w:spacing w:line="360" w:lineRule="auto"/>
        <w:ind w:firstLine="720"/>
        <w:rPr>
          <w:rFonts w:ascii="Arial" w:hAnsi="Arial" w:cs="Arial"/>
          <w:sz w:val="22"/>
          <w:szCs w:val="22"/>
        </w:rPr>
      </w:pPr>
    </w:p>
    <w:p w14:paraId="51B45227" w14:textId="77777777" w:rsidR="0085038F" w:rsidRDefault="0085038F" w:rsidP="004D65D0">
      <w:pPr>
        <w:spacing w:line="360" w:lineRule="auto"/>
        <w:ind w:firstLine="720"/>
        <w:rPr>
          <w:rFonts w:ascii="Arial" w:hAnsi="Arial" w:cs="Arial"/>
          <w:sz w:val="22"/>
          <w:szCs w:val="22"/>
        </w:rPr>
      </w:pPr>
    </w:p>
    <w:bookmarkStart w:id="16" w:name="_Toc211877801" w:displacedByCustomXml="next"/>
    <w:sdt>
      <w:sdtPr>
        <w:rPr>
          <w:rFonts w:asciiTheme="minorHAnsi" w:eastAsiaTheme="minorHAnsi" w:hAnsiTheme="minorHAnsi" w:cstheme="minorBidi"/>
          <w:color w:val="auto"/>
          <w:sz w:val="24"/>
          <w:szCs w:val="24"/>
        </w:rPr>
        <w:id w:val="1777211174"/>
        <w:docPartObj>
          <w:docPartGallery w:val="Bibliographies"/>
          <w:docPartUnique/>
        </w:docPartObj>
      </w:sdtPr>
      <w:sdtEndPr/>
      <w:sdtContent>
        <w:p w14:paraId="719AB682" w14:textId="67D7FC62" w:rsidR="0085038F" w:rsidRPr="0085038F" w:rsidRDefault="0085038F">
          <w:pPr>
            <w:pStyle w:val="Heading1"/>
            <w:rPr>
              <w:rFonts w:ascii="Arial" w:hAnsi="Arial" w:cs="Arial"/>
              <w:b/>
              <w:bCs/>
              <w:color w:val="000000" w:themeColor="text1"/>
              <w:sz w:val="28"/>
              <w:szCs w:val="28"/>
            </w:rPr>
          </w:pPr>
          <w:r w:rsidRPr="0085038F">
            <w:rPr>
              <w:rFonts w:ascii="Arial" w:hAnsi="Arial" w:cs="Arial"/>
              <w:b/>
              <w:bCs/>
              <w:color w:val="000000" w:themeColor="text1"/>
              <w:sz w:val="28"/>
              <w:szCs w:val="28"/>
            </w:rPr>
            <w:t>8.Bibliography:</w:t>
          </w:r>
          <w:bookmarkEnd w:id="16"/>
        </w:p>
        <w:sdt>
          <w:sdtPr>
            <w:id w:val="111145805"/>
            <w:bibliography/>
          </w:sdtPr>
          <w:sdtEndPr/>
          <w:sdtContent>
            <w:p w14:paraId="148B3361" w14:textId="77777777" w:rsidR="00161368" w:rsidRDefault="0085038F" w:rsidP="00161368">
              <w:pPr>
                <w:pStyle w:val="Bibliography"/>
                <w:rPr>
                  <w:noProof/>
                  <w:kern w:val="0"/>
                  <w14:ligatures w14:val="none"/>
                </w:rPr>
              </w:pPr>
              <w:r>
                <w:fldChar w:fldCharType="begin"/>
              </w:r>
              <w:r w:rsidRPr="00161368">
                <w:rPr>
                  <w:lang w:val="de-DE"/>
                </w:rPr>
                <w:instrText xml:space="preserve"> BIBLIOGRAPHY </w:instrText>
              </w:r>
              <w:r>
                <w:fldChar w:fldCharType="separate"/>
              </w:r>
              <w:r w:rsidR="00161368" w:rsidRPr="00161368">
                <w:rPr>
                  <w:noProof/>
                  <w:lang w:val="de-DE"/>
                </w:rPr>
                <w:t xml:space="preserve">ALLAN, B. B. &amp; Nahm, J., 2024. </w:t>
              </w:r>
              <w:r w:rsidR="00161368">
                <w:rPr>
                  <w:noProof/>
                </w:rPr>
                <w:t xml:space="preserve">Strategies of Green Industrial Policy: How States Position Firms in Global Supply Chains. </w:t>
              </w:r>
              <w:r w:rsidR="00161368">
                <w:rPr>
                  <w:i/>
                  <w:iCs/>
                  <w:noProof/>
                </w:rPr>
                <w:t xml:space="preserve">American Political Science Review, </w:t>
              </w:r>
              <w:r w:rsidR="00161368">
                <w:rPr>
                  <w:noProof/>
                </w:rPr>
                <w:t>119(1), pp. 420 - 434.</w:t>
              </w:r>
            </w:p>
            <w:p w14:paraId="3B3ECEBB" w14:textId="77777777" w:rsidR="00161368" w:rsidRDefault="00161368" w:rsidP="00161368">
              <w:pPr>
                <w:pStyle w:val="Bibliography"/>
                <w:rPr>
                  <w:noProof/>
                </w:rPr>
              </w:pPr>
              <w:r>
                <w:rPr>
                  <w:i/>
                  <w:iCs/>
                  <w:noProof/>
                </w:rPr>
                <w:t xml:space="preserve">An Analysis of Operating Environment &amp; Strategy: A Case Study of Tata Motor </w:t>
              </w:r>
              <w:r>
                <w:rPr>
                  <w:noProof/>
                </w:rPr>
                <w:t xml:space="preserve">(May 2016) Michael J Crawford. </w:t>
              </w:r>
            </w:p>
            <w:p w14:paraId="738DA223" w14:textId="77777777" w:rsidR="00161368" w:rsidRDefault="00161368" w:rsidP="00161368">
              <w:pPr>
                <w:pStyle w:val="Bibliography"/>
                <w:rPr>
                  <w:noProof/>
                </w:rPr>
              </w:pPr>
              <w:r>
                <w:rPr>
                  <w:noProof/>
                </w:rPr>
                <w:t xml:space="preserve">Ben, C. &amp; Simon, C., 2013. Governing inter-organisational R&amp;D supplier collaborations: a study at Jaguar Land Rover. </w:t>
              </w:r>
              <w:r>
                <w:rPr>
                  <w:i/>
                  <w:iCs/>
                  <w:noProof/>
                </w:rPr>
                <w:t xml:space="preserve">Production Planning &amp; Control, </w:t>
              </w:r>
              <w:r>
                <w:rPr>
                  <w:noProof/>
                </w:rPr>
                <w:t>24(8-9), pp. 818-836.</w:t>
              </w:r>
            </w:p>
            <w:p w14:paraId="1B92207D" w14:textId="77777777" w:rsidR="00161368" w:rsidRDefault="00161368" w:rsidP="00161368">
              <w:pPr>
                <w:pStyle w:val="Bibliography"/>
                <w:rPr>
                  <w:noProof/>
                </w:rPr>
              </w:pPr>
              <w:r>
                <w:rPr>
                  <w:i/>
                  <w:iCs/>
                  <w:noProof/>
                </w:rPr>
                <w:t xml:space="preserve">Case analysis: Tata Motors' acquisition of Jaguar Land Rover </w:t>
              </w:r>
              <w:r>
                <w:rPr>
                  <w:noProof/>
                </w:rPr>
                <w:t xml:space="preserve">(November 2016) Deepraj Mukherjee. </w:t>
              </w:r>
            </w:p>
            <w:p w14:paraId="4FF513FB" w14:textId="77777777" w:rsidR="00161368" w:rsidRDefault="00161368" w:rsidP="00161368">
              <w:pPr>
                <w:pStyle w:val="Bibliography"/>
                <w:rPr>
                  <w:noProof/>
                </w:rPr>
              </w:pPr>
              <w:r>
                <w:rPr>
                  <w:noProof/>
                </w:rPr>
                <w:t xml:space="preserve">Ensign, P. C., 2001. Value Chain Analysis and Competitive Advantage. </w:t>
              </w:r>
              <w:r>
                <w:rPr>
                  <w:i/>
                  <w:iCs/>
                  <w:noProof/>
                </w:rPr>
                <w:t xml:space="preserve">Journal of General Management, </w:t>
              </w:r>
              <w:r>
                <w:rPr>
                  <w:noProof/>
                </w:rPr>
                <w:t>27(1), p. 1–17.</w:t>
              </w:r>
            </w:p>
            <w:p w14:paraId="080C6359" w14:textId="77777777" w:rsidR="00161368" w:rsidRDefault="00161368" w:rsidP="00161368">
              <w:pPr>
                <w:pStyle w:val="Bibliography"/>
                <w:rPr>
                  <w:noProof/>
                </w:rPr>
              </w:pPr>
              <w:r>
                <w:rPr>
                  <w:noProof/>
                </w:rPr>
                <w:t xml:space="preserve">Grinsteins, G., 2018. Room For Growth In A Time Of Uncertainty: The UK Luxury Automotive Industry And Brexit. </w:t>
              </w:r>
              <w:r>
                <w:rPr>
                  <w:i/>
                  <w:iCs/>
                  <w:noProof/>
                </w:rPr>
                <w:t xml:space="preserve">Perspectives on Business and Economics, </w:t>
              </w:r>
              <w:r>
                <w:rPr>
                  <w:noProof/>
                </w:rPr>
                <w:t>36(1).</w:t>
              </w:r>
            </w:p>
            <w:p w14:paraId="5E4BF4AB" w14:textId="77777777" w:rsidR="00161368" w:rsidRDefault="00161368" w:rsidP="00161368">
              <w:pPr>
                <w:pStyle w:val="Bibliography"/>
                <w:rPr>
                  <w:noProof/>
                </w:rPr>
              </w:pPr>
              <w:r>
                <w:rPr>
                  <w:noProof/>
                </w:rPr>
                <w:t xml:space="preserve">Lloyd, J., 2021. The Land Rover “Guest experience” marketing concept. </w:t>
              </w:r>
              <w:r>
                <w:rPr>
                  <w:i/>
                  <w:iCs/>
                  <w:noProof/>
                </w:rPr>
                <w:t xml:space="preserve">Strategy &amp; Leadership, </w:t>
              </w:r>
              <w:r>
                <w:rPr>
                  <w:noProof/>
                </w:rPr>
                <w:t>49(1), p. 31–36.</w:t>
              </w:r>
            </w:p>
            <w:p w14:paraId="22F62BD3" w14:textId="77777777" w:rsidR="00161368" w:rsidRDefault="00161368" w:rsidP="00161368">
              <w:pPr>
                <w:pStyle w:val="Bibliography"/>
                <w:rPr>
                  <w:noProof/>
                </w:rPr>
              </w:pPr>
              <w:r>
                <w:rPr>
                  <w:noProof/>
                </w:rPr>
                <w:t xml:space="preserve">Loughran, J., 2023. </w:t>
              </w:r>
              <w:r>
                <w:rPr>
                  <w:i/>
                  <w:iCs/>
                  <w:noProof/>
                </w:rPr>
                <w:t xml:space="preserve">Demand for electric vehicles slows as public chargers remain elusive. </w:t>
              </w:r>
              <w:r>
                <w:rPr>
                  <w:noProof/>
                </w:rPr>
                <w:t xml:space="preserve">[Online] </w:t>
              </w:r>
              <w:r>
                <w:rPr>
                  <w:noProof/>
                </w:rPr>
                <w:br/>
                <w:t xml:space="preserve">Available at: </w:t>
              </w:r>
              <w:r>
                <w:rPr>
                  <w:noProof/>
                  <w:u w:val="single"/>
                </w:rPr>
                <w:t>https://doi.org/10.1049/et.2023.0513</w:t>
              </w:r>
              <w:r>
                <w:rPr>
                  <w:noProof/>
                </w:rPr>
                <w:br/>
                <w:t>[Accessed 18 10 2025].</w:t>
              </w:r>
            </w:p>
            <w:p w14:paraId="58FC001D" w14:textId="77777777" w:rsidR="00161368" w:rsidRDefault="00161368" w:rsidP="00161368">
              <w:pPr>
                <w:pStyle w:val="Bibliography"/>
                <w:rPr>
                  <w:noProof/>
                </w:rPr>
              </w:pPr>
              <w:r>
                <w:rPr>
                  <w:noProof/>
                </w:rPr>
                <w:t xml:space="preserve">Pathak, A. A., 2016. Tata Motors’ successful cross-border acquisition of Jaguar Land Rover: key take-aways. </w:t>
              </w:r>
              <w:r>
                <w:rPr>
                  <w:i/>
                  <w:iCs/>
                  <w:noProof/>
                </w:rPr>
                <w:t xml:space="preserve">Strategic Direction, </w:t>
              </w:r>
              <w:r>
                <w:rPr>
                  <w:noProof/>
                </w:rPr>
                <w:t>32(9), p. 15–18.</w:t>
              </w:r>
            </w:p>
            <w:p w14:paraId="569D36CB" w14:textId="77777777" w:rsidR="00161368" w:rsidRDefault="00161368" w:rsidP="00161368">
              <w:pPr>
                <w:pStyle w:val="Bibliography"/>
                <w:rPr>
                  <w:noProof/>
                </w:rPr>
              </w:pPr>
              <w:r>
                <w:rPr>
                  <w:noProof/>
                </w:rPr>
                <w:t xml:space="preserve">Pickton, D. W. &amp; Wright, S., 1998. What's swot in strategic analysis?. </w:t>
              </w:r>
              <w:r>
                <w:rPr>
                  <w:i/>
                  <w:iCs/>
                  <w:noProof/>
                </w:rPr>
                <w:t xml:space="preserve">Strategic Change, </w:t>
              </w:r>
              <w:r>
                <w:rPr>
                  <w:noProof/>
                </w:rPr>
                <w:t>7(2), pp. 101-109.</w:t>
              </w:r>
            </w:p>
            <w:p w14:paraId="684BF6EA" w14:textId="77777777" w:rsidR="00161368" w:rsidRDefault="00161368" w:rsidP="00161368">
              <w:pPr>
                <w:pStyle w:val="Bibliography"/>
                <w:rPr>
                  <w:noProof/>
                </w:rPr>
              </w:pPr>
              <w:r>
                <w:rPr>
                  <w:noProof/>
                </w:rPr>
                <w:t xml:space="preserve">Rover, J. L., 2021. </w:t>
              </w:r>
              <w:r>
                <w:rPr>
                  <w:i/>
                  <w:iCs/>
                  <w:noProof/>
                </w:rPr>
                <w:t xml:space="preserve">www.media.jaguarlandrover.com. </w:t>
              </w:r>
              <w:r>
                <w:rPr>
                  <w:noProof/>
                </w:rPr>
                <w:t xml:space="preserve">[Online] </w:t>
              </w:r>
              <w:r>
                <w:rPr>
                  <w:noProof/>
                </w:rPr>
                <w:br/>
                <w:t xml:space="preserve">Available at: </w:t>
              </w:r>
              <w:r>
                <w:rPr>
                  <w:noProof/>
                  <w:u w:val="single"/>
                </w:rPr>
                <w:t>https://media.jaguarlandrover.com/news/2021/02/jaguar-land-rover-reimagines-future-modern-luxury-design</w:t>
              </w:r>
              <w:r>
                <w:rPr>
                  <w:noProof/>
                </w:rPr>
                <w:br/>
                <w:t>[Accessed 18 10 2025].</w:t>
              </w:r>
            </w:p>
            <w:p w14:paraId="454C61CC" w14:textId="77777777" w:rsidR="00161368" w:rsidRDefault="00161368" w:rsidP="00161368">
              <w:pPr>
                <w:pStyle w:val="Bibliography"/>
                <w:rPr>
                  <w:noProof/>
                </w:rPr>
              </w:pPr>
              <w:r>
                <w:rPr>
                  <w:noProof/>
                </w:rPr>
                <w:t xml:space="preserve">Schlüter, J. &amp; Weyer, J., 2019. Car sharing as a means to raise acceptance of electric vehicles: An empirical study on regime change in automobility. </w:t>
              </w:r>
              <w:r>
                <w:rPr>
                  <w:i/>
                  <w:iCs/>
                  <w:noProof/>
                </w:rPr>
                <w:t xml:space="preserve">Transportation Research Part F: Traffic Psychology and Behaviour, </w:t>
              </w:r>
              <w:r>
                <w:rPr>
                  <w:noProof/>
                </w:rPr>
                <w:t>60(1), pp. 185-201.</w:t>
              </w:r>
            </w:p>
            <w:p w14:paraId="1E50B371" w14:textId="77777777" w:rsidR="00161368" w:rsidRDefault="00161368" w:rsidP="00161368">
              <w:pPr>
                <w:pStyle w:val="Bibliography"/>
                <w:rPr>
                  <w:noProof/>
                </w:rPr>
              </w:pPr>
              <w:r>
                <w:rPr>
                  <w:noProof/>
                </w:rPr>
                <w:t xml:space="preserve">Stone, D. L., 2015. Challenges and opportunities affecting the future of human resource management. </w:t>
              </w:r>
              <w:r>
                <w:rPr>
                  <w:i/>
                  <w:iCs/>
                  <w:noProof/>
                </w:rPr>
                <w:t xml:space="preserve">Human Resource Management Review, </w:t>
              </w:r>
              <w:r>
                <w:rPr>
                  <w:noProof/>
                </w:rPr>
                <w:t>25(2), pp. 139-145.</w:t>
              </w:r>
            </w:p>
            <w:p w14:paraId="1900B1D9" w14:textId="77777777" w:rsidR="00161368" w:rsidRDefault="00161368" w:rsidP="00161368">
              <w:pPr>
                <w:pStyle w:val="Bibliography"/>
                <w:rPr>
                  <w:noProof/>
                </w:rPr>
              </w:pPr>
              <w:r>
                <w:rPr>
                  <w:noProof/>
                </w:rPr>
                <w:t xml:space="preserve">Walker, A., 2020. Future Regulatory, Market and Technology Trends in the Global Passenger Car and Commercial Vehicle Sectors : Key challenges to achieving net zero </w:t>
              </w:r>
              <w:r>
                <w:rPr>
                  <w:noProof/>
                </w:rPr>
                <w:lastRenderedPageBreak/>
                <w:t xml:space="preserve">emissions for road vehicles. </w:t>
              </w:r>
              <w:r>
                <w:rPr>
                  <w:i/>
                  <w:iCs/>
                  <w:noProof/>
                </w:rPr>
                <w:t xml:space="preserve">Johnson Matthey's international journal of research, </w:t>
              </w:r>
              <w:r>
                <w:rPr>
                  <w:noProof/>
                </w:rPr>
                <w:t>64(3), pp. 320-337.</w:t>
              </w:r>
            </w:p>
            <w:p w14:paraId="4AB3835C" w14:textId="77777777" w:rsidR="00161368" w:rsidRDefault="00161368" w:rsidP="00161368">
              <w:pPr>
                <w:pStyle w:val="Bibliography"/>
                <w:rPr>
                  <w:noProof/>
                </w:rPr>
              </w:pPr>
              <w:r>
                <w:rPr>
                  <w:noProof/>
                </w:rPr>
                <w:t xml:space="preserve">William, B. &amp; Andrew, G., 2000. The Global Market for Electric Vehicles.. </w:t>
              </w:r>
              <w:r>
                <w:rPr>
                  <w:i/>
                  <w:iCs/>
                  <w:noProof/>
                </w:rPr>
                <w:t xml:space="preserve">Business Economics 2000., </w:t>
              </w:r>
              <w:r>
                <w:rPr>
                  <w:noProof/>
                </w:rPr>
                <w:t>35(4), p. 51.</w:t>
              </w:r>
            </w:p>
            <w:p w14:paraId="575891A3" w14:textId="53FDC9BE" w:rsidR="0085038F" w:rsidRDefault="0085038F" w:rsidP="00161368">
              <w:r>
                <w:rPr>
                  <w:b/>
                  <w:bCs/>
                  <w:noProof/>
                </w:rPr>
                <w:fldChar w:fldCharType="end"/>
              </w:r>
            </w:p>
          </w:sdtContent>
        </w:sdt>
      </w:sdtContent>
    </w:sdt>
    <w:p w14:paraId="2B9EB332" w14:textId="77777777" w:rsidR="0085038F" w:rsidRPr="00106C61" w:rsidRDefault="0085038F" w:rsidP="004D65D0">
      <w:pPr>
        <w:spacing w:line="360" w:lineRule="auto"/>
        <w:ind w:firstLine="720"/>
        <w:rPr>
          <w:rFonts w:ascii="Arial" w:hAnsi="Arial" w:cs="Arial"/>
          <w:sz w:val="22"/>
          <w:szCs w:val="22"/>
        </w:rPr>
      </w:pPr>
    </w:p>
    <w:sectPr w:rsidR="0085038F" w:rsidRPr="00106C61">
      <w:footerReference w:type="default" r:id="rId13"/>
      <w:pgSz w:w="11906" w:h="16838"/>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4073B9A" w14:textId="77777777" w:rsidR="005E356B" w:rsidRDefault="005E356B" w:rsidP="00021E5C">
      <w:pPr>
        <w:spacing w:after="0" w:line="240" w:lineRule="auto"/>
      </w:pPr>
      <w:r>
        <w:separator/>
      </w:r>
    </w:p>
  </w:endnote>
  <w:endnote w:type="continuationSeparator" w:id="0">
    <w:p w14:paraId="5DB16A15" w14:textId="77777777" w:rsidR="005E356B" w:rsidRDefault="005E356B" w:rsidP="00021E5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69877122"/>
      <w:docPartObj>
        <w:docPartGallery w:val="Page Numbers (Bottom of Page)"/>
        <w:docPartUnique/>
      </w:docPartObj>
    </w:sdtPr>
    <w:sdtEndPr>
      <w:rPr>
        <w:noProof/>
      </w:rPr>
    </w:sdtEndPr>
    <w:sdtContent>
      <w:p w14:paraId="7C34FB0B" w14:textId="00CE0707" w:rsidR="00021E5C" w:rsidRDefault="00021E5C">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1BEF5030" w14:textId="77777777" w:rsidR="00021E5C" w:rsidRDefault="00021E5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4955BE5" w14:textId="77777777" w:rsidR="005E356B" w:rsidRDefault="005E356B" w:rsidP="00021E5C">
      <w:pPr>
        <w:spacing w:after="0" w:line="240" w:lineRule="auto"/>
      </w:pPr>
      <w:r>
        <w:separator/>
      </w:r>
    </w:p>
  </w:footnote>
  <w:footnote w:type="continuationSeparator" w:id="0">
    <w:p w14:paraId="47B3BF63" w14:textId="77777777" w:rsidR="005E356B" w:rsidRDefault="005E356B" w:rsidP="00021E5C">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2C47168"/>
    <w:multiLevelType w:val="hybridMultilevel"/>
    <w:tmpl w:val="23E095CA"/>
    <w:lvl w:ilvl="0" w:tplc="FFFFFFF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28BA15DD"/>
    <w:multiLevelType w:val="hybridMultilevel"/>
    <w:tmpl w:val="0780F8E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9F43F83"/>
    <w:multiLevelType w:val="hybridMultilevel"/>
    <w:tmpl w:val="D7AC9638"/>
    <w:lvl w:ilvl="0" w:tplc="0809000D">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3AAB6A36"/>
    <w:multiLevelType w:val="hybridMultilevel"/>
    <w:tmpl w:val="23E095CA"/>
    <w:lvl w:ilvl="0" w:tplc="FFFFFFFF">
      <w:start w:val="1"/>
      <w:numFmt w:val="decimal"/>
      <w:lvlText w:val="%1."/>
      <w:lvlJc w:val="left"/>
      <w:pPr>
        <w:ind w:left="720" w:hanging="360"/>
      </w:p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4" w15:restartNumberingAfterBreak="0">
    <w:nsid w:val="3CDD2D12"/>
    <w:multiLevelType w:val="hybridMultilevel"/>
    <w:tmpl w:val="76B2F8B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459F32F1"/>
    <w:multiLevelType w:val="hybridMultilevel"/>
    <w:tmpl w:val="7D8274A2"/>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45FF1B2B"/>
    <w:multiLevelType w:val="hybridMultilevel"/>
    <w:tmpl w:val="5D9A58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53E946BD"/>
    <w:multiLevelType w:val="hybridMultilevel"/>
    <w:tmpl w:val="1BFCE2F0"/>
    <w:lvl w:ilvl="0" w:tplc="FFFFFFFF">
      <w:start w:val="1"/>
      <w:numFmt w:val="decimal"/>
      <w:lvlText w:val="%1."/>
      <w:lvlJc w:val="left"/>
      <w:pPr>
        <w:ind w:left="720" w:hanging="360"/>
      </w:p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8" w15:restartNumberingAfterBreak="0">
    <w:nsid w:val="650D5E54"/>
    <w:multiLevelType w:val="hybridMultilevel"/>
    <w:tmpl w:val="1BFCE2F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290278026">
    <w:abstractNumId w:val="2"/>
  </w:num>
  <w:num w:numId="2" w16cid:durableId="1965842223">
    <w:abstractNumId w:val="8"/>
  </w:num>
  <w:num w:numId="3" w16cid:durableId="375854923">
    <w:abstractNumId w:val="7"/>
  </w:num>
  <w:num w:numId="4" w16cid:durableId="1843423639">
    <w:abstractNumId w:val="0"/>
  </w:num>
  <w:num w:numId="5" w16cid:durableId="1676766081">
    <w:abstractNumId w:val="3"/>
  </w:num>
  <w:num w:numId="6" w16cid:durableId="1409378922">
    <w:abstractNumId w:val="5"/>
  </w:num>
  <w:num w:numId="7" w16cid:durableId="473720523">
    <w:abstractNumId w:val="4"/>
  </w:num>
  <w:num w:numId="8" w16cid:durableId="46226232">
    <w:abstractNumId w:val="6"/>
  </w:num>
  <w:num w:numId="9" w16cid:durableId="200415907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F63C7"/>
    <w:rsid w:val="00021E5C"/>
    <w:rsid w:val="0003648B"/>
    <w:rsid w:val="00056DF1"/>
    <w:rsid w:val="00071CB3"/>
    <w:rsid w:val="000B1BA4"/>
    <w:rsid w:val="000B6D21"/>
    <w:rsid w:val="000B70C7"/>
    <w:rsid w:val="000E09C9"/>
    <w:rsid w:val="000E0B3E"/>
    <w:rsid w:val="000E21A2"/>
    <w:rsid w:val="000E6A27"/>
    <w:rsid w:val="000E6FB8"/>
    <w:rsid w:val="000F4866"/>
    <w:rsid w:val="001054FD"/>
    <w:rsid w:val="00106C61"/>
    <w:rsid w:val="00153387"/>
    <w:rsid w:val="0015674B"/>
    <w:rsid w:val="00161368"/>
    <w:rsid w:val="001842EC"/>
    <w:rsid w:val="00197414"/>
    <w:rsid w:val="001A3288"/>
    <w:rsid w:val="001B2F3A"/>
    <w:rsid w:val="001C3549"/>
    <w:rsid w:val="00207E89"/>
    <w:rsid w:val="002246BF"/>
    <w:rsid w:val="00224B5D"/>
    <w:rsid w:val="00230DAA"/>
    <w:rsid w:val="002549BC"/>
    <w:rsid w:val="00273D16"/>
    <w:rsid w:val="002744AF"/>
    <w:rsid w:val="002A6DEF"/>
    <w:rsid w:val="002B510B"/>
    <w:rsid w:val="002C356D"/>
    <w:rsid w:val="002F7F41"/>
    <w:rsid w:val="00303CFB"/>
    <w:rsid w:val="0030467C"/>
    <w:rsid w:val="00306EEA"/>
    <w:rsid w:val="00356E5C"/>
    <w:rsid w:val="00361AB5"/>
    <w:rsid w:val="0036462A"/>
    <w:rsid w:val="00374CCA"/>
    <w:rsid w:val="00396454"/>
    <w:rsid w:val="003A3795"/>
    <w:rsid w:val="003B75D4"/>
    <w:rsid w:val="003E1892"/>
    <w:rsid w:val="003E34C2"/>
    <w:rsid w:val="003F2799"/>
    <w:rsid w:val="003F5910"/>
    <w:rsid w:val="003F5CD3"/>
    <w:rsid w:val="00470B6A"/>
    <w:rsid w:val="00481C80"/>
    <w:rsid w:val="004A31E9"/>
    <w:rsid w:val="004D65D0"/>
    <w:rsid w:val="00504CCD"/>
    <w:rsid w:val="00506EDD"/>
    <w:rsid w:val="0052162A"/>
    <w:rsid w:val="00521CAC"/>
    <w:rsid w:val="0052719E"/>
    <w:rsid w:val="00540E48"/>
    <w:rsid w:val="00546FE1"/>
    <w:rsid w:val="00567966"/>
    <w:rsid w:val="005743BF"/>
    <w:rsid w:val="00574622"/>
    <w:rsid w:val="005819BC"/>
    <w:rsid w:val="005A34E1"/>
    <w:rsid w:val="005A39F9"/>
    <w:rsid w:val="005D038D"/>
    <w:rsid w:val="005E356B"/>
    <w:rsid w:val="005F48E7"/>
    <w:rsid w:val="00611DC6"/>
    <w:rsid w:val="006254D7"/>
    <w:rsid w:val="006269DB"/>
    <w:rsid w:val="00630F8D"/>
    <w:rsid w:val="00632BCC"/>
    <w:rsid w:val="00652A95"/>
    <w:rsid w:val="006648A6"/>
    <w:rsid w:val="00664F89"/>
    <w:rsid w:val="00673D07"/>
    <w:rsid w:val="006D342E"/>
    <w:rsid w:val="00701556"/>
    <w:rsid w:val="00702E90"/>
    <w:rsid w:val="00707BA7"/>
    <w:rsid w:val="007547C5"/>
    <w:rsid w:val="007A51A6"/>
    <w:rsid w:val="007C3D75"/>
    <w:rsid w:val="007C4E57"/>
    <w:rsid w:val="007C5B0D"/>
    <w:rsid w:val="007C7C9B"/>
    <w:rsid w:val="007D40DA"/>
    <w:rsid w:val="008122A2"/>
    <w:rsid w:val="008152B9"/>
    <w:rsid w:val="008337D0"/>
    <w:rsid w:val="008379E8"/>
    <w:rsid w:val="008432A1"/>
    <w:rsid w:val="0085038F"/>
    <w:rsid w:val="0085513C"/>
    <w:rsid w:val="0087585C"/>
    <w:rsid w:val="008859DB"/>
    <w:rsid w:val="00885D66"/>
    <w:rsid w:val="00891ED9"/>
    <w:rsid w:val="008953C5"/>
    <w:rsid w:val="008A413F"/>
    <w:rsid w:val="008B5386"/>
    <w:rsid w:val="009029A0"/>
    <w:rsid w:val="00932E42"/>
    <w:rsid w:val="00935514"/>
    <w:rsid w:val="009433A8"/>
    <w:rsid w:val="0096674D"/>
    <w:rsid w:val="00966C56"/>
    <w:rsid w:val="009907D5"/>
    <w:rsid w:val="009A31C9"/>
    <w:rsid w:val="009A34E8"/>
    <w:rsid w:val="009B2599"/>
    <w:rsid w:val="00A004C7"/>
    <w:rsid w:val="00A05CE6"/>
    <w:rsid w:val="00A05EE8"/>
    <w:rsid w:val="00A41E5A"/>
    <w:rsid w:val="00A56A71"/>
    <w:rsid w:val="00A71502"/>
    <w:rsid w:val="00A84796"/>
    <w:rsid w:val="00A85CC5"/>
    <w:rsid w:val="00A85F32"/>
    <w:rsid w:val="00A975D1"/>
    <w:rsid w:val="00AA7E9A"/>
    <w:rsid w:val="00AB7D25"/>
    <w:rsid w:val="00AD6F58"/>
    <w:rsid w:val="00AF24C0"/>
    <w:rsid w:val="00B06145"/>
    <w:rsid w:val="00B07611"/>
    <w:rsid w:val="00B278E0"/>
    <w:rsid w:val="00B60609"/>
    <w:rsid w:val="00B67D4E"/>
    <w:rsid w:val="00B75828"/>
    <w:rsid w:val="00B80D83"/>
    <w:rsid w:val="00B848F1"/>
    <w:rsid w:val="00B90003"/>
    <w:rsid w:val="00BA52C0"/>
    <w:rsid w:val="00BA5CD0"/>
    <w:rsid w:val="00BC4D37"/>
    <w:rsid w:val="00BD5639"/>
    <w:rsid w:val="00BD65C1"/>
    <w:rsid w:val="00BE18EA"/>
    <w:rsid w:val="00C02D9B"/>
    <w:rsid w:val="00C16189"/>
    <w:rsid w:val="00C16DE3"/>
    <w:rsid w:val="00C21342"/>
    <w:rsid w:val="00C22FCC"/>
    <w:rsid w:val="00C262A0"/>
    <w:rsid w:val="00C519ED"/>
    <w:rsid w:val="00C71EDD"/>
    <w:rsid w:val="00C747A5"/>
    <w:rsid w:val="00C74882"/>
    <w:rsid w:val="00CA5165"/>
    <w:rsid w:val="00CB16AE"/>
    <w:rsid w:val="00CC31AC"/>
    <w:rsid w:val="00CE57B8"/>
    <w:rsid w:val="00D01B37"/>
    <w:rsid w:val="00D1049C"/>
    <w:rsid w:val="00D8372A"/>
    <w:rsid w:val="00DA56A3"/>
    <w:rsid w:val="00DE5DD3"/>
    <w:rsid w:val="00DF101B"/>
    <w:rsid w:val="00DF16A9"/>
    <w:rsid w:val="00E017C6"/>
    <w:rsid w:val="00E021A0"/>
    <w:rsid w:val="00E06729"/>
    <w:rsid w:val="00E10203"/>
    <w:rsid w:val="00E30DDF"/>
    <w:rsid w:val="00E60F1E"/>
    <w:rsid w:val="00ED3C2C"/>
    <w:rsid w:val="00EF63C7"/>
    <w:rsid w:val="00EF6A3C"/>
    <w:rsid w:val="00F07DCE"/>
    <w:rsid w:val="00F36323"/>
    <w:rsid w:val="00F41FDB"/>
    <w:rsid w:val="00F83E34"/>
    <w:rsid w:val="00F97617"/>
    <w:rsid w:val="00FB0EC6"/>
    <w:rsid w:val="00FC1816"/>
    <w:rsid w:val="00FE5FB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552724A"/>
  <w15:chartTrackingRefBased/>
  <w15:docId w15:val="{4FDB3E84-589F-48B7-AC4E-7D592132B90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EF63C7"/>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EF63C7"/>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EF63C7"/>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EF63C7"/>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EF63C7"/>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EF63C7"/>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EF63C7"/>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EF63C7"/>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EF63C7"/>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F63C7"/>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EF63C7"/>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EF63C7"/>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EF63C7"/>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EF63C7"/>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EF63C7"/>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EF63C7"/>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EF63C7"/>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EF63C7"/>
    <w:rPr>
      <w:rFonts w:eastAsiaTheme="majorEastAsia" w:cstheme="majorBidi"/>
      <w:color w:val="272727" w:themeColor="text1" w:themeTint="D8"/>
    </w:rPr>
  </w:style>
  <w:style w:type="paragraph" w:styleId="Title">
    <w:name w:val="Title"/>
    <w:basedOn w:val="Normal"/>
    <w:next w:val="Normal"/>
    <w:link w:val="TitleChar"/>
    <w:uiPriority w:val="10"/>
    <w:qFormat/>
    <w:rsid w:val="00EF63C7"/>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EF63C7"/>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EF63C7"/>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EF63C7"/>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EF63C7"/>
    <w:pPr>
      <w:spacing w:before="160"/>
      <w:jc w:val="center"/>
    </w:pPr>
    <w:rPr>
      <w:i/>
      <w:iCs/>
      <w:color w:val="404040" w:themeColor="text1" w:themeTint="BF"/>
    </w:rPr>
  </w:style>
  <w:style w:type="character" w:customStyle="1" w:styleId="QuoteChar">
    <w:name w:val="Quote Char"/>
    <w:basedOn w:val="DefaultParagraphFont"/>
    <w:link w:val="Quote"/>
    <w:uiPriority w:val="29"/>
    <w:rsid w:val="00EF63C7"/>
    <w:rPr>
      <w:i/>
      <w:iCs/>
      <w:color w:val="404040" w:themeColor="text1" w:themeTint="BF"/>
    </w:rPr>
  </w:style>
  <w:style w:type="paragraph" w:styleId="ListParagraph">
    <w:name w:val="List Paragraph"/>
    <w:basedOn w:val="Normal"/>
    <w:uiPriority w:val="34"/>
    <w:qFormat/>
    <w:rsid w:val="00EF63C7"/>
    <w:pPr>
      <w:ind w:left="720"/>
      <w:contextualSpacing/>
    </w:pPr>
  </w:style>
  <w:style w:type="character" w:styleId="IntenseEmphasis">
    <w:name w:val="Intense Emphasis"/>
    <w:basedOn w:val="DefaultParagraphFont"/>
    <w:uiPriority w:val="21"/>
    <w:qFormat/>
    <w:rsid w:val="00EF63C7"/>
    <w:rPr>
      <w:i/>
      <w:iCs/>
      <w:color w:val="0F4761" w:themeColor="accent1" w:themeShade="BF"/>
    </w:rPr>
  </w:style>
  <w:style w:type="paragraph" w:styleId="IntenseQuote">
    <w:name w:val="Intense Quote"/>
    <w:basedOn w:val="Normal"/>
    <w:next w:val="Normal"/>
    <w:link w:val="IntenseQuoteChar"/>
    <w:uiPriority w:val="30"/>
    <w:qFormat/>
    <w:rsid w:val="00EF63C7"/>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EF63C7"/>
    <w:rPr>
      <w:i/>
      <w:iCs/>
      <w:color w:val="0F4761" w:themeColor="accent1" w:themeShade="BF"/>
    </w:rPr>
  </w:style>
  <w:style w:type="character" w:styleId="IntenseReference">
    <w:name w:val="Intense Reference"/>
    <w:basedOn w:val="DefaultParagraphFont"/>
    <w:uiPriority w:val="32"/>
    <w:qFormat/>
    <w:rsid w:val="00EF63C7"/>
    <w:rPr>
      <w:b/>
      <w:bCs/>
      <w:smallCaps/>
      <w:color w:val="0F4761" w:themeColor="accent1" w:themeShade="BF"/>
      <w:spacing w:val="5"/>
    </w:rPr>
  </w:style>
  <w:style w:type="paragraph" w:styleId="TOCHeading">
    <w:name w:val="TOC Heading"/>
    <w:basedOn w:val="Heading1"/>
    <w:next w:val="Normal"/>
    <w:uiPriority w:val="39"/>
    <w:unhideWhenUsed/>
    <w:qFormat/>
    <w:rsid w:val="009B2599"/>
    <w:pPr>
      <w:spacing w:before="240" w:after="0" w:line="259" w:lineRule="auto"/>
      <w:outlineLvl w:val="9"/>
    </w:pPr>
    <w:rPr>
      <w:kern w:val="0"/>
      <w:sz w:val="32"/>
      <w:szCs w:val="32"/>
      <w:lang w:val="en-US"/>
      <w14:ligatures w14:val="none"/>
    </w:rPr>
  </w:style>
  <w:style w:type="paragraph" w:styleId="Header">
    <w:name w:val="header"/>
    <w:basedOn w:val="Normal"/>
    <w:link w:val="HeaderChar"/>
    <w:uiPriority w:val="99"/>
    <w:unhideWhenUsed/>
    <w:rsid w:val="00021E5C"/>
    <w:pPr>
      <w:tabs>
        <w:tab w:val="center" w:pos="4513"/>
        <w:tab w:val="right" w:pos="9026"/>
      </w:tabs>
      <w:spacing w:after="0" w:line="240" w:lineRule="auto"/>
    </w:pPr>
  </w:style>
  <w:style w:type="character" w:customStyle="1" w:styleId="HeaderChar">
    <w:name w:val="Header Char"/>
    <w:basedOn w:val="DefaultParagraphFont"/>
    <w:link w:val="Header"/>
    <w:uiPriority w:val="99"/>
    <w:rsid w:val="00021E5C"/>
  </w:style>
  <w:style w:type="paragraph" w:styleId="Footer">
    <w:name w:val="footer"/>
    <w:basedOn w:val="Normal"/>
    <w:link w:val="FooterChar"/>
    <w:uiPriority w:val="99"/>
    <w:unhideWhenUsed/>
    <w:rsid w:val="00021E5C"/>
    <w:pPr>
      <w:tabs>
        <w:tab w:val="center" w:pos="4513"/>
        <w:tab w:val="right" w:pos="9026"/>
      </w:tabs>
      <w:spacing w:after="0" w:line="240" w:lineRule="auto"/>
    </w:pPr>
  </w:style>
  <w:style w:type="character" w:customStyle="1" w:styleId="FooterChar">
    <w:name w:val="Footer Char"/>
    <w:basedOn w:val="DefaultParagraphFont"/>
    <w:link w:val="Footer"/>
    <w:uiPriority w:val="99"/>
    <w:rsid w:val="00021E5C"/>
  </w:style>
  <w:style w:type="paragraph" w:styleId="TOC1">
    <w:name w:val="toc 1"/>
    <w:basedOn w:val="Normal"/>
    <w:next w:val="Normal"/>
    <w:autoRedefine/>
    <w:uiPriority w:val="39"/>
    <w:unhideWhenUsed/>
    <w:rsid w:val="002744AF"/>
    <w:pPr>
      <w:spacing w:after="100"/>
    </w:pPr>
  </w:style>
  <w:style w:type="paragraph" w:styleId="TOC2">
    <w:name w:val="toc 2"/>
    <w:basedOn w:val="Normal"/>
    <w:next w:val="Normal"/>
    <w:autoRedefine/>
    <w:uiPriority w:val="39"/>
    <w:unhideWhenUsed/>
    <w:rsid w:val="002744AF"/>
    <w:pPr>
      <w:spacing w:after="100"/>
      <w:ind w:left="240"/>
    </w:pPr>
  </w:style>
  <w:style w:type="character" w:styleId="Hyperlink">
    <w:name w:val="Hyperlink"/>
    <w:basedOn w:val="DefaultParagraphFont"/>
    <w:uiPriority w:val="99"/>
    <w:unhideWhenUsed/>
    <w:rsid w:val="002744AF"/>
    <w:rPr>
      <w:color w:val="467886" w:themeColor="hyperlink"/>
      <w:u w:val="single"/>
    </w:rPr>
  </w:style>
  <w:style w:type="table" w:styleId="TableGrid">
    <w:name w:val="Table Grid"/>
    <w:basedOn w:val="TableNormal"/>
    <w:uiPriority w:val="39"/>
    <w:rsid w:val="00071CB3"/>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ibliography">
    <w:name w:val="Bibliography"/>
    <w:basedOn w:val="Normal"/>
    <w:next w:val="Normal"/>
    <w:uiPriority w:val="37"/>
    <w:unhideWhenUsed/>
    <w:rsid w:val="00161368"/>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24396615">
      <w:bodyDiv w:val="1"/>
      <w:marLeft w:val="0"/>
      <w:marRight w:val="0"/>
      <w:marTop w:val="0"/>
      <w:marBottom w:val="0"/>
      <w:divBdr>
        <w:top w:val="none" w:sz="0" w:space="0" w:color="auto"/>
        <w:left w:val="none" w:sz="0" w:space="0" w:color="auto"/>
        <w:bottom w:val="none" w:sz="0" w:space="0" w:color="auto"/>
        <w:right w:val="none" w:sz="0" w:space="0" w:color="auto"/>
      </w:divBdr>
    </w:div>
    <w:div w:id="129246719">
      <w:bodyDiv w:val="1"/>
      <w:marLeft w:val="0"/>
      <w:marRight w:val="0"/>
      <w:marTop w:val="0"/>
      <w:marBottom w:val="0"/>
      <w:divBdr>
        <w:top w:val="none" w:sz="0" w:space="0" w:color="auto"/>
        <w:left w:val="none" w:sz="0" w:space="0" w:color="auto"/>
        <w:bottom w:val="none" w:sz="0" w:space="0" w:color="auto"/>
        <w:right w:val="none" w:sz="0" w:space="0" w:color="auto"/>
      </w:divBdr>
    </w:div>
    <w:div w:id="159278893">
      <w:bodyDiv w:val="1"/>
      <w:marLeft w:val="0"/>
      <w:marRight w:val="0"/>
      <w:marTop w:val="0"/>
      <w:marBottom w:val="0"/>
      <w:divBdr>
        <w:top w:val="none" w:sz="0" w:space="0" w:color="auto"/>
        <w:left w:val="none" w:sz="0" w:space="0" w:color="auto"/>
        <w:bottom w:val="none" w:sz="0" w:space="0" w:color="auto"/>
        <w:right w:val="none" w:sz="0" w:space="0" w:color="auto"/>
      </w:divBdr>
    </w:div>
    <w:div w:id="258374033">
      <w:bodyDiv w:val="1"/>
      <w:marLeft w:val="0"/>
      <w:marRight w:val="0"/>
      <w:marTop w:val="0"/>
      <w:marBottom w:val="0"/>
      <w:divBdr>
        <w:top w:val="none" w:sz="0" w:space="0" w:color="auto"/>
        <w:left w:val="none" w:sz="0" w:space="0" w:color="auto"/>
        <w:bottom w:val="none" w:sz="0" w:space="0" w:color="auto"/>
        <w:right w:val="none" w:sz="0" w:space="0" w:color="auto"/>
      </w:divBdr>
    </w:div>
    <w:div w:id="321347967">
      <w:bodyDiv w:val="1"/>
      <w:marLeft w:val="0"/>
      <w:marRight w:val="0"/>
      <w:marTop w:val="0"/>
      <w:marBottom w:val="0"/>
      <w:divBdr>
        <w:top w:val="none" w:sz="0" w:space="0" w:color="auto"/>
        <w:left w:val="none" w:sz="0" w:space="0" w:color="auto"/>
        <w:bottom w:val="none" w:sz="0" w:space="0" w:color="auto"/>
        <w:right w:val="none" w:sz="0" w:space="0" w:color="auto"/>
      </w:divBdr>
    </w:div>
    <w:div w:id="368653059">
      <w:bodyDiv w:val="1"/>
      <w:marLeft w:val="0"/>
      <w:marRight w:val="0"/>
      <w:marTop w:val="0"/>
      <w:marBottom w:val="0"/>
      <w:divBdr>
        <w:top w:val="none" w:sz="0" w:space="0" w:color="auto"/>
        <w:left w:val="none" w:sz="0" w:space="0" w:color="auto"/>
        <w:bottom w:val="none" w:sz="0" w:space="0" w:color="auto"/>
        <w:right w:val="none" w:sz="0" w:space="0" w:color="auto"/>
      </w:divBdr>
    </w:div>
    <w:div w:id="428350321">
      <w:bodyDiv w:val="1"/>
      <w:marLeft w:val="0"/>
      <w:marRight w:val="0"/>
      <w:marTop w:val="0"/>
      <w:marBottom w:val="0"/>
      <w:divBdr>
        <w:top w:val="none" w:sz="0" w:space="0" w:color="auto"/>
        <w:left w:val="none" w:sz="0" w:space="0" w:color="auto"/>
        <w:bottom w:val="none" w:sz="0" w:space="0" w:color="auto"/>
        <w:right w:val="none" w:sz="0" w:space="0" w:color="auto"/>
      </w:divBdr>
    </w:div>
    <w:div w:id="577058204">
      <w:bodyDiv w:val="1"/>
      <w:marLeft w:val="0"/>
      <w:marRight w:val="0"/>
      <w:marTop w:val="0"/>
      <w:marBottom w:val="0"/>
      <w:divBdr>
        <w:top w:val="none" w:sz="0" w:space="0" w:color="auto"/>
        <w:left w:val="none" w:sz="0" w:space="0" w:color="auto"/>
        <w:bottom w:val="none" w:sz="0" w:space="0" w:color="auto"/>
        <w:right w:val="none" w:sz="0" w:space="0" w:color="auto"/>
      </w:divBdr>
    </w:div>
    <w:div w:id="615525031">
      <w:bodyDiv w:val="1"/>
      <w:marLeft w:val="0"/>
      <w:marRight w:val="0"/>
      <w:marTop w:val="0"/>
      <w:marBottom w:val="0"/>
      <w:divBdr>
        <w:top w:val="none" w:sz="0" w:space="0" w:color="auto"/>
        <w:left w:val="none" w:sz="0" w:space="0" w:color="auto"/>
        <w:bottom w:val="none" w:sz="0" w:space="0" w:color="auto"/>
        <w:right w:val="none" w:sz="0" w:space="0" w:color="auto"/>
      </w:divBdr>
    </w:div>
    <w:div w:id="676537336">
      <w:bodyDiv w:val="1"/>
      <w:marLeft w:val="0"/>
      <w:marRight w:val="0"/>
      <w:marTop w:val="0"/>
      <w:marBottom w:val="0"/>
      <w:divBdr>
        <w:top w:val="none" w:sz="0" w:space="0" w:color="auto"/>
        <w:left w:val="none" w:sz="0" w:space="0" w:color="auto"/>
        <w:bottom w:val="none" w:sz="0" w:space="0" w:color="auto"/>
        <w:right w:val="none" w:sz="0" w:space="0" w:color="auto"/>
      </w:divBdr>
    </w:div>
    <w:div w:id="717053869">
      <w:bodyDiv w:val="1"/>
      <w:marLeft w:val="0"/>
      <w:marRight w:val="0"/>
      <w:marTop w:val="0"/>
      <w:marBottom w:val="0"/>
      <w:divBdr>
        <w:top w:val="none" w:sz="0" w:space="0" w:color="auto"/>
        <w:left w:val="none" w:sz="0" w:space="0" w:color="auto"/>
        <w:bottom w:val="none" w:sz="0" w:space="0" w:color="auto"/>
        <w:right w:val="none" w:sz="0" w:space="0" w:color="auto"/>
      </w:divBdr>
    </w:div>
    <w:div w:id="753208895">
      <w:bodyDiv w:val="1"/>
      <w:marLeft w:val="0"/>
      <w:marRight w:val="0"/>
      <w:marTop w:val="0"/>
      <w:marBottom w:val="0"/>
      <w:divBdr>
        <w:top w:val="none" w:sz="0" w:space="0" w:color="auto"/>
        <w:left w:val="none" w:sz="0" w:space="0" w:color="auto"/>
        <w:bottom w:val="none" w:sz="0" w:space="0" w:color="auto"/>
        <w:right w:val="none" w:sz="0" w:space="0" w:color="auto"/>
      </w:divBdr>
    </w:div>
    <w:div w:id="785008177">
      <w:bodyDiv w:val="1"/>
      <w:marLeft w:val="0"/>
      <w:marRight w:val="0"/>
      <w:marTop w:val="0"/>
      <w:marBottom w:val="0"/>
      <w:divBdr>
        <w:top w:val="none" w:sz="0" w:space="0" w:color="auto"/>
        <w:left w:val="none" w:sz="0" w:space="0" w:color="auto"/>
        <w:bottom w:val="none" w:sz="0" w:space="0" w:color="auto"/>
        <w:right w:val="none" w:sz="0" w:space="0" w:color="auto"/>
      </w:divBdr>
    </w:div>
    <w:div w:id="790054776">
      <w:bodyDiv w:val="1"/>
      <w:marLeft w:val="0"/>
      <w:marRight w:val="0"/>
      <w:marTop w:val="0"/>
      <w:marBottom w:val="0"/>
      <w:divBdr>
        <w:top w:val="none" w:sz="0" w:space="0" w:color="auto"/>
        <w:left w:val="none" w:sz="0" w:space="0" w:color="auto"/>
        <w:bottom w:val="none" w:sz="0" w:space="0" w:color="auto"/>
        <w:right w:val="none" w:sz="0" w:space="0" w:color="auto"/>
      </w:divBdr>
    </w:div>
    <w:div w:id="831337021">
      <w:bodyDiv w:val="1"/>
      <w:marLeft w:val="0"/>
      <w:marRight w:val="0"/>
      <w:marTop w:val="0"/>
      <w:marBottom w:val="0"/>
      <w:divBdr>
        <w:top w:val="none" w:sz="0" w:space="0" w:color="auto"/>
        <w:left w:val="none" w:sz="0" w:space="0" w:color="auto"/>
        <w:bottom w:val="none" w:sz="0" w:space="0" w:color="auto"/>
        <w:right w:val="none" w:sz="0" w:space="0" w:color="auto"/>
      </w:divBdr>
    </w:div>
    <w:div w:id="876814225">
      <w:bodyDiv w:val="1"/>
      <w:marLeft w:val="0"/>
      <w:marRight w:val="0"/>
      <w:marTop w:val="0"/>
      <w:marBottom w:val="0"/>
      <w:divBdr>
        <w:top w:val="none" w:sz="0" w:space="0" w:color="auto"/>
        <w:left w:val="none" w:sz="0" w:space="0" w:color="auto"/>
        <w:bottom w:val="none" w:sz="0" w:space="0" w:color="auto"/>
        <w:right w:val="none" w:sz="0" w:space="0" w:color="auto"/>
      </w:divBdr>
    </w:div>
    <w:div w:id="1001548764">
      <w:bodyDiv w:val="1"/>
      <w:marLeft w:val="0"/>
      <w:marRight w:val="0"/>
      <w:marTop w:val="0"/>
      <w:marBottom w:val="0"/>
      <w:divBdr>
        <w:top w:val="none" w:sz="0" w:space="0" w:color="auto"/>
        <w:left w:val="none" w:sz="0" w:space="0" w:color="auto"/>
        <w:bottom w:val="none" w:sz="0" w:space="0" w:color="auto"/>
        <w:right w:val="none" w:sz="0" w:space="0" w:color="auto"/>
      </w:divBdr>
    </w:div>
    <w:div w:id="1024284645">
      <w:bodyDiv w:val="1"/>
      <w:marLeft w:val="0"/>
      <w:marRight w:val="0"/>
      <w:marTop w:val="0"/>
      <w:marBottom w:val="0"/>
      <w:divBdr>
        <w:top w:val="none" w:sz="0" w:space="0" w:color="auto"/>
        <w:left w:val="none" w:sz="0" w:space="0" w:color="auto"/>
        <w:bottom w:val="none" w:sz="0" w:space="0" w:color="auto"/>
        <w:right w:val="none" w:sz="0" w:space="0" w:color="auto"/>
      </w:divBdr>
    </w:div>
    <w:div w:id="1074738410">
      <w:bodyDiv w:val="1"/>
      <w:marLeft w:val="0"/>
      <w:marRight w:val="0"/>
      <w:marTop w:val="0"/>
      <w:marBottom w:val="0"/>
      <w:divBdr>
        <w:top w:val="none" w:sz="0" w:space="0" w:color="auto"/>
        <w:left w:val="none" w:sz="0" w:space="0" w:color="auto"/>
        <w:bottom w:val="none" w:sz="0" w:space="0" w:color="auto"/>
        <w:right w:val="none" w:sz="0" w:space="0" w:color="auto"/>
      </w:divBdr>
    </w:div>
    <w:div w:id="1147816265">
      <w:bodyDiv w:val="1"/>
      <w:marLeft w:val="0"/>
      <w:marRight w:val="0"/>
      <w:marTop w:val="0"/>
      <w:marBottom w:val="0"/>
      <w:divBdr>
        <w:top w:val="none" w:sz="0" w:space="0" w:color="auto"/>
        <w:left w:val="none" w:sz="0" w:space="0" w:color="auto"/>
        <w:bottom w:val="none" w:sz="0" w:space="0" w:color="auto"/>
        <w:right w:val="none" w:sz="0" w:space="0" w:color="auto"/>
      </w:divBdr>
    </w:div>
    <w:div w:id="1156646524">
      <w:bodyDiv w:val="1"/>
      <w:marLeft w:val="0"/>
      <w:marRight w:val="0"/>
      <w:marTop w:val="0"/>
      <w:marBottom w:val="0"/>
      <w:divBdr>
        <w:top w:val="none" w:sz="0" w:space="0" w:color="auto"/>
        <w:left w:val="none" w:sz="0" w:space="0" w:color="auto"/>
        <w:bottom w:val="none" w:sz="0" w:space="0" w:color="auto"/>
        <w:right w:val="none" w:sz="0" w:space="0" w:color="auto"/>
      </w:divBdr>
    </w:div>
    <w:div w:id="1163427333">
      <w:bodyDiv w:val="1"/>
      <w:marLeft w:val="0"/>
      <w:marRight w:val="0"/>
      <w:marTop w:val="0"/>
      <w:marBottom w:val="0"/>
      <w:divBdr>
        <w:top w:val="none" w:sz="0" w:space="0" w:color="auto"/>
        <w:left w:val="none" w:sz="0" w:space="0" w:color="auto"/>
        <w:bottom w:val="none" w:sz="0" w:space="0" w:color="auto"/>
        <w:right w:val="none" w:sz="0" w:space="0" w:color="auto"/>
      </w:divBdr>
    </w:div>
    <w:div w:id="1216964626">
      <w:bodyDiv w:val="1"/>
      <w:marLeft w:val="0"/>
      <w:marRight w:val="0"/>
      <w:marTop w:val="0"/>
      <w:marBottom w:val="0"/>
      <w:divBdr>
        <w:top w:val="none" w:sz="0" w:space="0" w:color="auto"/>
        <w:left w:val="none" w:sz="0" w:space="0" w:color="auto"/>
        <w:bottom w:val="none" w:sz="0" w:space="0" w:color="auto"/>
        <w:right w:val="none" w:sz="0" w:space="0" w:color="auto"/>
      </w:divBdr>
    </w:div>
    <w:div w:id="1291976865">
      <w:bodyDiv w:val="1"/>
      <w:marLeft w:val="0"/>
      <w:marRight w:val="0"/>
      <w:marTop w:val="0"/>
      <w:marBottom w:val="0"/>
      <w:divBdr>
        <w:top w:val="none" w:sz="0" w:space="0" w:color="auto"/>
        <w:left w:val="none" w:sz="0" w:space="0" w:color="auto"/>
        <w:bottom w:val="none" w:sz="0" w:space="0" w:color="auto"/>
        <w:right w:val="none" w:sz="0" w:space="0" w:color="auto"/>
      </w:divBdr>
    </w:div>
    <w:div w:id="1445229944">
      <w:bodyDiv w:val="1"/>
      <w:marLeft w:val="0"/>
      <w:marRight w:val="0"/>
      <w:marTop w:val="0"/>
      <w:marBottom w:val="0"/>
      <w:divBdr>
        <w:top w:val="none" w:sz="0" w:space="0" w:color="auto"/>
        <w:left w:val="none" w:sz="0" w:space="0" w:color="auto"/>
        <w:bottom w:val="none" w:sz="0" w:space="0" w:color="auto"/>
        <w:right w:val="none" w:sz="0" w:space="0" w:color="auto"/>
      </w:divBdr>
    </w:div>
    <w:div w:id="1487281993">
      <w:bodyDiv w:val="1"/>
      <w:marLeft w:val="0"/>
      <w:marRight w:val="0"/>
      <w:marTop w:val="0"/>
      <w:marBottom w:val="0"/>
      <w:divBdr>
        <w:top w:val="none" w:sz="0" w:space="0" w:color="auto"/>
        <w:left w:val="none" w:sz="0" w:space="0" w:color="auto"/>
        <w:bottom w:val="none" w:sz="0" w:space="0" w:color="auto"/>
        <w:right w:val="none" w:sz="0" w:space="0" w:color="auto"/>
      </w:divBdr>
    </w:div>
    <w:div w:id="1494292702">
      <w:bodyDiv w:val="1"/>
      <w:marLeft w:val="0"/>
      <w:marRight w:val="0"/>
      <w:marTop w:val="0"/>
      <w:marBottom w:val="0"/>
      <w:divBdr>
        <w:top w:val="none" w:sz="0" w:space="0" w:color="auto"/>
        <w:left w:val="none" w:sz="0" w:space="0" w:color="auto"/>
        <w:bottom w:val="none" w:sz="0" w:space="0" w:color="auto"/>
        <w:right w:val="none" w:sz="0" w:space="0" w:color="auto"/>
      </w:divBdr>
    </w:div>
    <w:div w:id="1495994284">
      <w:bodyDiv w:val="1"/>
      <w:marLeft w:val="0"/>
      <w:marRight w:val="0"/>
      <w:marTop w:val="0"/>
      <w:marBottom w:val="0"/>
      <w:divBdr>
        <w:top w:val="none" w:sz="0" w:space="0" w:color="auto"/>
        <w:left w:val="none" w:sz="0" w:space="0" w:color="auto"/>
        <w:bottom w:val="none" w:sz="0" w:space="0" w:color="auto"/>
        <w:right w:val="none" w:sz="0" w:space="0" w:color="auto"/>
      </w:divBdr>
    </w:div>
    <w:div w:id="1498230572">
      <w:bodyDiv w:val="1"/>
      <w:marLeft w:val="0"/>
      <w:marRight w:val="0"/>
      <w:marTop w:val="0"/>
      <w:marBottom w:val="0"/>
      <w:divBdr>
        <w:top w:val="none" w:sz="0" w:space="0" w:color="auto"/>
        <w:left w:val="none" w:sz="0" w:space="0" w:color="auto"/>
        <w:bottom w:val="none" w:sz="0" w:space="0" w:color="auto"/>
        <w:right w:val="none" w:sz="0" w:space="0" w:color="auto"/>
      </w:divBdr>
    </w:div>
    <w:div w:id="1580554172">
      <w:bodyDiv w:val="1"/>
      <w:marLeft w:val="0"/>
      <w:marRight w:val="0"/>
      <w:marTop w:val="0"/>
      <w:marBottom w:val="0"/>
      <w:divBdr>
        <w:top w:val="none" w:sz="0" w:space="0" w:color="auto"/>
        <w:left w:val="none" w:sz="0" w:space="0" w:color="auto"/>
        <w:bottom w:val="none" w:sz="0" w:space="0" w:color="auto"/>
        <w:right w:val="none" w:sz="0" w:space="0" w:color="auto"/>
      </w:divBdr>
    </w:div>
    <w:div w:id="1613394811">
      <w:bodyDiv w:val="1"/>
      <w:marLeft w:val="0"/>
      <w:marRight w:val="0"/>
      <w:marTop w:val="0"/>
      <w:marBottom w:val="0"/>
      <w:divBdr>
        <w:top w:val="none" w:sz="0" w:space="0" w:color="auto"/>
        <w:left w:val="none" w:sz="0" w:space="0" w:color="auto"/>
        <w:bottom w:val="none" w:sz="0" w:space="0" w:color="auto"/>
        <w:right w:val="none" w:sz="0" w:space="0" w:color="auto"/>
      </w:divBdr>
    </w:div>
    <w:div w:id="1642802726">
      <w:bodyDiv w:val="1"/>
      <w:marLeft w:val="0"/>
      <w:marRight w:val="0"/>
      <w:marTop w:val="0"/>
      <w:marBottom w:val="0"/>
      <w:divBdr>
        <w:top w:val="none" w:sz="0" w:space="0" w:color="auto"/>
        <w:left w:val="none" w:sz="0" w:space="0" w:color="auto"/>
        <w:bottom w:val="none" w:sz="0" w:space="0" w:color="auto"/>
        <w:right w:val="none" w:sz="0" w:space="0" w:color="auto"/>
      </w:divBdr>
    </w:div>
    <w:div w:id="1692880591">
      <w:bodyDiv w:val="1"/>
      <w:marLeft w:val="0"/>
      <w:marRight w:val="0"/>
      <w:marTop w:val="0"/>
      <w:marBottom w:val="0"/>
      <w:divBdr>
        <w:top w:val="none" w:sz="0" w:space="0" w:color="auto"/>
        <w:left w:val="none" w:sz="0" w:space="0" w:color="auto"/>
        <w:bottom w:val="none" w:sz="0" w:space="0" w:color="auto"/>
        <w:right w:val="none" w:sz="0" w:space="0" w:color="auto"/>
      </w:divBdr>
    </w:div>
    <w:div w:id="1755736056">
      <w:bodyDiv w:val="1"/>
      <w:marLeft w:val="0"/>
      <w:marRight w:val="0"/>
      <w:marTop w:val="0"/>
      <w:marBottom w:val="0"/>
      <w:divBdr>
        <w:top w:val="none" w:sz="0" w:space="0" w:color="auto"/>
        <w:left w:val="none" w:sz="0" w:space="0" w:color="auto"/>
        <w:bottom w:val="none" w:sz="0" w:space="0" w:color="auto"/>
        <w:right w:val="none" w:sz="0" w:space="0" w:color="auto"/>
      </w:divBdr>
    </w:div>
    <w:div w:id="1832793701">
      <w:bodyDiv w:val="1"/>
      <w:marLeft w:val="0"/>
      <w:marRight w:val="0"/>
      <w:marTop w:val="0"/>
      <w:marBottom w:val="0"/>
      <w:divBdr>
        <w:top w:val="none" w:sz="0" w:space="0" w:color="auto"/>
        <w:left w:val="none" w:sz="0" w:space="0" w:color="auto"/>
        <w:bottom w:val="none" w:sz="0" w:space="0" w:color="auto"/>
        <w:right w:val="none" w:sz="0" w:space="0" w:color="auto"/>
      </w:divBdr>
    </w:div>
    <w:div w:id="1868518694">
      <w:bodyDiv w:val="1"/>
      <w:marLeft w:val="0"/>
      <w:marRight w:val="0"/>
      <w:marTop w:val="0"/>
      <w:marBottom w:val="0"/>
      <w:divBdr>
        <w:top w:val="none" w:sz="0" w:space="0" w:color="auto"/>
        <w:left w:val="none" w:sz="0" w:space="0" w:color="auto"/>
        <w:bottom w:val="none" w:sz="0" w:space="0" w:color="auto"/>
        <w:right w:val="none" w:sz="0" w:space="0" w:color="auto"/>
      </w:divBdr>
    </w:div>
    <w:div w:id="1872954908">
      <w:bodyDiv w:val="1"/>
      <w:marLeft w:val="0"/>
      <w:marRight w:val="0"/>
      <w:marTop w:val="0"/>
      <w:marBottom w:val="0"/>
      <w:divBdr>
        <w:top w:val="none" w:sz="0" w:space="0" w:color="auto"/>
        <w:left w:val="none" w:sz="0" w:space="0" w:color="auto"/>
        <w:bottom w:val="none" w:sz="0" w:space="0" w:color="auto"/>
        <w:right w:val="none" w:sz="0" w:space="0" w:color="auto"/>
      </w:divBdr>
    </w:div>
    <w:div w:id="1930461017">
      <w:bodyDiv w:val="1"/>
      <w:marLeft w:val="0"/>
      <w:marRight w:val="0"/>
      <w:marTop w:val="0"/>
      <w:marBottom w:val="0"/>
      <w:divBdr>
        <w:top w:val="none" w:sz="0" w:space="0" w:color="auto"/>
        <w:left w:val="none" w:sz="0" w:space="0" w:color="auto"/>
        <w:bottom w:val="none" w:sz="0" w:space="0" w:color="auto"/>
        <w:right w:val="none" w:sz="0" w:space="0" w:color="auto"/>
      </w:divBdr>
    </w:div>
    <w:div w:id="2045324634">
      <w:bodyDiv w:val="1"/>
      <w:marLeft w:val="0"/>
      <w:marRight w:val="0"/>
      <w:marTop w:val="0"/>
      <w:marBottom w:val="0"/>
      <w:divBdr>
        <w:top w:val="none" w:sz="0" w:space="0" w:color="auto"/>
        <w:left w:val="none" w:sz="0" w:space="0" w:color="auto"/>
        <w:bottom w:val="none" w:sz="0" w:space="0" w:color="auto"/>
        <w:right w:val="none" w:sz="0" w:space="0" w:color="auto"/>
      </w:divBdr>
    </w:div>
    <w:div w:id="206729485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jpeg"/><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jpeg"/><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image" Target="media/image3.jpg"/><Relationship Id="rId4" Type="http://schemas.openxmlformats.org/officeDocument/2006/relationships/settings" Target="settings.xml"/><Relationship Id="rId9" Type="http://schemas.openxmlformats.org/officeDocument/2006/relationships/image" Target="media/image2.jpeg"/><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Lou23</b:Tag>
    <b:SourceType>DocumentFromInternetSite</b:SourceType>
    <b:Guid>{360629D7-D73C-442F-B946-4979FA7A1F13}</b:Guid>
    <b:Author>
      <b:Author>
        <b:NameList>
          <b:Person>
            <b:Last>Loughran</b:Last>
            <b:First>J.</b:First>
          </b:Person>
        </b:NameList>
      </b:Author>
    </b:Author>
    <b:Title>Demand for electric vehicles slows as public chargers remain elusive</b:Title>
    <b:JournalName>Engineering &amp; Technology</b:JournalName>
    <b:Year>2023</b:Year>
    <b:Month>june</b:Month>
    <b:YearAccessed>2025</b:YearAccessed>
    <b:MonthAccessed>10</b:MonthAccessed>
    <b:DayAccessed>18</b:DayAccessed>
    <b:URL>https://doi.org/10.1049/et.2023.0513</b:URL>
    <b:RefOrder>1</b:RefOrder>
  </b:Source>
  <b:Source>
    <b:Tag>Pat16</b:Tag>
    <b:SourceType>JournalArticle</b:SourceType>
    <b:Guid>{40FD5866-E591-467B-8510-18F5D4D13997}</b:Guid>
    <b:Title>Tata Motors’ successful cross-border acquisition of Jaguar Land Rover: key take-aways</b:Title>
    <b:Year>2016</b:Year>
    <b:Author>
      <b:Author>
        <b:NameList>
          <b:Person>
            <b:Last>Pathak</b:Last>
            <b:First>Atul</b:First>
            <b:Middle>Arun</b:Middle>
          </b:Person>
        </b:NameList>
      </b:Author>
    </b:Author>
    <b:JournalName>Strategic Direction</b:JournalName>
    <b:Pages>15–18</b:Pages>
    <b:Volume>32</b:Volume>
    <b:Issue>9</b:Issue>
    <b:DOI>https://doi.org/10.1108/SD-05-2016-0083</b:DOI>
    <b:RefOrder>2</b:RefOrder>
  </b:Source>
  <b:Source>
    <b:Tag>ALL24</b:Tag>
    <b:SourceType>JournalArticle</b:SourceType>
    <b:Guid>{1FEE03B3-4B09-46D6-86D3-4B1051CB9AA3}</b:Guid>
    <b:Author>
      <b:Author>
        <b:NameList>
          <b:Person>
            <b:Last>ALLAN</b:Last>
            <b:First>BENTLEY</b:First>
            <b:Middle>B.</b:Middle>
          </b:Person>
          <b:Person>
            <b:Last>Nahm</b:Last>
            <b:First>Jonas</b:First>
          </b:Person>
        </b:NameList>
      </b:Author>
    </b:Author>
    <b:Title>Strategies of Green Industrial Policy: How States Position Firms in Global Supply Chains</b:Title>
    <b:JournalName>American Political Science Review</b:JournalName>
    <b:Year>2024</b:Year>
    <b:Pages>420 - 434</b:Pages>
    <b:Volume>119</b:Volume>
    <b:Issue>1</b:Issue>
    <b:DOI> https://doi.org/10.1017/S0003055424000364</b:DOI>
    <b:RefOrder>3</b:RefOrder>
  </b:Source>
  <b:Source>
    <b:Tag>Gri18</b:Tag>
    <b:SourceType>JournalArticle</b:SourceType>
    <b:Guid>{76CF2E92-1784-4C43-A6EE-0C55EC0EC36D}</b:Guid>
    <b:Title>Room For Growth In A Time Of Uncertainty: The UK Luxury Automotive Industry And Brexit</b:Title>
    <b:JournalName>Perspectives on Business and Economics</b:JournalName>
    <b:Year>2018</b:Year>
    <b:Volume>36</b:Volume>
    <b:Issue>1</b:Issue>
    <b:Author>
      <b:Author>
        <b:NameList>
          <b:Person>
            <b:Last>Grinsteins</b:Last>
            <b:First>Gustavo</b:First>
          </b:Person>
        </b:NameList>
      </b:Author>
    </b:Author>
    <b:Publisher>Lehigh University</b:Publisher>
    <b:DOI>10.18275/pbe-v036-008</b:DOI>
    <b:RefOrder>4</b:RefOrder>
  </b:Source>
  <b:Source>
    <b:Tag>Cle13</b:Tag>
    <b:SourceType>JournalArticle</b:SourceType>
    <b:Guid>{8A5B6D05-902B-4DBC-B219-7AD4CE56045E}</b:Guid>
    <b:Author>
      <b:Author>
        <b:NameList>
          <b:Person>
            <b:Last>Ben</b:Last>
            <b:First>Clegg</b:First>
          </b:Person>
          <b:Person>
            <b:Last>Simon</b:Last>
            <b:First>Chandler</b:First>
          </b:Person>
        </b:NameList>
      </b:Author>
    </b:Author>
    <b:Title>Governing inter-organisational R&amp;D supplier collaborations: a study at Jaguar Land Rover</b:Title>
    <b:JournalName>Production Planning &amp; Control</b:JournalName>
    <b:Year>2013</b:Year>
    <b:Pages>818-836</b:Pages>
    <b:Volume>24</b:Volume>
    <b:Issue>8-9</b:Issue>
    <b:DOI>https://doi.org/10.1080/09537287.2012.666873</b:DOI>
    <b:RefOrder>5</b:RefOrder>
  </b:Source>
  <b:Source>
    <b:Tag>Wal20</b:Tag>
    <b:SourceType>JournalArticle</b:SourceType>
    <b:Guid>{851FC0CC-D410-4D96-B4C7-17B492FA472D}</b:Guid>
    <b:Author>
      <b:Author>
        <b:NameList>
          <b:Person>
            <b:Last>Walker</b:Last>
            <b:First>Andy</b:First>
          </b:Person>
        </b:NameList>
      </b:Author>
    </b:Author>
    <b:Title>Future Regulatory, Market and Technology Trends in the Global Passenger Car and Commercial Vehicle Sectors : Key challenges to achieving net zero emissions for road vehicles</b:Title>
    <b:JournalName>Johnson Matthey's international journal of research</b:JournalName>
    <b:Year>2020</b:Year>
    <b:Pages>320-337</b:Pages>
    <b:Volume>64</b:Volume>
    <b:Issue>3</b:Issue>
    <b:DOI>https://doi.org/10.1595/205651320X15898840921326</b:DOI>
    <b:RefOrder>6</b:RefOrder>
  </b:Source>
  <b:Source>
    <b:Tag>Cas16</b:Tag>
    <b:SourceType>Case</b:SourceType>
    <b:Guid>{5410FD16-A3C0-4539-9EEF-F91800A90FD9}</b:Guid>
    <b:Title>Case analysis: Tata Motors' acquisition of Jaguar Land Rover</b:Title>
    <b:Year>November 2016</b:Year>
    <b:Reporter>Deepraj Mukherjee</b:Reporter>
    <b:RefOrder>15</b:RefOrder>
  </b:Source>
  <b:Source>
    <b:Tag>AnA16</b:Tag>
    <b:SourceType>Case</b:SourceType>
    <b:Guid>{A806F5BC-F776-4E68-8591-482AEBAAC58E}</b:Guid>
    <b:Title>An Analysis of Operating Environment &amp; Strategy: A Case Study of Tata Motor</b:Title>
    <b:Reporter>Michael J Crawford</b:Reporter>
    <b:Year>May 2016</b:Year>
    <b:DOI>http://hdl.handle.net/20.500.13013/888</b:DOI>
    <b:RefOrder>7</b:RefOrder>
  </b:Source>
  <b:Source>
    <b:Tag>Ens01</b:Tag>
    <b:SourceType>JournalArticle</b:SourceType>
    <b:Guid>{0C709609-2F8C-4972-809A-EDD1CF07459C}</b:Guid>
    <b:Title>Value Chain Analysis and Competitive Advantage</b:Title>
    <b:Year>2001</b:Year>
    <b:Author>
      <b:Author>
        <b:NameList>
          <b:Person>
            <b:Last>Ensign</b:Last>
            <b:First>Prescott</b:First>
            <b:Middle>C.</b:Middle>
          </b:Person>
        </b:NameList>
      </b:Author>
    </b:Author>
    <b:JournalName>Journal of General Management</b:JournalName>
    <b:Pages>1–17</b:Pages>
    <b:Volume>27</b:Volume>
    <b:Issue>1</b:Issue>
    <b:DOI>https://doi.org/10.1177/030630700102700102</b:DOI>
    <b:RefOrder>8</b:RefOrder>
  </b:Source>
  <b:Source>
    <b:Tag>Llo21</b:Tag>
    <b:SourceType>JournalArticle</b:SourceType>
    <b:Guid>{63421A65-A76F-4DD3-9D8B-952FB20787E3}</b:Guid>
    <b:Author>
      <b:Author>
        <b:NameList>
          <b:Person>
            <b:Last>Lloyd</b:Last>
            <b:First>John</b:First>
          </b:Person>
        </b:NameList>
      </b:Author>
    </b:Author>
    <b:Title>The Land Rover “Guest experience” marketing concept</b:Title>
    <b:JournalName>Strategy &amp; Leadership</b:JournalName>
    <b:Year>2021</b:Year>
    <b:Pages>31–36</b:Pages>
    <b:Volume>49</b:Volume>
    <b:Issue>1</b:Issue>
    <b:DOI>https://doi.org/10.1108/SL-06-2021-0056</b:DOI>
    <b:RefOrder>9</b:RefOrder>
  </b:Source>
  <b:Source>
    <b:Tag>Sto15</b:Tag>
    <b:SourceType>JournalArticle</b:SourceType>
    <b:Guid>{3F21F532-97BF-4BD8-9157-03AB1623369B}</b:Guid>
    <b:Author>
      <b:Author>
        <b:NameList>
          <b:Person>
            <b:Last>Stone</b:Last>
            <b:First>Dianna</b:First>
            <b:Middle>L.</b:Middle>
          </b:Person>
        </b:NameList>
      </b:Author>
    </b:Author>
    <b:Title>Challenges and opportunities affecting the future of human resource management</b:Title>
    <b:JournalName>Human Resource Management Review</b:JournalName>
    <b:Year>2015</b:Year>
    <b:Pages>139-145</b:Pages>
    <b:Volume>25</b:Volume>
    <b:Issue>2</b:Issue>
    <b:DOI>https://doi.org/10.1016/j.hrmr.2015.01.003</b:DOI>
    <b:RefOrder>10</b:RefOrder>
  </b:Source>
  <b:Source>
    <b:Tag>Sch19</b:Tag>
    <b:SourceType>JournalArticle</b:SourceType>
    <b:Guid>{7525AA86-85C9-43FB-889A-686ED64CC36B}</b:Guid>
    <b:Author>
      <b:Author>
        <b:NameList>
          <b:Person>
            <b:Last>Schlüter</b:Last>
            <b:First>Jan</b:First>
          </b:Person>
          <b:Person>
            <b:Last>Weyer</b:Last>
            <b:First>Johannes</b:First>
          </b:Person>
        </b:NameList>
      </b:Author>
    </b:Author>
    <b:Title>Car sharing as a means to raise acceptance of electric vehicles: An empirical study on regime change in automobility</b:Title>
    <b:JournalName>Transportation Research Part F: Traffic Psychology and Behaviour</b:JournalName>
    <b:Year>2019</b:Year>
    <b:Pages>185-201</b:Pages>
    <b:Volume>60</b:Volume>
    <b:Issue>1</b:Issue>
    <b:DOI>https://doi.org/10.1016/j.trf.2018.09.005</b:DOI>
    <b:RefOrder>11</b:RefOrder>
  </b:Source>
  <b:Source>
    <b:Tag>Pic98</b:Tag>
    <b:SourceType>JournalArticle</b:SourceType>
    <b:Guid>{5788266A-6C7A-468D-A21C-58A13C770CFF}</b:Guid>
    <b:Author>
      <b:Author>
        <b:NameList>
          <b:Person>
            <b:Last>Pickton</b:Last>
            <b:First>David</b:First>
            <b:Middle>W.</b:Middle>
          </b:Person>
          <b:Person>
            <b:Last>Wright</b:Last>
            <b:First>Sheila</b:First>
          </b:Person>
        </b:NameList>
      </b:Author>
    </b:Author>
    <b:Title>What's swot in strategic analysis?</b:Title>
    <b:JournalName>Strategic Change</b:JournalName>
    <b:Year>1998</b:Year>
    <b:Pages>101-109</b:Pages>
    <b:Volume>7</b:Volume>
    <b:Issue>2</b:Issue>
    <b:DOI> https://doi.org/10.1002/(SICI)1099-1697(199803/04)7:2&lt;101::AID-JSC332&gt;3.0.CO;2-6</b:DOI>
    <b:RefOrder>12</b:RefOrder>
  </b:Source>
  <b:Source>
    <b:Tag>Jag21</b:Tag>
    <b:SourceType>InternetSite</b:SourceType>
    <b:Guid>{2A1FBC6D-95DA-4A92-84EA-CA9F07601F6F}</b:Guid>
    <b:Title>www.media.jaguarlandrover.com</b:Title>
    <b:Year>2021</b:Year>
    <b:Author>
      <b:Author>
        <b:NameList>
          <b:Person>
            <b:Last>Rover</b:Last>
            <b:First>Jaguar</b:First>
            <b:Middle>Land</b:Middle>
          </b:Person>
        </b:NameList>
      </b:Author>
    </b:Author>
    <b:YearAccessed>2025</b:YearAccessed>
    <b:MonthAccessed>10</b:MonthAccessed>
    <b:DayAccessed>18</b:DayAccessed>
    <b:URL>https://media.jaguarlandrover.com/news/2021/02/jaguar-land-rover-reimagines-future-modern-luxury-design</b:URL>
    <b:RefOrder>13</b:RefOrder>
  </b:Source>
  <b:Source>
    <b:Tag>Wil00</b:Tag>
    <b:SourceType>JournalArticle</b:SourceType>
    <b:Guid>{A0F6D68A-025D-4E14-8C15-0FB5D42DA766}</b:Guid>
    <b:Title>The Global Market for Electric Vehicles.</b:Title>
    <b:Year>2000</b:Year>
    <b:Author>
      <b:Author>
        <b:NameList>
          <b:Person>
            <b:Last>William</b:Last>
            <b:First>Baumgartner</b:First>
          </b:Person>
          <b:Person>
            <b:Last>Andrew</b:Last>
            <b:First>Gross</b:First>
          </b:Person>
        </b:NameList>
      </b:Author>
    </b:Author>
    <b:JournalName>Business Economics 2000.</b:JournalName>
    <b:Pages>51</b:Pages>
    <b:Volume>35</b:Volume>
    <b:Issue>4</b:Issue>
    <b:RefOrder>14</b:RefOrder>
  </b:Source>
</b:Sources>
</file>

<file path=customXml/itemProps1.xml><?xml version="1.0" encoding="utf-8"?>
<ds:datastoreItem xmlns:ds="http://schemas.openxmlformats.org/officeDocument/2006/customXml" ds:itemID="{03DAA517-66E0-41D2-8950-1DCE1AE8DD3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15</Pages>
  <Words>3377</Words>
  <Characters>19252</Characters>
  <Application>Microsoft Office Word</Application>
  <DocSecurity>0</DocSecurity>
  <Lines>160</Lines>
  <Paragraphs>45</Paragraphs>
  <ScaleCrop>false</ScaleCrop>
  <Company/>
  <LinksUpToDate>false</LinksUpToDate>
  <CharactersWithSpaces>22584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Radu Acris</dc:creator>
  <cp:keywords/>
  <dc:description/>
  <cp:lastModifiedBy>Radu Acris</cp:lastModifiedBy>
  <cp:revision>179</cp:revision>
  <dcterms:created xsi:type="dcterms:W3CDTF">2025-10-14T16:30:00Z</dcterms:created>
  <dcterms:modified xsi:type="dcterms:W3CDTF">2025-10-20T17:38:00Z</dcterms:modified>
</cp:coreProperties>
</file>