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3435033</wp:posOffset>
                </wp:positionH>
                <wp:positionV relativeFrom="page">
                  <wp:posOffset>7051993</wp:posOffset>
                </wp:positionV>
                <wp:extent cx="2807335" cy="278130"/>
                <wp:effectExtent b="0" l="0" r="0" t="0"/>
                <wp:wrapSquare wrapText="bothSides" distB="0" distT="0" distL="114300" distR="114300"/>
                <wp:docPr id="5" name=""/>
                <a:graphic>
                  <a:graphicData uri="http://schemas.microsoft.com/office/word/2010/wordprocessingShape">
                    <wps:wsp>
                      <wps:cNvSpPr/>
                      <wps:cNvPr id="6" name="Shape 6"/>
                      <wps:spPr>
                        <a:xfrm>
                          <a:off x="3947095" y="3645698"/>
                          <a:ext cx="2797810" cy="26860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b"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3435033</wp:posOffset>
                </wp:positionH>
                <wp:positionV relativeFrom="page">
                  <wp:posOffset>7051993</wp:posOffset>
                </wp:positionV>
                <wp:extent cx="2807335" cy="278130"/>
                <wp:effectExtent b="0" l="0" r="0" t="0"/>
                <wp:wrapSquare wrapText="bothSides" distB="0" distT="0" distL="114300" distR="114300"/>
                <wp:docPr id="5"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2807335" cy="278130"/>
                        </a:xfrm>
                        <a:prstGeom prst="rect"/>
                        <a:ln/>
                      </pic:spPr>
                    </pic:pic>
                  </a:graphicData>
                </a:graphic>
              </wp:anchor>
            </w:drawing>
          </mc:Fallback>
        </mc:AlternateContent>
      </w: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7393305" cy="9565005"/>
                <wp:effectExtent b="0" l="0" r="0" t="0"/>
                <wp:wrapNone/>
                <wp:docPr id="6" name=""/>
                <a:graphic>
                  <a:graphicData uri="http://schemas.microsoft.com/office/word/2010/wordprocessingShape">
                    <wps:wsp>
                      <wps:cNvSpPr/>
                      <wps:cNvPr id="7" name="Shape 7"/>
                      <wps:spPr>
                        <a:xfrm>
                          <a:off x="1654110" y="0"/>
                          <a:ext cx="7383780" cy="7560000"/>
                        </a:xfrm>
                        <a:prstGeom prst="rect">
                          <a:avLst/>
                        </a:prstGeom>
                        <a:gradFill>
                          <a:gsLst>
                            <a:gs pos="0">
                              <a:srgbClr val="C0E4F5"/>
                            </a:gs>
                            <a:gs pos="100000">
                              <a:srgbClr val="43AFE2"/>
                            </a:gs>
                          </a:gsLst>
                          <a:lin ang="5400000" scaled="0"/>
                        </a:gradFill>
                        <a:ln>
                          <a:noFill/>
                        </a:ln>
                      </wps:spPr>
                      <wps:txbx>
                        <w:txbxContent>
                          <w:p w:rsidR="00000000" w:rsidDel="00000000" w:rsidP="00000000" w:rsidRDefault="00000000" w:rsidRPr="00000000">
                            <w:pPr>
                              <w:spacing w:after="160" w:before="0" w:line="277.99999237060547"/>
                              <w:ind w:left="0" w:right="0" w:firstLine="0"/>
                              <w:jc w:val="left"/>
                              <w:textDirection w:val="btLr"/>
                            </w:pPr>
                          </w:p>
                        </w:txbxContent>
                      </wps:txbx>
                      <wps:bodyPr anchorCtr="0" anchor="ctr" bIns="45700" lIns="274300" spcFirstLastPara="1" rIns="274300"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7393305" cy="9565005"/>
                <wp:effectExtent b="0" l="0" r="0" t="0"/>
                <wp:wrapNone/>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7393305" cy="9565005"/>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3435033</wp:posOffset>
                </wp:positionH>
                <wp:positionV relativeFrom="page">
                  <wp:posOffset>261938</wp:posOffset>
                </wp:positionV>
                <wp:extent cx="2885440" cy="3027045"/>
                <wp:effectExtent b="0" l="0" r="0" t="0"/>
                <wp:wrapNone/>
                <wp:docPr id="2" name=""/>
                <a:graphic>
                  <a:graphicData uri="http://schemas.microsoft.com/office/word/2010/wordprocessingShape">
                    <wps:wsp>
                      <wps:cNvSpPr/>
                      <wps:cNvPr id="3" name="Shape 3"/>
                      <wps:spPr>
                        <a:xfrm>
                          <a:off x="3908043" y="2271240"/>
                          <a:ext cx="2875915" cy="3017520"/>
                        </a:xfrm>
                        <a:prstGeom prst="rect">
                          <a:avLst/>
                        </a:prstGeom>
                        <a:solidFill>
                          <a:schemeClr val="dk2"/>
                        </a:solidFill>
                        <a:ln>
                          <a:noFill/>
                        </a:ln>
                      </wps:spPr>
                      <wps:txbx>
                        <w:txbxContent>
                          <w:p w:rsidR="00000000" w:rsidDel="00000000" w:rsidP="00000000" w:rsidRDefault="00000000" w:rsidRPr="00000000">
                            <w:pPr>
                              <w:spacing w:after="160" w:before="240" w:line="277.99999237060547"/>
                              <w:ind w:left="0" w:right="0" w:firstLine="0"/>
                              <w:jc w:val="left"/>
                              <w:textDirection w:val="btLr"/>
                            </w:pPr>
                          </w:p>
                        </w:txbxContent>
                      </wps:txbx>
                      <wps:bodyPr anchorCtr="0" anchor="b" bIns="365750" lIns="182875" spcFirstLastPara="1" rIns="182875" wrap="square" tIns="18287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3435033</wp:posOffset>
                </wp:positionH>
                <wp:positionV relativeFrom="page">
                  <wp:posOffset>261938</wp:posOffset>
                </wp:positionV>
                <wp:extent cx="2885440" cy="3027045"/>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885440" cy="3027045"/>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3318192</wp:posOffset>
                </wp:positionH>
                <wp:positionV relativeFrom="page">
                  <wp:posOffset>258763</wp:posOffset>
                </wp:positionV>
                <wp:extent cx="3124835" cy="7056755"/>
                <wp:effectExtent b="0" l="0" r="0" t="0"/>
                <wp:wrapNone/>
                <wp:docPr id="1" name=""/>
                <a:graphic>
                  <a:graphicData uri="http://schemas.microsoft.com/office/word/2010/wordprocessingShape">
                    <wps:wsp>
                      <wps:cNvSpPr/>
                      <wps:cNvPr id="2" name="Shape 2"/>
                      <wps:spPr>
                        <a:xfrm>
                          <a:off x="3791520" y="259560"/>
                          <a:ext cx="3108960" cy="7040880"/>
                        </a:xfrm>
                        <a:prstGeom prst="rect">
                          <a:avLst/>
                        </a:prstGeom>
                        <a:solidFill>
                          <a:schemeClr val="lt1"/>
                        </a:solidFill>
                        <a:ln cap="flat" cmpd="sng" w="15875">
                          <a:solidFill>
                            <a:srgbClr val="74747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3318192</wp:posOffset>
                </wp:positionH>
                <wp:positionV relativeFrom="page">
                  <wp:posOffset>258763</wp:posOffset>
                </wp:positionV>
                <wp:extent cx="3124835" cy="7056755"/>
                <wp:effectExtent b="0" l="0" r="0" t="0"/>
                <wp:wrapNone/>
                <wp:docPr id="1"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3124835" cy="7056755"/>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3435033</wp:posOffset>
                </wp:positionH>
                <wp:positionV relativeFrom="page">
                  <wp:posOffset>7372668</wp:posOffset>
                </wp:positionV>
                <wp:extent cx="2885440" cy="128270"/>
                <wp:effectExtent b="0" l="0" r="0" t="0"/>
                <wp:wrapNone/>
                <wp:docPr id="3" name=""/>
                <a:graphic>
                  <a:graphicData uri="http://schemas.microsoft.com/office/word/2010/wordprocessingShape">
                    <wps:wsp>
                      <wps:cNvSpPr/>
                      <wps:cNvPr id="4" name="Shape 4"/>
                      <wps:spPr>
                        <a:xfrm>
                          <a:off x="3908043" y="3720628"/>
                          <a:ext cx="2875915" cy="118745"/>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3435033</wp:posOffset>
                </wp:positionH>
                <wp:positionV relativeFrom="page">
                  <wp:posOffset>7372668</wp:posOffset>
                </wp:positionV>
                <wp:extent cx="2885440" cy="128270"/>
                <wp:effectExtent b="0" l="0" r="0" t="0"/>
                <wp:wrapNone/>
                <wp:docPr id="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2885440" cy="128270"/>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3435033</wp:posOffset>
                </wp:positionH>
                <wp:positionV relativeFrom="page">
                  <wp:posOffset>3737292</wp:posOffset>
                </wp:positionV>
                <wp:extent cx="2807335" cy="2484755"/>
                <wp:effectExtent b="0" l="0" r="0" t="0"/>
                <wp:wrapSquare wrapText="bothSides" distB="0" distT="0" distL="114300" distR="114300"/>
                <wp:docPr id="4" name=""/>
                <a:graphic>
                  <a:graphicData uri="http://schemas.microsoft.com/office/word/2010/wordprocessingShape">
                    <wps:wsp>
                      <wps:cNvSpPr/>
                      <wps:cNvPr id="5" name="Shape 5"/>
                      <wps:spPr>
                        <a:xfrm>
                          <a:off x="3947095" y="2542385"/>
                          <a:ext cx="2797810" cy="2475230"/>
                        </a:xfrm>
                        <a:prstGeom prst="rect">
                          <a:avLst/>
                        </a:prstGeom>
                        <a:noFill/>
                        <a:ln>
                          <a:noFill/>
                        </a:ln>
                      </wps:spPr>
                      <wps:txbx>
                        <w:txbxContent>
                          <w:p w:rsidR="00000000" w:rsidDel="00000000" w:rsidP="00000000" w:rsidRDefault="00000000" w:rsidRPr="00000000">
                            <w:pPr>
                              <w:spacing w:after="160" w:before="0" w:line="277.99999237060547"/>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3435033</wp:posOffset>
                </wp:positionH>
                <wp:positionV relativeFrom="page">
                  <wp:posOffset>3737292</wp:posOffset>
                </wp:positionV>
                <wp:extent cx="2807335" cy="2484755"/>
                <wp:effectExtent b="0" l="0" r="0" t="0"/>
                <wp:wrapSquare wrapText="bothSides" distB="0" distT="0" distL="114300" distR="114300"/>
                <wp:docPr id="4"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807335" cy="24847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04">
      <w:pPr>
        <w:spacing w:line="360" w:lineRule="auto"/>
        <w:rPr>
          <w:b w:val="1"/>
        </w:rPr>
      </w:pPr>
      <w:r w:rsidDel="00000000" w:rsidR="00000000" w:rsidRPr="00000000">
        <w:rPr>
          <w:b w:val="1"/>
          <w:rtl w:val="0"/>
        </w:rPr>
        <w:t xml:space="preserve">Description </w:t>
      </w:r>
    </w:p>
    <w:p w:rsidR="00000000" w:rsidDel="00000000" w:rsidP="00000000" w:rsidRDefault="00000000" w:rsidRPr="00000000" w14:paraId="00000005">
      <w:pPr>
        <w:spacing w:line="360" w:lineRule="auto"/>
        <w:rPr/>
      </w:pPr>
      <w:r w:rsidDel="00000000" w:rsidR="00000000" w:rsidRPr="00000000">
        <w:rPr>
          <w:rtl w:val="0"/>
        </w:rPr>
        <w:t xml:space="preserve">The purpose of this reflection is to review and critically evaluate the skills and knowledge I gained during the Professional Career Development module and reflect on how this new knowledge applies to my personal and professional growth, including my own experiences. For this reflection, I will be using Gibbs reflective Cycle. According to The University of Edinburgh (2020), Gibbs' Reflective Cycle provides a structured framework for examining experiences, and with its cyclical framework, helps a person to learn from and plan based on what went well or poorly. </w:t>
      </w:r>
    </w:p>
    <w:p w:rsidR="00000000" w:rsidDel="00000000" w:rsidP="00000000" w:rsidRDefault="00000000" w:rsidRPr="00000000" w14:paraId="00000006">
      <w:pPr>
        <w:spacing w:line="360" w:lineRule="auto"/>
        <w:rPr/>
      </w:pPr>
      <w:r w:rsidDel="00000000" w:rsidR="00000000" w:rsidRPr="00000000">
        <w:rPr>
          <w:rtl w:val="0"/>
        </w:rPr>
        <w:t xml:space="preserve">Career development refers to the process of learning, skill acquisition, and experience that enables individuals to grow and progress in their careers. It includes both personal and professional growth through continuous learning, self-awareness, and adaptability (Beutell, 2006).</w:t>
      </w:r>
    </w:p>
    <w:p w:rsidR="00000000" w:rsidDel="00000000" w:rsidP="00000000" w:rsidRDefault="00000000" w:rsidRPr="00000000" w14:paraId="00000007">
      <w:pPr>
        <w:spacing w:line="360" w:lineRule="auto"/>
        <w:rPr>
          <w:b w:val="1"/>
        </w:rPr>
      </w:pPr>
      <w:r w:rsidDel="00000000" w:rsidR="00000000" w:rsidRPr="00000000">
        <w:rPr>
          <w:b w:val="1"/>
          <w:rtl w:val="0"/>
        </w:rPr>
        <w:t xml:space="preserve">Feelings </w:t>
      </w:r>
    </w:p>
    <w:p w:rsidR="00000000" w:rsidDel="00000000" w:rsidP="00000000" w:rsidRDefault="00000000" w:rsidRPr="00000000" w14:paraId="00000008">
      <w:pPr>
        <w:spacing w:line="360" w:lineRule="auto"/>
        <w:rPr/>
      </w:pPr>
      <w:r w:rsidDel="00000000" w:rsidR="00000000" w:rsidRPr="00000000">
        <w:rPr>
          <w:rtl w:val="0"/>
        </w:rPr>
        <w:t xml:space="preserve">Thinking back to the first lecture, I initially felt quite nervous and unsure of myself, because I believed I had limited general knowledge about career development and employability. Returning to education after over 20 years deepened my fear of not understanding what was required of me and the possibility of failing. However, as the session went on, as a class, we were asked to work as a team to gather information about a specific profession, such as finding a relevant job description, drafting a CV, and identifying the skills required for the role of a Carer. This task helped me feel more at ease. Working with my peers allowed me to share ideas and learn from their experiences, which boosted my confidence. I discovered that one of my strengths was my ability to express my thoughts, even when there was a risk of getting the answer wrong. I very much enjoyed this interactive task. </w:t>
      </w:r>
    </w:p>
    <w:p w:rsidR="00000000" w:rsidDel="00000000" w:rsidP="00000000" w:rsidRDefault="00000000" w:rsidRPr="00000000" w14:paraId="00000009">
      <w:pPr>
        <w:spacing w:line="360" w:lineRule="auto"/>
        <w:rPr>
          <w:b w:val="1"/>
        </w:rPr>
      </w:pPr>
      <w:r w:rsidDel="00000000" w:rsidR="00000000" w:rsidRPr="00000000">
        <w:rPr>
          <w:b w:val="1"/>
          <w:rtl w:val="0"/>
        </w:rPr>
        <w:t xml:space="preserve">Evaluation </w:t>
      </w:r>
    </w:p>
    <w:p w:rsidR="00000000" w:rsidDel="00000000" w:rsidP="00000000" w:rsidRDefault="00000000" w:rsidRPr="00000000" w14:paraId="0000000A">
      <w:pPr>
        <w:spacing w:line="360" w:lineRule="auto"/>
        <w:rPr/>
      </w:pPr>
      <w:r w:rsidDel="00000000" w:rsidR="00000000" w:rsidRPr="00000000">
        <w:rPr>
          <w:rtl w:val="0"/>
        </w:rPr>
        <w:t xml:space="preserve">One aspect of this module that I greatly appreciated was that the content was not just theoretical but applicable to real-life situations, particularly in the context of personal and professional development. The concept of self-awareness, was particularly valuable as it helped me learn more about myself. This module did not just teach me skills for immediate assignments but instilled life-long habits of self-reflection and growth.</w:t>
      </w:r>
    </w:p>
    <w:p w:rsidR="00000000" w:rsidDel="00000000" w:rsidP="00000000" w:rsidRDefault="00000000" w:rsidRPr="00000000" w14:paraId="0000000B">
      <w:pPr>
        <w:spacing w:line="360" w:lineRule="auto"/>
        <w:rPr>
          <w:color w:val="ff0000"/>
        </w:rPr>
      </w:pPr>
      <w:r w:rsidDel="00000000" w:rsidR="00000000" w:rsidRPr="00000000">
        <w:rPr>
          <w:rtl w:val="0"/>
        </w:rPr>
        <w:t xml:space="preserve">One thing that I struggled with during the classes was the length and depth of information given at one time. There were moments when I felt overwhelmed and started doubting my ability. I would say that I learn better through practical ways, such as through worksheets, group discussions or repeated exercises. I find auditory learning very difficult. In one of the lectures we had to complete a learning style questionnaire, where I found that I am a pragmatist. According to ….a pragmatist prefers learning through hands-on experiences, where they can actively experiment, break down tasks, and rebuild them to understand how things work. They work better in environments where they can test ideas in practical, real-world situations, gaining insights from direct application rather than just theory. For a pragmatist, if the learning process is delayed or becomes too abstract, they may quickly lose patience and disengage. They benefit most from learning that allows instant implementation and experimentation to fully grasp concepts and refine skills </w:t>
      </w: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b w:val="1"/>
        </w:rPr>
      </w:pPr>
      <w:r w:rsidDel="00000000" w:rsidR="00000000" w:rsidRPr="00000000">
        <w:rPr>
          <w:b w:val="1"/>
          <w:rtl w:val="0"/>
        </w:rPr>
        <w:t xml:space="preserve">Analysis </w:t>
      </w:r>
    </w:p>
    <w:p w:rsidR="00000000" w:rsidDel="00000000" w:rsidP="00000000" w:rsidRDefault="00000000" w:rsidRPr="00000000" w14:paraId="0000000E">
      <w:pPr>
        <w:spacing w:line="360" w:lineRule="auto"/>
        <w:rPr/>
      </w:pPr>
      <w:r w:rsidDel="00000000" w:rsidR="00000000" w:rsidRPr="00000000">
        <w:rPr>
          <w:rtl w:val="0"/>
        </w:rPr>
        <w:t xml:space="preserve">During this module, I also learned about the Johari Window and SWOT analysis, both of which have significantly contributed to my self-awareness and career development. </w:t>
      </w:r>
    </w:p>
    <w:p w:rsidR="00000000" w:rsidDel="00000000" w:rsidP="00000000" w:rsidRDefault="00000000" w:rsidRPr="00000000" w14:paraId="0000000F">
      <w:pPr>
        <w:spacing w:line="360" w:lineRule="auto"/>
        <w:rPr/>
      </w:pPr>
      <w:r w:rsidDel="00000000" w:rsidR="00000000" w:rsidRPr="00000000">
        <w:rPr>
          <w:rtl w:val="0"/>
        </w:rPr>
        <w:t xml:space="preserve">The Johari Window is a model that focuses on understanding and improving communication between individuals in a group. It was developed in 1955 Joseph Luft and Harry Ingham, the name "Johari" is a combination of their first names. The model is often referred to as the feedback/explanation model of self-awareness, and it is used to help individuals better understand their relationships with others by promoting feedback and self-discovery. The main idea is that by sharing information about ourselves and being open to feedback, we can build trust and learn about aspects of ourselves that may not be immediately obvious (Kalayci, 2024).</w:t>
      </w:r>
    </w:p>
    <w:p w:rsidR="00000000" w:rsidDel="00000000" w:rsidP="00000000" w:rsidRDefault="00000000" w:rsidRPr="00000000" w14:paraId="00000010">
      <w:pPr>
        <w:spacing w:line="360" w:lineRule="auto"/>
        <w:rPr/>
      </w:pPr>
      <w:r w:rsidDel="00000000" w:rsidR="00000000" w:rsidRPr="00000000">
        <w:rPr>
          <w:rtl w:val="0"/>
        </w:rPr>
        <w:t xml:space="preserve">Through my learning about the Johari Window, I discovered that one of the key components is the "blind spot" area, which represents aspects of ourselves that others notice but we may be unaware of. Applying this model to my own experience, I found some “blind spots” I had not previously noticed. For example, I learned that my facial expressions are often quite pronounced when I am talking to people, which could unintentionally send the wrong message. This feedback made me realise that my expressions might be misinterpreted, potentially making me seem unapproachable or difficult to engage with, even when that is not my intention.</w:t>
      </w:r>
    </w:p>
    <w:p w:rsidR="00000000" w:rsidDel="00000000" w:rsidP="00000000" w:rsidRDefault="00000000" w:rsidRPr="00000000" w14:paraId="00000011">
      <w:pPr>
        <w:spacing w:line="360" w:lineRule="auto"/>
        <w:rPr/>
      </w:pPr>
      <w:r w:rsidDel="00000000" w:rsidR="00000000" w:rsidRPr="00000000">
        <w:rPr>
          <w:rtl w:val="0"/>
        </w:rPr>
        <w:t xml:space="preserve">Additionally, I received feedback that I tend to resist feedback. This realisation highlighted an area for personal growth: being more open to constructive criticism. The more I learn about myself, the more I am motivated to improve and develop. As Sorguven (2021) emphasises, being open to feedback and creating a trusting environment is essential for growth. While not all feedback will always be useful, I now view it as a valuable tool for self-improvement, offering opportunities for significant development when I take the time to reflect on it.</w:t>
      </w:r>
    </w:p>
    <w:p w:rsidR="00000000" w:rsidDel="00000000" w:rsidP="00000000" w:rsidRDefault="00000000" w:rsidRPr="00000000" w14:paraId="00000012">
      <w:pPr>
        <w:spacing w:line="360" w:lineRule="auto"/>
        <w:rPr/>
      </w:pPr>
      <w:r w:rsidDel="00000000" w:rsidR="00000000" w:rsidRPr="00000000">
        <w:rPr>
          <w:rtl w:val="0"/>
        </w:rPr>
        <w:t xml:space="preserve">Similarly, the SWOT analysis (Strengths, Weaknesses, Opportunities, and Threats) which we learned about in the module, has been an invaluable tool for my professional development. Originally developed as the SOFT approach in the 1960s (Stewart, 1963 cited in Puyt, Lie and Wilderom, 2023 ), the SWOT framework helps individuals and organisations assess their internal strengths and weaknesses while identifying external opportunities and threats. This strategic tool has been widely used in both business and personal development planning (Puyt, Lie and Wilderom, 2023).</w:t>
      </w:r>
    </w:p>
    <w:p w:rsidR="00000000" w:rsidDel="00000000" w:rsidP="00000000" w:rsidRDefault="00000000" w:rsidRPr="00000000" w14:paraId="00000013">
      <w:pPr>
        <w:spacing w:line="360" w:lineRule="auto"/>
        <w:rPr/>
      </w:pPr>
      <w:r w:rsidDel="00000000" w:rsidR="00000000" w:rsidRPr="00000000">
        <w:rPr>
          <w:rtl w:val="0"/>
        </w:rPr>
        <w:t xml:space="preserve">By using a SWOT analysis to reflect on my personal development, I realised that enrolling in employability skills training was a key opportunity to grow and achieve my career goals. Initially, I recognised that my anxiety was linked to feelings of inadequacy and fear of making mistakes. However, through this process, I also identified strengths such as my sense of responsibility, self-motivation, and attention to detail. Recognising these qualities helped me understand that while I have areas to improve, I also have valuable attributes that can drive my success.</w:t>
      </w:r>
    </w:p>
    <w:p w:rsidR="00000000" w:rsidDel="00000000" w:rsidP="00000000" w:rsidRDefault="00000000" w:rsidRPr="00000000" w14:paraId="00000014">
      <w:pPr>
        <w:spacing w:line="360" w:lineRule="auto"/>
        <w:rPr>
          <w:b w:val="1"/>
        </w:rPr>
      </w:pPr>
      <w:r w:rsidDel="00000000" w:rsidR="00000000" w:rsidRPr="00000000">
        <w:rPr>
          <w:b w:val="1"/>
          <w:rtl w:val="0"/>
        </w:rPr>
        <w:t xml:space="preserve">Conclusion</w:t>
      </w:r>
    </w:p>
    <w:p w:rsidR="00000000" w:rsidDel="00000000" w:rsidP="00000000" w:rsidRDefault="00000000" w:rsidRPr="00000000" w14:paraId="00000015">
      <w:pPr>
        <w:spacing w:line="360" w:lineRule="auto"/>
        <w:rPr/>
      </w:pPr>
      <w:r w:rsidDel="00000000" w:rsidR="00000000" w:rsidRPr="00000000">
        <w:rPr>
          <w:rtl w:val="0"/>
        </w:rPr>
        <w:t xml:space="preserve">In conclusion, the Professional Career Development module has been instrumental in helping me gain valuable insights into both my personal and professional growth. By applying models such as Gibbs’ Reflective Cycle, Johari Window, and SWOT analysis, I have developed a more structured approach to self-reflection and career planning. Gibbs’ Reflective Cycle has enhanced my ability to evaluate experiences systematically, allowing me to turn setbacks into learning opportunities. The Johari Window model has deepened my self-awareness, particularly in identifying hidden behaviours and receiving feedback with an open mind. Through the SWOT analysis, I was able to pinpoint my strengths and weaknesses, which has informed my professional development strategy. The combination of these tools has helped me build my confidence, improve communication skills, and better prepare for future challenges. Moving forward, I am committed to continually reflecting on my experiences, using feedback constructively, and aligning my career development with my personal strengths and goals.</w:t>
      </w:r>
    </w:p>
    <w:p w:rsidR="00000000" w:rsidDel="00000000" w:rsidP="00000000" w:rsidRDefault="00000000" w:rsidRPr="00000000" w14:paraId="00000016">
      <w:pPr>
        <w:spacing w:line="360" w:lineRule="auto"/>
        <w:rPr>
          <w:b w:val="1"/>
        </w:rPr>
      </w:pPr>
      <w:r w:rsidDel="00000000" w:rsidR="00000000" w:rsidRPr="00000000">
        <w:rPr>
          <w:b w:val="1"/>
          <w:rtl w:val="0"/>
        </w:rPr>
        <w:t xml:space="preserve">Action Plan</w:t>
      </w:r>
    </w:p>
    <w:p w:rsidR="00000000" w:rsidDel="00000000" w:rsidP="00000000" w:rsidRDefault="00000000" w:rsidRPr="00000000" w14:paraId="00000017">
      <w:pPr>
        <w:spacing w:line="360" w:lineRule="auto"/>
        <w:rPr/>
      </w:pPr>
      <w:r w:rsidDel="00000000" w:rsidR="00000000" w:rsidRPr="00000000">
        <w:rPr>
          <w:rtl w:val="0"/>
        </w:rPr>
        <w:t xml:space="preserve">In terms of future improvement, I will focus on becoming more open to feedback by actively seeking it from peers, tutors, and colleagues, and incorporating changes into my daily interactions. Additionally, I aim to strengthen my emotional awareness in communication by practicing mindfulness to monitor my facial expressions, seeking feedback from others, and participating in workshops on non-verbal communication, with the goal of reducing misunderstandings within six months. To better align with my pragmatist learning style, I will engage in more practical learning methods, such as organizing and restructuring content into visual formats that aid retention. Through this action plan, I intend to build on the skills and insights gained from the Professional Career Development module and ensure continuous personal and professional growth (Honey and Mumford, 1986).</w:t>
      </w:r>
    </w:p>
    <w:p w:rsidR="00000000" w:rsidDel="00000000" w:rsidP="00000000" w:rsidRDefault="00000000" w:rsidRPr="00000000" w14:paraId="00000018">
      <w:pPr>
        <w:spacing w:line="360" w:lineRule="auto"/>
        <w:rPr/>
      </w:pPr>
      <w:r w:rsidDel="00000000" w:rsidR="00000000" w:rsidRPr="00000000">
        <w:rPr>
          <w:rtl w:val="0"/>
        </w:rPr>
        <w:br w:type="textWrapping"/>
        <w:br w:type="textWrapping"/>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b w:val="1"/>
          <w:rtl w:val="0"/>
        </w:rPr>
        <w:t xml:space="preserve">References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Beutell, N. J (2006) </w:t>
      </w:r>
      <w:r w:rsidDel="00000000" w:rsidR="00000000" w:rsidRPr="00000000">
        <w:rPr>
          <w:i w:val="1"/>
          <w:rtl w:val="0"/>
        </w:rPr>
        <w:t xml:space="preserve">Fast Track Career: Encyclopedia of Career Development. </w:t>
      </w:r>
      <w:r w:rsidDel="00000000" w:rsidR="00000000" w:rsidRPr="00000000">
        <w:rPr>
          <w:rtl w:val="0"/>
        </w:rPr>
        <w:t xml:space="preserve">Available at: </w:t>
      </w:r>
      <w:hyperlink r:id="rId12">
        <w:r w:rsidDel="00000000" w:rsidR="00000000" w:rsidRPr="00000000">
          <w:rPr>
            <w:color w:val="467886"/>
            <w:u w:val="single"/>
            <w:rtl w:val="0"/>
          </w:rPr>
          <w:t xml:space="preserve">(PDF) Fast track career: Encyclopedia of Career Development (2006); Greenhaus &amp; Callanan - Sage Publications.</w:t>
        </w:r>
      </w:hyperlink>
      <w:r w:rsidDel="00000000" w:rsidR="00000000" w:rsidRPr="00000000">
        <w:rPr>
          <w:rtl w:val="0"/>
        </w:rPr>
        <w:t xml:space="preserve"> (Accessed: 23 October 2024)</w:t>
      </w:r>
    </w:p>
    <w:p w:rsidR="00000000" w:rsidDel="00000000" w:rsidP="00000000" w:rsidRDefault="00000000" w:rsidRPr="00000000" w14:paraId="0000001F">
      <w:pPr>
        <w:spacing w:line="240" w:lineRule="auto"/>
        <w:ind w:left="720" w:hanging="720"/>
        <w:rPr/>
      </w:pPr>
      <w:r w:rsidDel="00000000" w:rsidR="00000000" w:rsidRPr="00000000">
        <w:rPr>
          <w:rtl w:val="0"/>
        </w:rPr>
        <w:t xml:space="preserve">Honey, P. and Mumford, A. (1986) </w:t>
      </w:r>
      <w:r w:rsidDel="00000000" w:rsidR="00000000" w:rsidRPr="00000000">
        <w:rPr>
          <w:i w:val="1"/>
          <w:rtl w:val="0"/>
        </w:rPr>
        <w:t xml:space="preserve">The Manual of Learning Styles.</w:t>
      </w:r>
      <w:r w:rsidDel="00000000" w:rsidR="00000000" w:rsidRPr="00000000">
        <w:rPr>
          <w:rtl w:val="0"/>
        </w:rPr>
        <w:t xml:space="preserve"> 3rd edn. London: Ardingly House.</w:t>
      </w:r>
    </w:p>
    <w:p w:rsidR="00000000" w:rsidDel="00000000" w:rsidP="00000000" w:rsidRDefault="00000000" w:rsidRPr="00000000" w14:paraId="00000020">
      <w:pPr>
        <w:spacing w:line="240" w:lineRule="auto"/>
        <w:ind w:left="720" w:hanging="720"/>
        <w:rPr/>
      </w:pPr>
      <w:r w:rsidDel="00000000" w:rsidR="00000000" w:rsidRPr="00000000">
        <w:rPr>
          <w:rtl w:val="0"/>
        </w:rPr>
        <w:t xml:space="preserve">Kalayci, Z. (2024) </w:t>
      </w:r>
      <w:r w:rsidDel="00000000" w:rsidR="00000000" w:rsidRPr="00000000">
        <w:rPr>
          <w:i w:val="1"/>
          <w:rtl w:val="0"/>
        </w:rPr>
        <w:t xml:space="preserve">What is Jahori Window and how it works. </w:t>
      </w:r>
      <w:r w:rsidDel="00000000" w:rsidR="00000000" w:rsidRPr="00000000">
        <w:rPr>
          <w:rtl w:val="0"/>
        </w:rPr>
        <w:t xml:space="preserve">Available at :https://www.linkedin.com/pulse/johari-pencere-modeli-nedir-ve-nas%C4%B1l-%C3%A7al%C4%B1%C5%9F%C4%B1r-zafer-kalayci-lzzrf  (Accessed: 18 October 2024).</w:t>
      </w:r>
    </w:p>
    <w:p w:rsidR="00000000" w:rsidDel="00000000" w:rsidP="00000000" w:rsidRDefault="00000000" w:rsidRPr="00000000" w14:paraId="00000021">
      <w:pPr>
        <w:spacing w:line="240" w:lineRule="auto"/>
        <w:ind w:left="720" w:hanging="720"/>
        <w:rPr/>
      </w:pPr>
      <w:r w:rsidDel="00000000" w:rsidR="00000000" w:rsidRPr="00000000">
        <w:rPr>
          <w:rtl w:val="0"/>
        </w:rPr>
        <w:t xml:space="preserve">Puyt, W.R., Lie, B.F, and Wilderom, C.P.M (2023) ‘The origins of SWOT analysis’</w:t>
      </w:r>
      <w:r w:rsidDel="00000000" w:rsidR="00000000" w:rsidRPr="00000000">
        <w:rPr>
          <w:i w:val="1"/>
          <w:rtl w:val="0"/>
        </w:rPr>
        <w:t xml:space="preserve">, </w:t>
      </w:r>
      <w:hyperlink r:id="rId13">
        <w:r w:rsidDel="00000000" w:rsidR="00000000" w:rsidRPr="00000000">
          <w:rPr>
            <w:i w:val="1"/>
            <w:color w:val="000000"/>
            <w:u w:val="none"/>
            <w:rtl w:val="0"/>
          </w:rPr>
          <w:t xml:space="preserve">Long Range Planning</w:t>
        </w:r>
      </w:hyperlink>
      <w:r w:rsidDel="00000000" w:rsidR="00000000" w:rsidRPr="00000000">
        <w:rPr>
          <w:i w:val="1"/>
          <w:rtl w:val="0"/>
        </w:rPr>
        <w:t xml:space="preserve">,</w:t>
      </w:r>
      <w:r w:rsidDel="00000000" w:rsidR="00000000" w:rsidRPr="00000000">
        <w:rPr>
          <w:rtl w:val="0"/>
        </w:rPr>
        <w:t xml:space="preserve"> 56(3). DOI: </w:t>
      </w:r>
      <w:hyperlink r:id="rId14">
        <w:r w:rsidDel="00000000" w:rsidR="00000000" w:rsidRPr="00000000">
          <w:rPr>
            <w:color w:val="467886"/>
            <w:u w:val="single"/>
            <w:rtl w:val="0"/>
          </w:rPr>
          <w:t xml:space="preserve">https://doi.org/10.1016/j.lrp.2023.102304</w:t>
        </w:r>
      </w:hyperlink>
      <w:r w:rsidDel="00000000" w:rsidR="00000000" w:rsidRPr="00000000">
        <w:rPr>
          <w:rtl w:val="0"/>
        </w:rPr>
        <w:t xml:space="preserve"> (Accessed: 19 October 2024).</w:t>
      </w:r>
    </w:p>
    <w:p w:rsidR="00000000" w:rsidDel="00000000" w:rsidP="00000000" w:rsidRDefault="00000000" w:rsidRPr="00000000" w14:paraId="00000022">
      <w:pPr>
        <w:spacing w:line="240" w:lineRule="auto"/>
        <w:ind w:left="720" w:hanging="720"/>
        <w:rPr/>
      </w:pPr>
      <w:r w:rsidDel="00000000" w:rsidR="00000000" w:rsidRPr="00000000">
        <w:rPr>
          <w:rtl w:val="0"/>
        </w:rPr>
        <w:t xml:space="preserve">Sorguven. S  (2021) </w:t>
      </w:r>
      <w:r w:rsidDel="00000000" w:rsidR="00000000" w:rsidRPr="00000000">
        <w:rPr>
          <w:i w:val="1"/>
          <w:rtl w:val="0"/>
        </w:rPr>
        <w:t xml:space="preserve">Johari Window.</w:t>
      </w:r>
      <w:r w:rsidDel="00000000" w:rsidR="00000000" w:rsidRPr="00000000">
        <w:rPr>
          <w:rtl w:val="0"/>
        </w:rPr>
        <w:t xml:space="preserve"> Available at: </w:t>
      </w:r>
      <w:hyperlink r:id="rId15">
        <w:r w:rsidDel="00000000" w:rsidR="00000000" w:rsidRPr="00000000">
          <w:rPr>
            <w:color w:val="467886"/>
            <w:u w:val="single"/>
            <w:rtl w:val="0"/>
          </w:rPr>
          <w:t xml:space="preserve">Johari Penceresi – Yarım Elma</w:t>
        </w:r>
      </w:hyperlink>
      <w:r w:rsidDel="00000000" w:rsidR="00000000" w:rsidRPr="00000000">
        <w:rPr>
          <w:rtl w:val="0"/>
        </w:rPr>
        <w:t xml:space="preserve"> (Accessed: 19 October 2024)</w:t>
      </w:r>
    </w:p>
    <w:p w:rsidR="00000000" w:rsidDel="00000000" w:rsidP="00000000" w:rsidRDefault="00000000" w:rsidRPr="00000000" w14:paraId="00000023">
      <w:pPr>
        <w:spacing w:line="240" w:lineRule="auto"/>
        <w:ind w:left="720" w:hanging="720"/>
        <w:rPr/>
      </w:pPr>
      <w:r w:rsidDel="00000000" w:rsidR="00000000" w:rsidRPr="00000000">
        <w:rPr>
          <w:rtl w:val="0"/>
        </w:rPr>
        <w:t xml:space="preserve">The University of Edinburgh (2020) </w:t>
      </w:r>
      <w:r w:rsidDel="00000000" w:rsidR="00000000" w:rsidRPr="00000000">
        <w:rPr>
          <w:i w:val="1"/>
          <w:rtl w:val="0"/>
        </w:rPr>
        <w:t xml:space="preserve">Gibbs' Reflective Cycle</w:t>
      </w:r>
      <w:r w:rsidDel="00000000" w:rsidR="00000000" w:rsidRPr="00000000">
        <w:rPr>
          <w:rtl w:val="0"/>
        </w:rPr>
        <w:t xml:space="preserve">. Available at: </w:t>
      </w:r>
      <w:hyperlink r:id="rId16">
        <w:r w:rsidDel="00000000" w:rsidR="00000000" w:rsidRPr="00000000">
          <w:rPr>
            <w:color w:val="467886"/>
            <w:u w:val="single"/>
            <w:rtl w:val="0"/>
          </w:rPr>
          <w:t xml:space="preserve">https://www.ed.ac.uk/reflection/reflectors-toolkit/reflecting-on-experience/gibbs-reflective-cycle#:~:text=One%20of%20the%20most%20famous,analysis%2C%20conclusion%20and%20action%20plan</w:t>
        </w:r>
      </w:hyperlink>
      <w:r w:rsidDel="00000000" w:rsidR="00000000" w:rsidRPr="00000000">
        <w:rPr>
          <w:rtl w:val="0"/>
        </w:rPr>
        <w:t xml:space="preserve"> (Accessed: 17 October 2024)</w:t>
      </w:r>
    </w:p>
    <w:p w:rsidR="00000000" w:rsidDel="00000000" w:rsidP="00000000" w:rsidRDefault="00000000" w:rsidRPr="00000000" w14:paraId="00000024">
      <w:pPr>
        <w:spacing w:line="240" w:lineRule="auto"/>
        <w:ind w:left="284" w:right="284" w:hanging="720"/>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hyperlink" Target="https://www.sciencedirect.com/journal/long-range-planning" TargetMode="External"/><Relationship Id="rId12" Type="http://schemas.openxmlformats.org/officeDocument/2006/relationships/hyperlink" Target="https://www.researchgate.net/publication/321275840_Fast_track_career_Encyclopedia_of_Career_Development_2006_Greenhaus_Callanan_-_Sage_Publica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yarim-elma.com/johari-penceresi/" TargetMode="External"/><Relationship Id="rId14" Type="http://schemas.openxmlformats.org/officeDocument/2006/relationships/hyperlink" Target="https://doi.org/10.1016/j.lrp.2023.102304" TargetMode="External"/><Relationship Id="rId16" Type="http://schemas.openxmlformats.org/officeDocument/2006/relationships/hyperlink" Target="https://eur01.safelinks.protection.outlook.com/?url=https%3A%2F%2Fwww.ed.ac.uk%2Freflection%2Freflectors-toolkit%2Freflecting-on-experience%2Fgibbs-reflective-cycle%23%3A~%3Atext%3DOne%2520of%2520the%2520most%2520famous%2Canalysis%252C%2520conclusion%2520and%2520action%2520plan&amp;data=05%7C02%7Cafifa.zaman%40uwtsd.ac.uk%7C447d6aa4c1d34e4050d208dcf41062d1%7C4e0f11f9046e45059cb8db2152311e21%7C0%7C0%7C638653598416195583%7CUnknown%7CTWFpbGZsb3d8eyJWIjoiMC4wLjAwMDAiLCJQIjoiV2luMzIiLCJBTiI6Ik1haWwiLCJXVCI6Mn0%3D%7C0%7C%7C%7C&amp;sdata=xSOcsRZ%2B237qt7CAZoru7N4BlNeUkZrnGUjfuZwDUVk%3D&amp;reserved=0" TargetMode="Externa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