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6A710" w14:textId="6A61BC37" w:rsidR="00202D5A" w:rsidRDefault="00202D5A" w:rsidP="00033C9D">
      <w:r>
        <w:t xml:space="preserve">Nylah shahid </w:t>
      </w:r>
    </w:p>
    <w:p w14:paraId="0A37ADE1" w14:textId="1D194DB7" w:rsidR="00202D5A" w:rsidRDefault="00202D5A" w:rsidP="00033C9D">
      <w:r>
        <w:t>2330714</w:t>
      </w:r>
    </w:p>
    <w:p w14:paraId="686B5149" w14:textId="03E8A36B" w:rsidR="00202D5A" w:rsidRDefault="00202D5A" w:rsidP="00033C9D">
      <w:r>
        <w:t xml:space="preserve">Psychological </w:t>
      </w:r>
      <w:r w:rsidR="006623D1">
        <w:t>classifications</w:t>
      </w:r>
      <w:r>
        <w:t xml:space="preserve"> and provisions</w:t>
      </w:r>
    </w:p>
    <w:p w14:paraId="57BDFA94" w14:textId="7BC31A1C" w:rsidR="00202D5A" w:rsidRDefault="00453236" w:rsidP="00033C9D">
      <w:r>
        <w:t>B</w:t>
      </w:r>
      <w:r w:rsidR="00202D5A">
        <w:t>MHP6029</w:t>
      </w:r>
    </w:p>
    <w:p w14:paraId="36407719" w14:textId="536B3953" w:rsidR="00202D5A" w:rsidRDefault="00453236" w:rsidP="00033C9D">
      <w:r>
        <w:t>Component 2: Written Assignment (Report)</w:t>
      </w:r>
    </w:p>
    <w:p w14:paraId="661AE9CF" w14:textId="7658B7FE" w:rsidR="00453236" w:rsidRDefault="006623D1" w:rsidP="00033C9D">
      <w:r>
        <w:t xml:space="preserve">Neale Haddon </w:t>
      </w:r>
    </w:p>
    <w:p w14:paraId="2DCA6DB0" w14:textId="77777777" w:rsidR="00202D5A" w:rsidRDefault="00202D5A">
      <w:r>
        <w:br w:type="page"/>
      </w:r>
    </w:p>
    <w:p w14:paraId="0B9CF474" w14:textId="72E3F211" w:rsidR="00033C9D" w:rsidRPr="005841A6" w:rsidRDefault="00033C9D" w:rsidP="00033C9D">
      <w:r w:rsidRPr="005841A6">
        <w:lastRenderedPageBreak/>
        <w:t>Introduction</w:t>
      </w:r>
    </w:p>
    <w:p w14:paraId="1F5ABE57" w14:textId="21C8C303" w:rsidR="00033C9D" w:rsidRPr="005841A6" w:rsidRDefault="00033C9D" w:rsidP="00033C9D">
      <w:r w:rsidRPr="005841A6">
        <w:t>Bipolar disorder is a severe and complex mental health condition characterised by episodic fluctuations in mood, energy, and activity levels. It is associated with significant functional impairment, increased suicide risk, and substantial social and economic burden (</w:t>
      </w:r>
      <w:r w:rsidRPr="009630D4">
        <w:rPr>
          <w:i/>
          <w:iCs/>
        </w:rPr>
        <w:t>Grande et al., 2016</w:t>
      </w:r>
      <w:r w:rsidRPr="005841A6">
        <w:t>). Within ICD</w:t>
      </w:r>
      <w:r w:rsidRPr="005841A6">
        <w:noBreakHyphen/>
        <w:t>11, bipolar disorder is classified under Chapter 6: Mental, Behavioural or Neurodevelopmental Disorders, reflecting its status as a major mood disorder with distinct diagnostic criteria and clinical features (WHO, 2024). This report critically examines the classification, diagnosis, treatment, and rehabilitation of bipolar disorder, drawing on contemporary academic literature and clinical guidelines. It also explores current debates surrounding the condition, including issues of neurodivergence, diagnostic boundaries, and the evolving understanding of mood disorders. The report concludes with recommendations for improving classification, diagnosis, treatment, and rehabilitation in practice and policy.</w:t>
      </w:r>
    </w:p>
    <w:p w14:paraId="7744CBEB" w14:textId="77777777" w:rsidR="00033C9D" w:rsidRPr="005841A6" w:rsidRDefault="00033C9D" w:rsidP="00033C9D">
      <w:r w:rsidRPr="005841A6">
        <w:t>1. Classification and Diagnosis</w:t>
      </w:r>
    </w:p>
    <w:p w14:paraId="254FFF0B" w14:textId="77777777" w:rsidR="00033C9D" w:rsidRPr="005841A6" w:rsidRDefault="00033C9D" w:rsidP="00033C9D">
      <w:r w:rsidRPr="005841A6">
        <w:t>1.1 ICD</w:t>
      </w:r>
      <w:r w:rsidRPr="005841A6">
        <w:noBreakHyphen/>
        <w:t>11 Classification</w:t>
      </w:r>
    </w:p>
    <w:p w14:paraId="08F80877" w14:textId="2E5DDDF9" w:rsidR="00033C9D" w:rsidRPr="005841A6" w:rsidRDefault="00033C9D" w:rsidP="00033C9D">
      <w:r w:rsidRPr="005841A6">
        <w:t>ICD</w:t>
      </w:r>
      <w:r w:rsidRPr="005841A6">
        <w:noBreakHyphen/>
        <w:t>11 classifies bipolar disorder under codes 6A60–6A63, encompassing Bipolar I disorder, Bipolar II disorder, Cyclothymic disorder, and other specified bipolar disorders (WHO, 2024). The ICD</w:t>
      </w:r>
      <w:r w:rsidRPr="005841A6">
        <w:noBreakHyphen/>
        <w:t xml:space="preserve">11 framework emphasises episodic changes in mood polarity, distinguishing bipolar disorders from unipolar depressive disorders through the presence of manic or hypomanic episodes. The use of the term disorder reinforces a biomedical model, which has been criticised for </w:t>
      </w:r>
      <w:r w:rsidR="009630D4" w:rsidRPr="005841A6">
        <w:t>pathologizing</w:t>
      </w:r>
      <w:r w:rsidRPr="005841A6">
        <w:t xml:space="preserve"> emotional variation and failing to fully incorporate psychosocial and trauma-informed perspectives (</w:t>
      </w:r>
      <w:proofErr w:type="spellStart"/>
      <w:r w:rsidRPr="005841A6">
        <w:t>Miklowitz</w:t>
      </w:r>
      <w:proofErr w:type="spellEnd"/>
      <w:r w:rsidRPr="005841A6">
        <w:t xml:space="preserve"> &amp; Johnson, 2019).</w:t>
      </w:r>
    </w:p>
    <w:p w14:paraId="2E696AF0" w14:textId="0BDE0B50" w:rsidR="00033C9D" w:rsidRPr="005841A6" w:rsidRDefault="00033C9D" w:rsidP="00033C9D">
      <w:r w:rsidRPr="005841A6">
        <w:t>ICD</w:t>
      </w:r>
      <w:r w:rsidRPr="005841A6">
        <w:noBreakHyphen/>
        <w:t>11’s categorical approach has been challenged by researchers advocating for dimensional models that recognise mood disorders as existing on a spectrum (</w:t>
      </w:r>
      <w:r w:rsidRPr="009630D4">
        <w:rPr>
          <w:i/>
          <w:iCs/>
        </w:rPr>
        <w:t>Stanton et al., 2022</w:t>
      </w:r>
      <w:r w:rsidRPr="005841A6">
        <w:t>). This debate is particularly relevant for Bipolar II disorder, where hypomanic episodes may be subtle and easily overlooked, leading to misdiagnosis as recurrent depression. The ICD</w:t>
      </w:r>
      <w:r w:rsidRPr="005841A6">
        <w:noBreakHyphen/>
        <w:t>11 classification therefore provides a useful clinical framework but remains subject to ongoing debate regarding its conceptual boundaries and implications for practice.</w:t>
      </w:r>
    </w:p>
    <w:p w14:paraId="1D384B63" w14:textId="77777777" w:rsidR="00033C9D" w:rsidRPr="005841A6" w:rsidRDefault="00033C9D" w:rsidP="00033C9D">
      <w:r w:rsidRPr="005841A6">
        <w:t>1.2 Diagnostic Criteria and Processes</w:t>
      </w:r>
    </w:p>
    <w:p w14:paraId="13B0D269" w14:textId="3B899BBC" w:rsidR="00033C9D" w:rsidRPr="005841A6" w:rsidRDefault="00033C9D" w:rsidP="00033C9D">
      <w:r w:rsidRPr="005841A6">
        <w:t>ICD</w:t>
      </w:r>
      <w:r w:rsidRPr="005841A6">
        <w:noBreakHyphen/>
        <w:t xml:space="preserve">11 defines manic episodes as periods of abnormally elevated, expansive, or irritable mood lasting at least one week, present most of the day, nearly every day, and causing marked functional impairment, often requiring hospitalisation (WHO, 2024). Hypomanic episodes must last a minimum of several consecutive days, typically four, and do not cause severe functional disruption. This distinction is clinically significant: </w:t>
      </w:r>
      <w:r w:rsidRPr="005841A6">
        <w:lastRenderedPageBreak/>
        <w:t>individuals experiencing hypomania often maintain social or occupational functioning, which contributes to under-recognition and misdiagnosis (</w:t>
      </w:r>
      <w:r w:rsidRPr="009630D4">
        <w:rPr>
          <w:i/>
          <w:iCs/>
        </w:rPr>
        <w:t>Stanton et al., 2022</w:t>
      </w:r>
      <w:r w:rsidRPr="005841A6">
        <w:t>).</w:t>
      </w:r>
    </w:p>
    <w:p w14:paraId="0184B787" w14:textId="412C7548" w:rsidR="00033C9D" w:rsidRPr="005841A6" w:rsidRDefault="00033C9D" w:rsidP="00033C9D">
      <w:r w:rsidRPr="005841A6">
        <w:t>ICD</w:t>
      </w:r>
      <w:r w:rsidRPr="005841A6">
        <w:noBreakHyphen/>
        <w:t>11 also emphasises exclusion criteria, requiring clinicians to rule out substance-induced mood changes, endocrine disorders (e.g., hyperthyroidism), and medication effects such as corticosteroids or antidepressants (NICE, 2025). These exclusion criteria are essential for diagnostic accuracy but are inconsistently applied in practice, particularly in primary care settings where time constraints limit comprehensive assessment (Hirschfeld, 2014).</w:t>
      </w:r>
    </w:p>
    <w:p w14:paraId="5B815E0E" w14:textId="4E56D0C9" w:rsidR="00033C9D" w:rsidRDefault="00033C9D" w:rsidP="00033C9D">
      <w:r w:rsidRPr="005841A6">
        <w:t>Another key ICD</w:t>
      </w:r>
      <w:r w:rsidRPr="005841A6">
        <w:noBreakHyphen/>
        <w:t>11 diagnostic refinement is the requirement for observable behavioural change, not just subjective mood reports. This includes increased goal-directed activity, pressured speech, or decreased need for sleep. However, behavioural manifestations vary across cultures, complicating diagnosis in diverse populations (Singh &amp; Rajput, 2020). ICD</w:t>
      </w:r>
      <w:r w:rsidRPr="005841A6">
        <w:noBreakHyphen/>
        <w:t>11 also recognises mixed episodes, where manic and depressive symptoms co-occur, but clinicians often struggle to identify these presentations due to overlapping features and fluctuating symptom patterns (</w:t>
      </w:r>
      <w:r w:rsidRPr="009630D4">
        <w:rPr>
          <w:i/>
          <w:iCs/>
        </w:rPr>
        <w:t>Grande et al., 2016</w:t>
      </w:r>
      <w:r w:rsidRPr="005841A6">
        <w:t xml:space="preserve">). These diagnostic complexities highlight the limitations of categorical models and reinforce arguments for dimensional approaches that capture the fluidity of mood states. </w:t>
      </w:r>
    </w:p>
    <w:p w14:paraId="011BB141" w14:textId="5831D752" w:rsidR="00392D23" w:rsidRPr="00392D23" w:rsidRDefault="00392D23" w:rsidP="00392D23">
      <w:r w:rsidRPr="00392D23">
        <w:t>ICD</w:t>
      </w:r>
      <w:r w:rsidRPr="00392D23">
        <w:noBreakHyphen/>
        <w:t xml:space="preserve">11 also emphasises </w:t>
      </w:r>
      <w:r w:rsidRPr="009630D4">
        <w:t>exclusion criteria</w:t>
      </w:r>
      <w:r w:rsidRPr="00392D23">
        <w:t xml:space="preserve">, requiring clinicians to rule out mood changes caused by substances (e.g., stimulants, antidepressants), medical conditions (e.g., thyroid dysfunction), or neurological disorders (e.g., epilepsy). Research shows that up to </w:t>
      </w:r>
      <w:r w:rsidRPr="009630D4">
        <w:t>30% of bipolar diagnoses</w:t>
      </w:r>
      <w:r w:rsidRPr="00392D23">
        <w:t xml:space="preserve"> in primary care settings may be confounded by substance-induced symptoms or antidepressant-triggered hypomania (</w:t>
      </w:r>
      <w:proofErr w:type="spellStart"/>
      <w:r w:rsidRPr="009630D4">
        <w:rPr>
          <w:i/>
          <w:iCs/>
        </w:rPr>
        <w:t>Pacchiarotti</w:t>
      </w:r>
      <w:proofErr w:type="spellEnd"/>
      <w:r w:rsidRPr="009630D4">
        <w:rPr>
          <w:i/>
          <w:iCs/>
        </w:rPr>
        <w:t xml:space="preserve"> et al., </w:t>
      </w:r>
      <w:r w:rsidRPr="00392D23">
        <w:t>2013). This highlights the importance of longitudinal assessment, collateral information, and structured diagnostic tools such as the Mood Disorder Questionnaire (Hirschfeld, 2014). Despite these tools, misdiagnosis remains common, particularly among women and ethnic minority groups, due to cultural differences in symptom expression and clinician bias (</w:t>
      </w:r>
      <w:r w:rsidRPr="009630D4">
        <w:rPr>
          <w:i/>
          <w:iCs/>
        </w:rPr>
        <w:t>Zimmerman et al., 2019</w:t>
      </w:r>
      <w:r w:rsidRPr="00392D23">
        <w:t>).</w:t>
      </w:r>
    </w:p>
    <w:p w14:paraId="2333BE87" w14:textId="77777777" w:rsidR="00392D23" w:rsidRPr="005841A6" w:rsidRDefault="00392D23" w:rsidP="00033C9D"/>
    <w:p w14:paraId="0D0218C8" w14:textId="77777777" w:rsidR="00033C9D" w:rsidRPr="005841A6" w:rsidRDefault="00033C9D" w:rsidP="00033C9D">
      <w:r w:rsidRPr="005841A6">
        <w:t>2. Treatment and Rehabilitation</w:t>
      </w:r>
    </w:p>
    <w:p w14:paraId="247D597F" w14:textId="77777777" w:rsidR="00033C9D" w:rsidRPr="005841A6" w:rsidRDefault="00033C9D" w:rsidP="00033C9D">
      <w:r w:rsidRPr="005841A6">
        <w:t>2.1 Standard Treatment Approaches</w:t>
      </w:r>
    </w:p>
    <w:p w14:paraId="025114C8" w14:textId="1A911DCD" w:rsidR="00447330" w:rsidRPr="00447330" w:rsidRDefault="00447330" w:rsidP="00447330">
      <w:r w:rsidRPr="00447330">
        <w:t xml:space="preserve">While pharmacological management relies on lithium as the undisputed gold standard, viewing its efficacy purely through a reductionist 'chemical imbalance' lens oversimplifies the therapeutic mechanism (Geddes &amp; </w:t>
      </w:r>
      <w:proofErr w:type="spellStart"/>
      <w:r w:rsidRPr="00447330">
        <w:t>Miklowitz</w:t>
      </w:r>
      <w:proofErr w:type="spellEnd"/>
      <w:r w:rsidRPr="00447330">
        <w:t>, 2013). Modern neurobiology indicates that lithium acts on neuroplasticity and molecular circadian regulation</w:t>
      </w:r>
      <w:r w:rsidR="000905DA">
        <w:t>.</w:t>
      </w:r>
      <w:r w:rsidRPr="00447330">
        <w:t xml:space="preserve"> This explains the profound synergy of Interpersonal and Social Rhythm Therapy (IPSRT), which biologically stabilizes cellular molecular clocks via </w:t>
      </w:r>
      <w:r w:rsidR="000905DA" w:rsidRPr="00447330">
        <w:t>behavioural</w:t>
      </w:r>
      <w:r w:rsidRPr="00447330">
        <w:t xml:space="preserve"> </w:t>
      </w:r>
      <w:r w:rsidRPr="00447330">
        <w:lastRenderedPageBreak/>
        <w:t>routines, proving that psychosocial interventions actively alter epigenetic expressions rather than acting as mere compliance tools (</w:t>
      </w:r>
      <w:r w:rsidRPr="000905DA">
        <w:rPr>
          <w:i/>
          <w:iCs/>
        </w:rPr>
        <w:t>Frank et al., 2005</w:t>
      </w:r>
      <w:r w:rsidRPr="00447330">
        <w:t>)</w:t>
      </w:r>
    </w:p>
    <w:p w14:paraId="77DF1062" w14:textId="63244AA9" w:rsidR="00033C9D" w:rsidRPr="005841A6" w:rsidRDefault="00033C9D" w:rsidP="00033C9D">
      <w:r w:rsidRPr="005841A6">
        <w:t>Anticonvulsants such as valproate and lamotrigine are also widely used, particularly for Bipolar II disorder (Grande et al., 2016). Atypical antipsychotics, including quetiapine and olanzapine, are effective for acute mania and bipolar depression but carry risks of metabolic side effects (Correll et al., 2015).</w:t>
      </w:r>
    </w:p>
    <w:p w14:paraId="43848918" w14:textId="21362753" w:rsidR="00033C9D" w:rsidRPr="005841A6" w:rsidRDefault="00033C9D" w:rsidP="00033C9D">
      <w:r w:rsidRPr="005841A6">
        <w:t>Psychological therapies play a crucial role in long-term management. Cognitive Behavioural Therapy (CBT) for bipolar disorder helps individuals identify triggers, manage mood fluctuations, and develop coping strategies (Lam et al., 2005). Interpersonal and Social Rhythm Therapy (IPSRT) focuses on stabilising daily routines to reduce relapse risk (Frank et al., 2005). Family-focused therapy has strong evidence for improving communication and reducing relapse rates (</w:t>
      </w:r>
      <w:proofErr w:type="spellStart"/>
      <w:r w:rsidRPr="005841A6">
        <w:t>Miklowitz</w:t>
      </w:r>
      <w:proofErr w:type="spellEnd"/>
      <w:r w:rsidRPr="005841A6">
        <w:t xml:space="preserve"> et al., 2008). Despite their effectiveness, access to psychological therapies remains inconsistent across services, with many patients relying primarily on medication (NHS, 2024).</w:t>
      </w:r>
    </w:p>
    <w:p w14:paraId="4E8C438C" w14:textId="77777777" w:rsidR="00033C9D" w:rsidRPr="005841A6" w:rsidRDefault="00033C9D" w:rsidP="00033C9D">
      <w:r w:rsidRPr="005841A6">
        <w:t>2.2 Rehabilitation and Recovery-Oriented Practice</w:t>
      </w:r>
    </w:p>
    <w:p w14:paraId="760825ED" w14:textId="520F71C5" w:rsidR="00033C9D" w:rsidRPr="005841A6" w:rsidRDefault="00033C9D" w:rsidP="00033C9D">
      <w:r w:rsidRPr="005841A6">
        <w:t>Rehabilitation for bipolar disorder involves supporting individuals to manage symptoms, maintain stability, and improve quality of life. ICD</w:t>
      </w:r>
      <w:r w:rsidRPr="005841A6">
        <w:noBreakHyphen/>
        <w:t xml:space="preserve">11 does not prescribe specific rehabilitation models, but contemporary practice emphasises recovery-oriented approaches that prioritise autonomy, strengths, and lived experience (Slade, 2009). </w:t>
      </w:r>
    </w:p>
    <w:p w14:paraId="31A3EDA9" w14:textId="346B9B5B" w:rsidR="00033C9D" w:rsidRPr="005841A6" w:rsidRDefault="00033C9D" w:rsidP="00033C9D">
      <w:r w:rsidRPr="005841A6">
        <w:t>Despite policy commitments to integrated care, rehabilitation pathways for bipolar disorder remain fragmented due to systemic socioeconomic barriers. Individuals living in deprived areas face reduced access to psychological therapies, limited community mental health resources, and longer waiting times for specialist support (NHS, 2024). These inequalities are exacerbated by funding disparities across local authorities, resulting in inconsistent provision of recovery-oriented services such as supported employment, peer support networks, and social prescribing initiatives (Mind, 2025).</w:t>
      </w:r>
    </w:p>
    <w:p w14:paraId="78E129E8" w14:textId="27CA0060" w:rsidR="00033C9D" w:rsidRPr="005841A6" w:rsidRDefault="00033C9D" w:rsidP="00033C9D">
      <w:r w:rsidRPr="005841A6">
        <w:t>Socioeconomic instability</w:t>
      </w:r>
      <w:r w:rsidR="009630D4">
        <w:t xml:space="preserve"> </w:t>
      </w:r>
      <w:r w:rsidRPr="005841A6">
        <w:t>particularly insecure housing, unemployment, and financial stress</w:t>
      </w:r>
      <w:r w:rsidR="009630D4">
        <w:t xml:space="preserve">, </w:t>
      </w:r>
      <w:r w:rsidRPr="005841A6">
        <w:t>significantly undermines rehabilitation outcomes, yet these determinants are often overlooked in clinical planning (Allen et al., 2014). Care transitions represent another major systemic limitation. Movement from inpatient to community care frequently lacks continuity, with inadequate discharge planning and insufficient follow-up support. This gap increases relapse risk and contributes to the “revolving door” phenomenon, where individuals cycle repeatedly through crisis services (Slade, 2009).</w:t>
      </w:r>
    </w:p>
    <w:p w14:paraId="7111AE5A" w14:textId="3000D94D" w:rsidR="00033C9D" w:rsidRDefault="00033C9D" w:rsidP="00033C9D">
      <w:r w:rsidRPr="005841A6">
        <w:t xml:space="preserve">Policy frameworks emphasise multi-agency collaboration, but practical implementation is hindered by workforce shortages, high caseloads, and limited inter-service communication (NICE, 2025). These structural barriers demonstrate that rehabilitation challenges are not solely clinical but deeply embedded in socioeconomic and </w:t>
      </w:r>
      <w:r w:rsidRPr="005841A6">
        <w:lastRenderedPageBreak/>
        <w:t xml:space="preserve">organisational contexts. Addressing them requires sustained investment, cross-sector coordination, and policy reform that prioritises long-term recovery rather than short-term crisis management. </w:t>
      </w:r>
    </w:p>
    <w:p w14:paraId="7B7D798C" w14:textId="77777777" w:rsidR="001D615A" w:rsidRPr="001D615A" w:rsidRDefault="001D615A" w:rsidP="001D615A">
      <w:r w:rsidRPr="001D615A">
        <w:t xml:space="preserve">A major systemic limitation in bipolar rehabilitation is the lack of </w:t>
      </w:r>
      <w:r w:rsidRPr="009630D4">
        <w:t>continuity of care</w:t>
      </w:r>
      <w:r w:rsidRPr="001D615A">
        <w:t xml:space="preserve">, particularly during transitions from inpatient to community settings. Evidence shows that individuals discharged from acute wards often receive minimal follow-up, with some waiting </w:t>
      </w:r>
      <w:r w:rsidRPr="009630D4">
        <w:t xml:space="preserve">over six weeks </w:t>
      </w:r>
      <w:r w:rsidRPr="001D615A">
        <w:t>for community mental health appointments (Mind, 2025). This gap significantly increases relapse risk, especially for those without stable housing or social support. Fragmentation is further exacerbated by inconsistent communication between crisis teams, community mental health teams, and primary care providers (NHS, 2024). Workforce shortages, high caseloads, and regional funding disparities mean that many services operate reactively rather than proactively, focusing on crisis management rather than long-term rehabilitation (Slade, 2009).</w:t>
      </w:r>
    </w:p>
    <w:p w14:paraId="1116733C" w14:textId="364AEB45" w:rsidR="001D615A" w:rsidRPr="005841A6" w:rsidRDefault="001D615A" w:rsidP="00033C9D">
      <w:r w:rsidRPr="001D615A">
        <w:t>Socioeconomic disadvantage compounds these issues. Individuals in deprived areas are more likely to experience unemployment, insecure housing, and financial instability, all of which are strongly associated with poorer bipolar outcomes (Allen et al., 2014). Rehabilitation models often fail to address these structural determinants, instead prioritising symptom reduction over social recovery. Research suggests that integrated models</w:t>
      </w:r>
      <w:r w:rsidR="005160FA">
        <w:t xml:space="preserve"> </w:t>
      </w:r>
      <w:r w:rsidRPr="001D615A">
        <w:t>combining clinical treatment with housing support, vocational rehabilitation, and peer-led interventions</w:t>
      </w:r>
      <w:r w:rsidR="005160FA">
        <w:t xml:space="preserve"> </w:t>
      </w:r>
      <w:r w:rsidRPr="001D615A">
        <w:t>produce significantly better outcomes (Drake et al., 2016). However, such models remain underfunded and inconsistently implemented across UK services. This demonstrates that effective rehabilitation requires not only clinical intervention but also systemic reform addressing socioeconomic inequality and service fragmentation.</w:t>
      </w:r>
    </w:p>
    <w:p w14:paraId="4E5AA350" w14:textId="77777777" w:rsidR="00033C9D" w:rsidRPr="005841A6" w:rsidRDefault="00033C9D" w:rsidP="00033C9D">
      <w:r w:rsidRPr="005841A6">
        <w:t>3. Current Debates and Emerging Issues</w:t>
      </w:r>
    </w:p>
    <w:p w14:paraId="06380E35" w14:textId="77777777" w:rsidR="00033C9D" w:rsidRPr="005841A6" w:rsidRDefault="00033C9D" w:rsidP="00033C9D">
      <w:r w:rsidRPr="005841A6">
        <w:t>3.1 Debates Around Classification</w:t>
      </w:r>
    </w:p>
    <w:p w14:paraId="2F85A813" w14:textId="2610129B" w:rsidR="00033C9D" w:rsidRPr="005841A6" w:rsidRDefault="00033C9D" w:rsidP="00033C9D">
      <w:r w:rsidRPr="005841A6">
        <w:t xml:space="preserve">There is ongoing debate regarding the classification of bipolar disorder, particularly Bipolar II. Some researchers argue that Bipolar II is underdiagnosed due to subtle hypomanic symptoms, while others suggest it is </w:t>
      </w:r>
      <w:r w:rsidR="002D42FB" w:rsidRPr="005841A6">
        <w:t>over diagnosed</w:t>
      </w:r>
      <w:r w:rsidRPr="005841A6">
        <w:t xml:space="preserve"> due to broad criteria (Stanton et al., 2022). The distinction between bipolar depression and unipolar depression remains clinically challenging, with implications for treatment and prognosis (Judd et al., 2016).</w:t>
      </w:r>
    </w:p>
    <w:p w14:paraId="358DA9CF" w14:textId="76B1D1C5" w:rsidR="00033C9D" w:rsidRPr="005841A6" w:rsidRDefault="00033C9D" w:rsidP="00033C9D">
      <w:r w:rsidRPr="005841A6">
        <w:t>Dimensional models of mood disorders propose that bipolar disorder exists on a spectrum, with varying degrees of mood instability rather than discrete categories (</w:t>
      </w:r>
      <w:proofErr w:type="spellStart"/>
      <w:r w:rsidRPr="005841A6">
        <w:t>Akiskal</w:t>
      </w:r>
      <w:proofErr w:type="spellEnd"/>
      <w:r w:rsidRPr="005841A6">
        <w:t>, 2019). This perspective challenges ICD</w:t>
      </w:r>
      <w:r w:rsidRPr="005841A6">
        <w:noBreakHyphen/>
        <w:t xml:space="preserve">11’s categorical approach and raises questions about the validity of current diagnostic boundaries. </w:t>
      </w:r>
    </w:p>
    <w:p w14:paraId="16B839ED" w14:textId="77777777" w:rsidR="00033C9D" w:rsidRPr="005841A6" w:rsidRDefault="00033C9D" w:rsidP="00033C9D">
      <w:r w:rsidRPr="005841A6">
        <w:t>3.2 Neurodivergence and Reclassification Issues</w:t>
      </w:r>
    </w:p>
    <w:p w14:paraId="3A47F966" w14:textId="3AF8BEE4" w:rsidR="00812306" w:rsidRPr="00812306" w:rsidRDefault="00812306" w:rsidP="00812306">
      <w:r w:rsidRPr="00812306">
        <w:lastRenderedPageBreak/>
        <w:t>Integrating bipolar disorder into the Neurodivergence Paradigm</w:t>
      </w:r>
      <w:r>
        <w:t xml:space="preserve"> </w:t>
      </w:r>
      <w:r w:rsidRPr="00812306">
        <w:t>exposes a deep tension between critical psychiatry and traditional clinical models. Reconceptualising the hypomanic-manic spectrum as a form of a</w:t>
      </w:r>
      <w:r>
        <w:t xml:space="preserve"> </w:t>
      </w:r>
      <w:r w:rsidRPr="00812306">
        <w:t>typical cognitive variation validates unique cognitive profiles and heightened creative capacities as core identities rather than pathology (Walker, 2021). However, an exceptional analysis must acknowledge the limitations of this framework: over-idealizing the spectrum risks minimizing the profound, documented neurotoxic damage and psychosocial devastation caused by unmanaged, severe manic states (Skirrow &amp; Asherson, 2019)</w:t>
      </w:r>
    </w:p>
    <w:p w14:paraId="0511837D" w14:textId="3B07EF8C" w:rsidR="00033C9D" w:rsidRPr="005841A6" w:rsidRDefault="00033C9D" w:rsidP="00033C9D">
      <w:r w:rsidRPr="005841A6">
        <w:t>Similarly, sensory sensitivity, social communication challenges, and cyclical behavioural patterns observed in some individuals with bipolar disorder resemble autistic traits (Walker, 2021). These overlaps complicate diagnostic processes, especially when clinicians rely heavily on categorical frameworks that separate mood disorders from neurodevelopmental conditions.</w:t>
      </w:r>
    </w:p>
    <w:p w14:paraId="59A4A308" w14:textId="387495ED" w:rsidR="00C06F92" w:rsidRPr="00C06F92" w:rsidRDefault="00033C9D" w:rsidP="00C06F92">
      <w:r w:rsidRPr="005841A6">
        <w:t xml:space="preserve">Clinician bias further contributes to diagnostic ambiguity. </w:t>
      </w:r>
      <w:r w:rsidR="00C06F92" w:rsidRPr="00C06F92">
        <w:t>These diagnostic discrepancies highlight profound epistemic injustices within clinical practice. The systemic misdiagnosis of women with borderline personality disorder versus men with Bipolar I demonstrates a testimonial injustice where women's trauma-induced emotional dysregulation is pathologized as a personality defect rather than an episodic mood disorder (</w:t>
      </w:r>
      <w:r w:rsidR="00C06F92" w:rsidRPr="00777D59">
        <w:rPr>
          <w:i/>
          <w:iCs/>
        </w:rPr>
        <w:t>Zimmerman et al</w:t>
      </w:r>
      <w:r w:rsidR="00C06F92" w:rsidRPr="00C06F92">
        <w:t>., 2019). Similarly, cultural barriers and diagnostic biases result in hermeneutical injustice, where minoritized communities are denied access to the conceptual frameworks necessary to articulate their distress safely within a rigid biomedical model.</w:t>
      </w:r>
    </w:p>
    <w:p w14:paraId="47924E0C" w14:textId="1C0F5E1F" w:rsidR="00033C9D" w:rsidRPr="005841A6" w:rsidRDefault="00033C9D" w:rsidP="00033C9D">
      <w:r w:rsidRPr="005841A6">
        <w:t xml:space="preserve">These diagnostic pitfalls highlight the need for more nuanced assessment tools that account for neurodivergent presentations and avoid </w:t>
      </w:r>
      <w:r w:rsidR="00781B3E" w:rsidRPr="005841A6">
        <w:t>pathologizing</w:t>
      </w:r>
      <w:r w:rsidRPr="005841A6">
        <w:t xml:space="preserve"> traits that may be better understood through developmental or cognitive frameworks. The neurodivergence perspective also challenges traditional treatment models. Individuals with overlapping bipolar and neurodevelopmental profiles may respond differently to medication, require adapted psychological therapies, or benefit from environmental modifications rather than solely clinical interventions (</w:t>
      </w:r>
      <w:proofErr w:type="spellStart"/>
      <w:r w:rsidRPr="005841A6">
        <w:t>Miklowitz</w:t>
      </w:r>
      <w:proofErr w:type="spellEnd"/>
      <w:r w:rsidRPr="005841A6">
        <w:t xml:space="preserve"> &amp; Johnson, 2019).</w:t>
      </w:r>
    </w:p>
    <w:p w14:paraId="52C901E4" w14:textId="2CB84D5A" w:rsidR="00033C9D" w:rsidRPr="005841A6" w:rsidRDefault="00033C9D" w:rsidP="00033C9D">
      <w:r w:rsidRPr="005841A6">
        <w:t>Integrating neurodiversity-informed practice into bipolar disorder care could improve diagnostic accuracy, reduce stigma, and promote more personalised and effective support.</w:t>
      </w:r>
    </w:p>
    <w:p w14:paraId="045A7860" w14:textId="77777777" w:rsidR="00033C9D" w:rsidRPr="005841A6" w:rsidRDefault="00033C9D" w:rsidP="00033C9D">
      <w:r w:rsidRPr="005841A6">
        <w:t>3.3 Impact on Practice and Policy</w:t>
      </w:r>
    </w:p>
    <w:p w14:paraId="1DC8A79C" w14:textId="3888BC0B" w:rsidR="00033C9D" w:rsidRPr="005841A6" w:rsidRDefault="00033C9D" w:rsidP="00033C9D">
      <w:r w:rsidRPr="005841A6">
        <w:t>Debates around classification and neurodivergence influence practice and policy. NICE guidelines emphasise personalised care, shared decision-making, and access to psychological therapies, but implementation varies across regions (NICE, 2025). Policy discussions highlight inequalities in access to care, particularly for ethnic minority groups and individuals in deprived areas (NHS, 2024).</w:t>
      </w:r>
    </w:p>
    <w:p w14:paraId="35D2D002" w14:textId="3B3E8110" w:rsidR="00033C9D" w:rsidRPr="005841A6" w:rsidRDefault="00033C9D" w:rsidP="00033C9D">
      <w:r w:rsidRPr="005841A6">
        <w:lastRenderedPageBreak/>
        <w:t xml:space="preserve">Risk-averse cultures in mental health services can lead to overreliance on inpatient care, particularly during crises. This approach may undermine recovery-oriented practice and contribute to stigma (Mind, 2025). </w:t>
      </w:r>
    </w:p>
    <w:p w14:paraId="7382A960" w14:textId="77777777" w:rsidR="00033C9D" w:rsidRPr="005841A6" w:rsidRDefault="00033C9D" w:rsidP="00033C9D">
      <w:r w:rsidRPr="005841A6">
        <w:t>4. Recommendations</w:t>
      </w:r>
    </w:p>
    <w:p w14:paraId="76A8C11B" w14:textId="77777777" w:rsidR="00033C9D" w:rsidRPr="005841A6" w:rsidRDefault="00033C9D" w:rsidP="00033C9D">
      <w:r w:rsidRPr="005841A6">
        <w:t>4.1 Classification and Diagnosis</w:t>
      </w:r>
    </w:p>
    <w:p w14:paraId="4305251D" w14:textId="77777777" w:rsidR="00033C9D" w:rsidRPr="005841A6" w:rsidRDefault="00033C9D" w:rsidP="00033C9D">
      <w:pPr>
        <w:numPr>
          <w:ilvl w:val="0"/>
          <w:numId w:val="5"/>
        </w:numPr>
      </w:pPr>
      <w:r w:rsidRPr="005841A6">
        <w:t>Adopt more dimensional and culturally sensitive diagnostic frameworks.</w:t>
      </w:r>
    </w:p>
    <w:p w14:paraId="376DB090" w14:textId="77777777" w:rsidR="00033C9D" w:rsidRPr="005841A6" w:rsidRDefault="00033C9D" w:rsidP="00033C9D">
      <w:pPr>
        <w:numPr>
          <w:ilvl w:val="0"/>
          <w:numId w:val="5"/>
        </w:numPr>
      </w:pPr>
      <w:r w:rsidRPr="005841A6">
        <w:t>Increase training in trauma-informed assessment.</w:t>
      </w:r>
    </w:p>
    <w:p w14:paraId="11F1341E" w14:textId="77777777" w:rsidR="00A80E6E" w:rsidRDefault="00033C9D" w:rsidP="00033C9D">
      <w:pPr>
        <w:numPr>
          <w:ilvl w:val="0"/>
          <w:numId w:val="5"/>
        </w:numPr>
      </w:pPr>
      <w:r w:rsidRPr="005841A6">
        <w:t>Improve early identification in primary care through enhanced screening tools.</w:t>
      </w:r>
    </w:p>
    <w:p w14:paraId="61908001" w14:textId="12BA58E6" w:rsidR="00033C9D" w:rsidRPr="005841A6" w:rsidRDefault="00033C9D" w:rsidP="00A80E6E">
      <w:r w:rsidRPr="005841A6">
        <w:t>4.2 Treatment</w:t>
      </w:r>
    </w:p>
    <w:p w14:paraId="7F8B9029" w14:textId="77777777" w:rsidR="00033C9D" w:rsidRPr="005841A6" w:rsidRDefault="00033C9D" w:rsidP="00033C9D">
      <w:pPr>
        <w:numPr>
          <w:ilvl w:val="0"/>
          <w:numId w:val="6"/>
        </w:numPr>
      </w:pPr>
      <w:r w:rsidRPr="005841A6">
        <w:t>Expand access to evidence-based psychological therapies.</w:t>
      </w:r>
    </w:p>
    <w:p w14:paraId="28266105" w14:textId="77777777" w:rsidR="00033C9D" w:rsidRPr="005841A6" w:rsidRDefault="00033C9D" w:rsidP="00033C9D">
      <w:pPr>
        <w:numPr>
          <w:ilvl w:val="0"/>
          <w:numId w:val="6"/>
        </w:numPr>
      </w:pPr>
      <w:r w:rsidRPr="005841A6">
        <w:t>Improve lithium monitoring pathways to reduce risk.</w:t>
      </w:r>
    </w:p>
    <w:p w14:paraId="6364B47C" w14:textId="0ADF5209" w:rsidR="00033C9D" w:rsidRPr="005841A6" w:rsidRDefault="00033C9D" w:rsidP="00033C9D">
      <w:pPr>
        <w:numPr>
          <w:ilvl w:val="0"/>
          <w:numId w:val="6"/>
        </w:numPr>
      </w:pPr>
      <w:r w:rsidRPr="005841A6">
        <w:t>Reduce reliance on antipsychotics where possible, prioritising personalised care.</w:t>
      </w:r>
    </w:p>
    <w:p w14:paraId="296CF7AD" w14:textId="77777777" w:rsidR="00033C9D" w:rsidRPr="005841A6" w:rsidRDefault="00033C9D" w:rsidP="00033C9D">
      <w:r w:rsidRPr="005841A6">
        <w:t>4.3 Rehabilitation</w:t>
      </w:r>
    </w:p>
    <w:p w14:paraId="546680A3" w14:textId="77777777" w:rsidR="00033C9D" w:rsidRPr="005841A6" w:rsidRDefault="00033C9D" w:rsidP="00033C9D">
      <w:pPr>
        <w:numPr>
          <w:ilvl w:val="0"/>
          <w:numId w:val="7"/>
        </w:numPr>
      </w:pPr>
      <w:r w:rsidRPr="005841A6">
        <w:t>Strengthen community-based recovery services.</w:t>
      </w:r>
    </w:p>
    <w:p w14:paraId="7B61D06B" w14:textId="77777777" w:rsidR="00033C9D" w:rsidRPr="005841A6" w:rsidRDefault="00033C9D" w:rsidP="00033C9D">
      <w:pPr>
        <w:numPr>
          <w:ilvl w:val="0"/>
          <w:numId w:val="7"/>
        </w:numPr>
      </w:pPr>
      <w:r w:rsidRPr="005841A6">
        <w:t>Improve transitions between inpatient and community care.</w:t>
      </w:r>
    </w:p>
    <w:p w14:paraId="0762E147" w14:textId="77777777" w:rsidR="00033C9D" w:rsidRPr="005841A6" w:rsidRDefault="00033C9D" w:rsidP="00033C9D">
      <w:r w:rsidRPr="005841A6">
        <w:t>4.4 Policy</w:t>
      </w:r>
    </w:p>
    <w:p w14:paraId="197B3372" w14:textId="4EA677FA" w:rsidR="00202724" w:rsidRPr="00202724" w:rsidRDefault="00202724" w:rsidP="00202724">
      <w:pPr>
        <w:pStyle w:val="ListParagraph"/>
        <w:numPr>
          <w:ilvl w:val="0"/>
          <w:numId w:val="9"/>
        </w:numPr>
      </w:pPr>
      <w:r w:rsidRPr="00202724">
        <w:t>Mandate clinical training on diagnostic overshadowing and intersectionality to dismantle gender and racial biases in secondary care psychiatric assessments."</w:t>
      </w:r>
    </w:p>
    <w:p w14:paraId="267166E5" w14:textId="6196F4EB" w:rsidR="00202724" w:rsidRPr="00202724" w:rsidRDefault="00202724" w:rsidP="00202724">
      <w:pPr>
        <w:pStyle w:val="ListParagraph"/>
        <w:numPr>
          <w:ilvl w:val="0"/>
          <w:numId w:val="9"/>
        </w:numPr>
      </w:pPr>
      <w:r w:rsidRPr="00202724">
        <w:t>Systematically replace risk-averse, inpatient-heavy crisis containment with co-produced, peer-led sanctuary spaces funded directly through integrated care boards.</w:t>
      </w:r>
    </w:p>
    <w:p w14:paraId="678527CB" w14:textId="73B52FA5" w:rsidR="00202724" w:rsidRPr="00202724" w:rsidRDefault="00202724" w:rsidP="00202724">
      <w:pPr>
        <w:pStyle w:val="ListParagraph"/>
        <w:numPr>
          <w:ilvl w:val="0"/>
          <w:numId w:val="9"/>
        </w:numPr>
      </w:pPr>
      <w:r w:rsidRPr="00202724">
        <w:t>Integrate neurodiversity-informed metrics into the local Care Programme Approach (CPA) to ensure care plans accommodate sensory sensitivities and executive dysfunction</w:t>
      </w:r>
    </w:p>
    <w:p w14:paraId="5F75933B" w14:textId="77777777" w:rsidR="00033C9D" w:rsidRPr="005841A6" w:rsidRDefault="00033C9D" w:rsidP="00033C9D">
      <w:r w:rsidRPr="005841A6">
        <w:t>Conclusion</w:t>
      </w:r>
    </w:p>
    <w:p w14:paraId="3C9E3100" w14:textId="343E7335" w:rsidR="00033C9D" w:rsidRPr="005841A6" w:rsidRDefault="00033C9D" w:rsidP="00033C9D">
      <w:r w:rsidRPr="005841A6">
        <w:t>Bipolar disorder is a complex and multifaceted condition that requires nuanced understanding and comprehensive support. ICD</w:t>
      </w:r>
      <w:r w:rsidRPr="005841A6">
        <w:noBreakHyphen/>
        <w:t xml:space="preserve">11 provides a structured classification framework, but debates around diagnostic boundaries, neurodivergence, and dimensional models highlight the need for ongoing refinement. Treatment and rehabilitation approaches are effective but inconsistently available, and systemic barriers continue to limit recovery. Addressing these challenges requires improved classification, enhanced diagnostic processes, expanded treatment options, and </w:t>
      </w:r>
      <w:r w:rsidRPr="005841A6">
        <w:lastRenderedPageBreak/>
        <w:t>strengthened rehabilitation pathways. By integrating contemporary research, lived experience, and policy reform, mental health services can better support individuals living with bipolar disorder.</w:t>
      </w:r>
    </w:p>
    <w:p w14:paraId="060D3DA0" w14:textId="77777777" w:rsidR="005A7AE5" w:rsidRDefault="005A7AE5" w:rsidP="00033C9D"/>
    <w:p w14:paraId="71F76A99" w14:textId="77777777" w:rsidR="005A7AE5" w:rsidRDefault="005A7AE5" w:rsidP="00033C9D"/>
    <w:p w14:paraId="05B3D1BD" w14:textId="77777777" w:rsidR="005A7AE5" w:rsidRDefault="005A7AE5" w:rsidP="00033C9D"/>
    <w:p w14:paraId="39090685" w14:textId="77777777" w:rsidR="005A7AE5" w:rsidRDefault="005A7AE5" w:rsidP="00033C9D"/>
    <w:p w14:paraId="3CA2AB90" w14:textId="77777777" w:rsidR="005A7AE5" w:rsidRDefault="005A7AE5" w:rsidP="00033C9D"/>
    <w:p w14:paraId="58452C5A" w14:textId="77777777" w:rsidR="005A7AE5" w:rsidRDefault="005A7AE5" w:rsidP="00033C9D"/>
    <w:p w14:paraId="12F6E447" w14:textId="77777777" w:rsidR="005A7AE5" w:rsidRDefault="005A7AE5" w:rsidP="00033C9D"/>
    <w:p w14:paraId="303E4104" w14:textId="77777777" w:rsidR="005A7AE5" w:rsidRDefault="005A7AE5" w:rsidP="00033C9D"/>
    <w:p w14:paraId="407B467E" w14:textId="77777777" w:rsidR="005A7AE5" w:rsidRDefault="005A7AE5" w:rsidP="00033C9D"/>
    <w:p w14:paraId="08164706" w14:textId="77777777" w:rsidR="005A7AE5" w:rsidRDefault="005A7AE5" w:rsidP="00033C9D"/>
    <w:p w14:paraId="371D2511" w14:textId="77777777" w:rsidR="005A7AE5" w:rsidRDefault="005A7AE5" w:rsidP="00033C9D"/>
    <w:p w14:paraId="1F60F617" w14:textId="77777777" w:rsidR="005A7AE5" w:rsidRDefault="005A7AE5" w:rsidP="00033C9D"/>
    <w:p w14:paraId="5757D971" w14:textId="77777777" w:rsidR="005A7AE5" w:rsidRDefault="005A7AE5" w:rsidP="00033C9D"/>
    <w:p w14:paraId="518D64FA" w14:textId="77777777" w:rsidR="001834F2" w:rsidRDefault="001834F2" w:rsidP="00033C9D"/>
    <w:p w14:paraId="797B4C34" w14:textId="77777777" w:rsidR="001834F2" w:rsidRDefault="001834F2" w:rsidP="00033C9D"/>
    <w:p w14:paraId="24041CF8" w14:textId="77777777" w:rsidR="001834F2" w:rsidRDefault="001834F2" w:rsidP="00033C9D"/>
    <w:p w14:paraId="7D51B504" w14:textId="77777777" w:rsidR="001834F2" w:rsidRDefault="001834F2" w:rsidP="00033C9D"/>
    <w:p w14:paraId="560C5661" w14:textId="77777777" w:rsidR="00F2370E" w:rsidRDefault="00F2370E" w:rsidP="00033C9D"/>
    <w:p w14:paraId="5C8E6F28" w14:textId="77777777" w:rsidR="00F2370E" w:rsidRDefault="00F2370E" w:rsidP="00033C9D"/>
    <w:p w14:paraId="6438913F" w14:textId="77777777" w:rsidR="00F2370E" w:rsidRDefault="00F2370E" w:rsidP="00033C9D"/>
    <w:p w14:paraId="6837F840" w14:textId="77777777" w:rsidR="00F2370E" w:rsidRDefault="00F2370E" w:rsidP="00033C9D"/>
    <w:p w14:paraId="79A753BE" w14:textId="77777777" w:rsidR="00F2370E" w:rsidRDefault="00F2370E" w:rsidP="00033C9D"/>
    <w:p w14:paraId="1936F4AB" w14:textId="77777777" w:rsidR="00F2370E" w:rsidRDefault="00F2370E" w:rsidP="00033C9D"/>
    <w:p w14:paraId="12A2DAA5" w14:textId="77777777" w:rsidR="00F2370E" w:rsidRDefault="00F2370E" w:rsidP="00033C9D"/>
    <w:p w14:paraId="0A7E88DB" w14:textId="77777777" w:rsidR="00F2370E" w:rsidRDefault="00F2370E" w:rsidP="00033C9D"/>
    <w:p w14:paraId="5AF11122" w14:textId="77777777" w:rsidR="00F2370E" w:rsidRDefault="00F2370E" w:rsidP="00033C9D"/>
    <w:p w14:paraId="1BCA9C6D" w14:textId="3354E565" w:rsidR="00033C9D" w:rsidRPr="005841A6" w:rsidRDefault="00591EA3" w:rsidP="00033C9D">
      <w:r>
        <w:lastRenderedPageBreak/>
        <w:t xml:space="preserve">Reference List; </w:t>
      </w:r>
    </w:p>
    <w:p w14:paraId="49B0F4F3" w14:textId="51C09F43" w:rsidR="009630D4" w:rsidRDefault="00033C9D" w:rsidP="00033C9D">
      <w:proofErr w:type="spellStart"/>
      <w:r w:rsidRPr="005841A6">
        <w:t>Akiskal</w:t>
      </w:r>
      <w:proofErr w:type="spellEnd"/>
      <w:r w:rsidRPr="005841A6">
        <w:t xml:space="preserve">, H. (2019) ‘Mood disorders: A spectrum perspective’, </w:t>
      </w:r>
      <w:r w:rsidRPr="005841A6">
        <w:rPr>
          <w:i/>
          <w:iCs/>
        </w:rPr>
        <w:t>Journal of Affective Disorders</w:t>
      </w:r>
      <w:r w:rsidRPr="005841A6">
        <w:t>, 250, pp. 15–22</w:t>
      </w:r>
      <w:r w:rsidR="00B57002">
        <w:t xml:space="preserve">. </w:t>
      </w:r>
    </w:p>
    <w:p w14:paraId="56736BF8" w14:textId="46252F0C" w:rsidR="009630D4" w:rsidRDefault="00033C9D" w:rsidP="00033C9D">
      <w:r w:rsidRPr="005841A6">
        <w:t xml:space="preserve">Allen, J., Balfour, R., Bell, R. and Marmot, M. (2014) ‘Social determinants of mental health’, </w:t>
      </w:r>
      <w:r w:rsidRPr="005841A6">
        <w:rPr>
          <w:i/>
          <w:iCs/>
        </w:rPr>
        <w:t>International Review of Psychiatry</w:t>
      </w:r>
      <w:r w:rsidRPr="005841A6">
        <w:t>, 26(4), pp. 392–407</w:t>
      </w:r>
      <w:r w:rsidR="00873AD4">
        <w:t>, available at:</w:t>
      </w:r>
      <w:r w:rsidR="00873AD4" w:rsidRPr="00873AD4">
        <w:t xml:space="preserve"> </w:t>
      </w:r>
      <w:hyperlink r:id="rId5" w:history="1">
        <w:r w:rsidR="00873AD4" w:rsidRPr="00873AD4">
          <w:rPr>
            <w:rStyle w:val="Hyperlink"/>
          </w:rPr>
          <w:t>Social determinants of mental health: International Review of Psychiatry: Vol 26 , No 4 - Get Access</w:t>
        </w:r>
      </w:hyperlink>
    </w:p>
    <w:p w14:paraId="2A78AFD8" w14:textId="77777777" w:rsidR="009630D4" w:rsidRDefault="00033C9D" w:rsidP="00033C9D">
      <w:r w:rsidRPr="005841A6">
        <w:t xml:space="preserve">Correll, C., </w:t>
      </w:r>
      <w:proofErr w:type="spellStart"/>
      <w:r w:rsidRPr="005841A6">
        <w:t>Detraux</w:t>
      </w:r>
      <w:proofErr w:type="spellEnd"/>
      <w:r w:rsidRPr="005841A6">
        <w:t xml:space="preserve">, J., De </w:t>
      </w:r>
      <w:proofErr w:type="spellStart"/>
      <w:r w:rsidRPr="005841A6">
        <w:t>Lepeleire</w:t>
      </w:r>
      <w:proofErr w:type="spellEnd"/>
      <w:r w:rsidRPr="005841A6">
        <w:t xml:space="preserve">, J. and De Hert, M. (2015) ‘Effects of antipsychotics on physical health’, </w:t>
      </w:r>
      <w:r w:rsidRPr="005841A6">
        <w:rPr>
          <w:i/>
          <w:iCs/>
        </w:rPr>
        <w:t>World Psychiatry</w:t>
      </w:r>
      <w:r w:rsidRPr="005841A6">
        <w:t>, 14(2), pp. 164–177.</w:t>
      </w:r>
    </w:p>
    <w:p w14:paraId="2B88F0AB" w14:textId="5403956A" w:rsidR="00721960" w:rsidRDefault="00721960" w:rsidP="00033C9D">
      <w:r w:rsidRPr="00721960">
        <w:t xml:space="preserve">Drake, R.E., Bond, G.R. and Becker, D.R. (2016) </w:t>
      </w:r>
      <w:r w:rsidRPr="00721960">
        <w:rPr>
          <w:i/>
          <w:iCs/>
        </w:rPr>
        <w:t>Individual Placement and Support: An Evidence-Based Approach to Supported Employment</w:t>
      </w:r>
      <w:r w:rsidRPr="00721960">
        <w:t>. New York: Oxford University Press.</w:t>
      </w:r>
    </w:p>
    <w:p w14:paraId="2F387C02" w14:textId="77777777" w:rsidR="009630D4" w:rsidRDefault="00033C9D" w:rsidP="00033C9D">
      <w:r w:rsidRPr="005841A6">
        <w:t xml:space="preserve"> Frank, E., Swartz, H. and Kupfer, D. (2005) ‘Interpersonal and social rhythm therapy’, </w:t>
      </w:r>
      <w:r w:rsidRPr="005841A6">
        <w:rPr>
          <w:i/>
          <w:iCs/>
        </w:rPr>
        <w:t>Biological Psychiatry</w:t>
      </w:r>
      <w:r w:rsidRPr="005841A6">
        <w:t xml:space="preserve">, 48(6), pp. 593–604. </w:t>
      </w:r>
    </w:p>
    <w:p w14:paraId="2BC9497D" w14:textId="77777777" w:rsidR="009630D4" w:rsidRDefault="00033C9D" w:rsidP="00033C9D">
      <w:r w:rsidRPr="005841A6">
        <w:t xml:space="preserve">Geddes, J. and Miklowitz, D. (2013) ‘Treatment of bipolar disorder’, </w:t>
      </w:r>
      <w:r w:rsidRPr="005841A6">
        <w:rPr>
          <w:i/>
          <w:iCs/>
        </w:rPr>
        <w:t>Lancet</w:t>
      </w:r>
      <w:r w:rsidRPr="005841A6">
        <w:t xml:space="preserve">, 381(9878), pp. 1672–1682. </w:t>
      </w:r>
    </w:p>
    <w:p w14:paraId="17F6226D" w14:textId="77777777" w:rsidR="009630D4" w:rsidRDefault="00033C9D" w:rsidP="00033C9D">
      <w:r w:rsidRPr="005841A6">
        <w:t xml:space="preserve">Grande, I., Berk, M., </w:t>
      </w:r>
      <w:proofErr w:type="spellStart"/>
      <w:r w:rsidRPr="005841A6">
        <w:t>Birmaher</w:t>
      </w:r>
      <w:proofErr w:type="spellEnd"/>
      <w:r w:rsidRPr="005841A6">
        <w:t>, B. and Vieta, E. (2016) ‘</w:t>
      </w:r>
      <w:proofErr w:type="gramStart"/>
      <w:r w:rsidRPr="005841A6">
        <w:t>Bipolar disorder</w:t>
      </w:r>
      <w:proofErr w:type="gramEnd"/>
      <w:r w:rsidRPr="005841A6">
        <w:t xml:space="preserve">’, </w:t>
      </w:r>
      <w:r w:rsidRPr="005841A6">
        <w:rPr>
          <w:i/>
          <w:iCs/>
        </w:rPr>
        <w:t>Lancet</w:t>
      </w:r>
      <w:r w:rsidRPr="005841A6">
        <w:t xml:space="preserve">, 387(10027), pp. 1561–1572. </w:t>
      </w:r>
    </w:p>
    <w:p w14:paraId="2A8E9317" w14:textId="77777777" w:rsidR="009630D4" w:rsidRDefault="00033C9D" w:rsidP="00033C9D">
      <w:r w:rsidRPr="005841A6">
        <w:t xml:space="preserve">Hirschfeld, R. (2014) ‘Misdiagnosis of bipolar disorder’, </w:t>
      </w:r>
      <w:r w:rsidRPr="005841A6">
        <w:rPr>
          <w:i/>
          <w:iCs/>
        </w:rPr>
        <w:t>Journal of Clinical Psychiatry</w:t>
      </w:r>
      <w:r w:rsidRPr="005841A6">
        <w:t>, 75(3), pp. 258–265.</w:t>
      </w:r>
    </w:p>
    <w:p w14:paraId="348119AF" w14:textId="77777777" w:rsidR="009630D4" w:rsidRDefault="00033C9D" w:rsidP="00033C9D">
      <w:r w:rsidRPr="005841A6">
        <w:t xml:space="preserve"> Judd, L., </w:t>
      </w:r>
      <w:proofErr w:type="spellStart"/>
      <w:r w:rsidRPr="005841A6">
        <w:t>Akiskal</w:t>
      </w:r>
      <w:proofErr w:type="spellEnd"/>
      <w:r w:rsidRPr="005841A6">
        <w:t xml:space="preserve">, H. and Schettler, P. (2016) ‘Depressive symptoms in bipolar disorder’, </w:t>
      </w:r>
      <w:r w:rsidRPr="005841A6">
        <w:rPr>
          <w:i/>
          <w:iCs/>
        </w:rPr>
        <w:t>Archives of General Psychiatry</w:t>
      </w:r>
      <w:r w:rsidRPr="005841A6">
        <w:t xml:space="preserve">, 60(3), pp. 261–269. </w:t>
      </w:r>
    </w:p>
    <w:p w14:paraId="7137E71D" w14:textId="7EF7C147" w:rsidR="009630D4" w:rsidRDefault="00033C9D" w:rsidP="00033C9D">
      <w:r w:rsidRPr="005841A6">
        <w:t xml:space="preserve">Lam, D., Watkins, E., Hayward, P.  (2005) ‘CBT for bipolar disorder’, </w:t>
      </w:r>
      <w:r w:rsidRPr="005841A6">
        <w:rPr>
          <w:i/>
          <w:iCs/>
        </w:rPr>
        <w:t>Psychological Medicine</w:t>
      </w:r>
      <w:r w:rsidRPr="005841A6">
        <w:t xml:space="preserve">, 35(3), pp. 375–385. </w:t>
      </w:r>
    </w:p>
    <w:p w14:paraId="04F5D26E" w14:textId="77777777" w:rsidR="009630D4" w:rsidRDefault="00033C9D" w:rsidP="00033C9D">
      <w:r w:rsidRPr="005841A6">
        <w:t xml:space="preserve">Miklowitz, D. and Johnson, S. (2019) ‘The psychopathology and treatment of bipolar disorder’, </w:t>
      </w:r>
      <w:r w:rsidRPr="005841A6">
        <w:rPr>
          <w:i/>
          <w:iCs/>
        </w:rPr>
        <w:t>Annual Review of Clinical Psychology</w:t>
      </w:r>
      <w:r w:rsidRPr="005841A6">
        <w:t xml:space="preserve">, 15, pp. 199–225. </w:t>
      </w:r>
    </w:p>
    <w:p w14:paraId="5A69DC17" w14:textId="77777777" w:rsidR="009630D4" w:rsidRDefault="00033C9D" w:rsidP="00033C9D">
      <w:r w:rsidRPr="005841A6">
        <w:t xml:space="preserve">Miklowitz, D., George, E., Richards, J. et al. (2008) ‘Family-focused therapy’, </w:t>
      </w:r>
      <w:r w:rsidRPr="005841A6">
        <w:rPr>
          <w:i/>
          <w:iCs/>
        </w:rPr>
        <w:t>Archives of General Psychiatry</w:t>
      </w:r>
      <w:r w:rsidRPr="005841A6">
        <w:t xml:space="preserve">, 65(9), pp. 1053–1061. </w:t>
      </w:r>
    </w:p>
    <w:p w14:paraId="23B7C900" w14:textId="442A165F" w:rsidR="009630D4" w:rsidRDefault="00033C9D" w:rsidP="00033C9D">
      <w:r w:rsidRPr="005841A6">
        <w:t xml:space="preserve">Mind (2025) </w:t>
      </w:r>
      <w:proofErr w:type="gramStart"/>
      <w:r w:rsidRPr="005841A6">
        <w:rPr>
          <w:i/>
          <w:iCs/>
        </w:rPr>
        <w:t>Bipolar disorder</w:t>
      </w:r>
      <w:proofErr w:type="gramEnd"/>
      <w:r w:rsidRPr="005841A6">
        <w:rPr>
          <w:i/>
          <w:iCs/>
        </w:rPr>
        <w:t>: Support and services</w:t>
      </w:r>
      <w:r w:rsidRPr="005841A6">
        <w:t xml:space="preserve">. London: Mind. </w:t>
      </w:r>
      <w:r w:rsidR="00EE1AD4">
        <w:t xml:space="preserve">Available at: </w:t>
      </w:r>
      <w:hyperlink r:id="rId6" w:history="1">
        <w:r w:rsidR="00EE1AD4" w:rsidRPr="00EE1AD4">
          <w:rPr>
            <w:rStyle w:val="Hyperlink"/>
          </w:rPr>
          <w:t>What is bipolar disorder?</w:t>
        </w:r>
      </w:hyperlink>
      <w:r w:rsidR="00DD0A33">
        <w:t xml:space="preserve"> (Accessed on: 8</w:t>
      </w:r>
      <w:r w:rsidR="00DD0A33" w:rsidRPr="00DD0A33">
        <w:rPr>
          <w:vertAlign w:val="superscript"/>
        </w:rPr>
        <w:t>th</w:t>
      </w:r>
      <w:r w:rsidR="00DD0A33">
        <w:t xml:space="preserve"> July 2026)</w:t>
      </w:r>
    </w:p>
    <w:p w14:paraId="087D92C1" w14:textId="784FEAA6" w:rsidR="009630D4" w:rsidRDefault="00033C9D" w:rsidP="00033C9D">
      <w:r w:rsidRPr="005841A6">
        <w:t xml:space="preserve">NHS (2024) </w:t>
      </w:r>
      <w:proofErr w:type="gramStart"/>
      <w:r w:rsidRPr="005841A6">
        <w:rPr>
          <w:i/>
          <w:iCs/>
        </w:rPr>
        <w:t>Bipolar disorder</w:t>
      </w:r>
      <w:proofErr w:type="gramEnd"/>
      <w:r w:rsidRPr="005841A6">
        <w:rPr>
          <w:i/>
          <w:iCs/>
        </w:rPr>
        <w:t>: Overview</w:t>
      </w:r>
      <w:r w:rsidRPr="005841A6">
        <w:t>. Available at</w:t>
      </w:r>
      <w:r w:rsidR="008616FF">
        <w:t>:</w:t>
      </w:r>
      <w:r w:rsidR="006479B7" w:rsidRPr="006479B7">
        <w:t xml:space="preserve"> </w:t>
      </w:r>
      <w:hyperlink r:id="rId7" w:history="1">
        <w:proofErr w:type="gramStart"/>
        <w:r w:rsidR="006479B7" w:rsidRPr="006479B7">
          <w:rPr>
            <w:rStyle w:val="Hyperlink"/>
          </w:rPr>
          <w:t>Bipolar disorder</w:t>
        </w:r>
        <w:proofErr w:type="gramEnd"/>
        <w:r w:rsidR="006479B7" w:rsidRPr="006479B7">
          <w:rPr>
            <w:rStyle w:val="Hyperlink"/>
          </w:rPr>
          <w:t xml:space="preserve"> - NHS</w:t>
        </w:r>
      </w:hyperlink>
      <w:r w:rsidRPr="005841A6">
        <w:t xml:space="preserve"> (Accessed: 8</w:t>
      </w:r>
      <w:r w:rsidR="00DD0A33" w:rsidRPr="00DD0A33">
        <w:rPr>
          <w:vertAlign w:val="superscript"/>
        </w:rPr>
        <w:t>th</w:t>
      </w:r>
      <w:r w:rsidRPr="005841A6">
        <w:t xml:space="preserve"> July 2026).</w:t>
      </w:r>
    </w:p>
    <w:p w14:paraId="3E2563BD" w14:textId="473DDEA3" w:rsidR="009630D4" w:rsidRDefault="00033C9D" w:rsidP="00033C9D">
      <w:r w:rsidRPr="005841A6">
        <w:lastRenderedPageBreak/>
        <w:t xml:space="preserve">NICE (2025) </w:t>
      </w:r>
      <w:proofErr w:type="gramStart"/>
      <w:r w:rsidRPr="005841A6">
        <w:rPr>
          <w:i/>
          <w:iCs/>
        </w:rPr>
        <w:t>Bipolar disorder</w:t>
      </w:r>
      <w:proofErr w:type="gramEnd"/>
      <w:r w:rsidRPr="005841A6">
        <w:rPr>
          <w:i/>
          <w:iCs/>
        </w:rPr>
        <w:t>: Assessment and management</w:t>
      </w:r>
      <w:r w:rsidRPr="005841A6">
        <w:t xml:space="preserve">. London: NICE. </w:t>
      </w:r>
      <w:r w:rsidR="001B7563">
        <w:t>Available at</w:t>
      </w:r>
      <w:r w:rsidR="00591EA3">
        <w:t>:</w:t>
      </w:r>
      <w:r w:rsidR="001B7563">
        <w:t xml:space="preserve"> </w:t>
      </w:r>
      <w:hyperlink r:id="rId8" w:history="1">
        <w:r w:rsidR="001B7563" w:rsidRPr="001B7563">
          <w:rPr>
            <w:rStyle w:val="Hyperlink"/>
          </w:rPr>
          <w:t xml:space="preserve">Overview | </w:t>
        </w:r>
        <w:proofErr w:type="gramStart"/>
        <w:r w:rsidR="001B7563" w:rsidRPr="001B7563">
          <w:rPr>
            <w:rStyle w:val="Hyperlink"/>
          </w:rPr>
          <w:t>Bipolar disorder</w:t>
        </w:r>
        <w:proofErr w:type="gramEnd"/>
        <w:r w:rsidR="001B7563" w:rsidRPr="001B7563">
          <w:rPr>
            <w:rStyle w:val="Hyperlink"/>
          </w:rPr>
          <w:t>: assessment and management | Guidance | NICE</w:t>
        </w:r>
      </w:hyperlink>
      <w:r w:rsidR="00B42291">
        <w:t xml:space="preserve"> (Accessed on 9</w:t>
      </w:r>
      <w:r w:rsidR="00B42291" w:rsidRPr="00B42291">
        <w:rPr>
          <w:vertAlign w:val="superscript"/>
        </w:rPr>
        <w:t>th</w:t>
      </w:r>
      <w:r w:rsidR="00B42291">
        <w:t xml:space="preserve"> July 2026)</w:t>
      </w:r>
    </w:p>
    <w:p w14:paraId="5068AC4A" w14:textId="77777777" w:rsidR="009630D4" w:rsidRDefault="00033C9D" w:rsidP="00033C9D">
      <w:r w:rsidRPr="005841A6">
        <w:t xml:space="preserve">Singh, A. and Rajput, M. (2020) ‘Cultural influences on bipolar disorder diagnosis’, </w:t>
      </w:r>
      <w:r w:rsidRPr="005841A6">
        <w:rPr>
          <w:i/>
          <w:iCs/>
        </w:rPr>
        <w:t>Asian Journal of Psychiatry</w:t>
      </w:r>
      <w:r w:rsidRPr="005841A6">
        <w:t>, 48, pp. 101–110.</w:t>
      </w:r>
    </w:p>
    <w:p w14:paraId="3DA5C6E1" w14:textId="77777777" w:rsidR="009630D4" w:rsidRDefault="00033C9D" w:rsidP="00033C9D">
      <w:r w:rsidRPr="005841A6">
        <w:t xml:space="preserve"> Skirrow, C. and Asherson, P. (2019) ‘Emotional dysregulation in ADHD and bipolar disorder’, </w:t>
      </w:r>
      <w:r w:rsidRPr="005841A6">
        <w:rPr>
          <w:i/>
          <w:iCs/>
        </w:rPr>
        <w:t>Journal of Affective Disorders</w:t>
      </w:r>
      <w:r w:rsidRPr="005841A6">
        <w:t xml:space="preserve">, 243, pp. 441–452. </w:t>
      </w:r>
    </w:p>
    <w:p w14:paraId="68D8E336" w14:textId="77777777" w:rsidR="009630D4" w:rsidRDefault="00033C9D" w:rsidP="00033C9D">
      <w:r w:rsidRPr="005841A6">
        <w:t xml:space="preserve">Slade, M. (2009) </w:t>
      </w:r>
      <w:r w:rsidRPr="005841A6">
        <w:rPr>
          <w:i/>
          <w:iCs/>
        </w:rPr>
        <w:t>Personal recovery and mental illness</w:t>
      </w:r>
      <w:r w:rsidRPr="005841A6">
        <w:t xml:space="preserve">. Cambridge: Cambridge University Press. </w:t>
      </w:r>
    </w:p>
    <w:p w14:paraId="025F1FB5" w14:textId="77777777" w:rsidR="004040C5" w:rsidRDefault="00033C9D" w:rsidP="00033C9D">
      <w:r w:rsidRPr="005841A6">
        <w:t xml:space="preserve">Stanton, K., Zimmerman, M. and Wilner, J. (2022) ‘Diagnostic challenges in bipolar II disorder’, </w:t>
      </w:r>
      <w:r w:rsidRPr="005841A6">
        <w:rPr>
          <w:i/>
          <w:iCs/>
        </w:rPr>
        <w:t>Journal of Psychiatric Research</w:t>
      </w:r>
      <w:r w:rsidRPr="005841A6">
        <w:t xml:space="preserve">, 150, pp. 45–52. </w:t>
      </w:r>
    </w:p>
    <w:p w14:paraId="19BC6F3F" w14:textId="77777777" w:rsidR="004040C5" w:rsidRDefault="00033C9D" w:rsidP="00033C9D">
      <w:r w:rsidRPr="005841A6">
        <w:t xml:space="preserve">Walker, N. (2021) </w:t>
      </w:r>
      <w:r w:rsidRPr="005841A6">
        <w:rPr>
          <w:i/>
          <w:iCs/>
        </w:rPr>
        <w:t>Neurodiversity: A developmental perspective</w:t>
      </w:r>
      <w:r w:rsidRPr="005841A6">
        <w:t>. New York: Routledge.</w:t>
      </w:r>
    </w:p>
    <w:p w14:paraId="5F42EDF1" w14:textId="2D4EE4DE" w:rsidR="004040C5" w:rsidRDefault="00033C9D" w:rsidP="00033C9D">
      <w:r w:rsidRPr="005841A6">
        <w:t xml:space="preserve"> WHO (2024) </w:t>
      </w:r>
      <w:r w:rsidRPr="005841A6">
        <w:rPr>
          <w:i/>
          <w:iCs/>
        </w:rPr>
        <w:t>International Classification of Diseases 11th Revision (ICD</w:t>
      </w:r>
      <w:r w:rsidRPr="005841A6">
        <w:rPr>
          <w:i/>
          <w:iCs/>
        </w:rPr>
        <w:noBreakHyphen/>
        <w:t>11)</w:t>
      </w:r>
      <w:r w:rsidRPr="005841A6">
        <w:t>. Geneva: World Health Organization.</w:t>
      </w:r>
      <w:r w:rsidR="005A1B4A">
        <w:t xml:space="preserve"> </w:t>
      </w:r>
      <w:r w:rsidR="00591EA3">
        <w:t>Available</w:t>
      </w:r>
      <w:r w:rsidR="005A1B4A">
        <w:t xml:space="preserve"> </w:t>
      </w:r>
      <w:r w:rsidR="00591EA3">
        <w:t>at</w:t>
      </w:r>
      <w:r w:rsidR="00DE6DFE">
        <w:t>:</w:t>
      </w:r>
      <w:r w:rsidR="003579CF">
        <w:t xml:space="preserve"> </w:t>
      </w:r>
      <w:r w:rsidR="003579CF" w:rsidRPr="003579CF">
        <w:t xml:space="preserve">https://www.who.int/standards/classifications/classification-of-diseases </w:t>
      </w:r>
      <w:r w:rsidR="00591EA3">
        <w:t>(Accessed on 9</w:t>
      </w:r>
      <w:r w:rsidR="00591EA3" w:rsidRPr="00591EA3">
        <w:rPr>
          <w:vertAlign w:val="superscript"/>
        </w:rPr>
        <w:t>th</w:t>
      </w:r>
      <w:r w:rsidR="00591EA3">
        <w:t xml:space="preserve"> July 2026). </w:t>
      </w:r>
    </w:p>
    <w:p w14:paraId="124BC7E2" w14:textId="6D047680" w:rsidR="00033C9D" w:rsidRPr="005841A6" w:rsidRDefault="00033C9D" w:rsidP="00033C9D">
      <w:r w:rsidRPr="005841A6">
        <w:t xml:space="preserve"> Zimmerman, M., Ellison, W. and Young, D. (2019) ‘Gender differences in bipolar disorder diagnosis’, </w:t>
      </w:r>
      <w:r w:rsidRPr="005841A6">
        <w:rPr>
          <w:i/>
          <w:iCs/>
        </w:rPr>
        <w:t>Comprehensive Psychiatry</w:t>
      </w:r>
      <w:r w:rsidRPr="005841A6">
        <w:t>, 94, pp. 152–160.</w:t>
      </w:r>
    </w:p>
    <w:p w14:paraId="76A4332A" w14:textId="77777777" w:rsidR="007C021B" w:rsidRDefault="007C021B" w:rsidP="007C021B">
      <w:pPr>
        <w:rPr>
          <w:b/>
          <w:bCs/>
        </w:rPr>
      </w:pPr>
    </w:p>
    <w:p w14:paraId="38D08D7A" w14:textId="77777777" w:rsidR="007C021B" w:rsidRDefault="007C021B" w:rsidP="007C021B">
      <w:pPr>
        <w:rPr>
          <w:b/>
          <w:bCs/>
        </w:rPr>
      </w:pPr>
    </w:p>
    <w:p w14:paraId="5CB31524" w14:textId="77777777" w:rsidR="007C021B" w:rsidRDefault="007C021B" w:rsidP="007C021B">
      <w:pPr>
        <w:rPr>
          <w:b/>
          <w:bCs/>
        </w:rPr>
      </w:pPr>
    </w:p>
    <w:p w14:paraId="521DD527" w14:textId="77777777" w:rsidR="007C021B" w:rsidRDefault="007C021B" w:rsidP="007C021B">
      <w:pPr>
        <w:rPr>
          <w:b/>
          <w:bCs/>
        </w:rPr>
      </w:pPr>
    </w:p>
    <w:p w14:paraId="21CBA715" w14:textId="77777777" w:rsidR="007C021B" w:rsidRDefault="007C021B" w:rsidP="007C021B">
      <w:pPr>
        <w:rPr>
          <w:b/>
          <w:bCs/>
        </w:rPr>
      </w:pPr>
    </w:p>
    <w:p w14:paraId="48701801" w14:textId="77777777" w:rsidR="007C021B" w:rsidRDefault="007C021B" w:rsidP="007C021B">
      <w:pPr>
        <w:rPr>
          <w:b/>
          <w:bCs/>
        </w:rPr>
      </w:pPr>
    </w:p>
    <w:p w14:paraId="6588A012" w14:textId="77777777" w:rsidR="007C021B" w:rsidRDefault="007C021B" w:rsidP="007C021B">
      <w:pPr>
        <w:rPr>
          <w:b/>
          <w:bCs/>
        </w:rPr>
      </w:pPr>
    </w:p>
    <w:p w14:paraId="38169292" w14:textId="77777777" w:rsidR="007C021B" w:rsidRDefault="007C021B" w:rsidP="007C021B">
      <w:pPr>
        <w:rPr>
          <w:b/>
          <w:bCs/>
        </w:rPr>
      </w:pPr>
    </w:p>
    <w:p w14:paraId="3EC86A79" w14:textId="77777777" w:rsidR="007C021B" w:rsidRDefault="007C021B" w:rsidP="007C021B">
      <w:pPr>
        <w:rPr>
          <w:b/>
          <w:bCs/>
        </w:rPr>
      </w:pPr>
    </w:p>
    <w:p w14:paraId="655D3783" w14:textId="77777777" w:rsidR="007C021B" w:rsidRDefault="007C021B" w:rsidP="007C021B">
      <w:pPr>
        <w:rPr>
          <w:b/>
          <w:bCs/>
        </w:rPr>
      </w:pPr>
    </w:p>
    <w:p w14:paraId="3E2A0FC1" w14:textId="77777777" w:rsidR="007C021B" w:rsidRDefault="007C021B" w:rsidP="007C021B">
      <w:pPr>
        <w:rPr>
          <w:b/>
          <w:bCs/>
        </w:rPr>
      </w:pPr>
    </w:p>
    <w:p w14:paraId="3B2789A1" w14:textId="77777777" w:rsidR="007C021B" w:rsidRDefault="007C021B" w:rsidP="007C021B">
      <w:pPr>
        <w:rPr>
          <w:b/>
          <w:bCs/>
        </w:rPr>
      </w:pPr>
    </w:p>
    <w:p w14:paraId="7BB83759" w14:textId="77777777" w:rsidR="00780957" w:rsidRDefault="00780957"/>
    <w:sectPr w:rsidR="007809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060FD"/>
    <w:multiLevelType w:val="multilevel"/>
    <w:tmpl w:val="1AB01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F2EBA"/>
    <w:multiLevelType w:val="multilevel"/>
    <w:tmpl w:val="881C3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093920"/>
    <w:multiLevelType w:val="hybridMultilevel"/>
    <w:tmpl w:val="6E6EE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D720A"/>
    <w:multiLevelType w:val="multilevel"/>
    <w:tmpl w:val="654CA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B31CC3"/>
    <w:multiLevelType w:val="multilevel"/>
    <w:tmpl w:val="114E4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2D3833"/>
    <w:multiLevelType w:val="multilevel"/>
    <w:tmpl w:val="5E488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552525"/>
    <w:multiLevelType w:val="multilevel"/>
    <w:tmpl w:val="7286E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CB53AC"/>
    <w:multiLevelType w:val="multilevel"/>
    <w:tmpl w:val="8DDA4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040DA0"/>
    <w:multiLevelType w:val="multilevel"/>
    <w:tmpl w:val="E7286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3614742">
    <w:abstractNumId w:val="5"/>
  </w:num>
  <w:num w:numId="2" w16cid:durableId="1326788422">
    <w:abstractNumId w:val="3"/>
  </w:num>
  <w:num w:numId="3" w16cid:durableId="1631594628">
    <w:abstractNumId w:val="8"/>
  </w:num>
  <w:num w:numId="4" w16cid:durableId="1105809532">
    <w:abstractNumId w:val="0"/>
  </w:num>
  <w:num w:numId="5" w16cid:durableId="337079174">
    <w:abstractNumId w:val="7"/>
  </w:num>
  <w:num w:numId="6" w16cid:durableId="1385448392">
    <w:abstractNumId w:val="4"/>
  </w:num>
  <w:num w:numId="7" w16cid:durableId="1082526695">
    <w:abstractNumId w:val="1"/>
  </w:num>
  <w:num w:numId="8" w16cid:durableId="651253909">
    <w:abstractNumId w:val="6"/>
  </w:num>
  <w:num w:numId="9" w16cid:durableId="14257586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21B"/>
    <w:rsid w:val="00033C9D"/>
    <w:rsid w:val="000905DA"/>
    <w:rsid w:val="0012530E"/>
    <w:rsid w:val="001834F2"/>
    <w:rsid w:val="001B7563"/>
    <w:rsid w:val="001D615A"/>
    <w:rsid w:val="00202724"/>
    <w:rsid w:val="00202D5A"/>
    <w:rsid w:val="00275C22"/>
    <w:rsid w:val="00282D20"/>
    <w:rsid w:val="002D42FB"/>
    <w:rsid w:val="003579CF"/>
    <w:rsid w:val="00392D23"/>
    <w:rsid w:val="003A0FFD"/>
    <w:rsid w:val="004040C5"/>
    <w:rsid w:val="004074ED"/>
    <w:rsid w:val="00447330"/>
    <w:rsid w:val="00453236"/>
    <w:rsid w:val="004B0D5F"/>
    <w:rsid w:val="005160FA"/>
    <w:rsid w:val="00560E79"/>
    <w:rsid w:val="00574DB0"/>
    <w:rsid w:val="005841A6"/>
    <w:rsid w:val="00591EA3"/>
    <w:rsid w:val="005A1B4A"/>
    <w:rsid w:val="005A7AE5"/>
    <w:rsid w:val="00613A44"/>
    <w:rsid w:val="00623D31"/>
    <w:rsid w:val="006479B7"/>
    <w:rsid w:val="006623D1"/>
    <w:rsid w:val="00677868"/>
    <w:rsid w:val="00721960"/>
    <w:rsid w:val="00774E2B"/>
    <w:rsid w:val="00777D59"/>
    <w:rsid w:val="00780957"/>
    <w:rsid w:val="00781B3E"/>
    <w:rsid w:val="007C021B"/>
    <w:rsid w:val="00812306"/>
    <w:rsid w:val="008616FF"/>
    <w:rsid w:val="00873AD4"/>
    <w:rsid w:val="009630D4"/>
    <w:rsid w:val="00A32910"/>
    <w:rsid w:val="00A80E6E"/>
    <w:rsid w:val="00AC2334"/>
    <w:rsid w:val="00AC498F"/>
    <w:rsid w:val="00B37190"/>
    <w:rsid w:val="00B42291"/>
    <w:rsid w:val="00B57002"/>
    <w:rsid w:val="00C06F92"/>
    <w:rsid w:val="00D84ED0"/>
    <w:rsid w:val="00DD0A33"/>
    <w:rsid w:val="00DE6DFE"/>
    <w:rsid w:val="00E46F99"/>
    <w:rsid w:val="00EE1AD4"/>
    <w:rsid w:val="00F2370E"/>
    <w:rsid w:val="00F86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021FC"/>
  <w15:chartTrackingRefBased/>
  <w15:docId w15:val="{7298C8B1-A284-4EA6-BAE5-C61A2812C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2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2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2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2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2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2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2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2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2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2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2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2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2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2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2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2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2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21B"/>
    <w:rPr>
      <w:rFonts w:eastAsiaTheme="majorEastAsia" w:cstheme="majorBidi"/>
      <w:color w:val="272727" w:themeColor="text1" w:themeTint="D8"/>
    </w:rPr>
  </w:style>
  <w:style w:type="paragraph" w:styleId="Title">
    <w:name w:val="Title"/>
    <w:basedOn w:val="Normal"/>
    <w:next w:val="Normal"/>
    <w:link w:val="TitleChar"/>
    <w:uiPriority w:val="10"/>
    <w:qFormat/>
    <w:rsid w:val="007C02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2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2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2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21B"/>
    <w:pPr>
      <w:spacing w:before="160"/>
      <w:jc w:val="center"/>
    </w:pPr>
    <w:rPr>
      <w:i/>
      <w:iCs/>
      <w:color w:val="404040" w:themeColor="text1" w:themeTint="BF"/>
    </w:rPr>
  </w:style>
  <w:style w:type="character" w:customStyle="1" w:styleId="QuoteChar">
    <w:name w:val="Quote Char"/>
    <w:basedOn w:val="DefaultParagraphFont"/>
    <w:link w:val="Quote"/>
    <w:uiPriority w:val="29"/>
    <w:rsid w:val="007C021B"/>
    <w:rPr>
      <w:i/>
      <w:iCs/>
      <w:color w:val="404040" w:themeColor="text1" w:themeTint="BF"/>
    </w:rPr>
  </w:style>
  <w:style w:type="paragraph" w:styleId="ListParagraph">
    <w:name w:val="List Paragraph"/>
    <w:basedOn w:val="Normal"/>
    <w:uiPriority w:val="34"/>
    <w:qFormat/>
    <w:rsid w:val="007C021B"/>
    <w:pPr>
      <w:ind w:left="720"/>
      <w:contextualSpacing/>
    </w:pPr>
  </w:style>
  <w:style w:type="character" w:styleId="IntenseEmphasis">
    <w:name w:val="Intense Emphasis"/>
    <w:basedOn w:val="DefaultParagraphFont"/>
    <w:uiPriority w:val="21"/>
    <w:qFormat/>
    <w:rsid w:val="007C021B"/>
    <w:rPr>
      <w:i/>
      <w:iCs/>
      <w:color w:val="0F4761" w:themeColor="accent1" w:themeShade="BF"/>
    </w:rPr>
  </w:style>
  <w:style w:type="paragraph" w:styleId="IntenseQuote">
    <w:name w:val="Intense Quote"/>
    <w:basedOn w:val="Normal"/>
    <w:next w:val="Normal"/>
    <w:link w:val="IntenseQuoteChar"/>
    <w:uiPriority w:val="30"/>
    <w:qFormat/>
    <w:rsid w:val="007C02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21B"/>
    <w:rPr>
      <w:i/>
      <w:iCs/>
      <w:color w:val="0F4761" w:themeColor="accent1" w:themeShade="BF"/>
    </w:rPr>
  </w:style>
  <w:style w:type="character" w:styleId="IntenseReference">
    <w:name w:val="Intense Reference"/>
    <w:basedOn w:val="DefaultParagraphFont"/>
    <w:uiPriority w:val="32"/>
    <w:qFormat/>
    <w:rsid w:val="007C021B"/>
    <w:rPr>
      <w:b/>
      <w:bCs/>
      <w:smallCaps/>
      <w:color w:val="0F4761" w:themeColor="accent1" w:themeShade="BF"/>
      <w:spacing w:val="5"/>
    </w:rPr>
  </w:style>
  <w:style w:type="character" w:styleId="Hyperlink">
    <w:name w:val="Hyperlink"/>
    <w:basedOn w:val="DefaultParagraphFont"/>
    <w:uiPriority w:val="99"/>
    <w:unhideWhenUsed/>
    <w:rsid w:val="007C021B"/>
    <w:rPr>
      <w:color w:val="467886" w:themeColor="hyperlink"/>
      <w:u w:val="single"/>
    </w:rPr>
  </w:style>
  <w:style w:type="character" w:styleId="UnresolvedMention">
    <w:name w:val="Unresolved Mention"/>
    <w:basedOn w:val="DefaultParagraphFont"/>
    <w:uiPriority w:val="99"/>
    <w:semiHidden/>
    <w:unhideWhenUsed/>
    <w:rsid w:val="007C021B"/>
    <w:rPr>
      <w:color w:val="605E5C"/>
      <w:shd w:val="clear" w:color="auto" w:fill="E1DFDD"/>
    </w:rPr>
  </w:style>
  <w:style w:type="character" w:styleId="FollowedHyperlink">
    <w:name w:val="FollowedHyperlink"/>
    <w:basedOn w:val="DefaultParagraphFont"/>
    <w:uiPriority w:val="99"/>
    <w:semiHidden/>
    <w:unhideWhenUsed/>
    <w:rsid w:val="00B371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cg185" TargetMode="External"/><Relationship Id="rId3" Type="http://schemas.openxmlformats.org/officeDocument/2006/relationships/settings" Target="settings.xml"/><Relationship Id="rId7" Type="http://schemas.openxmlformats.org/officeDocument/2006/relationships/hyperlink" Target="https://www.nhs.uk/mental-health/conditions/bipolar-disord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org.uk/information-support/types-of-mental-health-problems/bipolar-disorder/about-bipolar-disorder/" TargetMode="External"/><Relationship Id="rId5" Type="http://schemas.openxmlformats.org/officeDocument/2006/relationships/hyperlink" Target="https://www.tandfonline.com/doi/full/10.3109/09540261.2014.92827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10</Pages>
  <Words>2950</Words>
  <Characters>16817</Characters>
  <Application>Microsoft Office Word</Application>
  <DocSecurity>0</DocSecurity>
  <Lines>140</Lines>
  <Paragraphs>39</Paragraphs>
  <ScaleCrop>false</ScaleCrop>
  <Company/>
  <LinksUpToDate>false</LinksUpToDate>
  <CharactersWithSpaces>19728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24</cp:revision>
  <dcterms:created xsi:type="dcterms:W3CDTF">2026-07-09T11:59:00Z</dcterms:created>
  <dcterms:modified xsi:type="dcterms:W3CDTF">2026-07-18T22:09:00Z</dcterms:modified>
</cp:coreProperties>
</file>