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7BB0AA" w14:textId="77777777" w:rsidR="009257EB" w:rsidRPr="005F3D4D" w:rsidRDefault="00205423">
      <w:pPr>
        <w:rPr>
          <w:sz w:val="26"/>
          <w:szCs w:val="26"/>
          <w:lang w:val="en-US"/>
        </w:rPr>
      </w:pPr>
      <w:r w:rsidRPr="005F3D4D">
        <w:rPr>
          <w:sz w:val="26"/>
          <w:szCs w:val="26"/>
          <w:lang w:val="en-US"/>
        </w:rPr>
        <w:t>Proprietary Estoppel : Problem question answer</w:t>
      </w:r>
      <w:r w:rsidR="00FD564F" w:rsidRPr="005F3D4D">
        <w:rPr>
          <w:sz w:val="26"/>
          <w:szCs w:val="26"/>
          <w:lang w:val="en-US"/>
        </w:rPr>
        <w:t xml:space="preserve"> plan</w:t>
      </w:r>
    </w:p>
    <w:p w14:paraId="6535476B" w14:textId="77777777" w:rsidR="00FD564F" w:rsidRPr="005F3D4D" w:rsidRDefault="00FD564F">
      <w:pPr>
        <w:rPr>
          <w:sz w:val="26"/>
          <w:szCs w:val="26"/>
          <w:lang w:val="en-US"/>
        </w:rPr>
      </w:pPr>
      <w:r w:rsidRPr="005F3D4D">
        <w:rPr>
          <w:sz w:val="26"/>
          <w:szCs w:val="26"/>
          <w:lang w:val="en-US"/>
        </w:rPr>
        <w:t>Intro</w:t>
      </w:r>
    </w:p>
    <w:p w14:paraId="4801AFA8" w14:textId="77777777" w:rsidR="00FD564F" w:rsidRPr="005F3D4D" w:rsidRDefault="00FD564F" w:rsidP="00FD564F">
      <w:pPr>
        <w:pStyle w:val="ListParagraph"/>
        <w:numPr>
          <w:ilvl w:val="0"/>
          <w:numId w:val="2"/>
        </w:numPr>
        <w:rPr>
          <w:sz w:val="26"/>
          <w:szCs w:val="26"/>
          <w:lang w:val="en-US"/>
        </w:rPr>
      </w:pPr>
      <w:r w:rsidRPr="005F3D4D">
        <w:rPr>
          <w:sz w:val="26"/>
          <w:szCs w:val="26"/>
          <w:lang w:val="en-US"/>
        </w:rPr>
        <w:t>Equitable device</w:t>
      </w:r>
    </w:p>
    <w:p w14:paraId="03BCAD6E" w14:textId="77777777" w:rsidR="00FD564F" w:rsidRPr="005F3D4D" w:rsidRDefault="00FD564F" w:rsidP="00FD564F">
      <w:pPr>
        <w:pStyle w:val="ListParagraph"/>
        <w:numPr>
          <w:ilvl w:val="0"/>
          <w:numId w:val="2"/>
        </w:numPr>
        <w:rPr>
          <w:sz w:val="26"/>
          <w:szCs w:val="26"/>
          <w:lang w:val="en-US"/>
        </w:rPr>
      </w:pPr>
      <w:r w:rsidRPr="005F3D4D">
        <w:rPr>
          <w:sz w:val="26"/>
          <w:szCs w:val="26"/>
          <w:lang w:val="en-US"/>
        </w:rPr>
        <w:t xml:space="preserve">5 probandi from </w:t>
      </w:r>
      <w:r w:rsidRPr="005F3D4D">
        <w:rPr>
          <w:b/>
          <w:bCs/>
          <w:i/>
          <w:iCs/>
          <w:sz w:val="26"/>
          <w:szCs w:val="26"/>
          <w:lang w:val="en-US"/>
        </w:rPr>
        <w:t>Wilmott v Barber [1880]</w:t>
      </w:r>
    </w:p>
    <w:p w14:paraId="78560FED" w14:textId="77777777" w:rsidR="00FD564F" w:rsidRPr="005F3D4D" w:rsidRDefault="00FD564F" w:rsidP="00FD564F">
      <w:pPr>
        <w:pStyle w:val="ListParagraph"/>
        <w:numPr>
          <w:ilvl w:val="0"/>
          <w:numId w:val="2"/>
        </w:numPr>
        <w:rPr>
          <w:sz w:val="26"/>
          <w:szCs w:val="26"/>
          <w:lang w:val="en-US"/>
        </w:rPr>
      </w:pPr>
      <w:r w:rsidRPr="005F3D4D">
        <w:rPr>
          <w:sz w:val="26"/>
          <w:szCs w:val="26"/>
          <w:lang w:val="en-US"/>
        </w:rPr>
        <w:t>Refined in recent case law so used where Cl unaware of the non-binding nature of the grant of an interest in land which doesn’t comply with s2 LP(MP)A 1989</w:t>
      </w:r>
    </w:p>
    <w:p w14:paraId="18ADF56E" w14:textId="77777777" w:rsidR="00FD564F" w:rsidRPr="005F3D4D" w:rsidRDefault="00FD564F" w:rsidP="00FD564F">
      <w:pPr>
        <w:pStyle w:val="ListParagraph"/>
        <w:numPr>
          <w:ilvl w:val="0"/>
          <w:numId w:val="2"/>
        </w:numPr>
        <w:rPr>
          <w:sz w:val="26"/>
          <w:szCs w:val="26"/>
        </w:rPr>
      </w:pPr>
      <w:r w:rsidRPr="005F3D4D">
        <w:rPr>
          <w:sz w:val="26"/>
          <w:szCs w:val="26"/>
        </w:rPr>
        <w:t>Commercial transactions cannot avoid the formalities through estoppel (</w:t>
      </w:r>
      <w:r w:rsidRPr="005F3D4D">
        <w:rPr>
          <w:b/>
          <w:bCs/>
          <w:i/>
          <w:iCs/>
          <w:sz w:val="26"/>
          <w:szCs w:val="26"/>
        </w:rPr>
        <w:t>Yeoman’s Row Management v Cobbe [2008]</w:t>
      </w:r>
      <w:r w:rsidRPr="005F3D4D">
        <w:rPr>
          <w:sz w:val="26"/>
          <w:szCs w:val="26"/>
        </w:rPr>
        <w:t>) but it will be available in “family and farm” cases</w:t>
      </w:r>
    </w:p>
    <w:p w14:paraId="64AD3A07" w14:textId="77777777" w:rsidR="00FD564F" w:rsidRPr="005F3D4D" w:rsidRDefault="00FD564F" w:rsidP="00FD564F">
      <w:pPr>
        <w:pStyle w:val="ListParagraph"/>
        <w:numPr>
          <w:ilvl w:val="0"/>
          <w:numId w:val="2"/>
        </w:numPr>
        <w:rPr>
          <w:sz w:val="26"/>
          <w:szCs w:val="26"/>
        </w:rPr>
      </w:pPr>
      <w:r w:rsidRPr="005F3D4D">
        <w:rPr>
          <w:sz w:val="26"/>
          <w:szCs w:val="26"/>
        </w:rPr>
        <w:t>Modern test doesn’t expressly mention mistake (although it is still v relevant) but instead looks for  - clear assurance of rights; reliance on that assurance; detriment as a result (</w:t>
      </w:r>
      <w:r w:rsidRPr="005F3D4D">
        <w:rPr>
          <w:b/>
          <w:bCs/>
          <w:i/>
          <w:iCs/>
          <w:sz w:val="26"/>
          <w:szCs w:val="26"/>
        </w:rPr>
        <w:t>Taylor Fashions v Liverpool Victoria Trustees [1982]</w:t>
      </w:r>
      <w:r w:rsidRPr="005F3D4D">
        <w:rPr>
          <w:sz w:val="26"/>
          <w:szCs w:val="26"/>
        </w:rPr>
        <w:t>).</w:t>
      </w:r>
    </w:p>
    <w:p w14:paraId="6497F9CE" w14:textId="77777777" w:rsidR="00573078" w:rsidRPr="005F3D4D" w:rsidRDefault="00573078" w:rsidP="00573078">
      <w:pPr>
        <w:rPr>
          <w:sz w:val="26"/>
          <w:szCs w:val="26"/>
        </w:rPr>
      </w:pPr>
      <w:r w:rsidRPr="005F3D4D">
        <w:rPr>
          <w:sz w:val="26"/>
          <w:szCs w:val="26"/>
        </w:rPr>
        <w:t>Representation</w:t>
      </w:r>
    </w:p>
    <w:p w14:paraId="355736D1" w14:textId="77777777" w:rsidR="00573078" w:rsidRPr="005F3D4D" w:rsidRDefault="00573078" w:rsidP="00573078">
      <w:pPr>
        <w:pStyle w:val="ListParagraph"/>
        <w:numPr>
          <w:ilvl w:val="0"/>
          <w:numId w:val="3"/>
        </w:numPr>
        <w:rPr>
          <w:sz w:val="26"/>
          <w:szCs w:val="26"/>
        </w:rPr>
      </w:pPr>
      <w:r w:rsidRPr="005F3D4D">
        <w:rPr>
          <w:sz w:val="26"/>
          <w:szCs w:val="26"/>
        </w:rPr>
        <w:t>May be express (</w:t>
      </w:r>
      <w:r w:rsidRPr="005F3D4D">
        <w:rPr>
          <w:b/>
          <w:bCs/>
          <w:i/>
          <w:iCs/>
          <w:sz w:val="26"/>
          <w:szCs w:val="26"/>
        </w:rPr>
        <w:t>Pascoe v Turner [1979]</w:t>
      </w:r>
      <w:r w:rsidRPr="005F3D4D">
        <w:rPr>
          <w:sz w:val="26"/>
          <w:szCs w:val="26"/>
        </w:rPr>
        <w:t>) – this is rare</w:t>
      </w:r>
    </w:p>
    <w:p w14:paraId="6DDEC7BD" w14:textId="77777777" w:rsidR="00573078" w:rsidRPr="005F3D4D" w:rsidRDefault="00573078" w:rsidP="00573078">
      <w:pPr>
        <w:pStyle w:val="ListParagraph"/>
        <w:numPr>
          <w:ilvl w:val="0"/>
          <w:numId w:val="3"/>
        </w:numPr>
        <w:rPr>
          <w:sz w:val="26"/>
          <w:szCs w:val="26"/>
        </w:rPr>
      </w:pPr>
      <w:r w:rsidRPr="005F3D4D">
        <w:rPr>
          <w:sz w:val="26"/>
          <w:szCs w:val="26"/>
        </w:rPr>
        <w:t>Courts allow more imprecise assurances within certain limits (</w:t>
      </w:r>
      <w:r w:rsidRPr="005F3D4D">
        <w:rPr>
          <w:b/>
          <w:bCs/>
          <w:i/>
          <w:iCs/>
          <w:sz w:val="26"/>
          <w:szCs w:val="26"/>
        </w:rPr>
        <w:t>Coombes v Smith [1986]</w:t>
      </w:r>
      <w:r w:rsidRPr="005F3D4D">
        <w:rPr>
          <w:sz w:val="26"/>
          <w:szCs w:val="26"/>
        </w:rPr>
        <w:t>)</w:t>
      </w:r>
    </w:p>
    <w:p w14:paraId="16A1995F" w14:textId="77777777" w:rsidR="00573078" w:rsidRPr="005F3D4D" w:rsidRDefault="00573078" w:rsidP="00573078">
      <w:pPr>
        <w:pStyle w:val="ListParagraph"/>
        <w:numPr>
          <w:ilvl w:val="0"/>
          <w:numId w:val="3"/>
        </w:numPr>
        <w:rPr>
          <w:sz w:val="26"/>
          <w:szCs w:val="26"/>
        </w:rPr>
      </w:pPr>
      <w:r w:rsidRPr="005F3D4D">
        <w:rPr>
          <w:sz w:val="26"/>
          <w:szCs w:val="26"/>
        </w:rPr>
        <w:t xml:space="preserve">Representation must refer to rights in the land </w:t>
      </w:r>
      <w:r w:rsidRPr="005F3D4D">
        <w:rPr>
          <w:b/>
          <w:bCs/>
          <w:i/>
          <w:iCs/>
          <w:sz w:val="26"/>
          <w:szCs w:val="26"/>
        </w:rPr>
        <w:t xml:space="preserve">Layton v Martin [1986] </w:t>
      </w:r>
    </w:p>
    <w:p w14:paraId="508580CA" w14:textId="77777777" w:rsidR="00573078" w:rsidRPr="005F3D4D" w:rsidRDefault="00573078" w:rsidP="00573078">
      <w:pPr>
        <w:pStyle w:val="ListParagraph"/>
        <w:numPr>
          <w:ilvl w:val="0"/>
          <w:numId w:val="3"/>
        </w:numPr>
        <w:rPr>
          <w:sz w:val="26"/>
          <w:szCs w:val="26"/>
        </w:rPr>
      </w:pPr>
      <w:r w:rsidRPr="005F3D4D">
        <w:rPr>
          <w:sz w:val="26"/>
          <w:szCs w:val="26"/>
        </w:rPr>
        <w:t xml:space="preserve">However, leading case of </w:t>
      </w:r>
      <w:proofErr w:type="spellStart"/>
      <w:r w:rsidRPr="005F3D4D">
        <w:rPr>
          <w:b/>
          <w:bCs/>
          <w:i/>
          <w:iCs/>
          <w:sz w:val="26"/>
          <w:szCs w:val="26"/>
        </w:rPr>
        <w:t>Thorner</w:t>
      </w:r>
      <w:proofErr w:type="spellEnd"/>
      <w:r w:rsidRPr="005F3D4D">
        <w:rPr>
          <w:b/>
          <w:bCs/>
          <w:i/>
          <w:iCs/>
          <w:sz w:val="26"/>
          <w:szCs w:val="26"/>
        </w:rPr>
        <w:t xml:space="preserve"> v Major [2009] </w:t>
      </w:r>
      <w:r w:rsidRPr="005F3D4D">
        <w:rPr>
          <w:sz w:val="26"/>
          <w:szCs w:val="26"/>
        </w:rPr>
        <w:t>reversed this – a lack of unequivocal representation not necessarily fatal to a claim – approach in the context of the parties relationship. Repeated implications that a right had been granted were sufficient despite no express statement.</w:t>
      </w:r>
    </w:p>
    <w:p w14:paraId="2CAAB6D3" w14:textId="1E8F612F" w:rsidR="00573078" w:rsidRPr="005F3D4D" w:rsidRDefault="00573078" w:rsidP="00573078">
      <w:pPr>
        <w:rPr>
          <w:i/>
          <w:iCs/>
          <w:sz w:val="26"/>
          <w:szCs w:val="26"/>
        </w:rPr>
      </w:pPr>
      <w:r w:rsidRPr="005F3D4D">
        <w:rPr>
          <w:i/>
          <w:iCs/>
          <w:sz w:val="26"/>
          <w:szCs w:val="26"/>
        </w:rPr>
        <w:t>Apply to Betty</w:t>
      </w:r>
    </w:p>
    <w:p w14:paraId="7D900D3B" w14:textId="3EF28B63" w:rsidR="00994BC9" w:rsidRPr="005F3D4D" w:rsidRDefault="00994BC9" w:rsidP="00994BC9">
      <w:pPr>
        <w:pStyle w:val="ListParagraph"/>
        <w:numPr>
          <w:ilvl w:val="0"/>
          <w:numId w:val="3"/>
        </w:numPr>
        <w:rPr>
          <w:sz w:val="26"/>
          <w:szCs w:val="26"/>
        </w:rPr>
      </w:pPr>
      <w:r w:rsidRPr="005F3D4D">
        <w:rPr>
          <w:sz w:val="26"/>
          <w:szCs w:val="26"/>
        </w:rPr>
        <w:t>Hard to say what the decision of the court will be.</w:t>
      </w:r>
    </w:p>
    <w:p w14:paraId="79DA3ACA" w14:textId="7F5427BA" w:rsidR="00994BC9" w:rsidRPr="005F3D4D" w:rsidRDefault="00994BC9" w:rsidP="00994BC9">
      <w:pPr>
        <w:pStyle w:val="ListParagraph"/>
        <w:numPr>
          <w:ilvl w:val="0"/>
          <w:numId w:val="3"/>
        </w:numPr>
        <w:rPr>
          <w:sz w:val="26"/>
          <w:szCs w:val="26"/>
        </w:rPr>
      </w:pPr>
      <w:r w:rsidRPr="005F3D4D">
        <w:rPr>
          <w:sz w:val="26"/>
          <w:szCs w:val="26"/>
        </w:rPr>
        <w:t xml:space="preserve">In her favour – father was taciturn and behaved as if she would have a greater right than her siblings </w:t>
      </w:r>
      <w:proofErr w:type="spellStart"/>
      <w:r w:rsidRPr="005F3D4D">
        <w:rPr>
          <w:sz w:val="26"/>
          <w:szCs w:val="26"/>
        </w:rPr>
        <w:t>eg</w:t>
      </w:r>
      <w:proofErr w:type="spellEnd"/>
      <w:r w:rsidRPr="005F3D4D">
        <w:rPr>
          <w:sz w:val="26"/>
          <w:szCs w:val="26"/>
        </w:rPr>
        <w:t xml:space="preserve"> documents relating to title and “your farm” comments</w:t>
      </w:r>
    </w:p>
    <w:p w14:paraId="30386761" w14:textId="60BAE4D6" w:rsidR="00994BC9" w:rsidRPr="005F3D4D" w:rsidRDefault="00994BC9" w:rsidP="00994BC9">
      <w:pPr>
        <w:pStyle w:val="ListParagraph"/>
        <w:numPr>
          <w:ilvl w:val="0"/>
          <w:numId w:val="3"/>
        </w:numPr>
        <w:rPr>
          <w:sz w:val="26"/>
          <w:szCs w:val="26"/>
        </w:rPr>
      </w:pPr>
      <w:r w:rsidRPr="005F3D4D">
        <w:rPr>
          <w:sz w:val="26"/>
          <w:szCs w:val="26"/>
        </w:rPr>
        <w:t>Against her – absence of an express representation which would prevent any claim for estoppel – “taking “ of her could mean a variety of different things.</w:t>
      </w:r>
    </w:p>
    <w:p w14:paraId="7CE9C007" w14:textId="71354EB8" w:rsidR="00994BC9" w:rsidRPr="005F3D4D" w:rsidRDefault="00994BC9" w:rsidP="00994BC9">
      <w:pPr>
        <w:rPr>
          <w:sz w:val="26"/>
          <w:szCs w:val="26"/>
        </w:rPr>
      </w:pPr>
    </w:p>
    <w:p w14:paraId="2519ED2B" w14:textId="3D46AAB6" w:rsidR="00994BC9" w:rsidRPr="005F3D4D" w:rsidRDefault="00994BC9" w:rsidP="00994BC9">
      <w:pPr>
        <w:rPr>
          <w:sz w:val="26"/>
          <w:szCs w:val="26"/>
        </w:rPr>
      </w:pPr>
      <w:r w:rsidRPr="005F3D4D">
        <w:rPr>
          <w:sz w:val="26"/>
          <w:szCs w:val="26"/>
        </w:rPr>
        <w:t>Reliance on the assurance</w:t>
      </w:r>
    </w:p>
    <w:p w14:paraId="5B0FE6E6" w14:textId="3534C851" w:rsidR="00994BC9" w:rsidRPr="005F3D4D" w:rsidRDefault="00994BC9" w:rsidP="00994BC9">
      <w:pPr>
        <w:pStyle w:val="ListParagraph"/>
        <w:numPr>
          <w:ilvl w:val="0"/>
          <w:numId w:val="3"/>
        </w:numPr>
        <w:rPr>
          <w:sz w:val="26"/>
          <w:szCs w:val="26"/>
        </w:rPr>
      </w:pPr>
      <w:r w:rsidRPr="005F3D4D">
        <w:rPr>
          <w:sz w:val="26"/>
          <w:szCs w:val="26"/>
        </w:rPr>
        <w:t>If a sufficient assurance is found she will have to prove reliance.</w:t>
      </w:r>
    </w:p>
    <w:p w14:paraId="44F5A245" w14:textId="77BF60EE" w:rsidR="00994BC9" w:rsidRPr="005F3D4D" w:rsidRDefault="00994BC9" w:rsidP="00994BC9">
      <w:pPr>
        <w:pStyle w:val="ListParagraph"/>
        <w:numPr>
          <w:ilvl w:val="0"/>
          <w:numId w:val="3"/>
        </w:numPr>
        <w:rPr>
          <w:sz w:val="26"/>
          <w:szCs w:val="26"/>
        </w:rPr>
      </w:pPr>
      <w:r w:rsidRPr="005F3D4D">
        <w:rPr>
          <w:sz w:val="26"/>
          <w:szCs w:val="26"/>
        </w:rPr>
        <w:t>Reliance and detriment remain separate elements but in practice the evidence for both is often the same.</w:t>
      </w:r>
    </w:p>
    <w:p w14:paraId="03F67D08" w14:textId="7BB4E327" w:rsidR="00994BC9" w:rsidRPr="005F3D4D" w:rsidRDefault="00994BC9" w:rsidP="00994BC9">
      <w:pPr>
        <w:pStyle w:val="ListParagraph"/>
        <w:numPr>
          <w:ilvl w:val="0"/>
          <w:numId w:val="3"/>
        </w:numPr>
        <w:rPr>
          <w:sz w:val="26"/>
          <w:szCs w:val="26"/>
        </w:rPr>
      </w:pPr>
      <w:r w:rsidRPr="005F3D4D">
        <w:rPr>
          <w:sz w:val="26"/>
          <w:szCs w:val="26"/>
        </w:rPr>
        <w:t xml:space="preserve">She was willing to stay with him any without the assurance but this would not in itself stop her from having relied on it – </w:t>
      </w:r>
      <w:r w:rsidRPr="005F3D4D">
        <w:rPr>
          <w:b/>
          <w:bCs/>
          <w:i/>
          <w:iCs/>
          <w:sz w:val="26"/>
          <w:szCs w:val="26"/>
        </w:rPr>
        <w:t>Campbell v Griffin [2001].</w:t>
      </w:r>
    </w:p>
    <w:p w14:paraId="657B39CA" w14:textId="40977AE5" w:rsidR="00994BC9" w:rsidRPr="005F3D4D" w:rsidRDefault="00994BC9" w:rsidP="00994BC9">
      <w:pPr>
        <w:pStyle w:val="ListParagraph"/>
        <w:numPr>
          <w:ilvl w:val="0"/>
          <w:numId w:val="3"/>
        </w:numPr>
        <w:rPr>
          <w:sz w:val="26"/>
          <w:szCs w:val="26"/>
        </w:rPr>
      </w:pPr>
      <w:r w:rsidRPr="005F3D4D">
        <w:rPr>
          <w:sz w:val="26"/>
          <w:szCs w:val="26"/>
        </w:rPr>
        <w:lastRenderedPageBreak/>
        <w:t xml:space="preserve">Betty wished to move to Manchester and turning down alternative opportunities can be considered both reliance and detriment – </w:t>
      </w:r>
      <w:r w:rsidRPr="005F3D4D">
        <w:rPr>
          <w:b/>
          <w:bCs/>
          <w:i/>
          <w:iCs/>
          <w:sz w:val="26"/>
          <w:szCs w:val="26"/>
        </w:rPr>
        <w:t>Re Basham [1986].</w:t>
      </w:r>
    </w:p>
    <w:p w14:paraId="0E526DF9" w14:textId="2A53D104" w:rsidR="00994BC9" w:rsidRPr="005F3D4D" w:rsidRDefault="00994BC9" w:rsidP="00994BC9">
      <w:pPr>
        <w:rPr>
          <w:sz w:val="26"/>
          <w:szCs w:val="26"/>
        </w:rPr>
      </w:pPr>
      <w:r w:rsidRPr="005F3D4D">
        <w:rPr>
          <w:sz w:val="26"/>
          <w:szCs w:val="26"/>
        </w:rPr>
        <w:t>Detriment</w:t>
      </w:r>
    </w:p>
    <w:p w14:paraId="6C8646E4" w14:textId="34ACA780" w:rsidR="00994BC9" w:rsidRPr="005F3D4D" w:rsidRDefault="00994BC9" w:rsidP="00994BC9">
      <w:pPr>
        <w:pStyle w:val="ListParagraph"/>
        <w:numPr>
          <w:ilvl w:val="0"/>
          <w:numId w:val="3"/>
        </w:numPr>
        <w:rPr>
          <w:sz w:val="26"/>
          <w:szCs w:val="26"/>
        </w:rPr>
      </w:pPr>
      <w:r w:rsidRPr="005F3D4D">
        <w:rPr>
          <w:sz w:val="26"/>
          <w:szCs w:val="26"/>
        </w:rPr>
        <w:t>Arguably she did not act to her detriment as she was paid</w:t>
      </w:r>
      <w:r w:rsidR="00F40D9B" w:rsidRPr="005F3D4D">
        <w:rPr>
          <w:sz w:val="26"/>
          <w:szCs w:val="26"/>
        </w:rPr>
        <w:t>.</w:t>
      </w:r>
    </w:p>
    <w:p w14:paraId="5EA29DD5" w14:textId="51428AC1" w:rsidR="00F40D9B" w:rsidRPr="005F3D4D" w:rsidRDefault="00F40D9B" w:rsidP="00994BC9">
      <w:pPr>
        <w:pStyle w:val="ListParagraph"/>
        <w:numPr>
          <w:ilvl w:val="0"/>
          <w:numId w:val="3"/>
        </w:numPr>
        <w:rPr>
          <w:sz w:val="26"/>
          <w:szCs w:val="26"/>
        </w:rPr>
      </w:pPr>
      <w:r w:rsidRPr="005F3D4D">
        <w:rPr>
          <w:b/>
          <w:bCs/>
          <w:i/>
          <w:iCs/>
          <w:sz w:val="26"/>
          <w:szCs w:val="26"/>
        </w:rPr>
        <w:t xml:space="preserve">Gillet v Holt [2000] </w:t>
      </w:r>
      <w:r w:rsidRPr="005F3D4D">
        <w:rPr>
          <w:sz w:val="26"/>
          <w:szCs w:val="26"/>
        </w:rPr>
        <w:t xml:space="preserve">court must balance any benefits against the detriment suffered – so compare her modest earnings with her potential earnings as a graduate; work she put in caring for father and farm and effect on social life – </w:t>
      </w:r>
      <w:r w:rsidRPr="005F3D4D">
        <w:rPr>
          <w:b/>
          <w:bCs/>
          <w:i/>
          <w:iCs/>
          <w:sz w:val="26"/>
          <w:szCs w:val="26"/>
        </w:rPr>
        <w:t xml:space="preserve">Davies v Davies [2014] </w:t>
      </w:r>
      <w:r w:rsidRPr="005F3D4D">
        <w:rPr>
          <w:sz w:val="26"/>
          <w:szCs w:val="26"/>
        </w:rPr>
        <w:t>– on balance she can demonstrate detriment.</w:t>
      </w:r>
    </w:p>
    <w:p w14:paraId="00D1E449" w14:textId="444CEA83" w:rsidR="00F40D9B" w:rsidRPr="005F3D4D" w:rsidRDefault="00F40D9B" w:rsidP="00F40D9B">
      <w:pPr>
        <w:rPr>
          <w:sz w:val="26"/>
          <w:szCs w:val="26"/>
        </w:rPr>
      </w:pPr>
      <w:r w:rsidRPr="005F3D4D">
        <w:rPr>
          <w:sz w:val="26"/>
          <w:szCs w:val="26"/>
        </w:rPr>
        <w:t>Remedy – the final step</w:t>
      </w:r>
    </w:p>
    <w:p w14:paraId="55CD88BE" w14:textId="51E2E371" w:rsidR="00F40D9B" w:rsidRPr="005F3D4D" w:rsidRDefault="00F40D9B" w:rsidP="00F40D9B">
      <w:pPr>
        <w:pStyle w:val="ListParagraph"/>
        <w:numPr>
          <w:ilvl w:val="0"/>
          <w:numId w:val="3"/>
        </w:numPr>
        <w:rPr>
          <w:sz w:val="26"/>
          <w:szCs w:val="26"/>
        </w:rPr>
      </w:pPr>
      <w:r w:rsidRPr="005F3D4D">
        <w:rPr>
          <w:sz w:val="26"/>
          <w:szCs w:val="26"/>
        </w:rPr>
        <w:t>Difficult exercise for the court – because it denies a 3</w:t>
      </w:r>
      <w:r w:rsidRPr="005F3D4D">
        <w:rPr>
          <w:sz w:val="26"/>
          <w:szCs w:val="26"/>
          <w:vertAlign w:val="superscript"/>
        </w:rPr>
        <w:t>rd</w:t>
      </w:r>
      <w:r w:rsidRPr="005F3D4D">
        <w:rPr>
          <w:sz w:val="26"/>
          <w:szCs w:val="26"/>
        </w:rPr>
        <w:t xml:space="preserve"> party their legal right.</w:t>
      </w:r>
    </w:p>
    <w:p w14:paraId="083C3434" w14:textId="6E7DB344" w:rsidR="00F40D9B" w:rsidRPr="005F3D4D" w:rsidRDefault="00F40D9B" w:rsidP="00F40D9B">
      <w:pPr>
        <w:pStyle w:val="ListParagraph"/>
        <w:numPr>
          <w:ilvl w:val="0"/>
          <w:numId w:val="3"/>
        </w:numPr>
        <w:rPr>
          <w:sz w:val="26"/>
          <w:szCs w:val="26"/>
        </w:rPr>
      </w:pPr>
      <w:r w:rsidRPr="005F3D4D">
        <w:rPr>
          <w:sz w:val="26"/>
          <w:szCs w:val="26"/>
        </w:rPr>
        <w:t>Traditional idea was to award Cl their expectation but courts have stepped away from that.</w:t>
      </w:r>
    </w:p>
    <w:p w14:paraId="4D2EBBD8" w14:textId="5A56C6F1" w:rsidR="005F3D4D" w:rsidRPr="005F3D4D" w:rsidRDefault="00F40D9B" w:rsidP="005F3D4D">
      <w:pPr>
        <w:pStyle w:val="ListParagraph"/>
        <w:numPr>
          <w:ilvl w:val="0"/>
          <w:numId w:val="3"/>
        </w:numPr>
        <w:rPr>
          <w:sz w:val="26"/>
          <w:szCs w:val="26"/>
        </w:rPr>
      </w:pPr>
      <w:r w:rsidRPr="005F3D4D">
        <w:rPr>
          <w:b/>
          <w:bCs/>
          <w:i/>
          <w:iCs/>
          <w:sz w:val="26"/>
          <w:szCs w:val="26"/>
        </w:rPr>
        <w:t xml:space="preserve">Jennings v Rice [2002] </w:t>
      </w:r>
      <w:r w:rsidRPr="005F3D4D">
        <w:rPr>
          <w:sz w:val="26"/>
          <w:szCs w:val="26"/>
        </w:rPr>
        <w:t xml:space="preserve">– </w:t>
      </w:r>
      <w:proofErr w:type="spellStart"/>
      <w:r w:rsidRPr="005F3D4D">
        <w:rPr>
          <w:sz w:val="26"/>
          <w:szCs w:val="26"/>
        </w:rPr>
        <w:t>CofA</w:t>
      </w:r>
      <w:proofErr w:type="spellEnd"/>
      <w:r w:rsidRPr="005F3D4D">
        <w:rPr>
          <w:sz w:val="26"/>
          <w:szCs w:val="26"/>
        </w:rPr>
        <w:t xml:space="preserve"> </w:t>
      </w:r>
      <w:r w:rsidR="005F3D4D" w:rsidRPr="005F3D4D">
        <w:rPr>
          <w:sz w:val="26"/>
          <w:szCs w:val="26"/>
        </w:rPr>
        <w:t xml:space="preserve">approved </w:t>
      </w:r>
      <w:proofErr w:type="spellStart"/>
      <w:r w:rsidR="005F3D4D" w:rsidRPr="005F3D4D">
        <w:rPr>
          <w:sz w:val="26"/>
          <w:szCs w:val="26"/>
        </w:rPr>
        <w:t>Sacrman</w:t>
      </w:r>
      <w:proofErr w:type="spellEnd"/>
      <w:r w:rsidR="005F3D4D" w:rsidRPr="005F3D4D">
        <w:rPr>
          <w:sz w:val="26"/>
          <w:szCs w:val="26"/>
        </w:rPr>
        <w:t xml:space="preserve"> LJ in </w:t>
      </w:r>
      <w:r w:rsidR="005F3D4D" w:rsidRPr="005F3D4D">
        <w:rPr>
          <w:b/>
          <w:bCs/>
          <w:i/>
          <w:iCs/>
          <w:sz w:val="26"/>
          <w:szCs w:val="26"/>
        </w:rPr>
        <w:t xml:space="preserve">Crabb v Arun DC [1976] </w:t>
      </w:r>
      <w:r w:rsidR="005F3D4D" w:rsidRPr="005F3D4D">
        <w:rPr>
          <w:sz w:val="26"/>
          <w:szCs w:val="26"/>
        </w:rPr>
        <w:t>– the remedy should be “the minimum to do justice to the plaintiff”.</w:t>
      </w:r>
    </w:p>
    <w:p w14:paraId="4E1AEA1C" w14:textId="2C6C96C2" w:rsidR="005F3D4D" w:rsidRPr="005F3D4D" w:rsidRDefault="005F3D4D" w:rsidP="005F3D4D">
      <w:pPr>
        <w:rPr>
          <w:sz w:val="26"/>
          <w:szCs w:val="26"/>
        </w:rPr>
      </w:pPr>
      <w:r w:rsidRPr="005F3D4D">
        <w:rPr>
          <w:sz w:val="26"/>
          <w:szCs w:val="26"/>
        </w:rPr>
        <w:t>Conclude</w:t>
      </w:r>
    </w:p>
    <w:p w14:paraId="3254F648" w14:textId="2FCA76A0" w:rsidR="005F3D4D" w:rsidRPr="005F3D4D" w:rsidRDefault="005F3D4D" w:rsidP="005F3D4D">
      <w:pPr>
        <w:pStyle w:val="ListParagraph"/>
        <w:numPr>
          <w:ilvl w:val="0"/>
          <w:numId w:val="3"/>
        </w:numPr>
        <w:rPr>
          <w:sz w:val="26"/>
          <w:szCs w:val="26"/>
        </w:rPr>
      </w:pPr>
      <w:r w:rsidRPr="005F3D4D">
        <w:rPr>
          <w:sz w:val="26"/>
          <w:szCs w:val="26"/>
        </w:rPr>
        <w:t>Unlikely to be a generous award.  Even if can demonstrate a sufficient assurance she is already getting over £1m.</w:t>
      </w:r>
    </w:p>
    <w:p w14:paraId="053598A4" w14:textId="27965214" w:rsidR="005F3D4D" w:rsidRPr="005F3D4D" w:rsidRDefault="005F3D4D" w:rsidP="005F3D4D">
      <w:pPr>
        <w:pStyle w:val="ListParagraph"/>
        <w:numPr>
          <w:ilvl w:val="0"/>
          <w:numId w:val="3"/>
        </w:numPr>
        <w:rPr>
          <w:sz w:val="26"/>
          <w:szCs w:val="26"/>
        </w:rPr>
      </w:pPr>
      <w:r w:rsidRPr="005F3D4D">
        <w:rPr>
          <w:sz w:val="26"/>
          <w:szCs w:val="26"/>
        </w:rPr>
        <w:t>Arguably she will be “taken care” of and will receive what had been promised.</w:t>
      </w:r>
    </w:p>
    <w:p w14:paraId="70CE6CE1" w14:textId="01F09861" w:rsidR="005F3D4D" w:rsidRPr="005F3D4D" w:rsidRDefault="005F3D4D" w:rsidP="005F3D4D">
      <w:pPr>
        <w:pStyle w:val="ListParagraph"/>
        <w:numPr>
          <w:ilvl w:val="0"/>
          <w:numId w:val="3"/>
        </w:numPr>
        <w:rPr>
          <w:sz w:val="26"/>
          <w:szCs w:val="26"/>
        </w:rPr>
      </w:pPr>
      <w:r w:rsidRPr="005F3D4D">
        <w:rPr>
          <w:sz w:val="26"/>
          <w:szCs w:val="26"/>
        </w:rPr>
        <w:t xml:space="preserve">Unlikely to be awarded the </w:t>
      </w:r>
      <w:proofErr w:type="spellStart"/>
      <w:r w:rsidRPr="005F3D4D">
        <w:rPr>
          <w:sz w:val="26"/>
          <w:szCs w:val="26"/>
        </w:rPr>
        <w:t>freehiold</w:t>
      </w:r>
      <w:proofErr w:type="spellEnd"/>
      <w:r w:rsidRPr="005F3D4D">
        <w:rPr>
          <w:sz w:val="26"/>
          <w:szCs w:val="26"/>
        </w:rPr>
        <w:t xml:space="preserve"> or right to reside – others are likely to want a sale.</w:t>
      </w:r>
    </w:p>
    <w:p w14:paraId="061284FA" w14:textId="55FC8BC6" w:rsidR="005F3D4D" w:rsidRPr="005F3D4D" w:rsidRDefault="005F3D4D" w:rsidP="005F3D4D">
      <w:pPr>
        <w:pStyle w:val="ListParagraph"/>
        <w:numPr>
          <w:ilvl w:val="0"/>
          <w:numId w:val="3"/>
        </w:numPr>
        <w:rPr>
          <w:sz w:val="26"/>
          <w:szCs w:val="26"/>
        </w:rPr>
      </w:pPr>
      <w:r w:rsidRPr="005F3D4D">
        <w:rPr>
          <w:sz w:val="26"/>
          <w:szCs w:val="26"/>
        </w:rPr>
        <w:t>Potentially it would be inequitable not to take account of her additional sacrifices (running the farm, caring for father etc).  Court may give financial compensation giving her more of the proceeds of sale.</w:t>
      </w:r>
    </w:p>
    <w:p w14:paraId="548B061E" w14:textId="557CCBC1" w:rsidR="005F3D4D" w:rsidRPr="005F3D4D" w:rsidRDefault="005F3D4D" w:rsidP="005F3D4D">
      <w:pPr>
        <w:pStyle w:val="ListParagraph"/>
        <w:numPr>
          <w:ilvl w:val="0"/>
          <w:numId w:val="3"/>
        </w:numPr>
        <w:rPr>
          <w:sz w:val="26"/>
          <w:szCs w:val="26"/>
        </w:rPr>
      </w:pPr>
      <w:r w:rsidRPr="005F3D4D">
        <w:rPr>
          <w:sz w:val="26"/>
          <w:szCs w:val="26"/>
        </w:rPr>
        <w:t xml:space="preserve">Court may follow the approach in </w:t>
      </w:r>
      <w:r w:rsidRPr="005F3D4D">
        <w:rPr>
          <w:b/>
          <w:bCs/>
          <w:i/>
          <w:iCs/>
          <w:sz w:val="26"/>
          <w:szCs w:val="26"/>
        </w:rPr>
        <w:t xml:space="preserve">Jennings v Rice </w:t>
      </w:r>
      <w:r w:rsidRPr="005F3D4D">
        <w:rPr>
          <w:sz w:val="26"/>
          <w:szCs w:val="26"/>
        </w:rPr>
        <w:t>and use reliance loss as the measure – what has she lost during the years caring for her father.</w:t>
      </w:r>
    </w:p>
    <w:p w14:paraId="2C3496A5" w14:textId="77777777" w:rsidR="00573078" w:rsidRPr="005F3D4D" w:rsidRDefault="00573078" w:rsidP="00573078">
      <w:pPr>
        <w:rPr>
          <w:sz w:val="26"/>
          <w:szCs w:val="26"/>
        </w:rPr>
      </w:pPr>
    </w:p>
    <w:p w14:paraId="2DA69F8A" w14:textId="2FA191D7" w:rsidR="00FD564F" w:rsidRPr="005F3D4D" w:rsidRDefault="00FD564F" w:rsidP="00205423">
      <w:pPr>
        <w:rPr>
          <w:sz w:val="28"/>
          <w:szCs w:val="28"/>
          <w:lang w:val="en-US"/>
        </w:rPr>
      </w:pPr>
    </w:p>
    <w:sectPr w:rsidR="00FD564F" w:rsidRPr="005F3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F4506"/>
    <w:multiLevelType w:val="hybridMultilevel"/>
    <w:tmpl w:val="5CDE2BEA"/>
    <w:lvl w:ilvl="0" w:tplc="2E26E8D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132B6"/>
    <w:multiLevelType w:val="hybridMultilevel"/>
    <w:tmpl w:val="08A89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195565"/>
    <w:multiLevelType w:val="hybridMultilevel"/>
    <w:tmpl w:val="F88C94A0"/>
    <w:lvl w:ilvl="0" w:tplc="2E26E8D6">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423"/>
    <w:rsid w:val="00205423"/>
    <w:rsid w:val="00386795"/>
    <w:rsid w:val="00573078"/>
    <w:rsid w:val="005F3D4D"/>
    <w:rsid w:val="009257EB"/>
    <w:rsid w:val="00994BC9"/>
    <w:rsid w:val="00A5305E"/>
    <w:rsid w:val="00F40D9B"/>
    <w:rsid w:val="00FD5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9BD9B"/>
  <w15:chartTrackingRefBased/>
  <w15:docId w15:val="{BD9E4C20-8DE8-4CE5-8567-2A54439DD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cp:lastPrinted>2020-02-04T09:30:00Z</cp:lastPrinted>
  <dcterms:created xsi:type="dcterms:W3CDTF">2021-03-22T12:18:00Z</dcterms:created>
  <dcterms:modified xsi:type="dcterms:W3CDTF">2021-03-22T12:18:00Z</dcterms:modified>
</cp:coreProperties>
</file>