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07A1E" w14:textId="4EB5C874" w:rsidR="001C296B" w:rsidRPr="001C296B" w:rsidRDefault="00A91770" w:rsidP="001C296B">
      <w:r>
        <w:rPr>
          <w:noProof/>
        </w:rPr>
        <w:drawing>
          <wp:anchor distT="0" distB="0" distL="114300" distR="114300" simplePos="0" relativeHeight="251670528" behindDoc="1" locked="0" layoutInCell="1" allowOverlap="1" wp14:anchorId="5C005497" wp14:editId="21B777AC">
            <wp:simplePos x="0" y="0"/>
            <wp:positionH relativeFrom="page">
              <wp:align>left</wp:align>
            </wp:positionH>
            <wp:positionV relativeFrom="page">
              <wp:posOffset>12700</wp:posOffset>
            </wp:positionV>
            <wp:extent cx="3136900" cy="2603500"/>
            <wp:effectExtent l="0" t="0" r="6350" b="6350"/>
            <wp:wrapTight wrapText="bothSides">
              <wp:wrapPolygon edited="0">
                <wp:start x="0" y="0"/>
                <wp:lineTo x="0" y="21495"/>
                <wp:lineTo x="21513" y="21495"/>
                <wp:lineTo x="21513" y="0"/>
                <wp:lineTo x="0" y="0"/>
              </wp:wrapPolygon>
            </wp:wrapTight>
            <wp:docPr id="2037079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36900" cy="2603500"/>
                    </a:xfrm>
                    <a:prstGeom prst="rect">
                      <a:avLst/>
                    </a:prstGeom>
                    <a:noFill/>
                  </pic:spPr>
                </pic:pic>
              </a:graphicData>
            </a:graphic>
            <wp14:sizeRelH relativeFrom="margin">
              <wp14:pctWidth>0</wp14:pctWidth>
            </wp14:sizeRelH>
            <wp14:sizeRelV relativeFrom="margin">
              <wp14:pctHeight>0</wp14:pctHeight>
            </wp14:sizeRelV>
          </wp:anchor>
        </w:drawing>
      </w:r>
      <w:r w:rsidR="001C296B">
        <w:rPr>
          <w:noProof/>
        </w:rPr>
        <w:drawing>
          <wp:anchor distT="0" distB="0" distL="114300" distR="114300" simplePos="0" relativeHeight="251669504" behindDoc="1" locked="0" layoutInCell="1" allowOverlap="1" wp14:anchorId="3246926E" wp14:editId="7FD47A08">
            <wp:simplePos x="0" y="0"/>
            <wp:positionH relativeFrom="margin">
              <wp:posOffset>3746500</wp:posOffset>
            </wp:positionH>
            <wp:positionV relativeFrom="page">
              <wp:posOffset>53975</wp:posOffset>
            </wp:positionV>
            <wp:extent cx="2597150" cy="562610"/>
            <wp:effectExtent l="0" t="0" r="0" b="8890"/>
            <wp:wrapTight wrapText="bothSides">
              <wp:wrapPolygon edited="0">
                <wp:start x="14576" y="0"/>
                <wp:lineTo x="4119" y="2926"/>
                <wp:lineTo x="1743" y="5120"/>
                <wp:lineTo x="1743" y="11702"/>
                <wp:lineTo x="0" y="14628"/>
                <wp:lineTo x="0" y="20479"/>
                <wp:lineTo x="792" y="21210"/>
                <wp:lineTo x="6813" y="21210"/>
                <wp:lineTo x="15210" y="21210"/>
                <wp:lineTo x="19329" y="18284"/>
                <wp:lineTo x="19171" y="11702"/>
                <wp:lineTo x="21389" y="7314"/>
                <wp:lineTo x="21389" y="731"/>
                <wp:lineTo x="20438" y="0"/>
                <wp:lineTo x="14576" y="0"/>
              </wp:wrapPolygon>
            </wp:wrapTight>
            <wp:docPr id="1863291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97150" cy="562610"/>
                    </a:xfrm>
                    <a:prstGeom prst="rect">
                      <a:avLst/>
                    </a:prstGeom>
                    <a:noFill/>
                  </pic:spPr>
                </pic:pic>
              </a:graphicData>
            </a:graphic>
            <wp14:sizeRelH relativeFrom="margin">
              <wp14:pctWidth>0</wp14:pctWidth>
            </wp14:sizeRelH>
            <wp14:sizeRelV relativeFrom="margin">
              <wp14:pctHeight>0</wp14:pctHeight>
            </wp14:sizeRelV>
          </wp:anchor>
        </w:drawing>
      </w:r>
      <w:r w:rsidR="001C296B">
        <w:rPr>
          <w:noProof/>
        </w:rPr>
        <mc:AlternateContent>
          <mc:Choice Requires="wps">
            <w:drawing>
              <wp:anchor distT="0" distB="0" distL="114300" distR="114300" simplePos="0" relativeHeight="251659264" behindDoc="0" locked="0" layoutInCell="1" allowOverlap="1" wp14:anchorId="11FF92AA" wp14:editId="28A7F31F">
                <wp:simplePos x="0" y="0"/>
                <wp:positionH relativeFrom="page">
                  <wp:align>right</wp:align>
                </wp:positionH>
                <wp:positionV relativeFrom="paragraph">
                  <wp:posOffset>241300</wp:posOffset>
                </wp:positionV>
                <wp:extent cx="4406900" cy="1460500"/>
                <wp:effectExtent l="0" t="0" r="12700" b="25400"/>
                <wp:wrapNone/>
                <wp:docPr id="129011086" name="Text Box 1"/>
                <wp:cNvGraphicFramePr/>
                <a:graphic xmlns:a="http://schemas.openxmlformats.org/drawingml/2006/main">
                  <a:graphicData uri="http://schemas.microsoft.com/office/word/2010/wordprocessingShape">
                    <wps:wsp>
                      <wps:cNvSpPr txBox="1"/>
                      <wps:spPr>
                        <a:xfrm>
                          <a:off x="0" y="0"/>
                          <a:ext cx="4406900" cy="1460500"/>
                        </a:xfrm>
                        <a:prstGeom prst="rect">
                          <a:avLst/>
                        </a:prstGeom>
                        <a:solidFill>
                          <a:schemeClr val="bg1">
                            <a:lumMod val="65000"/>
                          </a:schemeClr>
                        </a:solidFill>
                        <a:ln w="6350">
                          <a:solidFill>
                            <a:prstClr val="black"/>
                          </a:solidFill>
                        </a:ln>
                      </wps:spPr>
                      <wps:txbx>
                        <w:txbxContent>
                          <w:p w14:paraId="41E915A7" w14:textId="7883A6B5" w:rsidR="00685483" w:rsidRPr="00685483" w:rsidRDefault="00685483" w:rsidP="00685483">
                            <w:pPr>
                              <w:rPr>
                                <w:rFonts w:ascii="Britannic Bold" w:hAnsi="Britannic Bold"/>
                                <w:sz w:val="16"/>
                                <w:szCs w:val="16"/>
                              </w:rPr>
                            </w:pPr>
                            <w:r w:rsidRPr="00685483">
                              <w:rPr>
                                <w:rFonts w:ascii="Britannic Bold" w:hAnsi="Britannic Bold"/>
                                <w:sz w:val="16"/>
                                <w:szCs w:val="16"/>
                              </w:rPr>
                              <w:t>Introduction</w:t>
                            </w:r>
                            <w:r w:rsidRPr="00685483">
                              <w:rPr>
                                <w:rFonts w:ascii="Britannic Bold" w:hAnsi="Britannic Bold"/>
                                <w:sz w:val="16"/>
                                <w:szCs w:val="16"/>
                              </w:rPr>
                              <w:br/>
                              <w:t>Community development programs are crucial for empowering individuals and encouraging long-term progress in their communities. They act as platforms for tackling societal, economic, and cultural issues by connecting people and giving resources to improve quality of life. This study summarises my findings on Prosiect Cadarnhad, a community development effort based in West Wales, notably in the counties of Ceredigion, Carmarthenshire, and Pembrokeshire.</w:t>
                            </w:r>
                            <w:r w:rsidRPr="00685483">
                              <w:rPr>
                                <w:rFonts w:ascii="Britannic Bold" w:hAnsi="Britannic Bold"/>
                                <w:sz w:val="16"/>
                                <w:szCs w:val="16"/>
                              </w:rPr>
                              <w:br/>
                              <w:t>The initiative exemplifies how recognising abilities, preserving culture, and being inclusive can alter communities. This paper not only highlights the initiative's major characteristics, but also identifies strategies to contribute to its long-term success.</w:t>
                            </w:r>
                          </w:p>
                          <w:p w14:paraId="5226AAFB" w14:textId="77777777" w:rsidR="00685483" w:rsidRDefault="006854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FF92AA" id="_x0000_t202" coordsize="21600,21600" o:spt="202" path="m,l,21600r21600,l21600,xe">
                <v:stroke joinstyle="miter"/>
                <v:path gradientshapeok="t" o:connecttype="rect"/>
              </v:shapetype>
              <v:shape id="Text Box 1" o:spid="_x0000_s1026" type="#_x0000_t202" style="position:absolute;margin-left:295.8pt;margin-top:19pt;width:347pt;height:11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" fillcolor="#a5a5a5 [2092]" strokeweight=".5pt">
                <v:textbox>
                  <w:txbxContent>
                    <w:p w14:paraId="41E915A7" w14:textId="7883A6B5" w:rsidR="00685483" w:rsidRPr="00685483" w:rsidRDefault="00685483" w:rsidP="00685483">
                      <w:pPr>
                        <w:rPr>
                          <w:rFonts w:ascii="Britannic Bold" w:hAnsi="Britannic Bold"/>
                          <w:sz w:val="16"/>
                          <w:szCs w:val="16"/>
                        </w:rPr>
                      </w:pPr>
                      <w:r w:rsidRPr="00685483">
                        <w:rPr>
                          <w:rFonts w:ascii="Britannic Bold" w:hAnsi="Britannic Bold"/>
                          <w:sz w:val="16"/>
                          <w:szCs w:val="16"/>
                        </w:rPr>
                        <w:t>Introduction</w:t>
                      </w:r>
                      <w:r w:rsidRPr="00685483">
                        <w:rPr>
                          <w:rFonts w:ascii="Britannic Bold" w:hAnsi="Britannic Bold"/>
                          <w:sz w:val="16"/>
                          <w:szCs w:val="16"/>
                        </w:rPr>
                        <w:br/>
                        <w:t>Community development programs are crucial for empowering individuals and encouraging long-term progress in their communities. They act as platforms for tackling societal, economic, and cultural issues by connecting people and giving resources to improve quality of life. This study summarises my findings on Prosiect Cadarnhad, a community development effort based in West Wales, notably in the counties of Ceredigion, Carmarthenshire, and Pembrokeshire.</w:t>
                      </w:r>
                      <w:r w:rsidRPr="00685483">
                        <w:rPr>
                          <w:rFonts w:ascii="Britannic Bold" w:hAnsi="Britannic Bold"/>
                          <w:sz w:val="16"/>
                          <w:szCs w:val="16"/>
                        </w:rPr>
                        <w:br/>
                        <w:t>The initiative exemplifies how recognising abilities, preserving culture, and being inclusive can alter communities. This paper not only highlights the initiative's major characteristics, but also identifies strategies to contribute to its long-term success.</w:t>
                      </w:r>
                    </w:p>
                    <w:p w14:paraId="5226AAFB" w14:textId="77777777" w:rsidR="00685483" w:rsidRDefault="00685483"/>
                  </w:txbxContent>
                </v:textbox>
                <w10:wrap anchorx="page"/>
              </v:shape>
            </w:pict>
          </mc:Fallback>
        </mc:AlternateContent>
      </w:r>
    </w:p>
    <w:p w14:paraId="083BB106" w14:textId="66631841" w:rsidR="00685483" w:rsidRDefault="001C296B">
      <w:r>
        <w:rPr>
          <w:noProof/>
        </w:rPr>
        <mc:AlternateContent>
          <mc:Choice Requires="wps">
            <w:drawing>
              <wp:anchor distT="0" distB="0" distL="114300" distR="114300" simplePos="0" relativeHeight="251665408" behindDoc="0" locked="0" layoutInCell="1" allowOverlap="1" wp14:anchorId="688291C9" wp14:editId="28BA5F75">
                <wp:simplePos x="0" y="0"/>
                <wp:positionH relativeFrom="page">
                  <wp:align>right</wp:align>
                </wp:positionH>
                <wp:positionV relativeFrom="paragraph">
                  <wp:posOffset>1397635</wp:posOffset>
                </wp:positionV>
                <wp:extent cx="1866900" cy="5429250"/>
                <wp:effectExtent l="0" t="0" r="19050" b="19050"/>
                <wp:wrapNone/>
                <wp:docPr id="88185858" name="Text Box 5"/>
                <wp:cNvGraphicFramePr/>
                <a:graphic xmlns:a="http://schemas.openxmlformats.org/drawingml/2006/main">
                  <a:graphicData uri="http://schemas.microsoft.com/office/word/2010/wordprocessingShape">
                    <wps:wsp>
                      <wps:cNvSpPr txBox="1"/>
                      <wps:spPr>
                        <a:xfrm>
                          <a:off x="0" y="0"/>
                          <a:ext cx="1866900" cy="5429250"/>
                        </a:xfrm>
                        <a:prstGeom prst="rect">
                          <a:avLst/>
                        </a:prstGeom>
                        <a:solidFill>
                          <a:schemeClr val="bg2">
                            <a:lumMod val="50000"/>
                          </a:schemeClr>
                        </a:solidFill>
                        <a:ln w="6350">
                          <a:solidFill>
                            <a:prstClr val="black"/>
                          </a:solidFill>
                        </a:ln>
                      </wps:spPr>
                      <wps:txbx>
                        <w:txbxContent>
                          <w:p w14:paraId="03A97679" w14:textId="0107C1D1" w:rsidR="008C568A" w:rsidRPr="008C568A" w:rsidRDefault="008C568A" w:rsidP="008C568A">
                            <w:pPr>
                              <w:rPr>
                                <w:rFonts w:ascii="Britannic Bold" w:hAnsi="Britannic Bold"/>
                              </w:rPr>
                            </w:pPr>
                            <w:r w:rsidRPr="008C568A">
                              <w:rPr>
                                <w:rFonts w:ascii="Britannic Bold" w:hAnsi="Britannic Bold"/>
                                <w:sz w:val="16"/>
                                <w:szCs w:val="16"/>
                              </w:rPr>
                              <w:t>Challenges in Community Development.</w:t>
                            </w:r>
                            <w:r w:rsidRPr="008C568A">
                              <w:rPr>
                                <w:rFonts w:ascii="Britannic Bold" w:hAnsi="Britannic Bold"/>
                                <w:sz w:val="16"/>
                                <w:szCs w:val="16"/>
                              </w:rPr>
                              <w:br/>
                              <w:t>1. Engaging with a Diverse Community</w:t>
                            </w:r>
                            <w:r w:rsidRPr="008C568A">
                              <w:rPr>
                                <w:rFonts w:ascii="Britannic Bold" w:hAnsi="Britannic Bold"/>
                                <w:sz w:val="16"/>
                                <w:szCs w:val="16"/>
                              </w:rPr>
                              <w:br/>
                              <w:t>Balancing the requirements of various subgroups, such as young persons with special needs and adults pursuing professional growth, can be difficult. Tailoring services without fragmenting the community necessitates flexibility and continuous resource allocation (Stanley, 2003).</w:t>
                            </w:r>
                            <w:r w:rsidRPr="008C568A">
                              <w:rPr>
                                <w:rFonts w:ascii="Britannic Bold" w:hAnsi="Britannic Bold"/>
                                <w:sz w:val="16"/>
                                <w:szCs w:val="16"/>
                              </w:rPr>
                              <w:br/>
                              <w:t>2. Resource constraints.</w:t>
                            </w:r>
                            <w:r w:rsidRPr="008C568A">
                              <w:rPr>
                                <w:rFonts w:ascii="Britannic Bold" w:hAnsi="Britannic Bold"/>
                                <w:sz w:val="16"/>
                                <w:szCs w:val="16"/>
                              </w:rPr>
                              <w:br/>
                              <w:t>Prosiect Cadarnhad</w:t>
                            </w:r>
                            <w:r w:rsidRPr="008C568A">
                              <w:rPr>
                                <w:rFonts w:ascii="Britannic Bold" w:hAnsi="Britannic Bold"/>
                              </w:rPr>
                              <w:t xml:space="preserve"> </w:t>
                            </w:r>
                            <w:r w:rsidRPr="008C568A">
                              <w:rPr>
                                <w:rFonts w:ascii="Britannic Bold" w:hAnsi="Britannic Bold"/>
                                <w:sz w:val="16"/>
                                <w:szCs w:val="16"/>
                              </w:rPr>
                              <w:t>relies on external financing to support its efforts. Ensuring long-term financial stability is crucial for keeping momentum. Chase (2015) emphasises that resource constraints might limit the effectiveness of community-driven development programs.</w:t>
                            </w:r>
                            <w:r w:rsidRPr="008C568A">
                              <w:rPr>
                                <w:rFonts w:ascii="Britannic Bold" w:hAnsi="Britannic Bold"/>
                              </w:rPr>
                              <w:br/>
                            </w:r>
                            <w:r w:rsidRPr="008C568A">
                              <w:rPr>
                                <w:rFonts w:ascii="Britannic Bold" w:hAnsi="Britannic Bold"/>
                                <w:sz w:val="16"/>
                                <w:szCs w:val="16"/>
                              </w:rPr>
                              <w:t>3. Cultural resistance.</w:t>
                            </w:r>
                            <w:r w:rsidRPr="008C568A">
                              <w:rPr>
                                <w:rFonts w:ascii="Britannic Bold" w:hAnsi="Britannic Bold"/>
                                <w:sz w:val="16"/>
                                <w:szCs w:val="16"/>
                              </w:rPr>
                              <w:br/>
                              <w:t>Promoting Welsh language and traditions, while inclusive to many, may face opposition from those unfamiliar with these traditional components. Striking a balance between cultural preservation and practical accessibility is critical.</w:t>
                            </w:r>
                            <w:r w:rsidRPr="008C568A">
                              <w:rPr>
                                <w:rFonts w:ascii="Britannic Bold" w:hAnsi="Britannic Bold"/>
                                <w:sz w:val="16"/>
                                <w:szCs w:val="16"/>
                              </w:rPr>
                              <w:br/>
                              <w:t>4. Evaluating Impact</w:t>
                            </w:r>
                            <w:r w:rsidRPr="008C568A">
                              <w:rPr>
                                <w:rFonts w:ascii="Britannic Bold" w:hAnsi="Britannic Bold"/>
                                <w:sz w:val="16"/>
                                <w:szCs w:val="16"/>
                              </w:rPr>
                              <w:br/>
                              <w:t>Robust monitoring mechanisms are required to assess long-term outcomes, such as participants' employment rates or personal progress following accreditation. Winston (2021) emphasises the value of</w:t>
                            </w:r>
                            <w:r w:rsidRPr="008C568A">
                              <w:rPr>
                                <w:rFonts w:ascii="Britannic Bold" w:hAnsi="Britannic Bold"/>
                              </w:rPr>
                              <w:t xml:space="preserve"> </w:t>
                            </w:r>
                            <w:r w:rsidRPr="008C568A">
                              <w:rPr>
                                <w:rFonts w:ascii="Britannic Bold" w:hAnsi="Britannic Bold"/>
                                <w:sz w:val="16"/>
                                <w:szCs w:val="16"/>
                              </w:rPr>
                              <w:t>evidence-based evaluation in attaining sustainable development.</w:t>
                            </w:r>
                          </w:p>
                          <w:p w14:paraId="1653EF16" w14:textId="77777777" w:rsidR="008C568A" w:rsidRDefault="008C56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291C9" id="Text Box 5" o:spid="_x0000_s1027" type="#_x0000_t202" style="position:absolute;margin-left:95.8pt;margin-top:110.05pt;width:147pt;height:427.5pt;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" fillcolor="#737373 [1614]" strokeweight=".5pt">
                <v:textbox>
                  <w:txbxContent>
                    <w:p w14:paraId="03A97679" w14:textId="0107C1D1" w:rsidR="008C568A" w:rsidRPr="008C568A" w:rsidRDefault="008C568A" w:rsidP="008C568A">
                      <w:pPr>
                        <w:rPr>
                          <w:rFonts w:ascii="Britannic Bold" w:hAnsi="Britannic Bold"/>
                        </w:rPr>
                      </w:pPr>
                      <w:r w:rsidRPr="008C568A">
                        <w:rPr>
                          <w:rFonts w:ascii="Britannic Bold" w:hAnsi="Britannic Bold"/>
                          <w:sz w:val="16"/>
                          <w:szCs w:val="16"/>
                        </w:rPr>
                        <w:t>Challenges in Community Development.</w:t>
                      </w:r>
                      <w:r w:rsidRPr="008C568A">
                        <w:rPr>
                          <w:rFonts w:ascii="Britannic Bold" w:hAnsi="Britannic Bold"/>
                          <w:sz w:val="16"/>
                          <w:szCs w:val="16"/>
                        </w:rPr>
                        <w:br/>
                        <w:t>1. Engaging with a Diverse Community</w:t>
                      </w:r>
                      <w:r w:rsidRPr="008C568A">
                        <w:rPr>
                          <w:rFonts w:ascii="Britannic Bold" w:hAnsi="Britannic Bold"/>
                          <w:sz w:val="16"/>
                          <w:szCs w:val="16"/>
                        </w:rPr>
                        <w:br/>
                        <w:t>Balancing the requirements of various subgroups, such as young persons with special needs and adults pursuing professional growth, can be difficult. Tailoring services without fragmenting the community necessitates flexibility and continuous resource allocation (Stanley, 2003).</w:t>
                      </w:r>
                      <w:r w:rsidRPr="008C568A">
                        <w:rPr>
                          <w:rFonts w:ascii="Britannic Bold" w:hAnsi="Britannic Bold"/>
                          <w:sz w:val="16"/>
                          <w:szCs w:val="16"/>
                        </w:rPr>
                        <w:br/>
                        <w:t>2. Resource constraints.</w:t>
                      </w:r>
                      <w:r w:rsidRPr="008C568A">
                        <w:rPr>
                          <w:rFonts w:ascii="Britannic Bold" w:hAnsi="Britannic Bold"/>
                          <w:sz w:val="16"/>
                          <w:szCs w:val="16"/>
                        </w:rPr>
                        <w:br/>
                        <w:t>Prosiect Cadarnhad</w:t>
                      </w:r>
                      <w:r w:rsidRPr="008C568A">
                        <w:rPr>
                          <w:rFonts w:ascii="Britannic Bold" w:hAnsi="Britannic Bold"/>
                        </w:rPr>
                        <w:t xml:space="preserve"> </w:t>
                      </w:r>
                      <w:r w:rsidRPr="008C568A">
                        <w:rPr>
                          <w:rFonts w:ascii="Britannic Bold" w:hAnsi="Britannic Bold"/>
                          <w:sz w:val="16"/>
                          <w:szCs w:val="16"/>
                        </w:rPr>
                        <w:t>relies on external financing to support its efforts. Ensuring long-term financial stability is crucial for keeping momentum. Chase (2015) emphasises that resource constraints might limit the effectiveness of community-driven development programs.</w:t>
                      </w:r>
                      <w:r w:rsidRPr="008C568A">
                        <w:rPr>
                          <w:rFonts w:ascii="Britannic Bold" w:hAnsi="Britannic Bold"/>
                        </w:rPr>
                        <w:br/>
                      </w:r>
                      <w:r w:rsidRPr="008C568A">
                        <w:rPr>
                          <w:rFonts w:ascii="Britannic Bold" w:hAnsi="Britannic Bold"/>
                          <w:sz w:val="16"/>
                          <w:szCs w:val="16"/>
                        </w:rPr>
                        <w:t>3. Cultural resistance.</w:t>
                      </w:r>
                      <w:r w:rsidRPr="008C568A">
                        <w:rPr>
                          <w:rFonts w:ascii="Britannic Bold" w:hAnsi="Britannic Bold"/>
                          <w:sz w:val="16"/>
                          <w:szCs w:val="16"/>
                        </w:rPr>
                        <w:br/>
                        <w:t>Promoting Welsh language and traditions, while inclusive to many, may face opposition from those unfamiliar with these traditional components. Striking a balance between cultural preservation and practical accessibility is critical.</w:t>
                      </w:r>
                      <w:r w:rsidRPr="008C568A">
                        <w:rPr>
                          <w:rFonts w:ascii="Britannic Bold" w:hAnsi="Britannic Bold"/>
                          <w:sz w:val="16"/>
                          <w:szCs w:val="16"/>
                        </w:rPr>
                        <w:br/>
                        <w:t>4. Evaluating Impact</w:t>
                      </w:r>
                      <w:r w:rsidRPr="008C568A">
                        <w:rPr>
                          <w:rFonts w:ascii="Britannic Bold" w:hAnsi="Britannic Bold"/>
                          <w:sz w:val="16"/>
                          <w:szCs w:val="16"/>
                        </w:rPr>
                        <w:br/>
                        <w:t>Robust monitoring mechanisms are required to assess long-term outcomes, such as participants' employment rates or personal progress following accreditation. Winston (2021) emphasises the value of</w:t>
                      </w:r>
                      <w:r w:rsidRPr="008C568A">
                        <w:rPr>
                          <w:rFonts w:ascii="Britannic Bold" w:hAnsi="Britannic Bold"/>
                        </w:rPr>
                        <w:t xml:space="preserve"> </w:t>
                      </w:r>
                      <w:r w:rsidRPr="008C568A">
                        <w:rPr>
                          <w:rFonts w:ascii="Britannic Bold" w:hAnsi="Britannic Bold"/>
                          <w:sz w:val="16"/>
                          <w:szCs w:val="16"/>
                        </w:rPr>
                        <w:t>evidence-based evaluation in attaining sustainable development.</w:t>
                      </w:r>
                    </w:p>
                    <w:p w14:paraId="1653EF16" w14:textId="77777777" w:rsidR="008C568A" w:rsidRDefault="008C568A"/>
                  </w:txbxContent>
                </v:textbox>
                <w10:wrap anchorx="page"/>
              </v:shape>
            </w:pict>
          </mc:Fallback>
        </mc:AlternateContent>
      </w:r>
      <w:r w:rsidRPr="001C296B">
        <w:drawing>
          <wp:anchor distT="0" distB="0" distL="114300" distR="114300" simplePos="0" relativeHeight="251668480" behindDoc="1" locked="0" layoutInCell="1" allowOverlap="1" wp14:anchorId="4617143E" wp14:editId="46E30605">
            <wp:simplePos x="0" y="0"/>
            <wp:positionH relativeFrom="margin">
              <wp:posOffset>1549400</wp:posOffset>
            </wp:positionH>
            <wp:positionV relativeFrom="page">
              <wp:posOffset>8039100</wp:posOffset>
            </wp:positionV>
            <wp:extent cx="5118100" cy="1595120"/>
            <wp:effectExtent l="0" t="0" r="6350" b="5080"/>
            <wp:wrapTight wrapText="bothSides">
              <wp:wrapPolygon edited="0">
                <wp:start x="0" y="0"/>
                <wp:lineTo x="0" y="21411"/>
                <wp:lineTo x="21546" y="21411"/>
                <wp:lineTo x="21546" y="0"/>
                <wp:lineTo x="0" y="0"/>
              </wp:wrapPolygon>
            </wp:wrapTight>
            <wp:docPr id="19580422" name="Picture 8" descr="A cartoon of a bird flying over a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0422" name="Picture 8" descr="A cartoon of a bird flying over a riv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18100" cy="1595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0" locked="0" layoutInCell="1" allowOverlap="1" wp14:anchorId="08F0B02D" wp14:editId="285ED07B">
                <wp:simplePos x="0" y="0"/>
                <wp:positionH relativeFrom="page">
                  <wp:align>left</wp:align>
                </wp:positionH>
                <wp:positionV relativeFrom="paragraph">
                  <wp:posOffset>6832600</wp:posOffset>
                </wp:positionV>
                <wp:extent cx="2457450" cy="1562100"/>
                <wp:effectExtent l="0" t="0" r="19050" b="19050"/>
                <wp:wrapNone/>
                <wp:docPr id="888283640" name="Text Box 6"/>
                <wp:cNvGraphicFramePr/>
                <a:graphic xmlns:a="http://schemas.openxmlformats.org/drawingml/2006/main">
                  <a:graphicData uri="http://schemas.microsoft.com/office/word/2010/wordprocessingShape">
                    <wps:wsp>
                      <wps:cNvSpPr txBox="1"/>
                      <wps:spPr>
                        <a:xfrm>
                          <a:off x="0" y="0"/>
                          <a:ext cx="2457450" cy="1562100"/>
                        </a:xfrm>
                        <a:prstGeom prst="rect">
                          <a:avLst/>
                        </a:prstGeom>
                        <a:solidFill>
                          <a:schemeClr val="bg2">
                            <a:lumMod val="75000"/>
                          </a:schemeClr>
                        </a:solidFill>
                        <a:ln w="6350">
                          <a:solidFill>
                            <a:prstClr val="black"/>
                          </a:solidFill>
                        </a:ln>
                      </wps:spPr>
                      <wps:txbx>
                        <w:txbxContent>
                          <w:p w14:paraId="58DF1124" w14:textId="34DFD128" w:rsidR="001C296B" w:rsidRPr="001C296B" w:rsidRDefault="001C296B">
                            <w:pPr>
                              <w:rPr>
                                <w:rFonts w:ascii="Britannic Bold" w:hAnsi="Britannic Bold"/>
                                <w:sz w:val="16"/>
                                <w:szCs w:val="16"/>
                              </w:rPr>
                            </w:pPr>
                            <w:r w:rsidRPr="001C296B">
                              <w:rPr>
                                <w:rFonts w:ascii="Britannic Bold" w:hAnsi="Britannic Bold"/>
                                <w:sz w:val="16"/>
                                <w:szCs w:val="16"/>
                              </w:rPr>
                              <w:t>In conclusion, Prosiect Cadarnhad exemplifies the transformative power of community development initiatives that prioritize inclusivity, cultural preservation, and sustainability. By effectively addressing local needs through strong partnerships, the project has significantly improved the lives of individuals in Ceredigion, Carmarthenshire, and Pembrokeshire. My involvement in this initiative has allowed me to contribute positively to the community while also fostering personal growth and skill enhancement.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0B02D" id="Text Box 6" o:spid="_x0000_s1028" type="#_x0000_t202" style="position:absolute;margin-left:0;margin-top:538pt;width:193.5pt;height:123pt;z-index:2516664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" fillcolor="#adadad [2414]" strokeweight=".5pt">
                <v:textbox>
                  <w:txbxContent>
                    <w:p w14:paraId="58DF1124" w14:textId="34DFD128" w:rsidR="001C296B" w:rsidRPr="001C296B" w:rsidRDefault="001C296B">
                      <w:pPr>
                        <w:rPr>
                          <w:rFonts w:ascii="Britannic Bold" w:hAnsi="Britannic Bold"/>
                          <w:sz w:val="16"/>
                          <w:szCs w:val="16"/>
                        </w:rPr>
                      </w:pPr>
                      <w:r w:rsidRPr="001C296B">
                        <w:rPr>
                          <w:rFonts w:ascii="Britannic Bold" w:hAnsi="Britannic Bold"/>
                          <w:sz w:val="16"/>
                          <w:szCs w:val="16"/>
                        </w:rPr>
                        <w:t>In conclusion, Prosiect Cadarnhad exemplifies the transformative power of community development initiatives that prioritize inclusivity, cultural preservation, and sustainability. By effectively addressing local needs through strong partnerships, the project has significantly improved the lives of individuals in Ceredigion, Carmarthenshire, and Pembrokeshire. My involvement in this initiative has allowed me to contribute positively to the community while also fostering personal growth and skill enhancement.</w:t>
                      </w:r>
                    </w:p>
                  </w:txbxContent>
                </v:textbox>
                <w10:wrap anchorx="page"/>
              </v:shape>
            </w:pict>
          </mc:Fallback>
        </mc:AlternateContent>
      </w:r>
      <w:r>
        <w:rPr>
          <w:noProof/>
        </w:rPr>
        <mc:AlternateContent>
          <mc:Choice Requires="wps">
            <w:drawing>
              <wp:anchor distT="0" distB="0" distL="114300" distR="114300" simplePos="0" relativeHeight="251667456" behindDoc="0" locked="0" layoutInCell="1" allowOverlap="1" wp14:anchorId="1C56A0D2" wp14:editId="5BE82466">
                <wp:simplePos x="0" y="0"/>
                <wp:positionH relativeFrom="page">
                  <wp:align>left</wp:align>
                </wp:positionH>
                <wp:positionV relativeFrom="paragraph">
                  <wp:posOffset>8401050</wp:posOffset>
                </wp:positionV>
                <wp:extent cx="7537450" cy="1346200"/>
                <wp:effectExtent l="0" t="0" r="25400" b="25400"/>
                <wp:wrapNone/>
                <wp:docPr id="330736177" name="Text Box 7"/>
                <wp:cNvGraphicFramePr/>
                <a:graphic xmlns:a="http://schemas.openxmlformats.org/drawingml/2006/main">
                  <a:graphicData uri="http://schemas.microsoft.com/office/word/2010/wordprocessingShape">
                    <wps:wsp>
                      <wps:cNvSpPr txBox="1"/>
                      <wps:spPr>
                        <a:xfrm>
                          <a:off x="0" y="0"/>
                          <a:ext cx="7537450" cy="1346200"/>
                        </a:xfrm>
                        <a:prstGeom prst="rect">
                          <a:avLst/>
                        </a:prstGeom>
                        <a:solidFill>
                          <a:schemeClr val="bg2">
                            <a:lumMod val="90000"/>
                          </a:schemeClr>
                        </a:solidFill>
                        <a:ln w="6350">
                          <a:solidFill>
                            <a:prstClr val="black"/>
                          </a:solidFill>
                        </a:ln>
                      </wps:spPr>
                      <wps:txbx>
                        <w:txbxContent>
                          <w:p w14:paraId="170197BD" w14:textId="3451C703" w:rsidR="001C296B" w:rsidRDefault="001C296B" w:rsidP="001C296B">
                            <w:pPr>
                              <w:rPr>
                                <w:rFonts w:ascii="Britannic Bold" w:hAnsi="Britannic Bold"/>
                                <w:sz w:val="16"/>
                                <w:szCs w:val="16"/>
                              </w:rPr>
                            </w:pPr>
                            <w:r w:rsidRPr="001C296B">
                              <w:rPr>
                                <w:rFonts w:ascii="Britannic Bold" w:hAnsi="Britannic Bold"/>
                                <w:sz w:val="16"/>
                                <w:szCs w:val="16"/>
                              </w:rPr>
                              <w:t xml:space="preserve">Clark, H. (2016). Sustainable development needs public participation. Retrieved from </w:t>
                            </w:r>
                            <w:hyperlink r:id="rId7" w:history="1">
                              <w:r w:rsidRPr="006E2218">
                                <w:rPr>
                                  <w:rStyle w:val="Hyperlink"/>
                                  <w:rFonts w:ascii="Britannic Bold" w:hAnsi="Britannic Bold"/>
                                  <w:sz w:val="16"/>
                                  <w:szCs w:val="16"/>
                                </w:rPr>
                                <w:t>https://www.huffingtonpost.com/helen-clark/sustainable-development-n_1_b_8412692.html</w:t>
                              </w:r>
                            </w:hyperlink>
                            <w:r w:rsidRPr="001C296B">
                              <w:rPr>
                                <w:rFonts w:ascii="Britannic Bold" w:hAnsi="Britannic Bold"/>
                                <w:sz w:val="16"/>
                                <w:szCs w:val="16"/>
                              </w:rPr>
                              <w:t>.</w:t>
                            </w:r>
                          </w:p>
                          <w:p w14:paraId="7F8D99D0" w14:textId="08A40287" w:rsidR="001C296B" w:rsidRDefault="001C296B" w:rsidP="001C296B">
                            <w:pPr>
                              <w:rPr>
                                <w:rFonts w:ascii="Britannic Bold" w:hAnsi="Britannic Bold"/>
                                <w:sz w:val="16"/>
                                <w:szCs w:val="16"/>
                              </w:rPr>
                            </w:pPr>
                            <w:r w:rsidRPr="001C296B">
                              <w:rPr>
                                <w:rFonts w:ascii="Britannic Bold" w:hAnsi="Britannic Bold"/>
                                <w:sz w:val="16"/>
                                <w:szCs w:val="16"/>
                              </w:rPr>
                              <w:t>PLANED. (n.d.). Prosiect Cadarnhad. Retrieved from https://planed.org.uk/projects/cadarnhad/.</w:t>
                            </w:r>
                          </w:p>
                          <w:p w14:paraId="064C04A5" w14:textId="5F87ACCC" w:rsidR="001C296B" w:rsidRDefault="001C296B" w:rsidP="001C296B">
                            <w:pPr>
                              <w:rPr>
                                <w:rFonts w:ascii="Britannic Bold" w:hAnsi="Britannic Bold"/>
                                <w:sz w:val="16"/>
                                <w:szCs w:val="16"/>
                              </w:rPr>
                            </w:pPr>
                            <w:r w:rsidRPr="001C296B">
                              <w:rPr>
                                <w:rFonts w:ascii="Britannic Bold" w:hAnsi="Britannic Bold"/>
                                <w:sz w:val="16"/>
                                <w:szCs w:val="16"/>
                              </w:rPr>
                              <w:t>Stone, C. (2012). Community engagement in sustainable development for local products.</w:t>
                            </w:r>
                          </w:p>
                          <w:p w14:paraId="63A7D90C" w14:textId="0692381C" w:rsidR="001C296B" w:rsidRDefault="001C296B" w:rsidP="001C296B">
                            <w:pPr>
                              <w:rPr>
                                <w:rFonts w:ascii="Britannic Bold" w:hAnsi="Britannic Bold"/>
                                <w:sz w:val="16"/>
                                <w:szCs w:val="16"/>
                              </w:rPr>
                            </w:pPr>
                            <w:hyperlink r:id="rId8" w:history="1">
                              <w:r w:rsidRPr="006E2218">
                                <w:rPr>
                                  <w:rStyle w:val="Hyperlink"/>
                                  <w:rFonts w:ascii="Britannic Bold" w:hAnsi="Britannic Bold"/>
                                  <w:sz w:val="16"/>
                                  <w:szCs w:val="16"/>
                                </w:rPr>
                                <w:t>https://planed.org.uk/projects/cadarnhad/</w:t>
                              </w:r>
                            </w:hyperlink>
                          </w:p>
                          <w:p w14:paraId="2CBAF7BF" w14:textId="35A4F317" w:rsidR="001C296B" w:rsidRDefault="001C296B" w:rsidP="001C296B">
                            <w:pPr>
                              <w:rPr>
                                <w:rFonts w:ascii="Britannic Bold" w:hAnsi="Britannic Bold"/>
                                <w:sz w:val="16"/>
                                <w:szCs w:val="16"/>
                              </w:rPr>
                            </w:pPr>
                            <w:hyperlink r:id="rId9" w:history="1">
                              <w:r w:rsidRPr="006E2218">
                                <w:rPr>
                                  <w:rStyle w:val="Hyperlink"/>
                                  <w:rFonts w:ascii="Britannic Bold" w:hAnsi="Britannic Bold"/>
                                  <w:sz w:val="16"/>
                                  <w:szCs w:val="16"/>
                                </w:rPr>
                                <w:t>https://www.gov.uk/government/publications/community-development-handbook</w:t>
                              </w:r>
                            </w:hyperlink>
                          </w:p>
                          <w:p w14:paraId="60BA5123" w14:textId="77777777" w:rsidR="001C296B" w:rsidRDefault="001C296B" w:rsidP="001C296B">
                            <w:pPr>
                              <w:rPr>
                                <w:rFonts w:ascii="Britannic Bold" w:hAnsi="Britannic Bold"/>
                                <w:sz w:val="16"/>
                                <w:szCs w:val="16"/>
                              </w:rPr>
                            </w:pPr>
                          </w:p>
                          <w:p w14:paraId="55FF9FE4" w14:textId="77777777" w:rsidR="001C296B" w:rsidRDefault="001C296B" w:rsidP="001C296B">
                            <w:pPr>
                              <w:rPr>
                                <w:rFonts w:ascii="Britannic Bold" w:hAnsi="Britannic Bold"/>
                                <w:sz w:val="16"/>
                                <w:szCs w:val="16"/>
                              </w:rPr>
                            </w:pPr>
                          </w:p>
                          <w:p w14:paraId="575FE27A" w14:textId="77777777" w:rsidR="001C296B" w:rsidRPr="001C296B" w:rsidRDefault="001C296B" w:rsidP="001C296B">
                            <w:pPr>
                              <w:rPr>
                                <w:rFonts w:ascii="Britannic Bold" w:hAnsi="Britannic Bold"/>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6A0D2" id="Text Box 7" o:spid="_x0000_s1029" type="#_x0000_t202" style="position:absolute;margin-left:0;margin-top:661.5pt;width:593.5pt;height:106pt;z-index:2516674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" fillcolor="#d0d0d0 [2894]" strokeweight=".5pt">
                <v:textbox>
                  <w:txbxContent>
                    <w:p w14:paraId="170197BD" w14:textId="3451C703" w:rsidR="001C296B" w:rsidRDefault="001C296B" w:rsidP="001C296B">
                      <w:pPr>
                        <w:rPr>
                          <w:rFonts w:ascii="Britannic Bold" w:hAnsi="Britannic Bold"/>
                          <w:sz w:val="16"/>
                          <w:szCs w:val="16"/>
                        </w:rPr>
                      </w:pPr>
                      <w:r w:rsidRPr="001C296B">
                        <w:rPr>
                          <w:rFonts w:ascii="Britannic Bold" w:hAnsi="Britannic Bold"/>
                          <w:sz w:val="16"/>
                          <w:szCs w:val="16"/>
                        </w:rPr>
                        <w:t xml:space="preserve">Clark, H. (2016). Sustainable development needs public participation. Retrieved from </w:t>
                      </w:r>
                      <w:hyperlink r:id="rId10" w:history="1">
                        <w:r w:rsidRPr="006E2218">
                          <w:rPr>
                            <w:rStyle w:val="Hyperlink"/>
                            <w:rFonts w:ascii="Britannic Bold" w:hAnsi="Britannic Bold"/>
                            <w:sz w:val="16"/>
                            <w:szCs w:val="16"/>
                          </w:rPr>
                          <w:t>https://www.huffingtonpost.com/helen-clark/sustainable-development-n_1_b_8412692.html</w:t>
                        </w:r>
                      </w:hyperlink>
                      <w:r w:rsidRPr="001C296B">
                        <w:rPr>
                          <w:rFonts w:ascii="Britannic Bold" w:hAnsi="Britannic Bold"/>
                          <w:sz w:val="16"/>
                          <w:szCs w:val="16"/>
                        </w:rPr>
                        <w:t>.</w:t>
                      </w:r>
                    </w:p>
                    <w:p w14:paraId="7F8D99D0" w14:textId="08A40287" w:rsidR="001C296B" w:rsidRDefault="001C296B" w:rsidP="001C296B">
                      <w:pPr>
                        <w:rPr>
                          <w:rFonts w:ascii="Britannic Bold" w:hAnsi="Britannic Bold"/>
                          <w:sz w:val="16"/>
                          <w:szCs w:val="16"/>
                        </w:rPr>
                      </w:pPr>
                      <w:r w:rsidRPr="001C296B">
                        <w:rPr>
                          <w:rFonts w:ascii="Britannic Bold" w:hAnsi="Britannic Bold"/>
                          <w:sz w:val="16"/>
                          <w:szCs w:val="16"/>
                        </w:rPr>
                        <w:t>PLANED. (n.d.). Prosiect Cadarnhad. Retrieved from https://planed.org.uk/projects/cadarnhad/.</w:t>
                      </w:r>
                    </w:p>
                    <w:p w14:paraId="064C04A5" w14:textId="5F87ACCC" w:rsidR="001C296B" w:rsidRDefault="001C296B" w:rsidP="001C296B">
                      <w:pPr>
                        <w:rPr>
                          <w:rFonts w:ascii="Britannic Bold" w:hAnsi="Britannic Bold"/>
                          <w:sz w:val="16"/>
                          <w:szCs w:val="16"/>
                        </w:rPr>
                      </w:pPr>
                      <w:r w:rsidRPr="001C296B">
                        <w:rPr>
                          <w:rFonts w:ascii="Britannic Bold" w:hAnsi="Britannic Bold"/>
                          <w:sz w:val="16"/>
                          <w:szCs w:val="16"/>
                        </w:rPr>
                        <w:t>Stone, C. (2012). Community engagement in sustainable development for local products.</w:t>
                      </w:r>
                    </w:p>
                    <w:p w14:paraId="63A7D90C" w14:textId="0692381C" w:rsidR="001C296B" w:rsidRDefault="001C296B" w:rsidP="001C296B">
                      <w:pPr>
                        <w:rPr>
                          <w:rFonts w:ascii="Britannic Bold" w:hAnsi="Britannic Bold"/>
                          <w:sz w:val="16"/>
                          <w:szCs w:val="16"/>
                        </w:rPr>
                      </w:pPr>
                      <w:hyperlink r:id="rId11" w:history="1">
                        <w:r w:rsidRPr="006E2218">
                          <w:rPr>
                            <w:rStyle w:val="Hyperlink"/>
                            <w:rFonts w:ascii="Britannic Bold" w:hAnsi="Britannic Bold"/>
                            <w:sz w:val="16"/>
                            <w:szCs w:val="16"/>
                          </w:rPr>
                          <w:t>https://planed.org.uk/projects/cadarnhad/</w:t>
                        </w:r>
                      </w:hyperlink>
                    </w:p>
                    <w:p w14:paraId="2CBAF7BF" w14:textId="35A4F317" w:rsidR="001C296B" w:rsidRDefault="001C296B" w:rsidP="001C296B">
                      <w:pPr>
                        <w:rPr>
                          <w:rFonts w:ascii="Britannic Bold" w:hAnsi="Britannic Bold"/>
                          <w:sz w:val="16"/>
                          <w:szCs w:val="16"/>
                        </w:rPr>
                      </w:pPr>
                      <w:hyperlink r:id="rId12" w:history="1">
                        <w:r w:rsidRPr="006E2218">
                          <w:rPr>
                            <w:rStyle w:val="Hyperlink"/>
                            <w:rFonts w:ascii="Britannic Bold" w:hAnsi="Britannic Bold"/>
                            <w:sz w:val="16"/>
                            <w:szCs w:val="16"/>
                          </w:rPr>
                          <w:t>https://www.gov.uk/government/publications/community-development-handbook</w:t>
                        </w:r>
                      </w:hyperlink>
                    </w:p>
                    <w:p w14:paraId="60BA5123" w14:textId="77777777" w:rsidR="001C296B" w:rsidRDefault="001C296B" w:rsidP="001C296B">
                      <w:pPr>
                        <w:rPr>
                          <w:rFonts w:ascii="Britannic Bold" w:hAnsi="Britannic Bold"/>
                          <w:sz w:val="16"/>
                          <w:szCs w:val="16"/>
                        </w:rPr>
                      </w:pPr>
                    </w:p>
                    <w:p w14:paraId="55FF9FE4" w14:textId="77777777" w:rsidR="001C296B" w:rsidRDefault="001C296B" w:rsidP="001C296B">
                      <w:pPr>
                        <w:rPr>
                          <w:rFonts w:ascii="Britannic Bold" w:hAnsi="Britannic Bold"/>
                          <w:sz w:val="16"/>
                          <w:szCs w:val="16"/>
                        </w:rPr>
                      </w:pPr>
                    </w:p>
                    <w:p w14:paraId="575FE27A" w14:textId="77777777" w:rsidR="001C296B" w:rsidRPr="001C296B" w:rsidRDefault="001C296B" w:rsidP="001C296B">
                      <w:pPr>
                        <w:rPr>
                          <w:rFonts w:ascii="Britannic Bold" w:hAnsi="Britannic Bold"/>
                          <w:sz w:val="16"/>
                          <w:szCs w:val="16"/>
                        </w:rPr>
                      </w:pPr>
                    </w:p>
                  </w:txbxContent>
                </v:textbox>
                <w10:wrap anchorx="page"/>
              </v:shape>
            </w:pict>
          </mc:Fallback>
        </mc:AlternateContent>
      </w:r>
      <w:r>
        <w:rPr>
          <w:noProof/>
        </w:rPr>
        <mc:AlternateContent>
          <mc:Choice Requires="wps">
            <w:drawing>
              <wp:anchor distT="0" distB="0" distL="114300" distR="114300" simplePos="0" relativeHeight="251662336" behindDoc="0" locked="0" layoutInCell="1" allowOverlap="1" wp14:anchorId="363B1388" wp14:editId="7631C2A9">
                <wp:simplePos x="0" y="0"/>
                <wp:positionH relativeFrom="page">
                  <wp:align>left</wp:align>
                </wp:positionH>
                <wp:positionV relativeFrom="paragraph">
                  <wp:posOffset>4851400</wp:posOffset>
                </wp:positionV>
                <wp:extent cx="5670550" cy="1974850"/>
                <wp:effectExtent l="0" t="0" r="25400" b="25400"/>
                <wp:wrapNone/>
                <wp:docPr id="1633079216" name="Text Box 4"/>
                <wp:cNvGraphicFramePr/>
                <a:graphic xmlns:a="http://schemas.openxmlformats.org/drawingml/2006/main">
                  <a:graphicData uri="http://schemas.microsoft.com/office/word/2010/wordprocessingShape">
                    <wps:wsp>
                      <wps:cNvSpPr txBox="1"/>
                      <wps:spPr>
                        <a:xfrm>
                          <a:off x="0" y="0"/>
                          <a:ext cx="5670550" cy="1974850"/>
                        </a:xfrm>
                        <a:prstGeom prst="rect">
                          <a:avLst/>
                        </a:prstGeom>
                        <a:solidFill>
                          <a:schemeClr val="bg2">
                            <a:lumMod val="25000"/>
                          </a:schemeClr>
                        </a:solidFill>
                        <a:ln w="6350">
                          <a:solidFill>
                            <a:prstClr val="black"/>
                          </a:solidFill>
                        </a:ln>
                      </wps:spPr>
                      <wps:txbx>
                        <w:txbxContent>
                          <w:p w14:paraId="257F5924"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Personal Involvement in Prosiect Cadarnhad</w:t>
                            </w:r>
                          </w:p>
                          <w:p w14:paraId="3D5821DE" w14:textId="35C36ED3" w:rsidR="008C568A" w:rsidRPr="008C568A" w:rsidRDefault="008C568A" w:rsidP="008C568A">
                            <w:pPr>
                              <w:rPr>
                                <w:rFonts w:ascii="Britannic Bold" w:hAnsi="Britannic Bold"/>
                                <w:sz w:val="16"/>
                                <w:szCs w:val="16"/>
                              </w:rPr>
                            </w:pPr>
                            <w:r w:rsidRPr="008C568A">
                              <w:rPr>
                                <w:rFonts w:ascii="Britannic Bold" w:hAnsi="Britannic Bold"/>
                                <w:sz w:val="16"/>
                                <w:szCs w:val="16"/>
                              </w:rPr>
                              <w:t>• Supporting Ysgol Bro Gwaun Students: Providing alternative learning methods for students with additional needs.</w:t>
                            </w:r>
                          </w:p>
                          <w:p w14:paraId="79181052"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 Volunteering with Môr Futures: Facilitating workshops using art and storytelling to boost employability.</w:t>
                            </w:r>
                          </w:p>
                          <w:p w14:paraId="7A54C962" w14:textId="0BFA7BF4" w:rsidR="008C568A" w:rsidRPr="008C568A" w:rsidRDefault="008C568A" w:rsidP="008C568A">
                            <w:pPr>
                              <w:rPr>
                                <w:rFonts w:ascii="Britannic Bold" w:hAnsi="Britannic Bold"/>
                                <w:sz w:val="16"/>
                                <w:szCs w:val="16"/>
                              </w:rPr>
                            </w:pPr>
                            <w:r w:rsidRPr="008C568A">
                              <w:rPr>
                                <w:rFonts w:ascii="Britannic Bold" w:hAnsi="Britannic Bold"/>
                                <w:sz w:val="16"/>
                                <w:szCs w:val="16"/>
                              </w:rPr>
                              <w:t xml:space="preserve">• Promoting Bilingual Engagement: Supporting </w:t>
                            </w:r>
                            <w:r w:rsidRPr="008C568A">
                              <w:rPr>
                                <w:rFonts w:ascii="Britannic Bold" w:hAnsi="Britannic Bold"/>
                                <w:sz w:val="16"/>
                                <w:szCs w:val="16"/>
                              </w:rPr>
                              <w:t>Welsh English</w:t>
                            </w:r>
                            <w:r w:rsidRPr="008C568A">
                              <w:rPr>
                                <w:rFonts w:ascii="Britannic Bold" w:hAnsi="Britannic Bold"/>
                                <w:sz w:val="16"/>
                                <w:szCs w:val="16"/>
                              </w:rPr>
                              <w:t xml:space="preserve"> activities with Menter Iaith.</w:t>
                            </w:r>
                          </w:p>
                          <w:p w14:paraId="21BE9EB4"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Relevant Skills and Expertise:</w:t>
                            </w:r>
                          </w:p>
                          <w:p w14:paraId="28DB1AA9"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 Organizational Skills: Assisting in workshop planning.</w:t>
                            </w:r>
                          </w:p>
                          <w:p w14:paraId="789A92DE" w14:textId="77777777" w:rsidR="008C568A" w:rsidRPr="008C568A" w:rsidRDefault="008C568A" w:rsidP="008C568A">
                            <w:pPr>
                              <w:rPr>
                                <w:rFonts w:ascii="Britannic Bold" w:hAnsi="Britannic Bold"/>
                              </w:rPr>
                            </w:pPr>
                            <w:r w:rsidRPr="008C568A">
                              <w:rPr>
                                <w:rFonts w:ascii="Britannic Bold" w:hAnsi="Britannic Bold"/>
                                <w:sz w:val="16"/>
                                <w:szCs w:val="16"/>
                              </w:rPr>
                              <w:t>• Interpersonal Skills: Building rapport with diverse participants</w:t>
                            </w:r>
                            <w:r w:rsidRPr="008C568A">
                              <w:rPr>
                                <w:rFonts w:ascii="Britannic Bold" w:hAnsi="Britannic Bold"/>
                              </w:rPr>
                              <w:t>.</w:t>
                            </w:r>
                          </w:p>
                          <w:p w14:paraId="5D0147CE"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 Creativity: Designing engaging, inclusive learning activities.</w:t>
                            </w:r>
                          </w:p>
                          <w:p w14:paraId="152C9F1A" w14:textId="77777777" w:rsidR="008C568A" w:rsidRDefault="008C568A" w:rsidP="008C568A"/>
                          <w:p w14:paraId="6BE0662F" w14:textId="77777777" w:rsidR="008C568A" w:rsidRDefault="008C568A" w:rsidP="008C568A">
                            <w:r>
                              <w:t>Potential Impact:</w:t>
                            </w:r>
                          </w:p>
                          <w:p w14:paraId="1ABD0CB1" w14:textId="77777777" w:rsidR="008C568A" w:rsidRDefault="008C568A" w:rsidP="008C568A">
                            <w:r>
                              <w:t>• Enhancing confidence and academic progress of students with additional needs.</w:t>
                            </w:r>
                          </w:p>
                          <w:p w14:paraId="619CA044" w14:textId="77777777" w:rsidR="008C568A" w:rsidRDefault="008C568A" w:rsidP="008C568A">
                            <w:r>
                              <w:t>• Fostering creative expression and boosting employability.</w:t>
                            </w:r>
                          </w:p>
                          <w:p w14:paraId="34C99C13" w14:textId="50BD32DC" w:rsidR="00BB227A" w:rsidRDefault="008C568A" w:rsidP="008C568A">
                            <w:r>
                              <w:t>• Strengthening cultural ties and encouraging wider community participation.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B1388" id="Text Box 4" o:spid="_x0000_s1030" type="#_x0000_t202" style="position:absolute;margin-left:0;margin-top:382pt;width:446.5pt;height:155.5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" fillcolor="#393939 [814]" strokeweight=".5pt">
                <v:textbox>
                  <w:txbxContent>
                    <w:p w14:paraId="257F5924"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Personal Involvement in Prosiect Cadarnhad</w:t>
                      </w:r>
                    </w:p>
                    <w:p w14:paraId="3D5821DE" w14:textId="35C36ED3" w:rsidR="008C568A" w:rsidRPr="008C568A" w:rsidRDefault="008C568A" w:rsidP="008C568A">
                      <w:pPr>
                        <w:rPr>
                          <w:rFonts w:ascii="Britannic Bold" w:hAnsi="Britannic Bold"/>
                          <w:sz w:val="16"/>
                          <w:szCs w:val="16"/>
                        </w:rPr>
                      </w:pPr>
                      <w:r w:rsidRPr="008C568A">
                        <w:rPr>
                          <w:rFonts w:ascii="Britannic Bold" w:hAnsi="Britannic Bold"/>
                          <w:sz w:val="16"/>
                          <w:szCs w:val="16"/>
                        </w:rPr>
                        <w:t>• Supporting Ysgol Bro Gwaun Students: Providing alternative learning methods for students with additional needs.</w:t>
                      </w:r>
                    </w:p>
                    <w:p w14:paraId="79181052"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 Volunteering with Môr Futures: Facilitating workshops using art and storytelling to boost employability.</w:t>
                      </w:r>
                    </w:p>
                    <w:p w14:paraId="7A54C962" w14:textId="0BFA7BF4" w:rsidR="008C568A" w:rsidRPr="008C568A" w:rsidRDefault="008C568A" w:rsidP="008C568A">
                      <w:pPr>
                        <w:rPr>
                          <w:rFonts w:ascii="Britannic Bold" w:hAnsi="Britannic Bold"/>
                          <w:sz w:val="16"/>
                          <w:szCs w:val="16"/>
                        </w:rPr>
                      </w:pPr>
                      <w:r w:rsidRPr="008C568A">
                        <w:rPr>
                          <w:rFonts w:ascii="Britannic Bold" w:hAnsi="Britannic Bold"/>
                          <w:sz w:val="16"/>
                          <w:szCs w:val="16"/>
                        </w:rPr>
                        <w:t xml:space="preserve">• Promoting Bilingual Engagement: Supporting </w:t>
                      </w:r>
                      <w:r w:rsidRPr="008C568A">
                        <w:rPr>
                          <w:rFonts w:ascii="Britannic Bold" w:hAnsi="Britannic Bold"/>
                          <w:sz w:val="16"/>
                          <w:szCs w:val="16"/>
                        </w:rPr>
                        <w:t>Welsh English</w:t>
                      </w:r>
                      <w:r w:rsidRPr="008C568A">
                        <w:rPr>
                          <w:rFonts w:ascii="Britannic Bold" w:hAnsi="Britannic Bold"/>
                          <w:sz w:val="16"/>
                          <w:szCs w:val="16"/>
                        </w:rPr>
                        <w:t xml:space="preserve"> activities with Menter Iaith.</w:t>
                      </w:r>
                    </w:p>
                    <w:p w14:paraId="21BE9EB4"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Relevant Skills and Expertise:</w:t>
                      </w:r>
                    </w:p>
                    <w:p w14:paraId="28DB1AA9"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 Organizational Skills: Assisting in workshop planning.</w:t>
                      </w:r>
                    </w:p>
                    <w:p w14:paraId="789A92DE" w14:textId="77777777" w:rsidR="008C568A" w:rsidRPr="008C568A" w:rsidRDefault="008C568A" w:rsidP="008C568A">
                      <w:pPr>
                        <w:rPr>
                          <w:rFonts w:ascii="Britannic Bold" w:hAnsi="Britannic Bold"/>
                        </w:rPr>
                      </w:pPr>
                      <w:r w:rsidRPr="008C568A">
                        <w:rPr>
                          <w:rFonts w:ascii="Britannic Bold" w:hAnsi="Britannic Bold"/>
                          <w:sz w:val="16"/>
                          <w:szCs w:val="16"/>
                        </w:rPr>
                        <w:t>• Interpersonal Skills: Building rapport with diverse participants</w:t>
                      </w:r>
                      <w:r w:rsidRPr="008C568A">
                        <w:rPr>
                          <w:rFonts w:ascii="Britannic Bold" w:hAnsi="Britannic Bold"/>
                        </w:rPr>
                        <w:t>.</w:t>
                      </w:r>
                    </w:p>
                    <w:p w14:paraId="5D0147CE" w14:textId="77777777" w:rsidR="008C568A" w:rsidRPr="008C568A" w:rsidRDefault="008C568A" w:rsidP="008C568A">
                      <w:pPr>
                        <w:rPr>
                          <w:rFonts w:ascii="Britannic Bold" w:hAnsi="Britannic Bold"/>
                          <w:sz w:val="16"/>
                          <w:szCs w:val="16"/>
                        </w:rPr>
                      </w:pPr>
                      <w:r w:rsidRPr="008C568A">
                        <w:rPr>
                          <w:rFonts w:ascii="Britannic Bold" w:hAnsi="Britannic Bold"/>
                          <w:sz w:val="16"/>
                          <w:szCs w:val="16"/>
                        </w:rPr>
                        <w:t>• Creativity: Designing engaging, inclusive learning activities.</w:t>
                      </w:r>
                    </w:p>
                    <w:p w14:paraId="152C9F1A" w14:textId="77777777" w:rsidR="008C568A" w:rsidRDefault="008C568A" w:rsidP="008C568A"/>
                    <w:p w14:paraId="6BE0662F" w14:textId="77777777" w:rsidR="008C568A" w:rsidRDefault="008C568A" w:rsidP="008C568A">
                      <w:r>
                        <w:t>Potential Impact:</w:t>
                      </w:r>
                    </w:p>
                    <w:p w14:paraId="1ABD0CB1" w14:textId="77777777" w:rsidR="008C568A" w:rsidRDefault="008C568A" w:rsidP="008C568A">
                      <w:r>
                        <w:t>• Enhancing confidence and academic progress of students with additional needs.</w:t>
                      </w:r>
                    </w:p>
                    <w:p w14:paraId="619CA044" w14:textId="77777777" w:rsidR="008C568A" w:rsidRDefault="008C568A" w:rsidP="008C568A">
                      <w:r>
                        <w:t>• Fostering creative expression and boosting employability.</w:t>
                      </w:r>
                    </w:p>
                    <w:p w14:paraId="34C99C13" w14:textId="50BD32DC" w:rsidR="00BB227A" w:rsidRDefault="008C568A" w:rsidP="008C568A">
                      <w:r>
                        <w:t>• Strengthening cultural ties and encouraging wider community participation.</w:t>
                      </w:r>
                    </w:p>
                  </w:txbxContent>
                </v:textbox>
                <w10:wrap anchorx="page"/>
              </v:shape>
            </w:pict>
          </mc:Fallback>
        </mc:AlternateContent>
      </w:r>
      <w:r>
        <w:rPr>
          <w:noProof/>
        </w:rPr>
        <mc:AlternateContent>
          <mc:Choice Requires="wps">
            <w:drawing>
              <wp:anchor distT="0" distB="0" distL="114300" distR="114300" simplePos="0" relativeHeight="251661312" behindDoc="0" locked="0" layoutInCell="1" allowOverlap="1" wp14:anchorId="285ABF79" wp14:editId="6684C0D6">
                <wp:simplePos x="0" y="0"/>
                <wp:positionH relativeFrom="column">
                  <wp:posOffset>2209800</wp:posOffset>
                </wp:positionH>
                <wp:positionV relativeFrom="paragraph">
                  <wp:posOffset>1397000</wp:posOffset>
                </wp:positionV>
                <wp:extent cx="2533650" cy="3460750"/>
                <wp:effectExtent l="0" t="0" r="19050" b="25400"/>
                <wp:wrapNone/>
                <wp:docPr id="2145503411" name="Text Box 3"/>
                <wp:cNvGraphicFramePr/>
                <a:graphic xmlns:a="http://schemas.openxmlformats.org/drawingml/2006/main">
                  <a:graphicData uri="http://schemas.microsoft.com/office/word/2010/wordprocessingShape">
                    <wps:wsp>
                      <wps:cNvSpPr txBox="1"/>
                      <wps:spPr>
                        <a:xfrm>
                          <a:off x="0" y="0"/>
                          <a:ext cx="2533650" cy="3460750"/>
                        </a:xfrm>
                        <a:prstGeom prst="rect">
                          <a:avLst/>
                        </a:prstGeom>
                        <a:solidFill>
                          <a:schemeClr val="bg1">
                            <a:lumMod val="65000"/>
                          </a:schemeClr>
                        </a:solidFill>
                        <a:ln w="6350">
                          <a:solidFill>
                            <a:prstClr val="black"/>
                          </a:solidFill>
                        </a:ln>
                      </wps:spPr>
                      <wps:txbx>
                        <w:txbxContent>
                          <w:p w14:paraId="0DC13421" w14:textId="796227AE" w:rsidR="00BB227A" w:rsidRPr="00BB227A" w:rsidRDefault="00BB227A" w:rsidP="00BB227A">
                            <w:pPr>
                              <w:rPr>
                                <w:rFonts w:ascii="Britannic Bold" w:hAnsi="Britannic Bold"/>
                                <w:sz w:val="16"/>
                                <w:szCs w:val="16"/>
                              </w:rPr>
                            </w:pPr>
                            <w:r w:rsidRPr="00BB227A">
                              <w:rPr>
                                <w:rFonts w:ascii="Britannic Bold" w:hAnsi="Britannic Bold"/>
                                <w:sz w:val="16"/>
                                <w:szCs w:val="16"/>
                              </w:rPr>
                              <w:t>Prosiect Cadarnhad: Key Findings</w:t>
                            </w:r>
                          </w:p>
                          <w:p w14:paraId="47F98D0F" w14:textId="77777777" w:rsidR="00BB227A" w:rsidRPr="00BB227A" w:rsidRDefault="00BB227A" w:rsidP="00BB227A">
                            <w:pPr>
                              <w:rPr>
                                <w:rFonts w:ascii="Britannic Bold" w:hAnsi="Britannic Bold"/>
                                <w:sz w:val="16"/>
                                <w:szCs w:val="16"/>
                              </w:rPr>
                            </w:pPr>
                            <w:r w:rsidRPr="00BB227A">
                              <w:rPr>
                                <w:rFonts w:ascii="Britannic Bold" w:hAnsi="Britannic Bold"/>
                                <w:sz w:val="16"/>
                                <w:szCs w:val="16"/>
                              </w:rPr>
                              <w:t>• Tailored Communication and Inclusivity: The project emphasizes inclusivity, offering services in both Welsh and English, fostering deeper engagement and trust.</w:t>
                            </w:r>
                          </w:p>
                          <w:p w14:paraId="4BA565B2" w14:textId="77777777" w:rsidR="00BB227A" w:rsidRPr="00BB227A" w:rsidRDefault="00BB227A" w:rsidP="00BB227A">
                            <w:pPr>
                              <w:rPr>
                                <w:rFonts w:ascii="Britannic Bold" w:hAnsi="Britannic Bold"/>
                                <w:sz w:val="16"/>
                                <w:szCs w:val="16"/>
                              </w:rPr>
                            </w:pPr>
                            <w:r w:rsidRPr="00BB227A">
                              <w:rPr>
                                <w:rFonts w:ascii="Britannic Bold" w:hAnsi="Britannic Bold"/>
                                <w:sz w:val="16"/>
                                <w:szCs w:val="16"/>
                              </w:rPr>
                              <w:t>• Cultural Integration: Collaborations with organizations like Menter Iaith promote Welsh language use and traditions, enhancing community identity and fostering a sense of belonging.</w:t>
                            </w:r>
                          </w:p>
                          <w:p w14:paraId="233B3110" w14:textId="77777777" w:rsidR="00BB227A" w:rsidRPr="00BB227A" w:rsidRDefault="00BB227A" w:rsidP="00BB227A">
                            <w:pPr>
                              <w:rPr>
                                <w:rFonts w:ascii="Britannic Bold" w:hAnsi="Britannic Bold"/>
                                <w:sz w:val="16"/>
                                <w:szCs w:val="16"/>
                              </w:rPr>
                            </w:pPr>
                            <w:r w:rsidRPr="00BB227A">
                              <w:rPr>
                                <w:rFonts w:ascii="Britannic Bold" w:hAnsi="Britannic Bold"/>
                                <w:sz w:val="16"/>
                                <w:szCs w:val="16"/>
                              </w:rPr>
                              <w:t>• Economic Empowerment: Accreditation programs address employment barriers,</w:t>
                            </w:r>
                            <w:r w:rsidRPr="00BB227A">
                              <w:rPr>
                                <w:rFonts w:ascii="Britannic Bold" w:hAnsi="Britannic Bold"/>
                              </w:rPr>
                              <w:t xml:space="preserve"> </w:t>
                            </w:r>
                            <w:r w:rsidRPr="00BB227A">
                              <w:rPr>
                                <w:rFonts w:ascii="Britannic Bold" w:hAnsi="Britannic Bold"/>
                                <w:sz w:val="16"/>
                                <w:szCs w:val="16"/>
                              </w:rPr>
                              <w:t>equipping participants with qualifications and improving their career prospects.</w:t>
                            </w:r>
                          </w:p>
                          <w:p w14:paraId="30D5ECA9" w14:textId="77777777" w:rsidR="00BB227A" w:rsidRPr="00BB227A" w:rsidRDefault="00BB227A" w:rsidP="00BB227A">
                            <w:pPr>
                              <w:rPr>
                                <w:rFonts w:ascii="Britannic Bold" w:hAnsi="Britannic Bold"/>
                                <w:sz w:val="16"/>
                                <w:szCs w:val="16"/>
                              </w:rPr>
                            </w:pPr>
                            <w:r w:rsidRPr="00BB227A">
                              <w:rPr>
                                <w:rFonts w:ascii="Britannic Bold" w:hAnsi="Britannic Bold"/>
                                <w:sz w:val="16"/>
                                <w:szCs w:val="16"/>
                              </w:rPr>
                              <w:t>• Environmental Sustainability: Collaborations with Tywi Gateway Trust promote skill development and ecological awareness.</w:t>
                            </w:r>
                          </w:p>
                          <w:p w14:paraId="1C929030" w14:textId="129F9D03" w:rsidR="00BB227A" w:rsidRPr="00BB227A" w:rsidRDefault="00BB227A" w:rsidP="00BB227A">
                            <w:pPr>
                              <w:rPr>
                                <w:rFonts w:ascii="Britannic Bold" w:hAnsi="Britannic Bold"/>
                                <w:sz w:val="16"/>
                                <w:szCs w:val="16"/>
                              </w:rPr>
                            </w:pPr>
                            <w:r w:rsidRPr="00BB227A">
                              <w:rPr>
                                <w:rFonts w:ascii="Britannic Bold" w:hAnsi="Britannic Bold"/>
                                <w:sz w:val="16"/>
                                <w:szCs w:val="16"/>
                              </w:rPr>
                              <w:t xml:space="preserve">• </w:t>
                            </w:r>
                            <w:r w:rsidRPr="00BB227A">
                              <w:rPr>
                                <w:rFonts w:ascii="Britannic Bold" w:hAnsi="Britannic Bold"/>
                                <w:sz w:val="16"/>
                                <w:szCs w:val="16"/>
                              </w:rPr>
                              <w:t>Behavioural</w:t>
                            </w:r>
                            <w:r w:rsidRPr="00BB227A">
                              <w:rPr>
                                <w:rFonts w:ascii="Britannic Bold" w:hAnsi="Britannic Bold"/>
                                <w:sz w:val="16"/>
                                <w:szCs w:val="16"/>
                              </w:rPr>
                              <w:t xml:space="preserve"> Change Through Empowerment: Recognition of achievements and certificates encourages personal and professional growth, aligning with Clark’s view of sustainable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ABF79" id="Text Box 3" o:spid="_x0000_s1031" type="#_x0000_t202" style="position:absolute;margin-left:174pt;margin-top:110pt;width:199.5pt;height:2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" fillcolor="#a5a5a5 [2092]" strokeweight=".5pt">
                <v:textbox>
                  <w:txbxContent>
                    <w:p w14:paraId="0DC13421" w14:textId="796227AE" w:rsidR="00BB227A" w:rsidRPr="00BB227A" w:rsidRDefault="00BB227A" w:rsidP="00BB227A">
                      <w:pPr>
                        <w:rPr>
                          <w:rFonts w:ascii="Britannic Bold" w:hAnsi="Britannic Bold"/>
                          <w:sz w:val="16"/>
                          <w:szCs w:val="16"/>
                        </w:rPr>
                      </w:pPr>
                      <w:r w:rsidRPr="00BB227A">
                        <w:rPr>
                          <w:rFonts w:ascii="Britannic Bold" w:hAnsi="Britannic Bold"/>
                          <w:sz w:val="16"/>
                          <w:szCs w:val="16"/>
                        </w:rPr>
                        <w:t>Prosiect Cadarnhad: Key Findings</w:t>
                      </w:r>
                    </w:p>
                    <w:p w14:paraId="47F98D0F" w14:textId="77777777" w:rsidR="00BB227A" w:rsidRPr="00BB227A" w:rsidRDefault="00BB227A" w:rsidP="00BB227A">
                      <w:pPr>
                        <w:rPr>
                          <w:rFonts w:ascii="Britannic Bold" w:hAnsi="Britannic Bold"/>
                          <w:sz w:val="16"/>
                          <w:szCs w:val="16"/>
                        </w:rPr>
                      </w:pPr>
                      <w:r w:rsidRPr="00BB227A">
                        <w:rPr>
                          <w:rFonts w:ascii="Britannic Bold" w:hAnsi="Britannic Bold"/>
                          <w:sz w:val="16"/>
                          <w:szCs w:val="16"/>
                        </w:rPr>
                        <w:t>• Tailored Communication and Inclusivity: The project emphasizes inclusivity, offering services in both Welsh and English, fostering deeper engagement and trust.</w:t>
                      </w:r>
                    </w:p>
                    <w:p w14:paraId="4BA565B2" w14:textId="77777777" w:rsidR="00BB227A" w:rsidRPr="00BB227A" w:rsidRDefault="00BB227A" w:rsidP="00BB227A">
                      <w:pPr>
                        <w:rPr>
                          <w:rFonts w:ascii="Britannic Bold" w:hAnsi="Britannic Bold"/>
                          <w:sz w:val="16"/>
                          <w:szCs w:val="16"/>
                        </w:rPr>
                      </w:pPr>
                      <w:r w:rsidRPr="00BB227A">
                        <w:rPr>
                          <w:rFonts w:ascii="Britannic Bold" w:hAnsi="Britannic Bold"/>
                          <w:sz w:val="16"/>
                          <w:szCs w:val="16"/>
                        </w:rPr>
                        <w:t>• Cultural Integration: Collaborations with organizations like Menter Iaith promote Welsh language use and traditions, enhancing community identity and fostering a sense of belonging.</w:t>
                      </w:r>
                    </w:p>
                    <w:p w14:paraId="233B3110" w14:textId="77777777" w:rsidR="00BB227A" w:rsidRPr="00BB227A" w:rsidRDefault="00BB227A" w:rsidP="00BB227A">
                      <w:pPr>
                        <w:rPr>
                          <w:rFonts w:ascii="Britannic Bold" w:hAnsi="Britannic Bold"/>
                          <w:sz w:val="16"/>
                          <w:szCs w:val="16"/>
                        </w:rPr>
                      </w:pPr>
                      <w:r w:rsidRPr="00BB227A">
                        <w:rPr>
                          <w:rFonts w:ascii="Britannic Bold" w:hAnsi="Britannic Bold"/>
                          <w:sz w:val="16"/>
                          <w:szCs w:val="16"/>
                        </w:rPr>
                        <w:t>• Economic Empowerment: Accreditation programs address employment barriers,</w:t>
                      </w:r>
                      <w:r w:rsidRPr="00BB227A">
                        <w:rPr>
                          <w:rFonts w:ascii="Britannic Bold" w:hAnsi="Britannic Bold"/>
                        </w:rPr>
                        <w:t xml:space="preserve"> </w:t>
                      </w:r>
                      <w:r w:rsidRPr="00BB227A">
                        <w:rPr>
                          <w:rFonts w:ascii="Britannic Bold" w:hAnsi="Britannic Bold"/>
                          <w:sz w:val="16"/>
                          <w:szCs w:val="16"/>
                        </w:rPr>
                        <w:t>equipping participants with qualifications and improving their career prospects.</w:t>
                      </w:r>
                    </w:p>
                    <w:p w14:paraId="30D5ECA9" w14:textId="77777777" w:rsidR="00BB227A" w:rsidRPr="00BB227A" w:rsidRDefault="00BB227A" w:rsidP="00BB227A">
                      <w:pPr>
                        <w:rPr>
                          <w:rFonts w:ascii="Britannic Bold" w:hAnsi="Britannic Bold"/>
                          <w:sz w:val="16"/>
                          <w:szCs w:val="16"/>
                        </w:rPr>
                      </w:pPr>
                      <w:r w:rsidRPr="00BB227A">
                        <w:rPr>
                          <w:rFonts w:ascii="Britannic Bold" w:hAnsi="Britannic Bold"/>
                          <w:sz w:val="16"/>
                          <w:szCs w:val="16"/>
                        </w:rPr>
                        <w:t>• Environmental Sustainability: Collaborations with Tywi Gateway Trust promote skill development and ecological awareness.</w:t>
                      </w:r>
                    </w:p>
                    <w:p w14:paraId="1C929030" w14:textId="129F9D03" w:rsidR="00BB227A" w:rsidRPr="00BB227A" w:rsidRDefault="00BB227A" w:rsidP="00BB227A">
                      <w:pPr>
                        <w:rPr>
                          <w:rFonts w:ascii="Britannic Bold" w:hAnsi="Britannic Bold"/>
                          <w:sz w:val="16"/>
                          <w:szCs w:val="16"/>
                        </w:rPr>
                      </w:pPr>
                      <w:r w:rsidRPr="00BB227A">
                        <w:rPr>
                          <w:rFonts w:ascii="Britannic Bold" w:hAnsi="Britannic Bold"/>
                          <w:sz w:val="16"/>
                          <w:szCs w:val="16"/>
                        </w:rPr>
                        <w:t xml:space="preserve">• </w:t>
                      </w:r>
                      <w:r w:rsidRPr="00BB227A">
                        <w:rPr>
                          <w:rFonts w:ascii="Britannic Bold" w:hAnsi="Britannic Bold"/>
                          <w:sz w:val="16"/>
                          <w:szCs w:val="16"/>
                        </w:rPr>
                        <w:t>Behavioural</w:t>
                      </w:r>
                      <w:r w:rsidRPr="00BB227A">
                        <w:rPr>
                          <w:rFonts w:ascii="Britannic Bold" w:hAnsi="Britannic Bold"/>
                          <w:sz w:val="16"/>
                          <w:szCs w:val="16"/>
                        </w:rPr>
                        <w:t xml:space="preserve"> Change Through Empowerment: Recognition of achievements and certificates encourages personal and professional growth, aligning with Clark’s view of sustainable development.</w:t>
                      </w:r>
                    </w:p>
                  </w:txbxContent>
                </v:textbox>
              </v:shape>
            </w:pict>
          </mc:Fallback>
        </mc:AlternateContent>
      </w:r>
      <w:r w:rsidR="008C568A">
        <w:rPr>
          <w:noProof/>
        </w:rPr>
        <mc:AlternateContent>
          <mc:Choice Requires="wps">
            <w:drawing>
              <wp:anchor distT="0" distB="0" distL="114300" distR="114300" simplePos="0" relativeHeight="251660288" behindDoc="0" locked="0" layoutInCell="1" allowOverlap="1" wp14:anchorId="3F014DE5" wp14:editId="2DBB4A45">
                <wp:simplePos x="0" y="0"/>
                <wp:positionH relativeFrom="page">
                  <wp:align>left</wp:align>
                </wp:positionH>
                <wp:positionV relativeFrom="paragraph">
                  <wp:posOffset>1384300</wp:posOffset>
                </wp:positionV>
                <wp:extent cx="3130550" cy="3460750"/>
                <wp:effectExtent l="0" t="0" r="12700" b="25400"/>
                <wp:wrapNone/>
                <wp:docPr id="244990872" name="Text Box 2"/>
                <wp:cNvGraphicFramePr/>
                <a:graphic xmlns:a="http://schemas.openxmlformats.org/drawingml/2006/main">
                  <a:graphicData uri="http://schemas.microsoft.com/office/word/2010/wordprocessingShape">
                    <wps:wsp>
                      <wps:cNvSpPr txBox="1"/>
                      <wps:spPr>
                        <a:xfrm>
                          <a:off x="0" y="0"/>
                          <a:ext cx="3130550" cy="3460750"/>
                        </a:xfrm>
                        <a:prstGeom prst="rect">
                          <a:avLst/>
                        </a:prstGeom>
                        <a:solidFill>
                          <a:schemeClr val="tx1">
                            <a:lumMod val="65000"/>
                            <a:lumOff val="35000"/>
                          </a:schemeClr>
                        </a:solidFill>
                        <a:ln w="6350">
                          <a:solidFill>
                            <a:prstClr val="black"/>
                          </a:solidFill>
                        </a:ln>
                      </wps:spPr>
                      <wps:txbx>
                        <w:txbxContent>
                          <w:p w14:paraId="492047FA" w14:textId="16EED004" w:rsidR="00BB227A" w:rsidRPr="00BB227A" w:rsidRDefault="00BB227A" w:rsidP="00BB227A">
                            <w:pPr>
                              <w:rPr>
                                <w:rFonts w:ascii="Britannic Bold" w:hAnsi="Britannic Bold"/>
                                <w:sz w:val="16"/>
                                <w:szCs w:val="16"/>
                              </w:rPr>
                            </w:pPr>
                            <w:r w:rsidRPr="00BB227A">
                              <w:rPr>
                                <w:rFonts w:ascii="Britannic Bold" w:hAnsi="Britannic Bold"/>
                                <w:sz w:val="16"/>
                                <w:szCs w:val="16"/>
                              </w:rPr>
                              <w:t>Research Context: Understanding the Community.</w:t>
                            </w:r>
                            <w:r w:rsidRPr="00BB227A">
                              <w:rPr>
                                <w:rFonts w:ascii="Britannic Bold" w:hAnsi="Britannic Bold"/>
                                <w:sz w:val="16"/>
                                <w:szCs w:val="16"/>
                              </w:rPr>
                              <w:br/>
                              <w:t>Prosiect Cadarnhad serves an extremely varied community, which includes:</w:t>
                            </w:r>
                            <w:r w:rsidRPr="00BB227A">
                              <w:rPr>
                                <w:rFonts w:ascii="Britannic Bold" w:hAnsi="Britannic Bold"/>
                                <w:sz w:val="16"/>
                                <w:szCs w:val="16"/>
                              </w:rPr>
                              <w:br/>
                              <w:t>Young people are grappling with traditional educational systems.</w:t>
                            </w:r>
                            <w:r w:rsidRPr="00BB227A">
                              <w:rPr>
                                <w:rFonts w:ascii="Britannic Bold" w:hAnsi="Britannic Bold"/>
                                <w:sz w:val="16"/>
                                <w:szCs w:val="16"/>
                              </w:rPr>
                              <w:br/>
                              <w:t>Adults seeking professional certifications to enhance their employability.</w:t>
                            </w:r>
                            <w:r w:rsidRPr="00BB227A">
                              <w:rPr>
                                <w:rFonts w:ascii="Britannic Bold" w:hAnsi="Britannic Bold"/>
                                <w:sz w:val="16"/>
                                <w:szCs w:val="16"/>
                              </w:rPr>
                              <w:br/>
                              <w:t>Individuals with special needs, like as those at Ysgol Bro Gwaun, require alternate learning methods.</w:t>
                            </w:r>
                            <w:r w:rsidRPr="00BB227A">
                              <w:rPr>
                                <w:rFonts w:ascii="Britannic Bold" w:hAnsi="Britannic Bold"/>
                                <w:sz w:val="16"/>
                                <w:szCs w:val="16"/>
                              </w:rPr>
                              <w:br/>
                              <w:t>Participants in cultural and environmental efforts, such as Welsh-language programs and horticultural instruction.</w:t>
                            </w:r>
                            <w:r w:rsidRPr="00BB227A">
                              <w:rPr>
                                <w:rFonts w:ascii="Britannic Bold" w:hAnsi="Britannic Bold"/>
                                <w:sz w:val="16"/>
                                <w:szCs w:val="16"/>
                              </w:rPr>
                              <w:br/>
                              <w:t>Participants frequently belong to overlapping groups with different wants and interests, demonstrating the fluid character of communities (Winston, 2021). Prosiect Cadarnhad tackles this diversity with specialised programs that empower individuals and promote inclusivity.</w:t>
                            </w:r>
                            <w:r w:rsidRPr="00BB227A">
                              <w:rPr>
                                <w:rFonts w:ascii="Britannic Bold" w:hAnsi="Britannic Bold"/>
                                <w:sz w:val="16"/>
                                <w:szCs w:val="16"/>
                              </w:rPr>
                              <w:br/>
                              <w:t>Project Cadarnhad focusses on the following fundamental objectives:</w:t>
                            </w:r>
                            <w:r w:rsidRPr="00BB227A">
                              <w:rPr>
                                <w:sz w:val="16"/>
                                <w:szCs w:val="16"/>
                              </w:rPr>
                              <w:br/>
                            </w:r>
                            <w:r w:rsidRPr="00BB227A">
                              <w:rPr>
                                <w:rFonts w:ascii="Britannic Bold" w:hAnsi="Britannic Bold"/>
                                <w:sz w:val="16"/>
                                <w:szCs w:val="16"/>
                              </w:rPr>
                              <w:t>To grant skill recognition via Agored Cymru accreditation.</w:t>
                            </w:r>
                            <w:r w:rsidRPr="00BB227A">
                              <w:rPr>
                                <w:rFonts w:ascii="Britannic Bold" w:hAnsi="Britannic Bold"/>
                                <w:sz w:val="16"/>
                                <w:szCs w:val="16"/>
                              </w:rPr>
                              <w:br/>
                              <w:t>To incorporate the Welsh language and culture into its activities.</w:t>
                            </w:r>
                            <w:r w:rsidRPr="00BB227A">
                              <w:rPr>
                                <w:rFonts w:ascii="Britannic Bold" w:hAnsi="Britannic Bold"/>
                                <w:sz w:val="16"/>
                                <w:szCs w:val="16"/>
                              </w:rPr>
                              <w:br/>
                              <w:t>To promote environmental sustainability through initiatives such as horticultural instruction at the Tywi Gateway Trust.</w:t>
                            </w:r>
                            <w:r w:rsidRPr="00BB227A">
                              <w:rPr>
                                <w:rFonts w:ascii="Britannic Bold" w:hAnsi="Britannic Bold"/>
                                <w:sz w:val="16"/>
                                <w:szCs w:val="16"/>
                              </w:rPr>
                              <w:br/>
                              <w:t>Collaborate with local organisations to ensure that development projects address community-specific requirements.</w:t>
                            </w:r>
                            <w:r w:rsidRPr="00BB227A">
                              <w:rPr>
                                <w:rFonts w:ascii="Britannic Bold" w:hAnsi="Britannic Bold"/>
                                <w:sz w:val="16"/>
                                <w:szCs w:val="16"/>
                              </w:rPr>
                              <w:br/>
                              <w:t>These goals are consistent with Chambers' (1997) notion of valuing the realities and viewpoints of the local community over top-down intervention.</w:t>
                            </w:r>
                          </w:p>
                          <w:p w14:paraId="3EA9166C" w14:textId="77777777" w:rsidR="00BB227A" w:rsidRPr="00BB227A" w:rsidRDefault="00BB227A">
                            <w:pPr>
                              <w:rPr>
                                <w:rFonts w:ascii="Britannic Bold" w:hAnsi="Britannic Bold"/>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14DE5" id="Text Box 2" o:spid="_x0000_s1032" type="#_x0000_t202" style="position:absolute;margin-left:0;margin-top:109pt;width:246.5pt;height:272.5pt;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" fillcolor="#5a5a5a [2109]" strokeweight=".5pt">
                <v:textbox>
                  <w:txbxContent>
                    <w:p w14:paraId="492047FA" w14:textId="16EED004" w:rsidR="00BB227A" w:rsidRPr="00BB227A" w:rsidRDefault="00BB227A" w:rsidP="00BB227A">
                      <w:pPr>
                        <w:rPr>
                          <w:rFonts w:ascii="Britannic Bold" w:hAnsi="Britannic Bold"/>
                          <w:sz w:val="16"/>
                          <w:szCs w:val="16"/>
                        </w:rPr>
                      </w:pPr>
                      <w:r w:rsidRPr="00BB227A">
                        <w:rPr>
                          <w:rFonts w:ascii="Britannic Bold" w:hAnsi="Britannic Bold"/>
                          <w:sz w:val="16"/>
                          <w:szCs w:val="16"/>
                        </w:rPr>
                        <w:t>Research Context: Understanding the Community.</w:t>
                      </w:r>
                      <w:r w:rsidRPr="00BB227A">
                        <w:rPr>
                          <w:rFonts w:ascii="Britannic Bold" w:hAnsi="Britannic Bold"/>
                          <w:sz w:val="16"/>
                          <w:szCs w:val="16"/>
                        </w:rPr>
                        <w:br/>
                        <w:t>Prosiect Cadarnhad serves an extremely varied community, which includes:</w:t>
                      </w:r>
                      <w:r w:rsidRPr="00BB227A">
                        <w:rPr>
                          <w:rFonts w:ascii="Britannic Bold" w:hAnsi="Britannic Bold"/>
                          <w:sz w:val="16"/>
                          <w:szCs w:val="16"/>
                        </w:rPr>
                        <w:br/>
                        <w:t>Young people are grappling with traditional educational systems.</w:t>
                      </w:r>
                      <w:r w:rsidRPr="00BB227A">
                        <w:rPr>
                          <w:rFonts w:ascii="Britannic Bold" w:hAnsi="Britannic Bold"/>
                          <w:sz w:val="16"/>
                          <w:szCs w:val="16"/>
                        </w:rPr>
                        <w:br/>
                        <w:t>Adults seeking professional certifications to enhance their employability.</w:t>
                      </w:r>
                      <w:r w:rsidRPr="00BB227A">
                        <w:rPr>
                          <w:rFonts w:ascii="Britannic Bold" w:hAnsi="Britannic Bold"/>
                          <w:sz w:val="16"/>
                          <w:szCs w:val="16"/>
                        </w:rPr>
                        <w:br/>
                        <w:t>Individuals with special needs, like as those at Ysgol Bro Gwaun, require alternate learning methods.</w:t>
                      </w:r>
                      <w:r w:rsidRPr="00BB227A">
                        <w:rPr>
                          <w:rFonts w:ascii="Britannic Bold" w:hAnsi="Britannic Bold"/>
                          <w:sz w:val="16"/>
                          <w:szCs w:val="16"/>
                        </w:rPr>
                        <w:br/>
                        <w:t>Participants in cultural and environmental efforts, such as Welsh-language programs and horticultural instruction.</w:t>
                      </w:r>
                      <w:r w:rsidRPr="00BB227A">
                        <w:rPr>
                          <w:rFonts w:ascii="Britannic Bold" w:hAnsi="Britannic Bold"/>
                          <w:sz w:val="16"/>
                          <w:szCs w:val="16"/>
                        </w:rPr>
                        <w:br/>
                        <w:t>Participants frequently belong to overlapping groups with different wants and interests, demonstrating the fluid character of communities (Winston, 2021). Prosiect Cadarnhad tackles this diversity with specialised programs that empower individuals and promote inclusivity.</w:t>
                      </w:r>
                      <w:r w:rsidRPr="00BB227A">
                        <w:rPr>
                          <w:rFonts w:ascii="Britannic Bold" w:hAnsi="Britannic Bold"/>
                          <w:sz w:val="16"/>
                          <w:szCs w:val="16"/>
                        </w:rPr>
                        <w:br/>
                        <w:t>Project Cadarnhad focusses on the following fundamental objectives:</w:t>
                      </w:r>
                      <w:r w:rsidRPr="00BB227A">
                        <w:rPr>
                          <w:sz w:val="16"/>
                          <w:szCs w:val="16"/>
                        </w:rPr>
                        <w:br/>
                      </w:r>
                      <w:r w:rsidRPr="00BB227A">
                        <w:rPr>
                          <w:rFonts w:ascii="Britannic Bold" w:hAnsi="Britannic Bold"/>
                          <w:sz w:val="16"/>
                          <w:szCs w:val="16"/>
                        </w:rPr>
                        <w:t>To grant skill recognition via Agored Cymru accreditation.</w:t>
                      </w:r>
                      <w:r w:rsidRPr="00BB227A">
                        <w:rPr>
                          <w:rFonts w:ascii="Britannic Bold" w:hAnsi="Britannic Bold"/>
                          <w:sz w:val="16"/>
                          <w:szCs w:val="16"/>
                        </w:rPr>
                        <w:br/>
                        <w:t>To incorporate the Welsh language and culture into its activities.</w:t>
                      </w:r>
                      <w:r w:rsidRPr="00BB227A">
                        <w:rPr>
                          <w:rFonts w:ascii="Britannic Bold" w:hAnsi="Britannic Bold"/>
                          <w:sz w:val="16"/>
                          <w:szCs w:val="16"/>
                        </w:rPr>
                        <w:br/>
                        <w:t>To promote environmental sustainability through initiatives such as horticultural instruction at the Tywi Gateway Trust.</w:t>
                      </w:r>
                      <w:r w:rsidRPr="00BB227A">
                        <w:rPr>
                          <w:rFonts w:ascii="Britannic Bold" w:hAnsi="Britannic Bold"/>
                          <w:sz w:val="16"/>
                          <w:szCs w:val="16"/>
                        </w:rPr>
                        <w:br/>
                        <w:t>Collaborate with local organisations to ensure that development projects address community-specific requirements.</w:t>
                      </w:r>
                      <w:r w:rsidRPr="00BB227A">
                        <w:rPr>
                          <w:rFonts w:ascii="Britannic Bold" w:hAnsi="Britannic Bold"/>
                          <w:sz w:val="16"/>
                          <w:szCs w:val="16"/>
                        </w:rPr>
                        <w:br/>
                        <w:t>These goals are consistent with Chambers' (1997) notion of valuing the realities and viewpoints of the local community over top-down intervention.</w:t>
                      </w:r>
                    </w:p>
                    <w:p w14:paraId="3EA9166C" w14:textId="77777777" w:rsidR="00BB227A" w:rsidRPr="00BB227A" w:rsidRDefault="00BB227A">
                      <w:pPr>
                        <w:rPr>
                          <w:rFonts w:ascii="Britannic Bold" w:hAnsi="Britannic Bold"/>
                          <w:sz w:val="16"/>
                          <w:szCs w:val="16"/>
                        </w:rPr>
                      </w:pPr>
                    </w:p>
                  </w:txbxContent>
                </v:textbox>
                <w10:wrap anchorx="page"/>
              </v:shape>
            </w:pict>
          </mc:Fallback>
        </mc:AlternateContent>
      </w:r>
      <w:r w:rsidR="008C568A">
        <w:rPr>
          <w:noProof/>
        </w:rPr>
        <mc:AlternateContent>
          <mc:Choice Requires="wps">
            <w:drawing>
              <wp:anchor distT="0" distB="0" distL="114300" distR="114300" simplePos="0" relativeHeight="251664384" behindDoc="0" locked="0" layoutInCell="1" allowOverlap="1" wp14:anchorId="7E21601F" wp14:editId="6B65D885">
                <wp:simplePos x="0" y="0"/>
                <wp:positionH relativeFrom="column">
                  <wp:posOffset>2241550</wp:posOffset>
                </wp:positionH>
                <wp:positionV relativeFrom="paragraph">
                  <wp:posOffset>-558800</wp:posOffset>
                </wp:positionV>
                <wp:extent cx="4311015" cy="419100"/>
                <wp:effectExtent l="0" t="0" r="0" b="0"/>
                <wp:wrapNone/>
                <wp:docPr id="1494583203" name="Text Box 1"/>
                <wp:cNvGraphicFramePr/>
                <a:graphic xmlns:a="http://schemas.openxmlformats.org/drawingml/2006/main">
                  <a:graphicData uri="http://schemas.microsoft.com/office/word/2010/wordprocessingShape">
                    <wps:wsp>
                      <wps:cNvSpPr txBox="1"/>
                      <wps:spPr>
                        <a:xfrm>
                          <a:off x="0" y="0"/>
                          <a:ext cx="4311015" cy="419100"/>
                        </a:xfrm>
                        <a:prstGeom prst="rect">
                          <a:avLst/>
                        </a:prstGeom>
                        <a:noFill/>
                        <a:ln>
                          <a:noFill/>
                        </a:ln>
                      </wps:spPr>
                      <wps:txbx>
                        <w:txbxContent>
                          <w:p w14:paraId="492380BF" w14:textId="3F909A52" w:rsidR="008C568A" w:rsidRPr="008C568A" w:rsidRDefault="008C568A" w:rsidP="008C568A">
                            <w:pPr>
                              <w:jc w:val="center"/>
                              <w:rPr>
                                <w:rFonts w:ascii="Britannic Bold" w:hAnsi="Britannic Bold"/>
                                <w:b/>
                                <w:noProof/>
                                <w:color w:val="D86DCB" w:themeColor="accent5" w:themeTint="99"/>
                                <w:sz w:val="32"/>
                                <w:szCs w:val="32"/>
                                <w14:textOutline w14:w="12700" w14:cap="flat" w14:cmpd="sng" w14:algn="ctr">
                                  <w14:solidFill>
                                    <w14:schemeClr w14:val="accent4"/>
                                  </w14:solidFill>
                                  <w14:prstDash w14:val="solid"/>
                                  <w14:round/>
                                </w14:textOutline>
                              </w:rPr>
                            </w:pPr>
                            <w:r w:rsidRPr="008C568A">
                              <w:rPr>
                                <w:rFonts w:ascii="Britannic Bold" w:hAnsi="Britannic Bold"/>
                                <w:b/>
                                <w:noProof/>
                                <w:color w:val="D86DCB" w:themeColor="accent5" w:themeTint="99"/>
                                <w:sz w:val="32"/>
                                <w:szCs w:val="32"/>
                                <w14:textOutline w14:w="12700" w14:cap="flat" w14:cmpd="sng" w14:algn="ctr">
                                  <w14:solidFill>
                                    <w14:schemeClr w14:val="accent4"/>
                                  </w14:solidFill>
                                  <w14:prstDash w14:val="solid"/>
                                  <w14:round/>
                                </w14:textOutline>
                              </w:rPr>
                              <w:t>Community Development: Prosiect Cadarnhad</w:t>
                            </w:r>
                            <w:r w:rsidRPr="008C568A">
                              <w:rPr>
                                <w:rFonts w:ascii="Britannic Bold" w:hAnsi="Britannic Bold"/>
                                <w:b/>
                                <w:noProof/>
                                <w:color w:val="D86DCB" w:themeColor="accent5" w:themeTint="99"/>
                                <w:sz w:val="32"/>
                                <w:szCs w:val="32"/>
                                <w14:textOutline w14:w="12700" w14:cap="flat" w14:cmpd="sng" w14:algn="ctr">
                                  <w14:solidFill>
                                    <w14:schemeClr w14:val="accent4"/>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1601F" id="_x0000_s1033" type="#_x0000_t202" style="position:absolute;margin-left:176.5pt;margin-top:-44pt;width:339.45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" filled="f" stroked="f">
                <v:fill o:detectmouseclick="t"/>
                <v:textbox>
                  <w:txbxContent>
                    <w:p w14:paraId="492380BF" w14:textId="3F909A52" w:rsidR="008C568A" w:rsidRPr="008C568A" w:rsidRDefault="008C568A" w:rsidP="008C568A">
                      <w:pPr>
                        <w:jc w:val="center"/>
                        <w:rPr>
                          <w:rFonts w:ascii="Britannic Bold" w:hAnsi="Britannic Bold"/>
                          <w:b/>
                          <w:noProof/>
                          <w:color w:val="D86DCB" w:themeColor="accent5" w:themeTint="99"/>
                          <w:sz w:val="32"/>
                          <w:szCs w:val="32"/>
                          <w14:textOutline w14:w="12700" w14:cap="flat" w14:cmpd="sng" w14:algn="ctr">
                            <w14:solidFill>
                              <w14:schemeClr w14:val="accent4"/>
                            </w14:solidFill>
                            <w14:prstDash w14:val="solid"/>
                            <w14:round/>
                          </w14:textOutline>
                        </w:rPr>
                      </w:pPr>
                      <w:r w:rsidRPr="008C568A">
                        <w:rPr>
                          <w:rFonts w:ascii="Britannic Bold" w:hAnsi="Britannic Bold"/>
                          <w:b/>
                          <w:noProof/>
                          <w:color w:val="D86DCB" w:themeColor="accent5" w:themeTint="99"/>
                          <w:sz w:val="32"/>
                          <w:szCs w:val="32"/>
                          <w14:textOutline w14:w="12700" w14:cap="flat" w14:cmpd="sng" w14:algn="ctr">
                            <w14:solidFill>
                              <w14:schemeClr w14:val="accent4"/>
                            </w14:solidFill>
                            <w14:prstDash w14:val="solid"/>
                            <w14:round/>
                          </w14:textOutline>
                        </w:rPr>
                        <w:t>Community Development: Prosiect Cadarnhad</w:t>
                      </w:r>
                      <w:r w:rsidRPr="008C568A">
                        <w:rPr>
                          <w:rFonts w:ascii="Britannic Bold" w:hAnsi="Britannic Bold"/>
                          <w:b/>
                          <w:noProof/>
                          <w:color w:val="D86DCB" w:themeColor="accent5" w:themeTint="99"/>
                          <w:sz w:val="32"/>
                          <w:szCs w:val="32"/>
                          <w14:textOutline w14:w="12700" w14:cap="flat" w14:cmpd="sng" w14:algn="ctr">
                            <w14:solidFill>
                              <w14:schemeClr w14:val="accent4"/>
                            </w14:solidFill>
                            <w14:prstDash w14:val="solid"/>
                            <w14:round/>
                          </w14:textOutline>
                        </w:rPr>
                        <w:t xml:space="preserve"> </w:t>
                      </w:r>
                    </w:p>
                  </w:txbxContent>
                </v:textbox>
              </v:shape>
            </w:pict>
          </mc:Fallback>
        </mc:AlternateContent>
      </w:r>
    </w:p>
    <w:sectPr w:rsidR="00685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ritannic Bold">
    <w:panose1 w:val="020B0903060703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483"/>
    <w:rsid w:val="001C296B"/>
    <w:rsid w:val="00685483"/>
    <w:rsid w:val="008C568A"/>
    <w:rsid w:val="00A91770"/>
    <w:rsid w:val="00BB227A"/>
    <w:rsid w:val="00D80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2B251"/>
  <w15:chartTrackingRefBased/>
  <w15:docId w15:val="{61F509A1-E9F0-4A9F-8981-DDA5D11B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4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4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4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4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4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4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4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4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4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4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4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4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4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4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4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4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4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483"/>
    <w:rPr>
      <w:rFonts w:eastAsiaTheme="majorEastAsia" w:cstheme="majorBidi"/>
      <w:color w:val="272727" w:themeColor="text1" w:themeTint="D8"/>
    </w:rPr>
  </w:style>
  <w:style w:type="paragraph" w:styleId="Title">
    <w:name w:val="Title"/>
    <w:basedOn w:val="Normal"/>
    <w:next w:val="Normal"/>
    <w:link w:val="TitleChar"/>
    <w:uiPriority w:val="10"/>
    <w:qFormat/>
    <w:rsid w:val="006854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4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4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4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483"/>
    <w:pPr>
      <w:spacing w:before="160"/>
      <w:jc w:val="center"/>
    </w:pPr>
    <w:rPr>
      <w:i/>
      <w:iCs/>
      <w:color w:val="404040" w:themeColor="text1" w:themeTint="BF"/>
    </w:rPr>
  </w:style>
  <w:style w:type="character" w:customStyle="1" w:styleId="QuoteChar">
    <w:name w:val="Quote Char"/>
    <w:basedOn w:val="DefaultParagraphFont"/>
    <w:link w:val="Quote"/>
    <w:uiPriority w:val="29"/>
    <w:rsid w:val="00685483"/>
    <w:rPr>
      <w:i/>
      <w:iCs/>
      <w:color w:val="404040" w:themeColor="text1" w:themeTint="BF"/>
    </w:rPr>
  </w:style>
  <w:style w:type="paragraph" w:styleId="ListParagraph">
    <w:name w:val="List Paragraph"/>
    <w:basedOn w:val="Normal"/>
    <w:uiPriority w:val="34"/>
    <w:qFormat/>
    <w:rsid w:val="00685483"/>
    <w:pPr>
      <w:ind w:left="720"/>
      <w:contextualSpacing/>
    </w:pPr>
  </w:style>
  <w:style w:type="character" w:styleId="IntenseEmphasis">
    <w:name w:val="Intense Emphasis"/>
    <w:basedOn w:val="DefaultParagraphFont"/>
    <w:uiPriority w:val="21"/>
    <w:qFormat/>
    <w:rsid w:val="00685483"/>
    <w:rPr>
      <w:i/>
      <w:iCs/>
      <w:color w:val="0F4761" w:themeColor="accent1" w:themeShade="BF"/>
    </w:rPr>
  </w:style>
  <w:style w:type="paragraph" w:styleId="IntenseQuote">
    <w:name w:val="Intense Quote"/>
    <w:basedOn w:val="Normal"/>
    <w:next w:val="Normal"/>
    <w:link w:val="IntenseQuoteChar"/>
    <w:uiPriority w:val="30"/>
    <w:qFormat/>
    <w:rsid w:val="006854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483"/>
    <w:rPr>
      <w:i/>
      <w:iCs/>
      <w:color w:val="0F4761" w:themeColor="accent1" w:themeShade="BF"/>
    </w:rPr>
  </w:style>
  <w:style w:type="character" w:styleId="IntenseReference">
    <w:name w:val="Intense Reference"/>
    <w:basedOn w:val="DefaultParagraphFont"/>
    <w:uiPriority w:val="32"/>
    <w:qFormat/>
    <w:rsid w:val="00685483"/>
    <w:rPr>
      <w:b/>
      <w:bCs/>
      <w:smallCaps/>
      <w:color w:val="0F4761" w:themeColor="accent1" w:themeShade="BF"/>
      <w:spacing w:val="5"/>
    </w:rPr>
  </w:style>
  <w:style w:type="character" w:styleId="Hyperlink">
    <w:name w:val="Hyperlink"/>
    <w:basedOn w:val="DefaultParagraphFont"/>
    <w:uiPriority w:val="99"/>
    <w:unhideWhenUsed/>
    <w:rsid w:val="001C296B"/>
    <w:rPr>
      <w:color w:val="467886" w:themeColor="hyperlink"/>
      <w:u w:val="single"/>
    </w:rPr>
  </w:style>
  <w:style w:type="character" w:styleId="UnresolvedMention">
    <w:name w:val="Unresolved Mention"/>
    <w:basedOn w:val="DefaultParagraphFont"/>
    <w:uiPriority w:val="99"/>
    <w:semiHidden/>
    <w:unhideWhenUsed/>
    <w:rsid w:val="001C29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572423">
      <w:bodyDiv w:val="1"/>
      <w:marLeft w:val="0"/>
      <w:marRight w:val="0"/>
      <w:marTop w:val="0"/>
      <w:marBottom w:val="0"/>
      <w:divBdr>
        <w:top w:val="none" w:sz="0" w:space="0" w:color="auto"/>
        <w:left w:val="none" w:sz="0" w:space="0" w:color="auto"/>
        <w:bottom w:val="none" w:sz="0" w:space="0" w:color="auto"/>
        <w:right w:val="none" w:sz="0" w:space="0" w:color="auto"/>
      </w:divBdr>
    </w:div>
    <w:div w:id="340857269">
      <w:bodyDiv w:val="1"/>
      <w:marLeft w:val="0"/>
      <w:marRight w:val="0"/>
      <w:marTop w:val="0"/>
      <w:marBottom w:val="0"/>
      <w:divBdr>
        <w:top w:val="none" w:sz="0" w:space="0" w:color="auto"/>
        <w:left w:val="none" w:sz="0" w:space="0" w:color="auto"/>
        <w:bottom w:val="none" w:sz="0" w:space="0" w:color="auto"/>
        <w:right w:val="none" w:sz="0" w:space="0" w:color="auto"/>
      </w:divBdr>
    </w:div>
    <w:div w:id="633952121">
      <w:bodyDiv w:val="1"/>
      <w:marLeft w:val="0"/>
      <w:marRight w:val="0"/>
      <w:marTop w:val="0"/>
      <w:marBottom w:val="0"/>
      <w:divBdr>
        <w:top w:val="none" w:sz="0" w:space="0" w:color="auto"/>
        <w:left w:val="none" w:sz="0" w:space="0" w:color="auto"/>
        <w:bottom w:val="none" w:sz="0" w:space="0" w:color="auto"/>
        <w:right w:val="none" w:sz="0" w:space="0" w:color="auto"/>
      </w:divBdr>
    </w:div>
    <w:div w:id="84825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ned.org.uk/projects/cadarnha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uffingtonpost.com/helen-clark/sustainable-development-n_1_b_8412692.html" TargetMode="External"/><Relationship Id="rId12" Type="http://schemas.openxmlformats.org/officeDocument/2006/relationships/hyperlink" Target="https://www.gov.uk/government/publications/community-development-handboo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planed.org.uk/projects/cadarnhad/" TargetMode="External"/><Relationship Id="rId5" Type="http://schemas.openxmlformats.org/officeDocument/2006/relationships/image" Target="media/image2.png"/><Relationship Id="rId10" Type="http://schemas.openxmlformats.org/officeDocument/2006/relationships/hyperlink" Target="https://www.huffingtonpost.com/helen-clark/sustainable-development-n_1_b_8412692.html" TargetMode="External"/><Relationship Id="rId4" Type="http://schemas.openxmlformats.org/officeDocument/2006/relationships/image" Target="media/image1.png"/><Relationship Id="rId9" Type="http://schemas.openxmlformats.org/officeDocument/2006/relationships/hyperlink" Target="https://www.gov.uk/government/publications/community-development-handboo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1</cp:revision>
  <dcterms:created xsi:type="dcterms:W3CDTF">2024-11-20T17:39:00Z</dcterms:created>
  <dcterms:modified xsi:type="dcterms:W3CDTF">2024-11-20T18:24:00Z</dcterms:modified>
</cp:coreProperties>
</file>